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4FD" w:rsidRDefault="001544FD" w:rsidP="000D570F">
      <w:pPr>
        <w:spacing w:after="0" w:line="240" w:lineRule="auto"/>
        <w:contextualSpacing/>
        <w:jc w:val="center"/>
        <w:rPr>
          <w:rFonts w:ascii="Times New Roman" w:hAnsi="Times New Roman"/>
          <w:b/>
          <w:bCs/>
          <w:color w:val="1F497D"/>
          <w:sz w:val="32"/>
          <w:szCs w:val="32"/>
          <w:lang w:eastAsia="bg-BG"/>
        </w:rPr>
      </w:pPr>
    </w:p>
    <w:p w:rsidR="001544FD" w:rsidRDefault="001544FD" w:rsidP="000D570F">
      <w:pPr>
        <w:spacing w:after="0" w:line="240" w:lineRule="auto"/>
        <w:contextualSpacing/>
        <w:jc w:val="center"/>
        <w:rPr>
          <w:rFonts w:ascii="Times New Roman" w:hAnsi="Times New Roman"/>
          <w:b/>
          <w:bCs/>
          <w:color w:val="1F497D"/>
          <w:sz w:val="32"/>
          <w:szCs w:val="32"/>
          <w:lang w:eastAsia="bg-BG"/>
        </w:rPr>
      </w:pPr>
    </w:p>
    <w:p w:rsidR="00104367" w:rsidRDefault="000D570F" w:rsidP="000D570F">
      <w:pPr>
        <w:spacing w:after="0" w:line="240" w:lineRule="auto"/>
        <w:contextualSpacing/>
        <w:jc w:val="center"/>
        <w:rPr>
          <w:rFonts w:ascii="Times New Roman" w:hAnsi="Times New Roman"/>
          <w:b/>
          <w:bCs/>
          <w:color w:val="1F497D"/>
          <w:sz w:val="32"/>
          <w:szCs w:val="32"/>
          <w:lang w:eastAsia="bg-BG"/>
        </w:rPr>
      </w:pPr>
      <w:r w:rsidRPr="00E2724F">
        <w:rPr>
          <w:rFonts w:ascii="Times New Roman" w:hAnsi="Times New Roman"/>
          <w:b/>
          <w:bCs/>
          <w:color w:val="1F497D"/>
          <w:sz w:val="32"/>
          <w:szCs w:val="32"/>
          <w:lang w:eastAsia="bg-BG"/>
        </w:rPr>
        <w:t xml:space="preserve">Защитена зона </w:t>
      </w:r>
      <w:r w:rsidRPr="00E2724F">
        <w:rPr>
          <w:rFonts w:ascii="Times New Roman" w:hAnsi="Times New Roman"/>
          <w:b/>
          <w:bCs/>
          <w:color w:val="1F497D"/>
          <w:sz w:val="32"/>
          <w:szCs w:val="32"/>
          <w:lang w:val="en-US" w:eastAsia="bg-BG"/>
        </w:rPr>
        <w:t>BG0000</w:t>
      </w:r>
      <w:r>
        <w:rPr>
          <w:rFonts w:ascii="Times New Roman" w:hAnsi="Times New Roman"/>
          <w:b/>
          <w:bCs/>
          <w:color w:val="1F497D"/>
          <w:sz w:val="32"/>
          <w:szCs w:val="32"/>
          <w:lang w:eastAsia="bg-BG"/>
        </w:rPr>
        <w:t>241 Сребърна</w:t>
      </w:r>
    </w:p>
    <w:p w:rsidR="00104367" w:rsidRDefault="00104367" w:rsidP="000D570F">
      <w:pPr>
        <w:spacing w:after="0" w:line="240" w:lineRule="auto"/>
        <w:contextualSpacing/>
        <w:jc w:val="center"/>
        <w:rPr>
          <w:rFonts w:ascii="Times New Roman" w:hAnsi="Times New Roman"/>
          <w:b/>
          <w:bCs/>
          <w:color w:val="1F497D"/>
          <w:sz w:val="32"/>
          <w:szCs w:val="32"/>
          <w:lang w:eastAsia="bg-BG"/>
        </w:rPr>
      </w:pPr>
    </w:p>
    <w:p w:rsidR="001544FD" w:rsidRDefault="001544FD" w:rsidP="000D570F">
      <w:pPr>
        <w:spacing w:after="0" w:line="240" w:lineRule="auto"/>
        <w:contextualSpacing/>
        <w:jc w:val="center"/>
        <w:rPr>
          <w:rFonts w:ascii="Times New Roman" w:hAnsi="Times New Roman"/>
          <w:b/>
          <w:bCs/>
          <w:color w:val="1F497D"/>
          <w:sz w:val="32"/>
          <w:szCs w:val="32"/>
          <w:lang w:eastAsia="bg-BG"/>
        </w:rPr>
      </w:pPr>
    </w:p>
    <w:p w:rsidR="000D570F" w:rsidRPr="00E2724F" w:rsidRDefault="000D570F" w:rsidP="000D570F">
      <w:pPr>
        <w:spacing w:after="0" w:line="240" w:lineRule="auto"/>
        <w:contextualSpacing/>
        <w:jc w:val="center"/>
        <w:rPr>
          <w:rFonts w:ascii="Times New Roman" w:hAnsi="Times New Roman"/>
          <w:b/>
          <w:bCs/>
          <w:color w:val="1F497D"/>
          <w:sz w:val="32"/>
          <w:szCs w:val="32"/>
          <w:lang w:eastAsia="bg-BG"/>
        </w:rPr>
      </w:pPr>
      <w:r w:rsidRPr="00E2724F">
        <w:rPr>
          <w:rFonts w:ascii="Times New Roman" w:hAnsi="Times New Roman"/>
          <w:b/>
          <w:bCs/>
          <w:color w:val="1F497D"/>
          <w:sz w:val="32"/>
          <w:szCs w:val="32"/>
          <w:lang w:eastAsia="bg-BG"/>
        </w:rPr>
        <w:t>Специфични природозащитни цели за типовете природни местообитания и за видовете, обект на опазване в зоната</w:t>
      </w:r>
    </w:p>
    <w:p w:rsidR="008B6197" w:rsidRDefault="008B6197"/>
    <w:p w:rsidR="0031593F" w:rsidRDefault="0031593F" w:rsidP="001544FD">
      <w:pPr>
        <w:pageBreakBefore/>
      </w:pPr>
    </w:p>
    <w:sdt>
      <w:sdtPr>
        <w:rPr>
          <w:rFonts w:ascii="Calibri" w:eastAsia="Times New Roman" w:hAnsi="Calibri" w:cs="Times New Roman"/>
          <w:b w:val="0"/>
          <w:bCs w:val="0"/>
          <w:color w:val="auto"/>
          <w:sz w:val="22"/>
          <w:szCs w:val="22"/>
          <w:lang w:val="bg-BG" w:eastAsia="en-US"/>
        </w:rPr>
        <w:id w:val="80341765"/>
        <w:docPartObj>
          <w:docPartGallery w:val="Table of Contents"/>
          <w:docPartUnique/>
        </w:docPartObj>
      </w:sdtPr>
      <w:sdtEndPr>
        <w:rPr>
          <w:noProof/>
        </w:rPr>
      </w:sdtEndPr>
      <w:sdtContent>
        <w:p w:rsidR="004760C9" w:rsidRPr="004760C9" w:rsidRDefault="004760C9" w:rsidP="004760C9">
          <w:pPr>
            <w:pStyle w:val="TOCHeading"/>
            <w:jc w:val="center"/>
            <w:rPr>
              <w:lang w:val="bg-BG"/>
            </w:rPr>
          </w:pPr>
          <w:r>
            <w:rPr>
              <w:lang w:val="bg-BG"/>
            </w:rPr>
            <w:t>Съдържание</w:t>
          </w:r>
        </w:p>
        <w:p w:rsidR="00A8783E" w:rsidRPr="00A8783E" w:rsidRDefault="004760C9">
          <w:pPr>
            <w:pStyle w:val="TOC1"/>
            <w:tabs>
              <w:tab w:val="right" w:leader="dot" w:pos="9062"/>
            </w:tabs>
            <w:rPr>
              <w:rFonts w:asciiTheme="minorHAnsi" w:eastAsiaTheme="minorEastAsia" w:hAnsiTheme="minorHAnsi" w:cstheme="minorBidi"/>
              <w:noProof/>
              <w:color w:val="1F497D" w:themeColor="text2"/>
              <w:lang w:eastAsia="bg-BG"/>
            </w:rPr>
          </w:pPr>
          <w:r w:rsidRPr="00A8783E">
            <w:rPr>
              <w:color w:val="1F497D" w:themeColor="text2"/>
            </w:rPr>
            <w:fldChar w:fldCharType="begin"/>
          </w:r>
          <w:r w:rsidRPr="00A8783E">
            <w:rPr>
              <w:color w:val="1F497D" w:themeColor="text2"/>
            </w:rPr>
            <w:instrText xml:space="preserve"> TOC \o "1-3" \h \z \u </w:instrText>
          </w:r>
          <w:r w:rsidRPr="00A8783E">
            <w:rPr>
              <w:color w:val="1F497D" w:themeColor="text2"/>
            </w:rPr>
            <w:fldChar w:fldCharType="separate"/>
          </w:r>
          <w:hyperlink w:anchor="_Toc98838521" w:history="1">
            <w:r w:rsidR="00A8783E" w:rsidRPr="00A8783E">
              <w:rPr>
                <w:rStyle w:val="Hyperlink"/>
                <w:rFonts w:ascii="Times New Roman" w:hAnsi="Times New Roman"/>
                <w:b/>
                <w:noProof/>
                <w:color w:val="1F497D" w:themeColor="text2"/>
              </w:rPr>
              <w:t>Природни местообитания</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_Toc98838521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9</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22" w:history="1">
            <w:r w:rsidR="00A8783E" w:rsidRPr="00A8783E">
              <w:rPr>
                <w:rStyle w:val="Hyperlink"/>
                <w:rFonts w:ascii="Times New Roman" w:eastAsia="Calibri" w:hAnsi="Times New Roman"/>
                <w:noProof/>
                <w:color w:val="1F497D" w:themeColor="text2"/>
              </w:rPr>
              <w:t xml:space="preserve">Природно местообитание 3130 Олиготрофни до мезотрофни стоящи води с растителност от </w:t>
            </w:r>
            <w:r w:rsidR="00A8783E" w:rsidRPr="00A8783E">
              <w:rPr>
                <w:rStyle w:val="Hyperlink"/>
                <w:rFonts w:ascii="Times New Roman" w:eastAsia="Calibri" w:hAnsi="Times New Roman"/>
                <w:i/>
                <w:noProof/>
                <w:color w:val="1F497D" w:themeColor="text2"/>
              </w:rPr>
              <w:t>Littorelletea uniflorae</w:t>
            </w:r>
            <w:r w:rsidR="00A8783E" w:rsidRPr="00A8783E">
              <w:rPr>
                <w:rStyle w:val="Hyperlink"/>
                <w:rFonts w:ascii="Times New Roman" w:eastAsia="Calibri" w:hAnsi="Times New Roman"/>
                <w:noProof/>
                <w:color w:val="1F497D" w:themeColor="text2"/>
              </w:rPr>
              <w:t xml:space="preserve"> и/или </w:t>
            </w:r>
            <w:r w:rsidR="00A8783E" w:rsidRPr="00A8783E">
              <w:rPr>
                <w:rStyle w:val="Hyperlink"/>
                <w:rFonts w:ascii="Times New Roman" w:eastAsia="Calibri" w:hAnsi="Times New Roman"/>
                <w:i/>
                <w:noProof/>
                <w:color w:val="1F497D" w:themeColor="text2"/>
              </w:rPr>
              <w:t>Isoeto-Nanojuncetea</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_Toc98838522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9</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23" w:history="1">
            <w:r w:rsidR="00A8783E" w:rsidRPr="00A8783E">
              <w:rPr>
                <w:rStyle w:val="Hyperlink"/>
                <w:rFonts w:ascii="Times New Roman" w:eastAsia="Calibri" w:hAnsi="Times New Roman"/>
                <w:noProof/>
                <w:color w:val="1F497D" w:themeColor="text2"/>
              </w:rPr>
              <w:t xml:space="preserve">Природно местообитание 3150 Естествени еутрофни езера с растителност от типа </w:t>
            </w:r>
            <w:r w:rsidR="00A8783E" w:rsidRPr="00A8783E">
              <w:rPr>
                <w:rStyle w:val="Hyperlink"/>
                <w:rFonts w:ascii="Times New Roman" w:eastAsia="Calibri" w:hAnsi="Times New Roman"/>
                <w:i/>
                <w:noProof/>
                <w:color w:val="1F497D" w:themeColor="text2"/>
              </w:rPr>
              <w:t>Magnopotamion</w:t>
            </w:r>
            <w:r w:rsidR="00A8783E" w:rsidRPr="00A8783E">
              <w:rPr>
                <w:rStyle w:val="Hyperlink"/>
                <w:rFonts w:ascii="Times New Roman" w:eastAsia="Calibri" w:hAnsi="Times New Roman"/>
                <w:noProof/>
                <w:color w:val="1F497D" w:themeColor="text2"/>
              </w:rPr>
              <w:t xml:space="preserve"> или </w:t>
            </w:r>
            <w:r w:rsidR="00A8783E" w:rsidRPr="00A8783E">
              <w:rPr>
                <w:rStyle w:val="Hyperlink"/>
                <w:rFonts w:ascii="Times New Roman" w:eastAsia="Calibri" w:hAnsi="Times New Roman"/>
                <w:i/>
                <w:noProof/>
                <w:color w:val="1F497D" w:themeColor="text2"/>
              </w:rPr>
              <w:t>Hydrocharition</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_Toc98838523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13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24" w:history="1">
            <w:r w:rsidR="00A8783E" w:rsidRPr="00A8783E">
              <w:rPr>
                <w:rStyle w:val="Hyperlink"/>
                <w:rFonts w:ascii="Times New Roman" w:eastAsia="Calibri" w:hAnsi="Times New Roman"/>
                <w:noProof/>
                <w:color w:val="1F497D" w:themeColor="text2"/>
              </w:rPr>
              <w:t xml:space="preserve">Природно местообитание 3270 Реки с кални брегове с </w:t>
            </w:r>
            <w:r w:rsidR="00A8783E" w:rsidRPr="00A8783E">
              <w:rPr>
                <w:rStyle w:val="Hyperlink"/>
                <w:rFonts w:ascii="Times New Roman" w:eastAsia="Calibri" w:hAnsi="Times New Roman"/>
                <w:i/>
                <w:noProof/>
                <w:color w:val="1F497D" w:themeColor="text2"/>
              </w:rPr>
              <w:t>Chenopodion rubri</w:t>
            </w:r>
            <w:r w:rsidR="00A8783E" w:rsidRPr="00A8783E">
              <w:rPr>
                <w:rStyle w:val="Hyperlink"/>
                <w:rFonts w:ascii="Times New Roman" w:eastAsia="Calibri" w:hAnsi="Times New Roman"/>
                <w:noProof/>
                <w:color w:val="1F497D" w:themeColor="text2"/>
              </w:rPr>
              <w:t xml:space="preserve"> и </w:t>
            </w:r>
            <w:r w:rsidR="00A8783E" w:rsidRPr="00A8783E">
              <w:rPr>
                <w:rStyle w:val="Hyperlink"/>
                <w:rFonts w:ascii="Times New Roman" w:eastAsia="Calibri" w:hAnsi="Times New Roman"/>
                <w:i/>
                <w:noProof/>
                <w:color w:val="1F497D" w:themeColor="text2"/>
              </w:rPr>
              <w:t>Bidention</w:t>
            </w:r>
            <w:r w:rsidR="00A8783E" w:rsidRPr="00A8783E">
              <w:rPr>
                <w:rStyle w:val="Hyperlink"/>
                <w:rFonts w:ascii="Times New Roman" w:eastAsia="Calibri" w:hAnsi="Times New Roman"/>
                <w:noProof/>
                <w:color w:val="1F497D" w:themeColor="text2"/>
              </w:rPr>
              <w:t xml:space="preserve"> p.p</w:t>
            </w:r>
            <w:r w:rsidR="00A8783E" w:rsidRPr="00A8783E">
              <w:rPr>
                <w:rStyle w:val="Hyperlink"/>
                <w:rFonts w:ascii="Times New Roman" w:eastAsia="Calibri" w:hAnsi="Times New Roman"/>
                <w:noProof/>
                <w:color w:val="1F497D" w:themeColor="text2"/>
                <w:lang w:val="en-US"/>
              </w:rPr>
              <w:t>.</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_Toc98838524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18</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25" w:history="1">
            <w:r w:rsidR="00A8783E" w:rsidRPr="00A8783E">
              <w:rPr>
                <w:rStyle w:val="Hyperlink"/>
                <w:rFonts w:ascii="Times New Roman" w:eastAsia="Calibri" w:hAnsi="Times New Roman"/>
                <w:noProof/>
                <w:color w:val="1F497D" w:themeColor="text2"/>
              </w:rPr>
              <w:t>Природно местообитание 6250 * Панонски льосови степни тревни съобщества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_Toc98838525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22</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26" w:history="1">
            <w:r w:rsidR="00A8783E" w:rsidRPr="00A8783E">
              <w:rPr>
                <w:rStyle w:val="Hyperlink"/>
                <w:rFonts w:ascii="Times New Roman" w:eastAsia="Calibri" w:hAnsi="Times New Roman"/>
                <w:noProof/>
                <w:color w:val="1F497D" w:themeColor="text2"/>
              </w:rPr>
              <w:t>Природно местообитание 6430 Хидрофилни съобщества от високи треви в равнините и в планинския до алпийския пояс</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_Toc98838526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27</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27" w:history="1">
            <w:r w:rsidR="00A8783E" w:rsidRPr="00A8783E">
              <w:rPr>
                <w:rStyle w:val="Hyperlink"/>
                <w:rFonts w:ascii="Times New Roman" w:hAnsi="Times New Roman"/>
                <w:noProof/>
                <w:color w:val="1F497D" w:themeColor="text2"/>
              </w:rPr>
              <w:t xml:space="preserve">Природно местообитание 91Е0 *Алувиални гори с </w:t>
            </w:r>
            <w:r w:rsidR="00A8783E" w:rsidRPr="00A8783E">
              <w:rPr>
                <w:rStyle w:val="Hyperlink"/>
                <w:rFonts w:ascii="Times New Roman" w:hAnsi="Times New Roman"/>
                <w:i/>
                <w:noProof/>
                <w:color w:val="1F497D" w:themeColor="text2"/>
              </w:rPr>
              <w:t>Alnus glutinosa</w:t>
            </w:r>
            <w:r w:rsidR="00A8783E" w:rsidRPr="00A8783E">
              <w:rPr>
                <w:rStyle w:val="Hyperlink"/>
                <w:rFonts w:ascii="Times New Roman" w:hAnsi="Times New Roman"/>
                <w:noProof/>
                <w:color w:val="1F497D" w:themeColor="text2"/>
              </w:rPr>
              <w:t xml:space="preserve"> и </w:t>
            </w:r>
            <w:r w:rsidR="00A8783E" w:rsidRPr="00A8783E">
              <w:rPr>
                <w:rStyle w:val="Hyperlink"/>
                <w:rFonts w:ascii="Times New Roman" w:hAnsi="Times New Roman"/>
                <w:i/>
                <w:noProof/>
                <w:color w:val="1F497D" w:themeColor="text2"/>
              </w:rPr>
              <w:t>Fraxinus excelsior</w:t>
            </w:r>
            <w:r w:rsidR="00A8783E" w:rsidRPr="00A8783E">
              <w:rPr>
                <w:rStyle w:val="Hyperlink"/>
                <w:rFonts w:ascii="Times New Roman" w:hAnsi="Times New Roman"/>
                <w:noProof/>
                <w:color w:val="1F497D" w:themeColor="text2"/>
              </w:rPr>
              <w:t xml:space="preserve"> (Alno-Padion, Alnion incanae, Salicion albae)</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_Toc98838527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30</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28" w:history="1">
            <w:r w:rsidR="00A8783E" w:rsidRPr="00A8783E">
              <w:rPr>
                <w:rStyle w:val="Hyperlink"/>
                <w:rFonts w:ascii="Times New Roman" w:hAnsi="Times New Roman"/>
                <w:noProof/>
                <w:color w:val="1F497D" w:themeColor="text2"/>
              </w:rPr>
              <w:t>Природно местообитание 91</w:t>
            </w:r>
            <w:r w:rsidR="00A8783E" w:rsidRPr="00A8783E">
              <w:rPr>
                <w:rStyle w:val="Hyperlink"/>
                <w:rFonts w:ascii="Times New Roman" w:hAnsi="Times New Roman"/>
                <w:noProof/>
                <w:color w:val="1F497D" w:themeColor="text2"/>
                <w:lang w:val="en-US"/>
              </w:rPr>
              <w:t>F0</w:t>
            </w:r>
            <w:r w:rsidR="00A8783E" w:rsidRPr="00A8783E">
              <w:rPr>
                <w:rStyle w:val="Hyperlink"/>
                <w:rFonts w:ascii="Times New Roman" w:hAnsi="Times New Roman"/>
                <w:noProof/>
                <w:color w:val="1F497D" w:themeColor="text2"/>
              </w:rPr>
              <w:t xml:space="preserve"> Крайречни смесени гори от </w:t>
            </w:r>
            <w:r w:rsidR="00A8783E" w:rsidRPr="00A8783E">
              <w:rPr>
                <w:rStyle w:val="Hyperlink"/>
                <w:rFonts w:ascii="Times New Roman" w:hAnsi="Times New Roman"/>
                <w:i/>
                <w:noProof/>
                <w:color w:val="1F497D" w:themeColor="text2"/>
              </w:rPr>
              <w:t>Quercus</w:t>
            </w:r>
            <w:r w:rsidR="00A8783E" w:rsidRPr="00A8783E">
              <w:rPr>
                <w:rStyle w:val="Hyperlink"/>
                <w:rFonts w:ascii="Times New Roman" w:hAnsi="Times New Roman"/>
                <w:noProof/>
                <w:color w:val="1F497D" w:themeColor="text2"/>
              </w:rPr>
              <w:t xml:space="preserve"> </w:t>
            </w:r>
            <w:r w:rsidR="00A8783E" w:rsidRPr="00A8783E">
              <w:rPr>
                <w:rStyle w:val="Hyperlink"/>
                <w:rFonts w:ascii="Times New Roman" w:hAnsi="Times New Roman"/>
                <w:i/>
                <w:noProof/>
                <w:color w:val="1F497D" w:themeColor="text2"/>
              </w:rPr>
              <w:t>robur, Ulmus laevis</w:t>
            </w:r>
            <w:r w:rsidR="00A8783E" w:rsidRPr="00A8783E">
              <w:rPr>
                <w:rStyle w:val="Hyperlink"/>
                <w:rFonts w:ascii="Times New Roman" w:hAnsi="Times New Roman"/>
                <w:noProof/>
                <w:color w:val="1F497D" w:themeColor="text2"/>
              </w:rPr>
              <w:t xml:space="preserve"> и </w:t>
            </w:r>
            <w:r w:rsidR="00A8783E" w:rsidRPr="00A8783E">
              <w:rPr>
                <w:rStyle w:val="Hyperlink"/>
                <w:rFonts w:ascii="Times New Roman" w:hAnsi="Times New Roman"/>
                <w:i/>
                <w:noProof/>
                <w:color w:val="1F497D" w:themeColor="text2"/>
              </w:rPr>
              <w:t>Fraxinus ex</w:t>
            </w:r>
            <w:r w:rsidR="00A8783E" w:rsidRPr="00A8783E">
              <w:rPr>
                <w:rStyle w:val="Hyperlink"/>
                <w:rFonts w:ascii="Times New Roman" w:hAnsi="Times New Roman"/>
                <w:noProof/>
                <w:color w:val="1F497D" w:themeColor="text2"/>
              </w:rPr>
              <w:t xml:space="preserve">celsior или </w:t>
            </w:r>
            <w:r w:rsidR="00A8783E" w:rsidRPr="00A8783E">
              <w:rPr>
                <w:rStyle w:val="Hyperlink"/>
                <w:rFonts w:ascii="Times New Roman" w:hAnsi="Times New Roman"/>
                <w:i/>
                <w:noProof/>
                <w:color w:val="1F497D" w:themeColor="text2"/>
              </w:rPr>
              <w:t>Fraxinus ang</w:t>
            </w:r>
            <w:r w:rsidR="00A8783E" w:rsidRPr="00A8783E">
              <w:rPr>
                <w:rStyle w:val="Hyperlink"/>
                <w:rFonts w:ascii="Times New Roman" w:hAnsi="Times New Roman"/>
                <w:noProof/>
                <w:color w:val="1F497D" w:themeColor="text2"/>
              </w:rPr>
              <w:t>ustifolia покрай големи реки (Ulmenion minoris)</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_Toc98838528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36</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29" w:history="1">
            <w:r w:rsidR="00A8783E" w:rsidRPr="00A8783E">
              <w:rPr>
                <w:rStyle w:val="Hyperlink"/>
                <w:rFonts w:ascii="Times New Roman" w:hAnsi="Times New Roman"/>
                <w:noProof/>
                <w:color w:val="1F497D" w:themeColor="text2"/>
              </w:rPr>
              <w:t xml:space="preserve">Природно местообитание </w:t>
            </w:r>
            <w:r w:rsidR="00A8783E" w:rsidRPr="00A8783E">
              <w:rPr>
                <w:rStyle w:val="Hyperlink"/>
                <w:rFonts w:ascii="Times New Roman" w:hAnsi="Times New Roman"/>
                <w:noProof/>
                <w:color w:val="1F497D" w:themeColor="text2"/>
                <w:lang w:val="en-US"/>
              </w:rPr>
              <w:t>91H0</w:t>
            </w:r>
            <w:r w:rsidR="00A8783E" w:rsidRPr="00A8783E">
              <w:rPr>
                <w:rStyle w:val="Hyperlink"/>
                <w:rFonts w:ascii="Times New Roman" w:hAnsi="Times New Roman"/>
                <w:noProof/>
                <w:color w:val="1F497D" w:themeColor="text2"/>
              </w:rPr>
              <w:t xml:space="preserve"> Панонски гори с </w:t>
            </w:r>
            <w:r w:rsidR="00A8783E" w:rsidRPr="00A8783E">
              <w:rPr>
                <w:rStyle w:val="Hyperlink"/>
                <w:rFonts w:ascii="Times New Roman" w:hAnsi="Times New Roman"/>
                <w:i/>
                <w:noProof/>
                <w:color w:val="1F497D" w:themeColor="text2"/>
              </w:rPr>
              <w:t>Quercus pubescens</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_Toc98838529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42</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30" w:history="1">
            <w:r w:rsidR="00A8783E" w:rsidRPr="00A8783E">
              <w:rPr>
                <w:rStyle w:val="Hyperlink"/>
                <w:rFonts w:ascii="Times New Roman" w:hAnsi="Times New Roman"/>
                <w:noProof/>
                <w:color w:val="1F497D" w:themeColor="text2"/>
              </w:rPr>
              <w:t xml:space="preserve">Природно местообитание </w:t>
            </w:r>
            <w:r w:rsidR="00A8783E" w:rsidRPr="00A8783E">
              <w:rPr>
                <w:rStyle w:val="Hyperlink"/>
                <w:rFonts w:ascii="Times New Roman" w:hAnsi="Times New Roman"/>
                <w:noProof/>
                <w:color w:val="1F497D" w:themeColor="text2"/>
                <w:lang w:val="en-US"/>
              </w:rPr>
              <w:t>91Z0</w:t>
            </w:r>
            <w:r w:rsidR="00A8783E" w:rsidRPr="00A8783E">
              <w:rPr>
                <w:rStyle w:val="Hyperlink"/>
                <w:rFonts w:ascii="Times New Roman" w:hAnsi="Times New Roman"/>
                <w:noProof/>
                <w:color w:val="1F497D" w:themeColor="text2"/>
              </w:rPr>
              <w:t xml:space="preserve"> Мизийски гори от сребролистна липа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_Toc98838530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48</w:t>
            </w:r>
            <w:r w:rsidR="00A8783E" w:rsidRPr="00A8783E">
              <w:rPr>
                <w:noProof/>
                <w:webHidden/>
                <w:color w:val="1F497D" w:themeColor="text2"/>
              </w:rPr>
              <w:fldChar w:fldCharType="end"/>
            </w:r>
          </w:hyperlink>
        </w:p>
        <w:p w:rsidR="00A8783E" w:rsidRPr="00A8783E" w:rsidRDefault="00DE51FF">
          <w:pPr>
            <w:pStyle w:val="TOC1"/>
            <w:tabs>
              <w:tab w:val="right" w:leader="dot" w:pos="9062"/>
            </w:tabs>
            <w:rPr>
              <w:rFonts w:asciiTheme="minorHAnsi" w:eastAsiaTheme="minorEastAsia" w:hAnsiTheme="minorHAnsi" w:cstheme="minorBidi"/>
              <w:noProof/>
              <w:color w:val="1F497D" w:themeColor="text2"/>
              <w:lang w:eastAsia="bg-BG"/>
            </w:rPr>
          </w:pPr>
          <w:hyperlink w:anchor="_Toc98838531" w:history="1">
            <w:r w:rsidR="00A8783E" w:rsidRPr="00A8783E">
              <w:rPr>
                <w:rStyle w:val="Hyperlink"/>
                <w:rFonts w:ascii="Times New Roman" w:hAnsi="Times New Roman"/>
                <w:b/>
                <w:noProof/>
                <w:color w:val="1F497D" w:themeColor="text2"/>
              </w:rPr>
              <w:t>Растения</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_Toc98838531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54</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32" w:history="1">
            <w:r w:rsidR="00A8783E" w:rsidRPr="00A8783E">
              <w:rPr>
                <w:rStyle w:val="Hyperlink"/>
                <w:rFonts w:ascii="Times New Roman" w:hAnsi="Times New Roman"/>
                <w:noProof/>
                <w:color w:val="1F497D" w:themeColor="text2"/>
              </w:rPr>
              <w:t xml:space="preserve">Природозащитни цели за 1516 </w:t>
            </w:r>
            <w:r w:rsidR="00A8783E" w:rsidRPr="00A8783E">
              <w:rPr>
                <w:rStyle w:val="Hyperlink"/>
                <w:rFonts w:ascii="Times New Roman" w:hAnsi="Times New Roman"/>
                <w:i/>
                <w:noProof/>
                <w:color w:val="1F497D" w:themeColor="text2"/>
              </w:rPr>
              <w:t>Aldrovanda vesiculosa</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_Toc98838532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54</w:t>
            </w:r>
            <w:r w:rsidR="00A8783E" w:rsidRPr="00A8783E">
              <w:rPr>
                <w:noProof/>
                <w:webHidden/>
                <w:color w:val="1F497D" w:themeColor="text2"/>
              </w:rPr>
              <w:fldChar w:fldCharType="end"/>
            </w:r>
          </w:hyperlink>
        </w:p>
        <w:p w:rsidR="00A8783E" w:rsidRPr="00A8783E" w:rsidRDefault="00DE51FF">
          <w:pPr>
            <w:pStyle w:val="TOC1"/>
            <w:tabs>
              <w:tab w:val="right" w:leader="dot" w:pos="9062"/>
            </w:tabs>
            <w:rPr>
              <w:rFonts w:asciiTheme="minorHAnsi" w:eastAsiaTheme="minorEastAsia" w:hAnsiTheme="minorHAnsi" w:cstheme="minorBidi"/>
              <w:noProof/>
              <w:color w:val="1F497D" w:themeColor="text2"/>
              <w:lang w:eastAsia="bg-BG"/>
            </w:rPr>
          </w:pPr>
          <w:hyperlink w:anchor="_Toc98838533" w:history="1">
            <w:r w:rsidR="00A8783E" w:rsidRPr="00A8783E">
              <w:rPr>
                <w:rStyle w:val="Hyperlink"/>
                <w:rFonts w:ascii="Times New Roman" w:hAnsi="Times New Roman"/>
                <w:b/>
                <w:noProof/>
                <w:color w:val="1F497D" w:themeColor="text2"/>
              </w:rPr>
              <w:t>Безгръбначни животни</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_Toc98838533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59</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34" w:history="1">
            <w:r w:rsidR="00A8783E" w:rsidRPr="00A8783E">
              <w:rPr>
                <w:rStyle w:val="Hyperlink"/>
                <w:rFonts w:ascii="Times New Roman" w:hAnsi="Times New Roman"/>
                <w:noProof/>
                <w:color w:val="1F497D" w:themeColor="text2"/>
              </w:rPr>
              <w:t xml:space="preserve">Природозащитни цели за 4056 </w:t>
            </w:r>
            <w:r w:rsidR="00A8783E" w:rsidRPr="00A8783E">
              <w:rPr>
                <w:rStyle w:val="Hyperlink"/>
                <w:rFonts w:ascii="Times New Roman" w:hAnsi="Times New Roman"/>
                <w:i/>
                <w:noProof/>
                <w:color w:val="1F497D" w:themeColor="text2"/>
              </w:rPr>
              <w:t>Anisus vorticulus</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_Toc98838534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59</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35" w:history="1">
            <w:r w:rsidR="00A8783E" w:rsidRPr="00A8783E">
              <w:rPr>
                <w:rStyle w:val="Hyperlink"/>
                <w:rFonts w:ascii="Times New Roman" w:hAnsi="Times New Roman"/>
                <w:noProof/>
                <w:color w:val="1F497D" w:themeColor="text2"/>
              </w:rPr>
              <w:t xml:space="preserve">Природозащитни цели за 1088 </w:t>
            </w:r>
            <w:r w:rsidR="00A8783E" w:rsidRPr="00A8783E">
              <w:rPr>
                <w:rStyle w:val="Hyperlink"/>
                <w:rFonts w:ascii="Times New Roman" w:hAnsi="Times New Roman"/>
                <w:i/>
                <w:noProof/>
                <w:color w:val="1F497D" w:themeColor="text2"/>
              </w:rPr>
              <w:t>Cerambyx ce</w:t>
            </w:r>
            <w:r w:rsidR="00A8783E" w:rsidRPr="00A8783E">
              <w:rPr>
                <w:rStyle w:val="Hyperlink"/>
                <w:rFonts w:ascii="Times New Roman" w:hAnsi="Times New Roman"/>
                <w:i/>
                <w:noProof/>
                <w:color w:val="1F497D" w:themeColor="text2"/>
                <w:lang w:val="en-US"/>
              </w:rPr>
              <w:t>rdo</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_Toc98838535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65</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36" w:history="1">
            <w:r w:rsidR="00A8783E" w:rsidRPr="00A8783E">
              <w:rPr>
                <w:rStyle w:val="Hyperlink"/>
                <w:rFonts w:ascii="Times New Roman" w:hAnsi="Times New Roman"/>
                <w:noProof/>
                <w:color w:val="1F497D" w:themeColor="text2"/>
              </w:rPr>
              <w:t xml:space="preserve">Природозащитни цели за 4045 </w:t>
            </w:r>
            <w:r w:rsidR="00A8783E" w:rsidRPr="00A8783E">
              <w:rPr>
                <w:rStyle w:val="Hyperlink"/>
                <w:rFonts w:ascii="Times New Roman" w:hAnsi="Times New Roman"/>
                <w:i/>
                <w:noProof/>
                <w:color w:val="1F497D" w:themeColor="text2"/>
              </w:rPr>
              <w:t>Coenagrion ornatum</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_Toc98838536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70</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37" w:history="1">
            <w:r w:rsidR="00A8783E" w:rsidRPr="00A8783E">
              <w:rPr>
                <w:rStyle w:val="Hyperlink"/>
                <w:rFonts w:ascii="Times New Roman" w:hAnsi="Times New Roman"/>
                <w:noProof/>
                <w:color w:val="1F497D" w:themeColor="text2"/>
              </w:rPr>
              <w:t xml:space="preserve">Природозащитни цели за 1083 </w:t>
            </w:r>
            <w:r w:rsidR="00A8783E" w:rsidRPr="00A8783E">
              <w:rPr>
                <w:rStyle w:val="Hyperlink"/>
                <w:rFonts w:ascii="Times New Roman" w:hAnsi="Times New Roman"/>
                <w:i/>
                <w:noProof/>
                <w:color w:val="1F497D" w:themeColor="text2"/>
              </w:rPr>
              <w:t>Lucanus cervus</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_Toc98838537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74</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38" w:history="1">
            <w:r w:rsidR="00A8783E" w:rsidRPr="00A8783E">
              <w:rPr>
                <w:rStyle w:val="Hyperlink"/>
                <w:rFonts w:ascii="Times New Roman" w:hAnsi="Times New Roman"/>
                <w:noProof/>
                <w:color w:val="1F497D" w:themeColor="text2"/>
              </w:rPr>
              <w:t xml:space="preserve">Природозащитни цели за 1060 </w:t>
            </w:r>
            <w:r w:rsidR="00A8783E" w:rsidRPr="00A8783E">
              <w:rPr>
                <w:rStyle w:val="Hyperlink"/>
                <w:rFonts w:ascii="Times New Roman" w:hAnsi="Times New Roman"/>
                <w:i/>
                <w:noProof/>
                <w:color w:val="1F497D" w:themeColor="text2"/>
              </w:rPr>
              <w:t>Lycaena dispar</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_Toc98838538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79</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39" w:history="1">
            <w:r w:rsidR="00A8783E" w:rsidRPr="00A8783E">
              <w:rPr>
                <w:rStyle w:val="Hyperlink"/>
                <w:rFonts w:ascii="Times New Roman" w:hAnsi="Times New Roman"/>
                <w:noProof/>
                <w:color w:val="1F497D" w:themeColor="text2"/>
              </w:rPr>
              <w:t xml:space="preserve">Природозащитни цели за 1089 </w:t>
            </w:r>
            <w:r w:rsidR="00A8783E" w:rsidRPr="00A8783E">
              <w:rPr>
                <w:rStyle w:val="Hyperlink"/>
                <w:rFonts w:ascii="Times New Roman" w:hAnsi="Times New Roman"/>
                <w:i/>
                <w:noProof/>
                <w:color w:val="1F497D" w:themeColor="text2"/>
              </w:rPr>
              <w:t>Morimus asper funereus</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_Toc98838539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83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40" w:history="1">
            <w:r w:rsidR="00A8783E" w:rsidRPr="00A8783E">
              <w:rPr>
                <w:rStyle w:val="Hyperlink"/>
                <w:rFonts w:ascii="Times New Roman" w:hAnsi="Times New Roman"/>
                <w:noProof/>
                <w:color w:val="1F497D" w:themeColor="text2"/>
                <w:lang w:eastAsia="bg-BG"/>
              </w:rPr>
              <w:t xml:space="preserve">Природозащитни цели за 4064 </w:t>
            </w:r>
            <w:r w:rsidR="00A8783E" w:rsidRPr="00A8783E">
              <w:rPr>
                <w:rStyle w:val="Hyperlink"/>
                <w:rFonts w:ascii="Times New Roman" w:hAnsi="Times New Roman"/>
                <w:i/>
                <w:noProof/>
                <w:color w:val="1F497D" w:themeColor="text2"/>
                <w:lang w:eastAsia="bg-BG"/>
              </w:rPr>
              <w:t>Theodoxus transversalis</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_Toc98838540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87</w:t>
            </w:r>
            <w:r w:rsidR="00A8783E" w:rsidRPr="00A8783E">
              <w:rPr>
                <w:noProof/>
                <w:webHidden/>
                <w:color w:val="1F497D" w:themeColor="text2"/>
              </w:rPr>
              <w:fldChar w:fldCharType="end"/>
            </w:r>
          </w:hyperlink>
        </w:p>
        <w:p w:rsidR="00A8783E" w:rsidRPr="00A8783E" w:rsidRDefault="00DE51FF">
          <w:pPr>
            <w:pStyle w:val="TOC1"/>
            <w:tabs>
              <w:tab w:val="right" w:leader="dot" w:pos="9062"/>
            </w:tabs>
            <w:rPr>
              <w:rFonts w:asciiTheme="minorHAnsi" w:eastAsiaTheme="minorEastAsia" w:hAnsiTheme="minorHAnsi" w:cstheme="minorBidi"/>
              <w:noProof/>
              <w:color w:val="1F497D" w:themeColor="text2"/>
              <w:lang w:eastAsia="bg-BG"/>
            </w:rPr>
          </w:pPr>
          <w:hyperlink w:anchor="_Toc98838541" w:history="1">
            <w:r w:rsidR="00A8783E" w:rsidRPr="00A8783E">
              <w:rPr>
                <w:rStyle w:val="Hyperlink"/>
                <w:rFonts w:ascii="Times New Roman" w:hAnsi="Times New Roman"/>
                <w:b/>
                <w:noProof/>
                <w:color w:val="1F497D" w:themeColor="text2"/>
              </w:rPr>
              <w:t>Риби</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_Toc98838541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92</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42" w:history="1">
            <w:r w:rsidR="00A8783E" w:rsidRPr="00A8783E">
              <w:rPr>
                <w:rStyle w:val="Hyperlink"/>
                <w:rFonts w:ascii="Times New Roman" w:hAnsi="Times New Roman"/>
                <w:noProof/>
                <w:color w:val="1F497D" w:themeColor="text2"/>
              </w:rPr>
              <w:t xml:space="preserve">Природозащитни цели за 4125 </w:t>
            </w:r>
            <w:r w:rsidR="00A8783E" w:rsidRPr="00A8783E">
              <w:rPr>
                <w:rStyle w:val="Hyperlink"/>
                <w:rFonts w:ascii="Times New Roman" w:hAnsi="Times New Roman"/>
                <w:i/>
                <w:noProof/>
                <w:color w:val="1F497D" w:themeColor="text2"/>
              </w:rPr>
              <w:t>Alosa immaculata</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_Toc98838542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92</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43" w:history="1">
            <w:r w:rsidR="00A8783E" w:rsidRPr="00A8783E">
              <w:rPr>
                <w:rStyle w:val="Hyperlink"/>
                <w:rFonts w:ascii="Times New Roman" w:hAnsi="Times New Roman"/>
                <w:noProof/>
                <w:color w:val="1F497D" w:themeColor="text2"/>
              </w:rPr>
              <w:t xml:space="preserve">Природозащитни цели за 4127 </w:t>
            </w:r>
            <w:r w:rsidR="00A8783E" w:rsidRPr="00A8783E">
              <w:rPr>
                <w:rStyle w:val="Hyperlink"/>
                <w:rFonts w:ascii="Times New Roman" w:hAnsi="Times New Roman"/>
                <w:i/>
                <w:noProof/>
                <w:color w:val="1F497D" w:themeColor="text2"/>
              </w:rPr>
              <w:t>Alosa tanaica</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_Toc98838543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100</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44" w:history="1">
            <w:r w:rsidR="00A8783E" w:rsidRPr="00A8783E">
              <w:rPr>
                <w:rStyle w:val="Hyperlink"/>
                <w:rFonts w:ascii="Times New Roman" w:eastAsia="Calibri" w:hAnsi="Times New Roman"/>
                <w:noProof/>
                <w:color w:val="1F497D" w:themeColor="text2"/>
                <w:lang w:eastAsia="bg-BG"/>
              </w:rPr>
              <w:t xml:space="preserve">Природозащитни цели за </w:t>
            </w:r>
            <w:r w:rsidR="00A8783E" w:rsidRPr="00A8783E">
              <w:rPr>
                <w:rStyle w:val="Hyperlink"/>
                <w:rFonts w:ascii="Times New Roman" w:eastAsia="Calibri" w:hAnsi="Times New Roman"/>
                <w:noProof/>
                <w:color w:val="1F497D" w:themeColor="text2"/>
                <w:lang w:val="en-US" w:eastAsia="bg-BG"/>
              </w:rPr>
              <w:t>5329</w:t>
            </w:r>
            <w:r w:rsidR="00A8783E" w:rsidRPr="00A8783E">
              <w:rPr>
                <w:rStyle w:val="Hyperlink"/>
                <w:rFonts w:ascii="Times New Roman" w:eastAsia="Calibri" w:hAnsi="Times New Roman"/>
                <w:noProof/>
                <w:color w:val="1F497D" w:themeColor="text2"/>
                <w:lang w:eastAsia="bg-BG"/>
              </w:rPr>
              <w:t xml:space="preserve"> </w:t>
            </w:r>
            <w:r w:rsidR="00A8783E" w:rsidRPr="00A8783E">
              <w:rPr>
                <w:rStyle w:val="Hyperlink"/>
                <w:rFonts w:ascii="Times New Roman" w:eastAsia="Calibri" w:hAnsi="Times New Roman"/>
                <w:i/>
                <w:noProof/>
                <w:color w:val="1F497D" w:themeColor="text2"/>
                <w:lang w:val="en-US" w:eastAsia="bg-BG"/>
              </w:rPr>
              <w:t>Romanogobio vladykovi</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_Toc98838544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108</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45" w:history="1">
            <w:r w:rsidR="00A8783E" w:rsidRPr="00A8783E">
              <w:rPr>
                <w:rStyle w:val="Hyperlink"/>
                <w:rFonts w:ascii="Times New Roman" w:hAnsi="Times New Roman"/>
                <w:noProof/>
                <w:color w:val="1F497D" w:themeColor="text2"/>
              </w:rPr>
              <w:t xml:space="preserve">Природозащитни цели за 1130 </w:t>
            </w:r>
            <w:r w:rsidR="00A8783E" w:rsidRPr="00A8783E">
              <w:rPr>
                <w:rStyle w:val="Hyperlink"/>
                <w:rFonts w:ascii="Times New Roman" w:hAnsi="Times New Roman"/>
                <w:i/>
                <w:noProof/>
                <w:color w:val="1F497D" w:themeColor="text2"/>
              </w:rPr>
              <w:t>Aspius aspius</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_Toc98838545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117</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46" w:history="1">
            <w:r w:rsidR="00A8783E" w:rsidRPr="00A8783E">
              <w:rPr>
                <w:rStyle w:val="Hyperlink"/>
                <w:rFonts w:ascii="Times New Roman" w:hAnsi="Times New Roman"/>
                <w:noProof/>
                <w:color w:val="1F497D" w:themeColor="text2"/>
              </w:rPr>
              <w:t xml:space="preserve">Природозащитни цели за 1149 </w:t>
            </w:r>
            <w:r w:rsidR="00A8783E" w:rsidRPr="00A8783E">
              <w:rPr>
                <w:rStyle w:val="Hyperlink"/>
                <w:rFonts w:ascii="Times New Roman" w:hAnsi="Times New Roman"/>
                <w:i/>
                <w:noProof/>
                <w:color w:val="1F497D" w:themeColor="text2"/>
              </w:rPr>
              <w:t>Cobitis taenia</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_Toc98838546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127</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47" w:history="1">
            <w:r w:rsidR="00A8783E" w:rsidRPr="00A8783E">
              <w:rPr>
                <w:rStyle w:val="Hyperlink"/>
                <w:rFonts w:ascii="Times New Roman" w:hAnsi="Times New Roman"/>
                <w:noProof/>
                <w:color w:val="1F497D" w:themeColor="text2"/>
              </w:rPr>
              <w:t xml:space="preserve">Природозащитни цели за 2484 </w:t>
            </w:r>
            <w:r w:rsidR="00A8783E" w:rsidRPr="00A8783E">
              <w:rPr>
                <w:rStyle w:val="Hyperlink"/>
                <w:rFonts w:ascii="Times New Roman" w:hAnsi="Times New Roman"/>
                <w:i/>
                <w:noProof/>
                <w:color w:val="1F497D" w:themeColor="text2"/>
              </w:rPr>
              <w:t>Eudontomyzon mariae</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_Toc98838547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138</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48" w:history="1">
            <w:r w:rsidR="00A8783E" w:rsidRPr="00A8783E">
              <w:rPr>
                <w:rStyle w:val="Hyperlink"/>
                <w:rFonts w:ascii="Times New Roman" w:hAnsi="Times New Roman"/>
                <w:noProof/>
                <w:color w:val="1F497D" w:themeColor="text2"/>
              </w:rPr>
              <w:t xml:space="preserve">Природозащитни цели за 2555 </w:t>
            </w:r>
            <w:r w:rsidR="00A8783E" w:rsidRPr="00A8783E">
              <w:rPr>
                <w:rStyle w:val="Hyperlink"/>
                <w:rFonts w:ascii="Times New Roman" w:hAnsi="Times New Roman"/>
                <w:i/>
                <w:noProof/>
                <w:color w:val="1F497D" w:themeColor="text2"/>
              </w:rPr>
              <w:t>Gymnocephalus baloni</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_Toc98838548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147</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49" w:history="1">
            <w:r w:rsidR="00A8783E" w:rsidRPr="00A8783E">
              <w:rPr>
                <w:rStyle w:val="Hyperlink"/>
                <w:rFonts w:ascii="Times New Roman" w:hAnsi="Times New Roman"/>
                <w:noProof/>
                <w:color w:val="1F497D" w:themeColor="text2"/>
              </w:rPr>
              <w:t>Природозащитни цели за 1157</w:t>
            </w:r>
            <w:r w:rsidR="00A8783E" w:rsidRPr="00A8783E">
              <w:rPr>
                <w:rStyle w:val="Hyperlink"/>
                <w:rFonts w:ascii="Times New Roman" w:hAnsi="Times New Roman"/>
                <w:i/>
                <w:noProof/>
                <w:color w:val="1F497D" w:themeColor="text2"/>
              </w:rPr>
              <w:t xml:space="preserve"> Gymnocephalus</w:t>
            </w:r>
            <w:r w:rsidR="00A8783E" w:rsidRPr="00A8783E">
              <w:rPr>
                <w:rStyle w:val="Hyperlink"/>
                <w:rFonts w:ascii="Times New Roman" w:hAnsi="Times New Roman"/>
                <w:noProof/>
                <w:color w:val="1F497D" w:themeColor="text2"/>
              </w:rPr>
              <w:t xml:space="preserve"> </w:t>
            </w:r>
            <w:r w:rsidR="00A8783E" w:rsidRPr="00A8783E">
              <w:rPr>
                <w:rStyle w:val="Hyperlink"/>
                <w:rFonts w:ascii="Times New Roman" w:hAnsi="Times New Roman"/>
                <w:i/>
                <w:noProof/>
                <w:color w:val="1F497D" w:themeColor="text2"/>
              </w:rPr>
              <w:t>schraetzer</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_Toc98838549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155</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50" w:history="1">
            <w:r w:rsidR="00A8783E" w:rsidRPr="00A8783E">
              <w:rPr>
                <w:rStyle w:val="Hyperlink"/>
                <w:rFonts w:ascii="Times New Roman" w:hAnsi="Times New Roman"/>
                <w:noProof/>
                <w:color w:val="1F497D" w:themeColor="text2"/>
              </w:rPr>
              <w:t xml:space="preserve">Природозащитни цели за 1145 </w:t>
            </w:r>
            <w:r w:rsidR="00A8783E" w:rsidRPr="00A8783E">
              <w:rPr>
                <w:rStyle w:val="Hyperlink"/>
                <w:rFonts w:ascii="Times New Roman" w:hAnsi="Times New Roman"/>
                <w:i/>
                <w:noProof/>
                <w:color w:val="1F497D" w:themeColor="text2"/>
              </w:rPr>
              <w:t>Misgurnus fossilis</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_Toc98838550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164</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51" w:history="1">
            <w:r w:rsidR="00A8783E" w:rsidRPr="00A8783E">
              <w:rPr>
                <w:rStyle w:val="Hyperlink"/>
                <w:rFonts w:ascii="Times New Roman" w:hAnsi="Times New Roman"/>
                <w:noProof/>
                <w:color w:val="1F497D" w:themeColor="text2"/>
              </w:rPr>
              <w:t xml:space="preserve">Природозащитни цели за 2522 </w:t>
            </w:r>
            <w:r w:rsidR="00A8783E" w:rsidRPr="00A8783E">
              <w:rPr>
                <w:rStyle w:val="Hyperlink"/>
                <w:rFonts w:ascii="Times New Roman" w:hAnsi="Times New Roman"/>
                <w:i/>
                <w:noProof/>
                <w:color w:val="1F497D" w:themeColor="text2"/>
              </w:rPr>
              <w:t>Pelecus cultratus</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_Toc98838551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171</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52" w:history="1">
            <w:r w:rsidR="00A8783E" w:rsidRPr="00A8783E">
              <w:rPr>
                <w:rStyle w:val="Hyperlink"/>
                <w:rFonts w:ascii="Times New Roman" w:hAnsi="Times New Roman"/>
                <w:noProof/>
                <w:color w:val="1F497D" w:themeColor="text2"/>
              </w:rPr>
              <w:t xml:space="preserve">Природозащитни цели за 5339 </w:t>
            </w:r>
            <w:r w:rsidR="00A8783E" w:rsidRPr="00A8783E">
              <w:rPr>
                <w:rStyle w:val="Hyperlink"/>
                <w:rFonts w:ascii="Times New Roman" w:hAnsi="Times New Roman"/>
                <w:i/>
                <w:noProof/>
                <w:color w:val="1F497D" w:themeColor="text2"/>
              </w:rPr>
              <w:t>Rhodeus amarus</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_Toc98838552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180</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53" w:history="1">
            <w:r w:rsidR="00A8783E" w:rsidRPr="00A8783E">
              <w:rPr>
                <w:rStyle w:val="Hyperlink"/>
                <w:rFonts w:ascii="Times New Roman" w:hAnsi="Times New Roman"/>
                <w:noProof/>
                <w:color w:val="1F497D" w:themeColor="text2"/>
              </w:rPr>
              <w:t xml:space="preserve">Природозащитни цели за 2011 </w:t>
            </w:r>
            <w:r w:rsidR="00A8783E" w:rsidRPr="00A8783E">
              <w:rPr>
                <w:rStyle w:val="Hyperlink"/>
                <w:rFonts w:ascii="Times New Roman" w:hAnsi="Times New Roman"/>
                <w:i/>
                <w:noProof/>
                <w:color w:val="1F497D" w:themeColor="text2"/>
              </w:rPr>
              <w:t>Umbra krameri</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_Toc98838553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188</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54" w:history="1">
            <w:r w:rsidR="00A8783E" w:rsidRPr="00A8783E">
              <w:rPr>
                <w:rStyle w:val="Hyperlink"/>
                <w:rFonts w:ascii="Times New Roman" w:hAnsi="Times New Roman"/>
                <w:noProof/>
                <w:color w:val="1F497D" w:themeColor="text2"/>
              </w:rPr>
              <w:t xml:space="preserve">Природозащитни цели за 1160 </w:t>
            </w:r>
            <w:r w:rsidR="00A8783E" w:rsidRPr="00A8783E">
              <w:rPr>
                <w:rStyle w:val="Hyperlink"/>
                <w:rFonts w:ascii="Times New Roman" w:hAnsi="Times New Roman"/>
                <w:i/>
                <w:noProof/>
                <w:color w:val="1F497D" w:themeColor="text2"/>
              </w:rPr>
              <w:t>Zingel streber</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_Toc98838554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196</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55" w:history="1">
            <w:r w:rsidR="00A8783E" w:rsidRPr="00A8783E">
              <w:rPr>
                <w:rStyle w:val="Hyperlink"/>
                <w:rFonts w:ascii="Times New Roman" w:hAnsi="Times New Roman"/>
                <w:noProof/>
                <w:color w:val="1F497D" w:themeColor="text2"/>
              </w:rPr>
              <w:t xml:space="preserve">Природозащитни цели за 1159 </w:t>
            </w:r>
            <w:r w:rsidR="00A8783E" w:rsidRPr="00A8783E">
              <w:rPr>
                <w:rStyle w:val="Hyperlink"/>
                <w:rFonts w:ascii="Times New Roman" w:hAnsi="Times New Roman"/>
                <w:i/>
                <w:noProof/>
                <w:color w:val="1F497D" w:themeColor="text2"/>
              </w:rPr>
              <w:t>Zingel zingel</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_Toc98838555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204</w:t>
            </w:r>
            <w:r w:rsidR="00A8783E" w:rsidRPr="00A8783E">
              <w:rPr>
                <w:noProof/>
                <w:webHidden/>
                <w:color w:val="1F497D" w:themeColor="text2"/>
              </w:rPr>
              <w:fldChar w:fldCharType="end"/>
            </w:r>
          </w:hyperlink>
        </w:p>
        <w:p w:rsidR="00A8783E" w:rsidRPr="00A8783E" w:rsidRDefault="00DE51FF">
          <w:pPr>
            <w:pStyle w:val="TOC1"/>
            <w:tabs>
              <w:tab w:val="right" w:leader="dot" w:pos="9062"/>
            </w:tabs>
            <w:rPr>
              <w:rFonts w:asciiTheme="minorHAnsi" w:eastAsiaTheme="minorEastAsia" w:hAnsiTheme="minorHAnsi" w:cstheme="minorBidi"/>
              <w:noProof/>
              <w:color w:val="1F497D" w:themeColor="text2"/>
              <w:lang w:eastAsia="bg-BG"/>
            </w:rPr>
          </w:pPr>
          <w:hyperlink w:anchor="_Toc98838556" w:history="1">
            <w:r w:rsidR="00A8783E" w:rsidRPr="00A8783E">
              <w:rPr>
                <w:rStyle w:val="Hyperlink"/>
                <w:rFonts w:ascii="Times New Roman" w:hAnsi="Times New Roman"/>
                <w:b/>
                <w:noProof/>
                <w:color w:val="1F497D" w:themeColor="text2"/>
              </w:rPr>
              <w:t>Земноводни и влечуги</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_Toc98838556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213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57" w:history="1">
            <w:r w:rsidR="00A8783E" w:rsidRPr="00A8783E">
              <w:rPr>
                <w:rStyle w:val="Hyperlink"/>
                <w:rFonts w:ascii="Times New Roman" w:hAnsi="Times New Roman"/>
                <w:noProof/>
                <w:color w:val="1F497D" w:themeColor="text2"/>
              </w:rPr>
              <w:t xml:space="preserve">Природозащитни цели за 1188 </w:t>
            </w:r>
            <w:r w:rsidR="00A8783E" w:rsidRPr="00A8783E">
              <w:rPr>
                <w:rStyle w:val="Hyperlink"/>
                <w:rFonts w:ascii="Times New Roman" w:hAnsi="Times New Roman"/>
                <w:i/>
                <w:noProof/>
                <w:color w:val="1F497D" w:themeColor="text2"/>
              </w:rPr>
              <w:t>Bombina bombina</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_Toc98838557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213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58" w:history="1">
            <w:r w:rsidR="00A8783E" w:rsidRPr="00A8783E">
              <w:rPr>
                <w:rStyle w:val="Hyperlink"/>
                <w:rFonts w:ascii="Times New Roman" w:hAnsi="Times New Roman"/>
                <w:noProof/>
                <w:color w:val="1F497D" w:themeColor="text2"/>
              </w:rPr>
              <w:t xml:space="preserve">Природозащитни цели за 5194 </w:t>
            </w:r>
            <w:r w:rsidR="00A8783E" w:rsidRPr="00A8783E">
              <w:rPr>
                <w:rStyle w:val="Hyperlink"/>
                <w:rFonts w:ascii="Times New Roman" w:hAnsi="Times New Roman"/>
                <w:i/>
                <w:noProof/>
                <w:color w:val="1F497D" w:themeColor="text2"/>
              </w:rPr>
              <w:t>Elaphe sauromates</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_Toc98838558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217</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59" w:history="1">
            <w:r w:rsidR="00A8783E" w:rsidRPr="00A8783E">
              <w:rPr>
                <w:rStyle w:val="Hyperlink"/>
                <w:rFonts w:ascii="Times New Roman" w:hAnsi="Times New Roman"/>
                <w:noProof/>
                <w:color w:val="1F497D" w:themeColor="text2"/>
              </w:rPr>
              <w:t xml:space="preserve">Природозащитни цели за 1220 </w:t>
            </w:r>
            <w:r w:rsidR="00A8783E" w:rsidRPr="00A8783E">
              <w:rPr>
                <w:rStyle w:val="Hyperlink"/>
                <w:rFonts w:ascii="Times New Roman" w:hAnsi="Times New Roman"/>
                <w:i/>
                <w:noProof/>
                <w:color w:val="1F497D" w:themeColor="text2"/>
              </w:rPr>
              <w:t>Emys orbicularis</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_Toc98838559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222</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60" w:history="1">
            <w:r w:rsidR="00A8783E" w:rsidRPr="00A8783E">
              <w:rPr>
                <w:rStyle w:val="Hyperlink"/>
                <w:rFonts w:ascii="Times New Roman" w:hAnsi="Times New Roman"/>
                <w:noProof/>
                <w:color w:val="1F497D" w:themeColor="text2"/>
              </w:rPr>
              <w:t xml:space="preserve">Природозащитни цели за 1219 </w:t>
            </w:r>
            <w:r w:rsidR="00A8783E" w:rsidRPr="00A8783E">
              <w:rPr>
                <w:rStyle w:val="Hyperlink"/>
                <w:rFonts w:ascii="Times New Roman" w:hAnsi="Times New Roman"/>
                <w:i/>
                <w:noProof/>
                <w:color w:val="1F497D" w:themeColor="text2"/>
              </w:rPr>
              <w:t>Testudo graeca</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_Toc98838560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227</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61" w:history="1">
            <w:r w:rsidR="00A8783E" w:rsidRPr="00A8783E">
              <w:rPr>
                <w:rStyle w:val="Hyperlink"/>
                <w:rFonts w:ascii="Times New Roman" w:hAnsi="Times New Roman"/>
                <w:noProof/>
                <w:color w:val="1F497D" w:themeColor="text2"/>
              </w:rPr>
              <w:t xml:space="preserve">Природозащитни цели за 1217 </w:t>
            </w:r>
            <w:r w:rsidR="00A8783E" w:rsidRPr="00A8783E">
              <w:rPr>
                <w:rStyle w:val="Hyperlink"/>
                <w:rFonts w:ascii="Times New Roman" w:hAnsi="Times New Roman"/>
                <w:i/>
                <w:noProof/>
                <w:color w:val="1F497D" w:themeColor="text2"/>
              </w:rPr>
              <w:t>Testudo hermanni</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_Toc98838561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232</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62" w:history="1">
            <w:r w:rsidR="00A8783E" w:rsidRPr="00A8783E">
              <w:rPr>
                <w:rStyle w:val="Hyperlink"/>
                <w:rFonts w:ascii="Times New Roman" w:hAnsi="Times New Roman"/>
                <w:noProof/>
                <w:color w:val="1F497D" w:themeColor="text2"/>
              </w:rPr>
              <w:t xml:space="preserve">Природозащитни цели за 1993 </w:t>
            </w:r>
            <w:r w:rsidR="00A8783E" w:rsidRPr="00A8783E">
              <w:rPr>
                <w:rStyle w:val="Hyperlink"/>
                <w:rFonts w:ascii="Times New Roman" w:hAnsi="Times New Roman"/>
                <w:i/>
                <w:noProof/>
                <w:color w:val="1F497D" w:themeColor="text2"/>
              </w:rPr>
              <w:t>Triturus dobrogicus</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_Toc98838562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236</w:t>
            </w:r>
            <w:r w:rsidR="00A8783E" w:rsidRPr="00A8783E">
              <w:rPr>
                <w:noProof/>
                <w:webHidden/>
                <w:color w:val="1F497D" w:themeColor="text2"/>
              </w:rPr>
              <w:fldChar w:fldCharType="end"/>
            </w:r>
          </w:hyperlink>
        </w:p>
        <w:p w:rsidR="00A8783E" w:rsidRPr="00A8783E" w:rsidRDefault="00DE51FF">
          <w:pPr>
            <w:pStyle w:val="TOC1"/>
            <w:tabs>
              <w:tab w:val="right" w:leader="dot" w:pos="9062"/>
            </w:tabs>
            <w:rPr>
              <w:rFonts w:asciiTheme="minorHAnsi" w:eastAsiaTheme="minorEastAsia" w:hAnsiTheme="minorHAnsi" w:cstheme="minorBidi"/>
              <w:noProof/>
              <w:color w:val="1F497D" w:themeColor="text2"/>
              <w:lang w:eastAsia="bg-BG"/>
            </w:rPr>
          </w:pPr>
          <w:hyperlink w:anchor="_Toc98838563" w:history="1">
            <w:r w:rsidR="00A8783E" w:rsidRPr="00A8783E">
              <w:rPr>
                <w:rStyle w:val="Hyperlink"/>
                <w:rFonts w:ascii="Times New Roman" w:hAnsi="Times New Roman"/>
                <w:b/>
                <w:noProof/>
                <w:color w:val="1F497D" w:themeColor="text2"/>
              </w:rPr>
              <w:t>Бозайници</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_Toc98838563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241</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64" w:history="1">
            <w:r w:rsidR="00A8783E" w:rsidRPr="00A8783E">
              <w:rPr>
                <w:rStyle w:val="Hyperlink"/>
                <w:rFonts w:ascii="Times New Roman" w:hAnsi="Times New Roman"/>
                <w:noProof/>
                <w:color w:val="1F497D" w:themeColor="text2"/>
              </w:rPr>
              <w:t xml:space="preserve">Природозащитни цели за 1355 </w:t>
            </w:r>
            <w:r w:rsidR="00A8783E" w:rsidRPr="00A8783E">
              <w:rPr>
                <w:rStyle w:val="Hyperlink"/>
                <w:rFonts w:ascii="Times New Roman" w:hAnsi="Times New Roman"/>
                <w:i/>
                <w:noProof/>
                <w:color w:val="1F497D" w:themeColor="text2"/>
              </w:rPr>
              <w:t>Lutra lutra</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_Toc98838564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241</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65" w:history="1">
            <w:r w:rsidR="00A8783E" w:rsidRPr="00A8783E">
              <w:rPr>
                <w:rStyle w:val="Hyperlink"/>
                <w:rFonts w:ascii="Times New Roman" w:hAnsi="Times New Roman"/>
                <w:noProof/>
                <w:color w:val="1F497D" w:themeColor="text2"/>
              </w:rPr>
              <w:t xml:space="preserve">Природозащитни цели за 1304 </w:t>
            </w:r>
            <w:r w:rsidR="00A8783E" w:rsidRPr="00A8783E">
              <w:rPr>
                <w:rStyle w:val="Hyperlink"/>
                <w:rFonts w:ascii="Times New Roman" w:hAnsi="Times New Roman"/>
                <w:i/>
                <w:noProof/>
                <w:color w:val="1F497D" w:themeColor="text2"/>
              </w:rPr>
              <w:t>Rhinolophus ferrumequinum</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_Toc98838565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248</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66" w:history="1">
            <w:r w:rsidR="00A8783E" w:rsidRPr="00A8783E">
              <w:rPr>
                <w:rStyle w:val="Hyperlink"/>
                <w:rFonts w:ascii="Times New Roman" w:hAnsi="Times New Roman"/>
                <w:noProof/>
                <w:color w:val="1F497D" w:themeColor="text2"/>
              </w:rPr>
              <w:t>Пр</w:t>
            </w:r>
            <w:r w:rsidR="00A8783E" w:rsidRPr="00A8783E">
              <w:rPr>
                <w:rStyle w:val="Hyperlink"/>
                <w:rFonts w:ascii="Times New Roman" w:hAnsi="Times New Roman"/>
                <w:noProof/>
                <w:color w:val="1F497D" w:themeColor="text2"/>
                <w:lang w:eastAsia="bg-BG"/>
              </w:rPr>
              <w:t xml:space="preserve">иродозащитни цели за </w:t>
            </w:r>
            <w:r w:rsidR="00A8783E" w:rsidRPr="00A8783E">
              <w:rPr>
                <w:rStyle w:val="Hyperlink"/>
                <w:rFonts w:ascii="Times New Roman" w:hAnsi="Times New Roman"/>
                <w:noProof/>
                <w:color w:val="1F497D" w:themeColor="text2"/>
                <w:lang w:val="en-US" w:eastAsia="bg-BG"/>
              </w:rPr>
              <w:t xml:space="preserve">1303 </w:t>
            </w:r>
            <w:r w:rsidR="00A8783E" w:rsidRPr="00A8783E">
              <w:rPr>
                <w:rStyle w:val="Hyperlink"/>
                <w:rFonts w:ascii="Times New Roman" w:hAnsi="Times New Roman"/>
                <w:i/>
                <w:iCs/>
                <w:noProof/>
                <w:color w:val="1F497D" w:themeColor="text2"/>
                <w:lang w:eastAsia="bg-BG"/>
              </w:rPr>
              <w:t>Rhinolophus hipposideros</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_Toc98838566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253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67" w:history="1">
            <w:r w:rsidR="00A8783E" w:rsidRPr="00A8783E">
              <w:rPr>
                <w:rStyle w:val="Hyperlink"/>
                <w:rFonts w:ascii="Times New Roman" w:hAnsi="Times New Roman"/>
                <w:noProof/>
                <w:color w:val="1F497D" w:themeColor="text2"/>
                <w:lang w:eastAsia="bg-BG"/>
              </w:rPr>
              <w:t xml:space="preserve">Природозащитни цели за 1308 </w:t>
            </w:r>
            <w:r w:rsidR="00A8783E" w:rsidRPr="00A8783E">
              <w:rPr>
                <w:rStyle w:val="Hyperlink"/>
                <w:rFonts w:ascii="Times New Roman" w:hAnsi="Times New Roman"/>
                <w:i/>
                <w:noProof/>
                <w:color w:val="1F497D" w:themeColor="text2"/>
                <w:lang w:eastAsia="bg-BG"/>
              </w:rPr>
              <w:t>Barbastella barbastellus</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_Toc98838567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259</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68" w:history="1">
            <w:r w:rsidR="00A8783E" w:rsidRPr="00A8783E">
              <w:rPr>
                <w:rStyle w:val="Hyperlink"/>
                <w:rFonts w:ascii="Times New Roman" w:hAnsi="Times New Roman"/>
                <w:noProof/>
                <w:color w:val="1F497D" w:themeColor="text2"/>
              </w:rPr>
              <w:t xml:space="preserve">Природозащитни цели за 2635 </w:t>
            </w:r>
            <w:r w:rsidR="00A8783E" w:rsidRPr="00A8783E">
              <w:rPr>
                <w:rStyle w:val="Hyperlink"/>
                <w:rFonts w:ascii="Times New Roman" w:hAnsi="Times New Roman"/>
                <w:i/>
                <w:noProof/>
                <w:color w:val="1F497D" w:themeColor="text2"/>
              </w:rPr>
              <w:t>Vormela peregusna</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_Toc98838568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262</w:t>
            </w:r>
            <w:r w:rsidR="00A8783E" w:rsidRPr="00A8783E">
              <w:rPr>
                <w:noProof/>
                <w:webHidden/>
                <w:color w:val="1F497D" w:themeColor="text2"/>
              </w:rPr>
              <w:fldChar w:fldCharType="end"/>
            </w:r>
          </w:hyperlink>
        </w:p>
        <w:p w:rsidR="00A8783E" w:rsidRPr="00A8783E" w:rsidRDefault="00DE51FF">
          <w:pPr>
            <w:pStyle w:val="TOC1"/>
            <w:tabs>
              <w:tab w:val="right" w:leader="dot" w:pos="9062"/>
            </w:tabs>
            <w:rPr>
              <w:rFonts w:asciiTheme="minorHAnsi" w:eastAsiaTheme="minorEastAsia" w:hAnsiTheme="minorHAnsi" w:cstheme="minorBidi"/>
              <w:noProof/>
              <w:color w:val="1F497D" w:themeColor="text2"/>
              <w:lang w:eastAsia="bg-BG"/>
            </w:rPr>
          </w:pPr>
          <w:hyperlink w:anchor="_Toc98838569" w:history="1">
            <w:r w:rsidR="00A8783E" w:rsidRPr="00A8783E">
              <w:rPr>
                <w:rStyle w:val="Hyperlink"/>
                <w:rFonts w:ascii="Times New Roman" w:hAnsi="Times New Roman"/>
                <w:b/>
                <w:noProof/>
                <w:color w:val="1F497D" w:themeColor="text2"/>
              </w:rPr>
              <w:t>Птици</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_Toc98838569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269</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70" w:history="1">
            <w:r w:rsidR="00A8783E" w:rsidRPr="00A8783E">
              <w:rPr>
                <w:rStyle w:val="Hyperlink"/>
                <w:rFonts w:ascii="Times New Roman" w:hAnsi="Times New Roman"/>
                <w:noProof/>
                <w:color w:val="1F497D" w:themeColor="text2"/>
                <w:lang w:eastAsia="bg-BG"/>
              </w:rPr>
              <w:t xml:space="preserve">Специфични цели за А002 </w:t>
            </w:r>
            <w:r w:rsidR="00A8783E" w:rsidRPr="00A8783E">
              <w:rPr>
                <w:rStyle w:val="Hyperlink"/>
                <w:rFonts w:ascii="Times New Roman" w:hAnsi="Times New Roman"/>
                <w:i/>
                <w:iCs/>
                <w:noProof/>
                <w:color w:val="1F497D" w:themeColor="text2"/>
                <w:lang w:eastAsia="bg-BG"/>
              </w:rPr>
              <w:t>Gavia arctica</w:t>
            </w:r>
            <w:r w:rsidR="00A8783E" w:rsidRPr="00A8783E">
              <w:rPr>
                <w:rStyle w:val="Hyperlink"/>
                <w:rFonts w:ascii="Times New Roman" w:hAnsi="Times New Roman"/>
                <w:noProof/>
                <w:color w:val="1F497D" w:themeColor="text2"/>
                <w:lang w:eastAsia="bg-BG"/>
              </w:rPr>
              <w:t xml:space="preserve"> (черногуш гмуркач)</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_Toc98838570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270</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71" w:history="1">
            <w:r w:rsidR="00A8783E" w:rsidRPr="00A8783E">
              <w:rPr>
                <w:rStyle w:val="Hyperlink"/>
                <w:rFonts w:ascii="Times New Roman" w:hAnsi="Times New Roman"/>
                <w:noProof/>
                <w:color w:val="1F497D" w:themeColor="text2"/>
                <w:lang w:eastAsia="bg-BG"/>
              </w:rPr>
              <w:t xml:space="preserve">Специфични цели за А004 </w:t>
            </w:r>
            <w:r w:rsidR="00A8783E" w:rsidRPr="00A8783E">
              <w:rPr>
                <w:rStyle w:val="Hyperlink"/>
                <w:rFonts w:ascii="Times New Roman" w:hAnsi="Times New Roman"/>
                <w:i/>
                <w:iCs/>
                <w:noProof/>
                <w:color w:val="1F497D" w:themeColor="text2"/>
                <w:lang w:val="en-US" w:eastAsia="bg-BG"/>
              </w:rPr>
              <w:t>Tachybaptus</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US" w:eastAsia="bg-BG"/>
              </w:rPr>
              <w:t>ruficollis</w:t>
            </w:r>
            <w:r w:rsidR="00A8783E" w:rsidRPr="00A8783E">
              <w:rPr>
                <w:rStyle w:val="Hyperlink"/>
                <w:rFonts w:ascii="Times New Roman" w:hAnsi="Times New Roman"/>
                <w:noProof/>
                <w:color w:val="1F497D" w:themeColor="text2"/>
                <w:lang w:eastAsia="bg-BG"/>
              </w:rPr>
              <w:t xml:space="preserve"> (малък гмурец)</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_Toc98838571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272</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72" w:history="1">
            <w:r w:rsidR="00A8783E" w:rsidRPr="00A8783E">
              <w:rPr>
                <w:rStyle w:val="Hyperlink"/>
                <w:rFonts w:ascii="Times New Roman" w:hAnsi="Times New Roman"/>
                <w:noProof/>
                <w:color w:val="1F497D" w:themeColor="text2"/>
                <w:lang w:eastAsia="bg-BG"/>
              </w:rPr>
              <w:t xml:space="preserve">Специфични цели за А005 </w:t>
            </w:r>
            <w:r w:rsidR="00A8783E" w:rsidRPr="00A8783E">
              <w:rPr>
                <w:rStyle w:val="Hyperlink"/>
                <w:rFonts w:ascii="Times New Roman" w:hAnsi="Times New Roman"/>
                <w:i/>
                <w:iCs/>
                <w:noProof/>
                <w:color w:val="1F497D" w:themeColor="text2"/>
                <w:lang w:val="en-US" w:eastAsia="bg-BG"/>
              </w:rPr>
              <w:t>Podiceps</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US" w:eastAsia="bg-BG"/>
              </w:rPr>
              <w:t>cristatus</w:t>
            </w:r>
            <w:r w:rsidR="00A8783E" w:rsidRPr="00A8783E">
              <w:rPr>
                <w:rStyle w:val="Hyperlink"/>
                <w:rFonts w:ascii="Times New Roman" w:hAnsi="Times New Roman"/>
                <w:noProof/>
                <w:color w:val="1F497D" w:themeColor="text2"/>
                <w:lang w:eastAsia="bg-BG"/>
              </w:rPr>
              <w:t xml:space="preserve"> (голям гмурец)</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_Toc98838572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276</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73" w:history="1">
            <w:r w:rsidR="00A8783E" w:rsidRPr="00A8783E">
              <w:rPr>
                <w:rStyle w:val="Hyperlink"/>
                <w:rFonts w:ascii="Times New Roman" w:hAnsi="Times New Roman"/>
                <w:noProof/>
                <w:color w:val="1F497D" w:themeColor="text2"/>
                <w:lang w:eastAsia="bg-BG"/>
              </w:rPr>
              <w:t xml:space="preserve">Специфични цели за А006 </w:t>
            </w:r>
            <w:r w:rsidR="00A8783E" w:rsidRPr="00A8783E">
              <w:rPr>
                <w:rStyle w:val="Hyperlink"/>
                <w:rFonts w:ascii="Times New Roman" w:hAnsi="Times New Roman"/>
                <w:i/>
                <w:iCs/>
                <w:noProof/>
                <w:color w:val="1F497D" w:themeColor="text2"/>
                <w:lang w:val="en-US" w:eastAsia="bg-BG"/>
              </w:rPr>
              <w:t>Podiceps</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US" w:eastAsia="bg-BG"/>
              </w:rPr>
              <w:t>grisegena</w:t>
            </w:r>
            <w:r w:rsidR="00A8783E" w:rsidRPr="00A8783E">
              <w:rPr>
                <w:rStyle w:val="Hyperlink"/>
                <w:rFonts w:ascii="Times New Roman" w:hAnsi="Times New Roman"/>
                <w:noProof/>
                <w:color w:val="1F497D" w:themeColor="text2"/>
                <w:lang w:eastAsia="bg-BG"/>
              </w:rPr>
              <w:t xml:space="preserve"> (червеноврат гмурец)</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_Toc98838573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280</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74" w:history="1">
            <w:r w:rsidR="00A8783E" w:rsidRPr="00A8783E">
              <w:rPr>
                <w:rStyle w:val="Hyperlink"/>
                <w:rFonts w:ascii="Times New Roman" w:hAnsi="Times New Roman"/>
                <w:noProof/>
                <w:color w:val="1F497D" w:themeColor="text2"/>
                <w:lang w:eastAsia="bg-BG"/>
              </w:rPr>
              <w:t xml:space="preserve">Специфични цели за А008 </w:t>
            </w:r>
            <w:r w:rsidR="00A8783E" w:rsidRPr="00A8783E">
              <w:rPr>
                <w:rStyle w:val="Hyperlink"/>
                <w:rFonts w:ascii="Times New Roman" w:hAnsi="Times New Roman"/>
                <w:i/>
                <w:iCs/>
                <w:noProof/>
                <w:color w:val="1F497D" w:themeColor="text2"/>
                <w:lang w:val="en-US" w:eastAsia="bg-BG"/>
              </w:rPr>
              <w:t>Podiceps</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US" w:eastAsia="bg-BG"/>
              </w:rPr>
              <w:t>nigricollis</w:t>
            </w:r>
            <w:r w:rsidR="00A8783E" w:rsidRPr="00A8783E">
              <w:rPr>
                <w:rStyle w:val="Hyperlink"/>
                <w:rFonts w:ascii="Times New Roman" w:hAnsi="Times New Roman"/>
                <w:noProof/>
                <w:color w:val="1F497D" w:themeColor="text2"/>
                <w:lang w:eastAsia="bg-BG"/>
              </w:rPr>
              <w:t xml:space="preserve"> (черноврат гмурец)</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_Toc98838574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283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75" w:history="1">
            <w:r w:rsidR="00A8783E" w:rsidRPr="00A8783E">
              <w:rPr>
                <w:rStyle w:val="Hyperlink"/>
                <w:rFonts w:ascii="Times New Roman" w:hAnsi="Times New Roman"/>
                <w:noProof/>
                <w:color w:val="1F497D" w:themeColor="text2"/>
                <w:lang w:eastAsia="bg-BG"/>
              </w:rPr>
              <w:t xml:space="preserve">Специфични цели за А391 </w:t>
            </w:r>
            <w:r w:rsidR="00A8783E" w:rsidRPr="00A8783E">
              <w:rPr>
                <w:rStyle w:val="Hyperlink"/>
                <w:rFonts w:ascii="Times New Roman" w:hAnsi="Times New Roman"/>
                <w:i/>
                <w:iCs/>
                <w:noProof/>
                <w:color w:val="1F497D" w:themeColor="text2"/>
                <w:lang w:val="en-GB" w:eastAsia="bg-BG"/>
              </w:rPr>
              <w:t>Phalacrocorax</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GB" w:eastAsia="bg-BG"/>
              </w:rPr>
              <w:t>carbo</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GB" w:eastAsia="bg-BG"/>
              </w:rPr>
              <w:t>sinensis</w:t>
            </w:r>
            <w:r w:rsidR="00A8783E" w:rsidRPr="00A8783E">
              <w:rPr>
                <w:rStyle w:val="Hyperlink"/>
                <w:rFonts w:ascii="Times New Roman" w:hAnsi="Times New Roman"/>
                <w:noProof/>
                <w:color w:val="1F497D" w:themeColor="text2"/>
                <w:lang w:eastAsia="bg-BG"/>
              </w:rPr>
              <w:t xml:space="preserve"> (голям корморан)</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_Toc98838575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287</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76" w:history="1">
            <w:r w:rsidR="00A8783E" w:rsidRPr="00A8783E">
              <w:rPr>
                <w:rStyle w:val="Hyperlink"/>
                <w:rFonts w:ascii="Times New Roman" w:hAnsi="Times New Roman"/>
                <w:noProof/>
                <w:color w:val="1F497D" w:themeColor="text2"/>
              </w:rPr>
              <w:t xml:space="preserve">Специфични цели за А019 </w:t>
            </w:r>
            <w:r w:rsidR="00A8783E" w:rsidRPr="00A8783E">
              <w:rPr>
                <w:rStyle w:val="Hyperlink"/>
                <w:rFonts w:ascii="Times New Roman" w:hAnsi="Times New Roman"/>
                <w:i/>
                <w:iCs/>
                <w:noProof/>
                <w:color w:val="1F497D" w:themeColor="text2"/>
                <w:lang w:val="en-GB"/>
              </w:rPr>
              <w:t>Pelecanus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GB"/>
              </w:rPr>
              <w:t>onocrotalus</w:t>
            </w:r>
            <w:r w:rsidR="00A8783E" w:rsidRPr="00A8783E">
              <w:rPr>
                <w:rStyle w:val="Hyperlink"/>
                <w:rFonts w:ascii="Times New Roman" w:hAnsi="Times New Roman"/>
                <w:noProof/>
                <w:color w:val="1F497D" w:themeColor="text2"/>
              </w:rPr>
              <w:t xml:space="preserve"> (розов пеликан)</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_Toc98838576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291</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77" w:history="1">
            <w:r w:rsidR="00A8783E" w:rsidRPr="00A8783E">
              <w:rPr>
                <w:rStyle w:val="Hyperlink"/>
                <w:rFonts w:ascii="Times New Roman" w:hAnsi="Times New Roman"/>
                <w:noProof/>
                <w:color w:val="1F497D" w:themeColor="text2"/>
                <w:lang w:eastAsia="bg-BG"/>
              </w:rPr>
              <w:t xml:space="preserve">Специфични цели за А020 </w:t>
            </w:r>
            <w:r w:rsidR="00A8783E" w:rsidRPr="00A8783E">
              <w:rPr>
                <w:rStyle w:val="Hyperlink"/>
                <w:rFonts w:ascii="Times New Roman" w:hAnsi="Times New Roman"/>
                <w:i/>
                <w:iCs/>
                <w:noProof/>
                <w:color w:val="1F497D" w:themeColor="text2"/>
                <w:lang w:val="en-GB" w:eastAsia="bg-BG"/>
              </w:rPr>
              <w:t>Pelecanus</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GB" w:eastAsia="bg-BG"/>
              </w:rPr>
              <w:t>crispus</w:t>
            </w:r>
            <w:r w:rsidR="00A8783E" w:rsidRPr="00A8783E">
              <w:rPr>
                <w:rStyle w:val="Hyperlink"/>
                <w:rFonts w:ascii="Times New Roman" w:hAnsi="Times New Roman"/>
                <w:noProof/>
                <w:color w:val="1F497D" w:themeColor="text2"/>
                <w:lang w:eastAsia="bg-BG"/>
              </w:rPr>
              <w:t xml:space="preserve"> (къдроглав пеликан)</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_Toc98838577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295</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78" w:history="1">
            <w:r w:rsidR="00A8783E" w:rsidRPr="00A8783E">
              <w:rPr>
                <w:rStyle w:val="Hyperlink"/>
                <w:rFonts w:ascii="Times New Roman" w:hAnsi="Times New Roman"/>
                <w:noProof/>
                <w:color w:val="1F497D" w:themeColor="text2"/>
                <w:lang w:eastAsia="bg-BG"/>
              </w:rPr>
              <w:t xml:space="preserve">Специфични цели за А021 </w:t>
            </w:r>
            <w:r w:rsidR="00A8783E" w:rsidRPr="00A8783E">
              <w:rPr>
                <w:rStyle w:val="Hyperlink"/>
                <w:rFonts w:ascii="Times New Roman" w:hAnsi="Times New Roman"/>
                <w:i/>
                <w:iCs/>
                <w:noProof/>
                <w:color w:val="1F497D" w:themeColor="text2"/>
                <w:lang w:val="en-GB" w:eastAsia="bg-BG"/>
              </w:rPr>
              <w:t>Botaurus</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GB" w:eastAsia="bg-BG"/>
              </w:rPr>
              <w:t>stellaris</w:t>
            </w:r>
            <w:r w:rsidR="00A8783E" w:rsidRPr="00A8783E">
              <w:rPr>
                <w:rStyle w:val="Hyperlink"/>
                <w:rFonts w:ascii="Times New Roman" w:hAnsi="Times New Roman"/>
                <w:noProof/>
                <w:color w:val="1F497D" w:themeColor="text2"/>
                <w:lang w:eastAsia="bg-BG"/>
              </w:rPr>
              <w:t xml:space="preserve"> (голям воден бик)</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_Toc98838578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299</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79" w:history="1">
            <w:r w:rsidR="00A8783E" w:rsidRPr="00A8783E">
              <w:rPr>
                <w:rStyle w:val="Hyperlink"/>
                <w:rFonts w:ascii="Times New Roman" w:hAnsi="Times New Roman"/>
                <w:noProof/>
                <w:color w:val="1F497D" w:themeColor="text2"/>
                <w:lang w:eastAsia="bg-BG"/>
              </w:rPr>
              <w:t xml:space="preserve">Специфични цели за А022 </w:t>
            </w:r>
            <w:r w:rsidR="00A8783E" w:rsidRPr="00A8783E">
              <w:rPr>
                <w:rStyle w:val="Hyperlink"/>
                <w:rFonts w:ascii="Times New Roman" w:hAnsi="Times New Roman"/>
                <w:i/>
                <w:iCs/>
                <w:noProof/>
                <w:color w:val="1F497D" w:themeColor="text2"/>
                <w:lang w:val="en-GB" w:eastAsia="bg-BG"/>
              </w:rPr>
              <w:t>Ixobrychus</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GB" w:eastAsia="bg-BG"/>
              </w:rPr>
              <w:t>minutus</w:t>
            </w:r>
            <w:r w:rsidR="00A8783E" w:rsidRPr="00A8783E">
              <w:rPr>
                <w:rStyle w:val="Hyperlink"/>
                <w:rFonts w:ascii="Times New Roman" w:hAnsi="Times New Roman"/>
                <w:noProof/>
                <w:color w:val="1F497D" w:themeColor="text2"/>
                <w:lang w:eastAsia="bg-BG"/>
              </w:rPr>
              <w:t xml:space="preserve"> (малък воден бик)</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_Toc98838579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303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80" w:history="1">
            <w:r w:rsidR="00A8783E" w:rsidRPr="00A8783E">
              <w:rPr>
                <w:rStyle w:val="Hyperlink"/>
                <w:rFonts w:ascii="Times New Roman" w:hAnsi="Times New Roman"/>
                <w:noProof/>
                <w:color w:val="1F497D" w:themeColor="text2"/>
                <w:lang w:eastAsia="bg-BG"/>
              </w:rPr>
              <w:t xml:space="preserve">Специфични цели за А023 </w:t>
            </w:r>
            <w:r w:rsidR="00A8783E" w:rsidRPr="00A8783E">
              <w:rPr>
                <w:rStyle w:val="Hyperlink"/>
                <w:rFonts w:ascii="Times New Roman" w:hAnsi="Times New Roman"/>
                <w:i/>
                <w:iCs/>
                <w:noProof/>
                <w:color w:val="1F497D" w:themeColor="text2"/>
                <w:lang w:val="en-GB" w:eastAsia="bg-BG"/>
              </w:rPr>
              <w:t>Nycticorax</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GB" w:eastAsia="bg-BG"/>
              </w:rPr>
              <w:t>nycticorax</w:t>
            </w:r>
            <w:r w:rsidR="00A8783E" w:rsidRPr="00A8783E">
              <w:rPr>
                <w:rStyle w:val="Hyperlink"/>
                <w:rFonts w:ascii="Times New Roman" w:hAnsi="Times New Roman"/>
                <w:noProof/>
                <w:color w:val="1F497D" w:themeColor="text2"/>
                <w:lang w:eastAsia="bg-BG"/>
              </w:rPr>
              <w:t xml:space="preserve"> (нощна чапла)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_Toc98838580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305</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81" w:history="1">
            <w:r w:rsidR="00A8783E" w:rsidRPr="00A8783E">
              <w:rPr>
                <w:rStyle w:val="Hyperlink"/>
                <w:rFonts w:ascii="Times New Roman" w:hAnsi="Times New Roman"/>
                <w:noProof/>
                <w:color w:val="1F497D" w:themeColor="text2"/>
                <w:lang w:eastAsia="bg-BG"/>
              </w:rPr>
              <w:t xml:space="preserve">Специфични цели за А024 </w:t>
            </w:r>
            <w:r w:rsidR="00A8783E" w:rsidRPr="00A8783E">
              <w:rPr>
                <w:rStyle w:val="Hyperlink"/>
                <w:rFonts w:ascii="Times New Roman" w:hAnsi="Times New Roman"/>
                <w:i/>
                <w:iCs/>
                <w:noProof/>
                <w:color w:val="1F497D" w:themeColor="text2"/>
                <w:lang w:val="en-GB" w:eastAsia="bg-BG"/>
              </w:rPr>
              <w:t>Ardeola</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GB" w:eastAsia="bg-BG"/>
              </w:rPr>
              <w:t>ralloides</w:t>
            </w:r>
            <w:r w:rsidR="00A8783E" w:rsidRPr="00A8783E">
              <w:rPr>
                <w:rStyle w:val="Hyperlink"/>
                <w:rFonts w:ascii="Times New Roman" w:hAnsi="Times New Roman"/>
                <w:noProof/>
                <w:color w:val="1F497D" w:themeColor="text2"/>
                <w:lang w:eastAsia="bg-BG"/>
              </w:rPr>
              <w:t xml:space="preserve"> (гривеста чапла)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_Toc98838581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308</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82" w:history="1">
            <w:r w:rsidR="00A8783E" w:rsidRPr="00A8783E">
              <w:rPr>
                <w:rStyle w:val="Hyperlink"/>
                <w:rFonts w:ascii="Times New Roman" w:hAnsi="Times New Roman"/>
                <w:noProof/>
                <w:color w:val="1F497D" w:themeColor="text2"/>
                <w:lang w:eastAsia="bg-BG"/>
              </w:rPr>
              <w:t xml:space="preserve">Специфични цели за А026 </w:t>
            </w:r>
            <w:r w:rsidR="00A8783E" w:rsidRPr="00A8783E">
              <w:rPr>
                <w:rStyle w:val="Hyperlink"/>
                <w:rFonts w:ascii="Times New Roman" w:hAnsi="Times New Roman"/>
                <w:i/>
                <w:iCs/>
                <w:noProof/>
                <w:color w:val="1F497D" w:themeColor="text2"/>
                <w:lang w:val="en-GB" w:eastAsia="bg-BG"/>
              </w:rPr>
              <w:t>Egretta</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GB" w:eastAsia="bg-BG"/>
              </w:rPr>
              <w:t>garzetta</w:t>
            </w:r>
            <w:r w:rsidR="00A8783E" w:rsidRPr="00A8783E">
              <w:rPr>
                <w:rStyle w:val="Hyperlink"/>
                <w:rFonts w:ascii="Times New Roman" w:hAnsi="Times New Roman"/>
                <w:noProof/>
                <w:color w:val="1F497D" w:themeColor="text2"/>
                <w:lang w:eastAsia="bg-BG"/>
              </w:rPr>
              <w:t xml:space="preserve"> (малка бяла чапла)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_Toc98838582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311</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83" w:history="1">
            <w:r w:rsidR="00A8783E" w:rsidRPr="00A8783E">
              <w:rPr>
                <w:rStyle w:val="Hyperlink"/>
                <w:rFonts w:ascii="Times New Roman" w:hAnsi="Times New Roman"/>
                <w:noProof/>
                <w:color w:val="1F497D" w:themeColor="text2"/>
                <w:lang w:eastAsia="bg-BG"/>
              </w:rPr>
              <w:t xml:space="preserve">Специфични цели за А027 </w:t>
            </w:r>
            <w:r w:rsidR="00A8783E" w:rsidRPr="00A8783E">
              <w:rPr>
                <w:rStyle w:val="Hyperlink"/>
                <w:rFonts w:ascii="Times New Roman" w:hAnsi="Times New Roman"/>
                <w:i/>
                <w:iCs/>
                <w:noProof/>
                <w:color w:val="1F497D" w:themeColor="text2"/>
                <w:lang w:val="en-GB" w:eastAsia="bg-BG"/>
              </w:rPr>
              <w:t>Ardea</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GB" w:eastAsia="bg-BG"/>
              </w:rPr>
              <w:t>alba</w:t>
            </w:r>
            <w:r w:rsidR="00A8783E" w:rsidRPr="00A8783E">
              <w:rPr>
                <w:rStyle w:val="Hyperlink"/>
                <w:rFonts w:ascii="Times New Roman" w:hAnsi="Times New Roman"/>
                <w:noProof/>
                <w:color w:val="1F497D" w:themeColor="text2"/>
                <w:lang w:eastAsia="bg-BG"/>
              </w:rPr>
              <w:t xml:space="preserve"> (голяма бяла чапла)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_Toc98838583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314</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84" w:history="1">
            <w:r w:rsidR="00A8783E" w:rsidRPr="00A8783E">
              <w:rPr>
                <w:rStyle w:val="Hyperlink"/>
                <w:rFonts w:ascii="Times New Roman" w:hAnsi="Times New Roman"/>
                <w:noProof/>
                <w:color w:val="1F497D" w:themeColor="text2"/>
                <w:lang w:eastAsia="bg-BG"/>
              </w:rPr>
              <w:t xml:space="preserve">Специфични цели за А028 </w:t>
            </w:r>
            <w:r w:rsidR="00A8783E" w:rsidRPr="00A8783E">
              <w:rPr>
                <w:rStyle w:val="Hyperlink"/>
                <w:rFonts w:ascii="Times New Roman" w:hAnsi="Times New Roman"/>
                <w:i/>
                <w:iCs/>
                <w:noProof/>
                <w:color w:val="1F497D" w:themeColor="text2"/>
                <w:lang w:val="en-GB" w:eastAsia="bg-BG"/>
              </w:rPr>
              <w:t>Ardea</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GB" w:eastAsia="bg-BG"/>
              </w:rPr>
              <w:t>cinerea</w:t>
            </w:r>
            <w:r w:rsidR="00A8783E" w:rsidRPr="00A8783E">
              <w:rPr>
                <w:rStyle w:val="Hyperlink"/>
                <w:rFonts w:ascii="Times New Roman" w:hAnsi="Times New Roman"/>
                <w:noProof/>
                <w:color w:val="1F497D" w:themeColor="text2"/>
                <w:lang w:eastAsia="bg-BG"/>
              </w:rPr>
              <w:t xml:space="preserve"> (сива чапла)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_Toc98838584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318</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85" w:history="1">
            <w:r w:rsidR="00A8783E" w:rsidRPr="00A8783E">
              <w:rPr>
                <w:rStyle w:val="Hyperlink"/>
                <w:rFonts w:ascii="Times New Roman" w:hAnsi="Times New Roman"/>
                <w:noProof/>
                <w:color w:val="1F497D" w:themeColor="text2"/>
                <w:lang w:eastAsia="bg-BG"/>
              </w:rPr>
              <w:t xml:space="preserve">Специфични цели за А029 </w:t>
            </w:r>
            <w:r w:rsidR="00A8783E" w:rsidRPr="00A8783E">
              <w:rPr>
                <w:rStyle w:val="Hyperlink"/>
                <w:rFonts w:ascii="Times New Roman" w:hAnsi="Times New Roman"/>
                <w:i/>
                <w:iCs/>
                <w:noProof/>
                <w:color w:val="1F497D" w:themeColor="text2"/>
                <w:lang w:val="en-GB" w:eastAsia="bg-BG"/>
              </w:rPr>
              <w:t>Ardea</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GB" w:eastAsia="bg-BG"/>
              </w:rPr>
              <w:t>purpurea</w:t>
            </w:r>
            <w:r w:rsidR="00A8783E" w:rsidRPr="00A8783E">
              <w:rPr>
                <w:rStyle w:val="Hyperlink"/>
                <w:rFonts w:ascii="Times New Roman" w:hAnsi="Times New Roman"/>
                <w:noProof/>
                <w:color w:val="1F497D" w:themeColor="text2"/>
                <w:lang w:eastAsia="bg-BG"/>
              </w:rPr>
              <w:t xml:space="preserve"> (червена чапла)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_Toc98838585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322</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86" w:history="1">
            <w:r w:rsidR="00A8783E" w:rsidRPr="00A8783E">
              <w:rPr>
                <w:rStyle w:val="Hyperlink"/>
                <w:rFonts w:ascii="Times New Roman" w:hAnsi="Times New Roman"/>
                <w:noProof/>
                <w:color w:val="1F497D" w:themeColor="text2"/>
                <w:lang w:eastAsia="bg-BG"/>
              </w:rPr>
              <w:t xml:space="preserve">Специфични цели за А030 </w:t>
            </w:r>
            <w:r w:rsidR="00A8783E" w:rsidRPr="00A8783E">
              <w:rPr>
                <w:rStyle w:val="Hyperlink"/>
                <w:rFonts w:ascii="Times New Roman" w:hAnsi="Times New Roman"/>
                <w:i/>
                <w:iCs/>
                <w:noProof/>
                <w:color w:val="1F497D" w:themeColor="text2"/>
                <w:lang w:val="en-GB" w:eastAsia="bg-BG"/>
              </w:rPr>
              <w:t>Ciconia</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GB" w:eastAsia="bg-BG"/>
              </w:rPr>
              <w:t>nigra</w:t>
            </w:r>
            <w:r w:rsidR="00A8783E" w:rsidRPr="00A8783E">
              <w:rPr>
                <w:rStyle w:val="Hyperlink"/>
                <w:rFonts w:ascii="Times New Roman" w:hAnsi="Times New Roman"/>
                <w:noProof/>
                <w:color w:val="1F497D" w:themeColor="text2"/>
                <w:lang w:eastAsia="bg-BG"/>
              </w:rPr>
              <w:t xml:space="preserve"> (черен щъркел)</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_Toc98838586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326</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87" w:history="1">
            <w:r w:rsidR="00A8783E" w:rsidRPr="00A8783E">
              <w:rPr>
                <w:rStyle w:val="Hyperlink"/>
                <w:rFonts w:ascii="Times New Roman" w:hAnsi="Times New Roman"/>
                <w:noProof/>
                <w:color w:val="1F497D" w:themeColor="text2"/>
                <w:lang w:eastAsia="bg-BG"/>
              </w:rPr>
              <w:t xml:space="preserve">Специфични цели за А031 </w:t>
            </w:r>
            <w:r w:rsidR="00A8783E" w:rsidRPr="00A8783E">
              <w:rPr>
                <w:rStyle w:val="Hyperlink"/>
                <w:rFonts w:ascii="Times New Roman" w:hAnsi="Times New Roman"/>
                <w:i/>
                <w:iCs/>
                <w:noProof/>
                <w:color w:val="1F497D" w:themeColor="text2"/>
                <w:lang w:val="en-GB" w:eastAsia="bg-BG"/>
              </w:rPr>
              <w:t>Ciconia</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GB" w:eastAsia="bg-BG"/>
              </w:rPr>
              <w:t>ciconia</w:t>
            </w:r>
            <w:r w:rsidR="00A8783E" w:rsidRPr="00A8783E">
              <w:rPr>
                <w:rStyle w:val="Hyperlink"/>
                <w:rFonts w:ascii="Times New Roman" w:hAnsi="Times New Roman"/>
                <w:noProof/>
                <w:color w:val="1F497D" w:themeColor="text2"/>
                <w:lang w:eastAsia="bg-BG"/>
              </w:rPr>
              <w:t xml:space="preserve"> (бял щъркел)</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_Toc98838587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329</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88" w:history="1">
            <w:r w:rsidR="00A8783E" w:rsidRPr="00A8783E">
              <w:rPr>
                <w:rStyle w:val="Hyperlink"/>
                <w:rFonts w:ascii="Times New Roman" w:hAnsi="Times New Roman"/>
                <w:noProof/>
                <w:color w:val="1F497D" w:themeColor="text2"/>
                <w:lang w:eastAsia="bg-BG"/>
              </w:rPr>
              <w:t xml:space="preserve">Специфични цели за А032 </w:t>
            </w:r>
            <w:r w:rsidR="00A8783E" w:rsidRPr="00A8783E">
              <w:rPr>
                <w:rStyle w:val="Hyperlink"/>
                <w:rFonts w:ascii="Times New Roman" w:hAnsi="Times New Roman"/>
                <w:i/>
                <w:iCs/>
                <w:noProof/>
                <w:color w:val="1F497D" w:themeColor="text2"/>
                <w:lang w:val="en-GB" w:eastAsia="bg-BG"/>
              </w:rPr>
              <w:t>Plegadis</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GB" w:eastAsia="bg-BG"/>
              </w:rPr>
              <w:t>falcinellus</w:t>
            </w:r>
            <w:r w:rsidR="00A8783E" w:rsidRPr="00A8783E">
              <w:rPr>
                <w:rStyle w:val="Hyperlink"/>
                <w:rFonts w:ascii="Times New Roman" w:hAnsi="Times New Roman"/>
                <w:noProof/>
                <w:color w:val="1F497D" w:themeColor="text2"/>
                <w:lang w:eastAsia="bg-BG"/>
              </w:rPr>
              <w:t xml:space="preserve"> (блестящ ибис)</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_Toc98838588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332</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89" w:history="1">
            <w:r w:rsidR="00A8783E" w:rsidRPr="00A8783E">
              <w:rPr>
                <w:rStyle w:val="Hyperlink"/>
                <w:rFonts w:ascii="Times New Roman" w:hAnsi="Times New Roman"/>
                <w:noProof/>
                <w:color w:val="1F497D" w:themeColor="text2"/>
                <w:lang w:eastAsia="bg-BG"/>
              </w:rPr>
              <w:t xml:space="preserve">Специфични цели за А034 </w:t>
            </w:r>
            <w:r w:rsidR="00A8783E" w:rsidRPr="00A8783E">
              <w:rPr>
                <w:rStyle w:val="Hyperlink"/>
                <w:rFonts w:ascii="Times New Roman" w:hAnsi="Times New Roman"/>
                <w:i/>
                <w:iCs/>
                <w:noProof/>
                <w:color w:val="1F497D" w:themeColor="text2"/>
                <w:lang w:val="en-GB" w:eastAsia="bg-BG"/>
              </w:rPr>
              <w:t>Platalea</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GB" w:eastAsia="bg-BG"/>
              </w:rPr>
              <w:t>leucorodia</w:t>
            </w:r>
            <w:r w:rsidR="00A8783E" w:rsidRPr="00A8783E">
              <w:rPr>
                <w:rStyle w:val="Hyperlink"/>
                <w:rFonts w:ascii="Times New Roman" w:hAnsi="Times New Roman"/>
                <w:noProof/>
                <w:color w:val="1F497D" w:themeColor="text2"/>
                <w:lang w:eastAsia="bg-BG"/>
              </w:rPr>
              <w:t xml:space="preserve"> (бяла лопатарка)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_Toc98838589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336</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90" w:history="1">
            <w:r w:rsidR="00A8783E" w:rsidRPr="00A8783E">
              <w:rPr>
                <w:rStyle w:val="Hyperlink"/>
                <w:rFonts w:ascii="Times New Roman" w:hAnsi="Times New Roman"/>
                <w:noProof/>
                <w:color w:val="1F497D" w:themeColor="text2"/>
                <w:lang w:eastAsia="bg-BG"/>
              </w:rPr>
              <w:t>Специфични цели за А</w:t>
            </w:r>
            <w:r w:rsidR="00A8783E" w:rsidRPr="00A8783E">
              <w:rPr>
                <w:rStyle w:val="Hyperlink"/>
                <w:rFonts w:ascii="Times New Roman" w:hAnsi="Times New Roman"/>
                <w:noProof/>
                <w:color w:val="1F497D" w:themeColor="text2"/>
                <w:lang w:val="ru-RU" w:eastAsia="bg-BG"/>
              </w:rPr>
              <w:t>03</w:t>
            </w:r>
            <w:r w:rsidR="00A8783E" w:rsidRPr="00A8783E">
              <w:rPr>
                <w:rStyle w:val="Hyperlink"/>
                <w:rFonts w:ascii="Times New Roman" w:hAnsi="Times New Roman"/>
                <w:noProof/>
                <w:color w:val="1F497D" w:themeColor="text2"/>
                <w:lang w:eastAsia="bg-BG"/>
              </w:rPr>
              <w:t>6</w:t>
            </w:r>
            <w:r w:rsidR="00A8783E" w:rsidRPr="00A8783E">
              <w:rPr>
                <w:rStyle w:val="Hyperlink"/>
                <w:rFonts w:ascii="Times New Roman" w:hAnsi="Times New Roman"/>
                <w:noProof/>
                <w:color w:val="1F497D" w:themeColor="text2"/>
                <w:lang w:val="ru-RU" w:eastAsia="bg-BG"/>
              </w:rPr>
              <w:t xml:space="preserve"> </w:t>
            </w:r>
            <w:r w:rsidR="00A8783E" w:rsidRPr="00A8783E">
              <w:rPr>
                <w:rStyle w:val="Hyperlink"/>
                <w:rFonts w:ascii="Times New Roman" w:hAnsi="Times New Roman"/>
                <w:i/>
                <w:iCs/>
                <w:noProof/>
                <w:color w:val="1F497D" w:themeColor="text2"/>
                <w:lang w:eastAsia="bg-BG"/>
              </w:rPr>
              <w:t>Cygnus olor</w:t>
            </w:r>
            <w:r w:rsidR="00A8783E" w:rsidRPr="00A8783E">
              <w:rPr>
                <w:rStyle w:val="Hyperlink"/>
                <w:rFonts w:ascii="Times New Roman" w:hAnsi="Times New Roman"/>
                <w:noProof/>
                <w:color w:val="1F497D" w:themeColor="text2"/>
                <w:lang w:val="ru-RU" w:eastAsia="bg-BG"/>
              </w:rPr>
              <w:t xml:space="preserve"> (</w:t>
            </w:r>
            <w:r w:rsidR="00A8783E" w:rsidRPr="00A8783E">
              <w:rPr>
                <w:rStyle w:val="Hyperlink"/>
                <w:rFonts w:ascii="Times New Roman" w:hAnsi="Times New Roman"/>
                <w:noProof/>
                <w:color w:val="1F497D" w:themeColor="text2"/>
                <w:lang w:eastAsia="bg-BG"/>
              </w:rPr>
              <w:t>ням лебед</w:t>
            </w:r>
            <w:r w:rsidR="00A8783E" w:rsidRPr="00A8783E">
              <w:rPr>
                <w:rStyle w:val="Hyperlink"/>
                <w:rFonts w:ascii="Times New Roman" w:hAnsi="Times New Roman"/>
                <w:noProof/>
                <w:color w:val="1F497D" w:themeColor="text2"/>
                <w:lang w:val="ru-RU" w:eastAsia="bg-BG"/>
              </w:rPr>
              <w:t>)</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_Toc98838590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339</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91" w:history="1">
            <w:r w:rsidR="00A8783E" w:rsidRPr="00A8783E">
              <w:rPr>
                <w:rStyle w:val="Hyperlink"/>
                <w:rFonts w:ascii="Times New Roman" w:hAnsi="Times New Roman"/>
                <w:noProof/>
                <w:color w:val="1F497D" w:themeColor="text2"/>
                <w:lang w:eastAsia="bg-BG"/>
              </w:rPr>
              <w:t xml:space="preserve">Специфични цели за А041 </w:t>
            </w:r>
            <w:r w:rsidR="00A8783E" w:rsidRPr="00A8783E">
              <w:rPr>
                <w:rStyle w:val="Hyperlink"/>
                <w:rFonts w:ascii="Times New Roman" w:hAnsi="Times New Roman"/>
                <w:i/>
                <w:iCs/>
                <w:noProof/>
                <w:color w:val="1F497D" w:themeColor="text2"/>
                <w:lang w:val="en-GB" w:eastAsia="bg-BG"/>
              </w:rPr>
              <w:t>Anser</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GB" w:eastAsia="bg-BG"/>
              </w:rPr>
              <w:t>albifrons</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GB" w:eastAsia="bg-BG"/>
              </w:rPr>
              <w:t>albifrons</w:t>
            </w:r>
            <w:r w:rsidR="00A8783E" w:rsidRPr="00A8783E">
              <w:rPr>
                <w:rStyle w:val="Hyperlink"/>
                <w:rFonts w:ascii="Times New Roman" w:hAnsi="Times New Roman"/>
                <w:noProof/>
                <w:color w:val="1F497D" w:themeColor="text2"/>
                <w:lang w:eastAsia="bg-BG"/>
              </w:rPr>
              <w:t xml:space="preserve"> (голяма белочела гъска)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_Toc98838591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344</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92" w:history="1">
            <w:r w:rsidR="00A8783E" w:rsidRPr="00A8783E">
              <w:rPr>
                <w:rStyle w:val="Hyperlink"/>
                <w:rFonts w:ascii="Times New Roman" w:hAnsi="Times New Roman"/>
                <w:noProof/>
                <w:color w:val="1F497D" w:themeColor="text2"/>
                <w:lang w:eastAsia="bg-BG"/>
              </w:rPr>
              <w:t xml:space="preserve">Специфични цели за А043 </w:t>
            </w:r>
            <w:r w:rsidR="00A8783E" w:rsidRPr="00A8783E">
              <w:rPr>
                <w:rStyle w:val="Hyperlink"/>
                <w:rFonts w:ascii="Times New Roman" w:hAnsi="Times New Roman"/>
                <w:i/>
                <w:iCs/>
                <w:noProof/>
                <w:color w:val="1F497D" w:themeColor="text2"/>
                <w:lang w:eastAsia="bg-BG"/>
              </w:rPr>
              <w:t>Аnser anser</w:t>
            </w:r>
            <w:r w:rsidR="00A8783E" w:rsidRPr="00A8783E">
              <w:rPr>
                <w:rStyle w:val="Hyperlink"/>
                <w:rFonts w:ascii="Times New Roman" w:hAnsi="Times New Roman"/>
                <w:noProof/>
                <w:color w:val="1F497D" w:themeColor="text2"/>
                <w:lang w:eastAsia="bg-BG"/>
              </w:rPr>
              <w:t xml:space="preserve"> (сива гъска)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_Toc98838592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347</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93" w:history="1">
            <w:r w:rsidR="00A8783E" w:rsidRPr="00A8783E">
              <w:rPr>
                <w:rStyle w:val="Hyperlink"/>
                <w:rFonts w:ascii="Times New Roman" w:hAnsi="Times New Roman"/>
                <w:noProof/>
                <w:color w:val="1F497D" w:themeColor="text2"/>
                <w:lang w:eastAsia="bg-BG"/>
              </w:rPr>
              <w:t xml:space="preserve">Специфични цели за А048 </w:t>
            </w:r>
            <w:r w:rsidR="00A8783E" w:rsidRPr="00A8783E">
              <w:rPr>
                <w:rStyle w:val="Hyperlink"/>
                <w:rFonts w:ascii="Times New Roman" w:hAnsi="Times New Roman"/>
                <w:i/>
                <w:iCs/>
                <w:noProof/>
                <w:color w:val="1F497D" w:themeColor="text2"/>
                <w:lang w:val="en-US" w:eastAsia="bg-BG"/>
              </w:rPr>
              <w:t>Tadorna</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US" w:eastAsia="bg-BG"/>
              </w:rPr>
              <w:t>tadorna</w:t>
            </w:r>
            <w:r w:rsidR="00A8783E" w:rsidRPr="00A8783E">
              <w:rPr>
                <w:rStyle w:val="Hyperlink"/>
                <w:rFonts w:ascii="Times New Roman" w:hAnsi="Times New Roman"/>
                <w:noProof/>
                <w:color w:val="1F497D" w:themeColor="text2"/>
                <w:lang w:eastAsia="bg-BG"/>
              </w:rPr>
              <w:t xml:space="preserve"> (бял ангъч)</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_Toc98838593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352</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94" w:history="1">
            <w:r w:rsidR="00A8783E" w:rsidRPr="00A8783E">
              <w:rPr>
                <w:rStyle w:val="Hyperlink"/>
                <w:rFonts w:ascii="Times New Roman" w:hAnsi="Times New Roman"/>
                <w:noProof/>
                <w:color w:val="1F497D" w:themeColor="text2"/>
              </w:rPr>
              <w:t xml:space="preserve">Специфични цели за А050  </w:t>
            </w:r>
            <w:r w:rsidR="00A8783E" w:rsidRPr="00A8783E">
              <w:rPr>
                <w:rStyle w:val="Hyperlink"/>
                <w:rFonts w:ascii="Times New Roman" w:hAnsi="Times New Roman"/>
                <w:i/>
                <w:iCs/>
                <w:noProof/>
                <w:color w:val="1F497D" w:themeColor="text2"/>
                <w:lang w:val="en-US"/>
              </w:rPr>
              <w:t>Mareca</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penelope</w:t>
            </w:r>
            <w:r w:rsidR="00A8783E" w:rsidRPr="00A8783E">
              <w:rPr>
                <w:rStyle w:val="Hyperlink"/>
                <w:rFonts w:ascii="Times New Roman" w:hAnsi="Times New Roman"/>
                <w:noProof/>
                <w:color w:val="1F497D" w:themeColor="text2"/>
              </w:rPr>
              <w:t xml:space="preserve"> (фиш)</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_Toc98838594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355</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95" w:history="1">
            <w:r w:rsidR="00A8783E" w:rsidRPr="00A8783E">
              <w:rPr>
                <w:rStyle w:val="Hyperlink"/>
                <w:rFonts w:ascii="Calibri Light" w:hAnsi="Calibri Light"/>
                <w:noProof/>
                <w:color w:val="1F497D" w:themeColor="text2"/>
              </w:rPr>
              <w:t xml:space="preserve">Специфични цели за А889 </w:t>
            </w:r>
            <w:r w:rsidR="00A8783E" w:rsidRPr="00A8783E">
              <w:rPr>
                <w:rStyle w:val="Hyperlink"/>
                <w:rFonts w:ascii="Calibri Light" w:hAnsi="Calibri Light" w:cs="Calibri Light"/>
                <w:i/>
                <w:iCs/>
                <w:noProof/>
                <w:color w:val="1F497D" w:themeColor="text2"/>
                <w:lang w:val="en-US"/>
              </w:rPr>
              <w:t>Mareca</w:t>
            </w:r>
            <w:r w:rsidR="00A8783E" w:rsidRPr="00A8783E">
              <w:rPr>
                <w:rStyle w:val="Hyperlink"/>
                <w:rFonts w:ascii="Calibri Light" w:hAnsi="Calibri Light"/>
                <w:i/>
                <w:iCs/>
                <w:noProof/>
                <w:color w:val="1F497D" w:themeColor="text2"/>
              </w:rPr>
              <w:t xml:space="preserve"> </w:t>
            </w:r>
            <w:r w:rsidR="00A8783E" w:rsidRPr="00A8783E">
              <w:rPr>
                <w:rStyle w:val="Hyperlink"/>
                <w:rFonts w:ascii="Calibri Light" w:hAnsi="Calibri Light"/>
                <w:i/>
                <w:iCs/>
                <w:noProof/>
                <w:color w:val="1F497D" w:themeColor="text2"/>
                <w:lang w:val="en-US"/>
              </w:rPr>
              <w:t>strepera</w:t>
            </w:r>
            <w:r w:rsidR="00A8783E" w:rsidRPr="00A8783E">
              <w:rPr>
                <w:rStyle w:val="Hyperlink"/>
                <w:rFonts w:ascii="Calibri Light" w:hAnsi="Calibri Light"/>
                <w:noProof/>
                <w:color w:val="1F497D" w:themeColor="text2"/>
              </w:rPr>
              <w:t xml:space="preserve"> (сива патица)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_Toc98838595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358</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96" w:history="1">
            <w:r w:rsidR="00A8783E" w:rsidRPr="00A8783E">
              <w:rPr>
                <w:rStyle w:val="Hyperlink"/>
                <w:rFonts w:ascii="Times New Roman" w:hAnsi="Times New Roman"/>
                <w:noProof/>
                <w:color w:val="1F497D" w:themeColor="text2"/>
              </w:rPr>
              <w:t xml:space="preserve">Специфични цели за А052 </w:t>
            </w:r>
            <w:r w:rsidR="00A8783E" w:rsidRPr="00A8783E">
              <w:rPr>
                <w:rStyle w:val="Hyperlink"/>
                <w:rFonts w:ascii="Times New Roman" w:hAnsi="Times New Roman"/>
                <w:i/>
                <w:iCs/>
                <w:noProof/>
                <w:color w:val="1F497D" w:themeColor="text2"/>
              </w:rPr>
              <w:t>А</w:t>
            </w:r>
            <w:r w:rsidR="00A8783E" w:rsidRPr="00A8783E">
              <w:rPr>
                <w:rStyle w:val="Hyperlink"/>
                <w:rFonts w:ascii="Times New Roman" w:hAnsi="Times New Roman"/>
                <w:i/>
                <w:iCs/>
                <w:noProof/>
                <w:color w:val="1F497D" w:themeColor="text2"/>
                <w:lang w:val="en-US"/>
              </w:rPr>
              <w:t>nas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crecca</w:t>
            </w:r>
            <w:r w:rsidR="00A8783E" w:rsidRPr="00A8783E">
              <w:rPr>
                <w:rStyle w:val="Hyperlink"/>
                <w:rFonts w:ascii="Times New Roman" w:hAnsi="Times New Roman"/>
                <w:noProof/>
                <w:color w:val="1F497D" w:themeColor="text2"/>
              </w:rPr>
              <w:t xml:space="preserve"> (зимно бърне)</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_Toc98838596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363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97" w:history="1">
            <w:r w:rsidR="00A8783E" w:rsidRPr="00A8783E">
              <w:rPr>
                <w:rStyle w:val="Hyperlink"/>
                <w:rFonts w:ascii="Times New Roman" w:hAnsi="Times New Roman"/>
                <w:noProof/>
                <w:color w:val="1F497D" w:themeColor="text2"/>
              </w:rPr>
              <w:t xml:space="preserve">Специфични цели за А053 </w:t>
            </w:r>
            <w:r w:rsidR="00A8783E" w:rsidRPr="00A8783E">
              <w:rPr>
                <w:rStyle w:val="Hyperlink"/>
                <w:rFonts w:ascii="Times New Roman" w:hAnsi="Times New Roman"/>
                <w:i/>
                <w:iCs/>
                <w:noProof/>
                <w:color w:val="1F497D" w:themeColor="text2"/>
              </w:rPr>
              <w:t>А</w:t>
            </w:r>
            <w:r w:rsidR="00A8783E" w:rsidRPr="00A8783E">
              <w:rPr>
                <w:rStyle w:val="Hyperlink"/>
                <w:rFonts w:ascii="Times New Roman" w:hAnsi="Times New Roman"/>
                <w:i/>
                <w:iCs/>
                <w:noProof/>
                <w:color w:val="1F497D" w:themeColor="text2"/>
                <w:lang w:val="en-US"/>
              </w:rPr>
              <w:t>nas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platyrhynchos</w:t>
            </w:r>
            <w:r w:rsidR="00A8783E" w:rsidRPr="00A8783E">
              <w:rPr>
                <w:rStyle w:val="Hyperlink"/>
                <w:rFonts w:ascii="Times New Roman" w:hAnsi="Times New Roman"/>
                <w:noProof/>
                <w:color w:val="1F497D" w:themeColor="text2"/>
              </w:rPr>
              <w:t xml:space="preserve"> (зеленоглава патица)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_Toc98838597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366</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98" w:history="1">
            <w:r w:rsidR="00A8783E" w:rsidRPr="00A8783E">
              <w:rPr>
                <w:rStyle w:val="Hyperlink"/>
                <w:rFonts w:ascii="Times New Roman" w:hAnsi="Times New Roman"/>
                <w:noProof/>
                <w:color w:val="1F497D" w:themeColor="text2"/>
              </w:rPr>
              <w:t xml:space="preserve">Специфични цели за А856 </w:t>
            </w:r>
            <w:r w:rsidR="00A8783E" w:rsidRPr="00A8783E">
              <w:rPr>
                <w:rStyle w:val="Hyperlink"/>
                <w:rFonts w:ascii="Times New Roman" w:hAnsi="Times New Roman"/>
                <w:i/>
                <w:iCs/>
                <w:noProof/>
                <w:color w:val="1F497D" w:themeColor="text2"/>
                <w:lang w:val="en-US"/>
              </w:rPr>
              <w:t>Spatula</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querquedula</w:t>
            </w:r>
            <w:r w:rsidR="00A8783E" w:rsidRPr="00A8783E">
              <w:rPr>
                <w:rStyle w:val="Hyperlink"/>
                <w:rFonts w:ascii="Times New Roman" w:hAnsi="Times New Roman"/>
                <w:noProof/>
                <w:color w:val="1F497D" w:themeColor="text2"/>
              </w:rPr>
              <w:t xml:space="preserve"> (лятно бърне)</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_Toc98838598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371</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599" w:history="1">
            <w:r w:rsidR="00A8783E" w:rsidRPr="00A8783E">
              <w:rPr>
                <w:rStyle w:val="Hyperlink"/>
                <w:rFonts w:ascii="Times New Roman" w:hAnsi="Times New Roman"/>
                <w:noProof/>
                <w:color w:val="1F497D" w:themeColor="text2"/>
              </w:rPr>
              <w:t xml:space="preserve">Специфични цели за А857 </w:t>
            </w:r>
            <w:r w:rsidR="00A8783E" w:rsidRPr="00A8783E">
              <w:rPr>
                <w:rStyle w:val="Hyperlink"/>
                <w:rFonts w:ascii="Times New Roman" w:hAnsi="Times New Roman"/>
                <w:i/>
                <w:iCs/>
                <w:noProof/>
                <w:color w:val="1F497D" w:themeColor="text2"/>
                <w:lang w:val="en-US"/>
              </w:rPr>
              <w:t>Spatula</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clypeata</w:t>
            </w:r>
            <w:r w:rsidR="00A8783E" w:rsidRPr="00A8783E">
              <w:rPr>
                <w:rStyle w:val="Hyperlink"/>
                <w:rFonts w:ascii="Times New Roman" w:hAnsi="Times New Roman"/>
                <w:noProof/>
                <w:color w:val="1F497D" w:themeColor="text2"/>
              </w:rPr>
              <w:t xml:space="preserve"> (клопач)</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_Toc98838599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374</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00" w:history="1">
            <w:r w:rsidR="00A8783E" w:rsidRPr="00A8783E">
              <w:rPr>
                <w:rStyle w:val="Hyperlink"/>
                <w:rFonts w:ascii="Times New Roman" w:hAnsi="Times New Roman"/>
                <w:noProof/>
                <w:color w:val="1F497D" w:themeColor="text2"/>
              </w:rPr>
              <w:t xml:space="preserve">Специфични цели за А058 </w:t>
            </w:r>
            <w:r w:rsidR="00A8783E" w:rsidRPr="00A8783E">
              <w:rPr>
                <w:rStyle w:val="Hyperlink"/>
                <w:rFonts w:ascii="Times New Roman" w:hAnsi="Times New Roman"/>
                <w:i/>
                <w:iCs/>
                <w:noProof/>
                <w:color w:val="1F497D" w:themeColor="text2"/>
                <w:lang w:val="en-US"/>
              </w:rPr>
              <w:t>Netta</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rufina</w:t>
            </w:r>
            <w:r w:rsidR="00A8783E" w:rsidRPr="00A8783E">
              <w:rPr>
                <w:rStyle w:val="Hyperlink"/>
                <w:rFonts w:ascii="Times New Roman" w:hAnsi="Times New Roman"/>
                <w:noProof/>
                <w:color w:val="1F497D" w:themeColor="text2"/>
              </w:rPr>
              <w:t xml:space="preserve"> (червеноклюна потапница)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_Toc98838600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379</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01" w:history="1">
            <w:r w:rsidR="00A8783E" w:rsidRPr="00A8783E">
              <w:rPr>
                <w:rStyle w:val="Hyperlink"/>
                <w:rFonts w:ascii="Times New Roman" w:hAnsi="Times New Roman"/>
                <w:noProof/>
                <w:color w:val="1F497D" w:themeColor="text2"/>
                <w:lang w:eastAsia="bg-BG"/>
              </w:rPr>
              <w:t xml:space="preserve">Специфични цели за А059 </w:t>
            </w:r>
            <w:r w:rsidR="00A8783E" w:rsidRPr="00A8783E">
              <w:rPr>
                <w:rStyle w:val="Hyperlink"/>
                <w:rFonts w:ascii="Times New Roman" w:hAnsi="Times New Roman"/>
                <w:i/>
                <w:iCs/>
                <w:noProof/>
                <w:color w:val="1F497D" w:themeColor="text2"/>
                <w:lang w:val="en-US" w:eastAsia="bg-BG"/>
              </w:rPr>
              <w:t>Aythya</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US" w:eastAsia="bg-BG"/>
              </w:rPr>
              <w:t>ferina</w:t>
            </w:r>
            <w:r w:rsidR="00A8783E" w:rsidRPr="00A8783E">
              <w:rPr>
                <w:rStyle w:val="Hyperlink"/>
                <w:rFonts w:ascii="Times New Roman" w:hAnsi="Times New Roman"/>
                <w:noProof/>
                <w:color w:val="1F497D" w:themeColor="text2"/>
                <w:lang w:eastAsia="bg-BG"/>
              </w:rPr>
              <w:t xml:space="preserve"> (кафявоглава потапница)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_Toc98838601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383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02" w:history="1">
            <w:r w:rsidR="00A8783E" w:rsidRPr="00A8783E">
              <w:rPr>
                <w:rStyle w:val="Hyperlink"/>
                <w:rFonts w:ascii="Times New Roman" w:hAnsi="Times New Roman"/>
                <w:noProof/>
                <w:color w:val="1F497D" w:themeColor="text2"/>
                <w:lang w:eastAsia="bg-BG"/>
              </w:rPr>
              <w:t xml:space="preserve">Специфични цели за А060 </w:t>
            </w:r>
            <w:r w:rsidR="00A8783E" w:rsidRPr="00A8783E">
              <w:rPr>
                <w:rStyle w:val="Hyperlink"/>
                <w:rFonts w:ascii="Times New Roman" w:hAnsi="Times New Roman"/>
                <w:i/>
                <w:iCs/>
                <w:noProof/>
                <w:color w:val="1F497D" w:themeColor="text2"/>
                <w:lang w:val="en-US" w:eastAsia="bg-BG"/>
              </w:rPr>
              <w:t>Aythya</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US" w:eastAsia="bg-BG"/>
              </w:rPr>
              <w:t>nyroca</w:t>
            </w:r>
            <w:r w:rsidR="00A8783E" w:rsidRPr="00A8783E">
              <w:rPr>
                <w:rStyle w:val="Hyperlink"/>
                <w:rFonts w:ascii="Times New Roman" w:hAnsi="Times New Roman"/>
                <w:noProof/>
                <w:color w:val="1F497D" w:themeColor="text2"/>
                <w:lang w:eastAsia="bg-BG"/>
              </w:rPr>
              <w:t xml:space="preserve"> (белоока потапница)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_Toc98838602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387</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03" w:history="1">
            <w:r w:rsidR="00A8783E" w:rsidRPr="00A8783E">
              <w:rPr>
                <w:rStyle w:val="Hyperlink"/>
                <w:rFonts w:ascii="Times New Roman" w:hAnsi="Times New Roman"/>
                <w:noProof/>
                <w:color w:val="1F497D" w:themeColor="text2"/>
                <w:lang w:eastAsia="bg-BG"/>
              </w:rPr>
              <w:t xml:space="preserve">Специфични цели за А061 </w:t>
            </w:r>
            <w:r w:rsidR="00A8783E" w:rsidRPr="00A8783E">
              <w:rPr>
                <w:rStyle w:val="Hyperlink"/>
                <w:rFonts w:ascii="Times New Roman" w:hAnsi="Times New Roman"/>
                <w:i/>
                <w:iCs/>
                <w:noProof/>
                <w:color w:val="1F497D" w:themeColor="text2"/>
                <w:lang w:val="en-US" w:eastAsia="bg-BG"/>
              </w:rPr>
              <w:t>Aythya</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US" w:eastAsia="bg-BG"/>
              </w:rPr>
              <w:t>fuligula</w:t>
            </w:r>
            <w:r w:rsidR="00A8783E" w:rsidRPr="00A8783E">
              <w:rPr>
                <w:rStyle w:val="Hyperlink"/>
                <w:rFonts w:ascii="Times New Roman" w:hAnsi="Times New Roman"/>
                <w:noProof/>
                <w:color w:val="1F497D" w:themeColor="text2"/>
                <w:lang w:eastAsia="bg-BG"/>
              </w:rPr>
              <w:t xml:space="preserve"> (качулата потапница)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_Toc98838603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391</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04" w:history="1">
            <w:r w:rsidR="00A8783E" w:rsidRPr="00A8783E">
              <w:rPr>
                <w:rStyle w:val="Hyperlink"/>
                <w:rFonts w:ascii="Times New Roman" w:hAnsi="Times New Roman"/>
                <w:noProof/>
                <w:color w:val="1F497D" w:themeColor="text2"/>
                <w:lang w:eastAsia="bg-BG"/>
              </w:rPr>
              <w:t xml:space="preserve">Специфични цели за А063 </w:t>
            </w:r>
            <w:r w:rsidR="00A8783E" w:rsidRPr="00A8783E">
              <w:rPr>
                <w:rStyle w:val="Hyperlink"/>
                <w:rFonts w:ascii="Times New Roman" w:hAnsi="Times New Roman"/>
                <w:i/>
                <w:iCs/>
                <w:noProof/>
                <w:color w:val="1F497D" w:themeColor="text2"/>
                <w:lang w:val="en-US" w:eastAsia="bg-BG"/>
              </w:rPr>
              <w:t>Somateria</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US" w:eastAsia="bg-BG"/>
              </w:rPr>
              <w:t>mollissima</w:t>
            </w:r>
            <w:r w:rsidR="00A8783E" w:rsidRPr="00A8783E">
              <w:rPr>
                <w:rStyle w:val="Hyperlink"/>
                <w:rFonts w:ascii="Times New Roman" w:hAnsi="Times New Roman"/>
                <w:noProof/>
                <w:color w:val="1F497D" w:themeColor="text2"/>
                <w:lang w:eastAsia="bg-BG"/>
              </w:rPr>
              <w:t xml:space="preserve"> (обикновена гага)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_Toc98838604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395</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05" w:history="1">
            <w:r w:rsidR="00A8783E" w:rsidRPr="00A8783E">
              <w:rPr>
                <w:rStyle w:val="Hyperlink"/>
                <w:rFonts w:ascii="Times New Roman" w:hAnsi="Times New Roman"/>
                <w:noProof/>
                <w:color w:val="1F497D" w:themeColor="text2"/>
                <w:lang w:eastAsia="bg-BG"/>
              </w:rPr>
              <w:t xml:space="preserve">Специфични цели за А064 </w:t>
            </w:r>
            <w:r w:rsidR="00A8783E" w:rsidRPr="00A8783E">
              <w:rPr>
                <w:rStyle w:val="Hyperlink"/>
                <w:rFonts w:ascii="Times New Roman" w:hAnsi="Times New Roman"/>
                <w:i/>
                <w:iCs/>
                <w:noProof/>
                <w:color w:val="1F497D" w:themeColor="text2"/>
                <w:lang w:val="en-US" w:eastAsia="bg-BG"/>
              </w:rPr>
              <w:t>Clangula</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US" w:eastAsia="bg-BG"/>
              </w:rPr>
              <w:t>hyemalis</w:t>
            </w:r>
            <w:r w:rsidR="00A8783E" w:rsidRPr="00A8783E">
              <w:rPr>
                <w:rStyle w:val="Hyperlink"/>
                <w:rFonts w:ascii="Times New Roman" w:hAnsi="Times New Roman"/>
                <w:noProof/>
                <w:color w:val="1F497D" w:themeColor="text2"/>
                <w:lang w:eastAsia="bg-BG"/>
              </w:rPr>
              <w:t xml:space="preserve"> (ледена потапница)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_Toc98838605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397</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06" w:history="1">
            <w:r w:rsidR="00A8783E" w:rsidRPr="00A8783E">
              <w:rPr>
                <w:rStyle w:val="Hyperlink"/>
                <w:rFonts w:ascii="Times New Roman" w:hAnsi="Times New Roman"/>
                <w:noProof/>
                <w:color w:val="1F497D" w:themeColor="text2"/>
                <w:lang w:eastAsia="bg-BG"/>
              </w:rPr>
              <w:t xml:space="preserve">Специфични цели за А067 </w:t>
            </w:r>
            <w:r w:rsidR="00A8783E" w:rsidRPr="00A8783E">
              <w:rPr>
                <w:rStyle w:val="Hyperlink"/>
                <w:rFonts w:ascii="Times New Roman" w:hAnsi="Times New Roman"/>
                <w:i/>
                <w:iCs/>
                <w:noProof/>
                <w:color w:val="1F497D" w:themeColor="text2"/>
                <w:lang w:val="en-US" w:eastAsia="bg-BG"/>
              </w:rPr>
              <w:t>Bucephala</w:t>
            </w:r>
            <w:r w:rsidR="00A8783E" w:rsidRPr="00A8783E">
              <w:rPr>
                <w:rStyle w:val="Hyperlink"/>
                <w:rFonts w:ascii="Times New Roman" w:hAnsi="Times New Roman"/>
                <w:i/>
                <w:iCs/>
                <w:noProof/>
                <w:color w:val="1F497D" w:themeColor="text2"/>
                <w:lang w:eastAsia="bg-BG"/>
              </w:rPr>
              <w:t xml:space="preserve"> </w:t>
            </w:r>
            <w:r w:rsidR="00A8783E" w:rsidRPr="00A8783E">
              <w:rPr>
                <w:rStyle w:val="Hyperlink"/>
                <w:rFonts w:ascii="Times New Roman" w:hAnsi="Times New Roman"/>
                <w:i/>
                <w:iCs/>
                <w:noProof/>
                <w:color w:val="1F497D" w:themeColor="text2"/>
                <w:lang w:val="en-US" w:eastAsia="bg-BG"/>
              </w:rPr>
              <w:t>clangula</w:t>
            </w:r>
            <w:r w:rsidR="00A8783E" w:rsidRPr="00A8783E">
              <w:rPr>
                <w:rStyle w:val="Hyperlink"/>
                <w:rFonts w:ascii="Times New Roman" w:hAnsi="Times New Roman"/>
                <w:noProof/>
                <w:color w:val="1F497D" w:themeColor="text2"/>
                <w:lang w:eastAsia="bg-BG"/>
              </w:rPr>
              <w:t xml:space="preserve"> (обикновена звънарка)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_Toc98838606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400</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07" w:history="1">
            <w:r w:rsidR="00A8783E" w:rsidRPr="00A8783E">
              <w:rPr>
                <w:rStyle w:val="Hyperlink"/>
                <w:rFonts w:ascii="Times New Roman" w:hAnsi="Times New Roman"/>
                <w:noProof/>
                <w:color w:val="1F497D" w:themeColor="text2"/>
              </w:rPr>
              <w:t xml:space="preserve">Специфични цели за А767 </w:t>
            </w:r>
            <w:r w:rsidR="00A8783E" w:rsidRPr="00A8783E">
              <w:rPr>
                <w:rStyle w:val="Hyperlink"/>
                <w:rFonts w:ascii="Times New Roman" w:hAnsi="Times New Roman"/>
                <w:i/>
                <w:iCs/>
                <w:noProof/>
                <w:color w:val="1F497D" w:themeColor="text2"/>
                <w:lang w:val="en-US"/>
              </w:rPr>
              <w:t>Mergellus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albellus</w:t>
            </w:r>
            <w:r w:rsidR="00A8783E" w:rsidRPr="00A8783E">
              <w:rPr>
                <w:rStyle w:val="Hyperlink"/>
                <w:rFonts w:ascii="Times New Roman" w:hAnsi="Times New Roman"/>
                <w:noProof/>
                <w:color w:val="1F497D" w:themeColor="text2"/>
              </w:rPr>
              <w:t xml:space="preserve"> (малък нирец)</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_Toc98838607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402</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08" w:history="1">
            <w:r w:rsidR="00A8783E" w:rsidRPr="00A8783E">
              <w:rPr>
                <w:rStyle w:val="Hyperlink"/>
                <w:rFonts w:ascii="Times New Roman" w:hAnsi="Times New Roman"/>
                <w:noProof/>
                <w:color w:val="1F497D" w:themeColor="text2"/>
              </w:rPr>
              <w:t xml:space="preserve">Специфични цели за А070 </w:t>
            </w:r>
            <w:r w:rsidR="00A8783E" w:rsidRPr="00A8783E">
              <w:rPr>
                <w:rStyle w:val="Hyperlink"/>
                <w:rFonts w:ascii="Times New Roman" w:hAnsi="Times New Roman"/>
                <w:i/>
                <w:iCs/>
                <w:noProof/>
                <w:color w:val="1F497D" w:themeColor="text2"/>
              </w:rPr>
              <w:t>Mergus merganser</w:t>
            </w:r>
            <w:r w:rsidR="00A8783E" w:rsidRPr="00A8783E">
              <w:rPr>
                <w:rStyle w:val="Hyperlink"/>
                <w:rFonts w:ascii="Times New Roman" w:hAnsi="Times New Roman"/>
                <w:noProof/>
                <w:color w:val="1F497D" w:themeColor="text2"/>
              </w:rPr>
              <w:t xml:space="preserve"> (голям нирец)</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_Toc98838608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405</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09" w:history="1">
            <w:r w:rsidR="00A8783E" w:rsidRPr="00A8783E">
              <w:rPr>
                <w:rStyle w:val="Hyperlink"/>
                <w:rFonts w:ascii="Times New Roman" w:hAnsi="Times New Roman"/>
                <w:noProof/>
                <w:color w:val="1F497D" w:themeColor="text2"/>
              </w:rPr>
              <w:t xml:space="preserve">Специфични цели за A072 </w:t>
            </w:r>
            <w:r w:rsidR="00A8783E" w:rsidRPr="00A8783E">
              <w:rPr>
                <w:rStyle w:val="Hyperlink"/>
                <w:rFonts w:ascii="Times New Roman" w:hAnsi="Times New Roman"/>
                <w:i/>
                <w:iCs/>
                <w:noProof/>
                <w:color w:val="1F497D" w:themeColor="text2"/>
              </w:rPr>
              <w:t>Pernis apivor</w:t>
            </w:r>
            <w:r w:rsidR="00A8783E" w:rsidRPr="00A8783E">
              <w:rPr>
                <w:rStyle w:val="Hyperlink"/>
                <w:rFonts w:ascii="Times New Roman" w:hAnsi="Times New Roman"/>
                <w:i/>
                <w:iCs/>
                <w:noProof/>
                <w:color w:val="1F497D" w:themeColor="text2"/>
                <w:lang w:val="en-US"/>
              </w:rPr>
              <w:t>u</w:t>
            </w:r>
            <w:r w:rsidR="00A8783E" w:rsidRPr="00A8783E">
              <w:rPr>
                <w:rStyle w:val="Hyperlink"/>
                <w:rFonts w:ascii="Times New Roman" w:hAnsi="Times New Roman"/>
                <w:i/>
                <w:iCs/>
                <w:noProof/>
                <w:color w:val="1F497D" w:themeColor="text2"/>
              </w:rPr>
              <w:t>s</w:t>
            </w:r>
            <w:r w:rsidR="00A8783E" w:rsidRPr="00A8783E">
              <w:rPr>
                <w:rStyle w:val="Hyperlink"/>
                <w:rFonts w:ascii="Times New Roman" w:hAnsi="Times New Roman"/>
                <w:noProof/>
                <w:color w:val="1F497D" w:themeColor="text2"/>
              </w:rPr>
              <w:t xml:space="preserve"> (осояд)</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_Toc98838609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408</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10" w:history="1">
            <w:r w:rsidR="00A8783E" w:rsidRPr="00A8783E">
              <w:rPr>
                <w:rStyle w:val="Hyperlink"/>
                <w:rFonts w:ascii="Times New Roman" w:hAnsi="Times New Roman"/>
                <w:noProof/>
                <w:color w:val="1F497D" w:themeColor="text2"/>
              </w:rPr>
              <w:t xml:space="preserve">Специфични цели за A073 </w:t>
            </w:r>
            <w:r w:rsidR="00A8783E" w:rsidRPr="00A8783E">
              <w:rPr>
                <w:rStyle w:val="Hyperlink"/>
                <w:rFonts w:ascii="Times New Roman" w:hAnsi="Times New Roman"/>
                <w:i/>
                <w:iCs/>
                <w:noProof/>
                <w:color w:val="1F497D" w:themeColor="text2"/>
              </w:rPr>
              <w:t>Milvus migrans</w:t>
            </w:r>
            <w:r w:rsidR="00A8783E" w:rsidRPr="00A8783E">
              <w:rPr>
                <w:rStyle w:val="Hyperlink"/>
                <w:rFonts w:ascii="Times New Roman" w:hAnsi="Times New Roman"/>
                <w:noProof/>
                <w:color w:val="1F497D" w:themeColor="text2"/>
              </w:rPr>
              <w:t xml:space="preserve"> (черна каня)</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_Toc98838610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410</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11" w:history="1">
            <w:r w:rsidR="00A8783E" w:rsidRPr="00A8783E">
              <w:rPr>
                <w:rStyle w:val="Hyperlink"/>
                <w:rFonts w:ascii="Times New Roman" w:hAnsi="Times New Roman"/>
                <w:noProof/>
                <w:color w:val="1F497D" w:themeColor="text2"/>
              </w:rPr>
              <w:t xml:space="preserve">Специфични цели за </w:t>
            </w:r>
            <w:r w:rsidR="00A8783E" w:rsidRPr="00A8783E">
              <w:rPr>
                <w:rStyle w:val="Hyperlink"/>
                <w:rFonts w:ascii="Times New Roman" w:hAnsi="Times New Roman"/>
                <w:noProof/>
                <w:color w:val="1F497D" w:themeColor="text2"/>
                <w:lang w:val="en-US"/>
              </w:rPr>
              <w:t>A</w:t>
            </w:r>
            <w:r w:rsidR="00A8783E" w:rsidRPr="00A8783E">
              <w:rPr>
                <w:rStyle w:val="Hyperlink"/>
                <w:rFonts w:ascii="Times New Roman" w:hAnsi="Times New Roman"/>
                <w:noProof/>
                <w:color w:val="1F497D" w:themeColor="text2"/>
                <w:lang w:val="ru-RU"/>
              </w:rPr>
              <w:t xml:space="preserve">074 </w:t>
            </w:r>
            <w:r w:rsidR="00A8783E" w:rsidRPr="00A8783E">
              <w:rPr>
                <w:rStyle w:val="Hyperlink"/>
                <w:rFonts w:ascii="Times New Roman" w:hAnsi="Times New Roman"/>
                <w:i/>
                <w:iCs/>
                <w:noProof/>
                <w:color w:val="1F497D" w:themeColor="text2"/>
                <w:lang w:val="en-US"/>
              </w:rPr>
              <w:t>Milvus</w:t>
            </w:r>
            <w:r w:rsidR="00A8783E" w:rsidRPr="00A8783E">
              <w:rPr>
                <w:rStyle w:val="Hyperlink"/>
                <w:rFonts w:ascii="Times New Roman" w:hAnsi="Times New Roman"/>
                <w:i/>
                <w:iCs/>
                <w:noProof/>
                <w:color w:val="1F497D" w:themeColor="text2"/>
                <w:lang w:val="ru-RU"/>
              </w:rPr>
              <w:t xml:space="preserve"> </w:t>
            </w:r>
            <w:r w:rsidR="00A8783E" w:rsidRPr="00A8783E">
              <w:rPr>
                <w:rStyle w:val="Hyperlink"/>
                <w:rFonts w:ascii="Times New Roman" w:hAnsi="Times New Roman"/>
                <w:i/>
                <w:iCs/>
                <w:noProof/>
                <w:color w:val="1F497D" w:themeColor="text2"/>
                <w:lang w:val="en-US"/>
              </w:rPr>
              <w:t>milvus</w:t>
            </w:r>
            <w:r w:rsidR="00A8783E" w:rsidRPr="00A8783E">
              <w:rPr>
                <w:rStyle w:val="Hyperlink"/>
                <w:rFonts w:ascii="Times New Roman" w:hAnsi="Times New Roman"/>
                <w:noProof/>
                <w:color w:val="1F497D" w:themeColor="text2"/>
                <w:lang w:val="ru-RU"/>
              </w:rPr>
              <w:t xml:space="preserve"> (</w:t>
            </w:r>
            <w:r w:rsidR="00A8783E" w:rsidRPr="00A8783E">
              <w:rPr>
                <w:rStyle w:val="Hyperlink"/>
                <w:rFonts w:ascii="Times New Roman" w:hAnsi="Times New Roman"/>
                <w:noProof/>
                <w:color w:val="1F497D" w:themeColor="text2"/>
              </w:rPr>
              <w:t>червена каня</w:t>
            </w:r>
            <w:r w:rsidR="00A8783E" w:rsidRPr="00A8783E">
              <w:rPr>
                <w:rStyle w:val="Hyperlink"/>
                <w:rFonts w:ascii="Times New Roman" w:hAnsi="Times New Roman"/>
                <w:noProof/>
                <w:color w:val="1F497D" w:themeColor="text2"/>
                <w:lang w:val="ru-RU"/>
              </w:rPr>
              <w:t>)</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_Toc98838611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413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12" w:history="1">
            <w:r w:rsidR="00A8783E" w:rsidRPr="00A8783E">
              <w:rPr>
                <w:rStyle w:val="Hyperlink"/>
                <w:rFonts w:ascii="Times New Roman" w:hAnsi="Times New Roman"/>
                <w:noProof/>
                <w:color w:val="1F497D" w:themeColor="text2"/>
              </w:rPr>
              <w:t xml:space="preserve">Специфични цели за А075 </w:t>
            </w:r>
            <w:r w:rsidR="00A8783E" w:rsidRPr="00A8783E">
              <w:rPr>
                <w:rStyle w:val="Hyperlink"/>
                <w:rFonts w:ascii="Times New Roman" w:hAnsi="Times New Roman"/>
                <w:i/>
                <w:iCs/>
                <w:noProof/>
                <w:color w:val="1F497D" w:themeColor="text2"/>
                <w:lang w:val="en-GB"/>
              </w:rPr>
              <w:t>Haliaeetus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GB"/>
              </w:rPr>
              <w:t>albicilla</w:t>
            </w:r>
            <w:r w:rsidR="00A8783E" w:rsidRPr="00A8783E">
              <w:rPr>
                <w:rStyle w:val="Hyperlink"/>
                <w:rFonts w:ascii="Times New Roman" w:hAnsi="Times New Roman"/>
                <w:noProof/>
                <w:color w:val="1F497D" w:themeColor="text2"/>
              </w:rPr>
              <w:t xml:space="preserve"> (морски орел)</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_Toc98838612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415</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13" w:history="1">
            <w:r w:rsidR="00A8783E" w:rsidRPr="00A8783E">
              <w:rPr>
                <w:rStyle w:val="Hyperlink"/>
                <w:rFonts w:ascii="Times New Roman" w:hAnsi="Times New Roman"/>
                <w:noProof/>
                <w:color w:val="1F497D" w:themeColor="text2"/>
              </w:rPr>
              <w:t xml:space="preserve">Специфични цели за A080 </w:t>
            </w:r>
            <w:r w:rsidR="00A8783E" w:rsidRPr="00A8783E">
              <w:rPr>
                <w:rStyle w:val="Hyperlink"/>
                <w:rFonts w:ascii="Times New Roman" w:hAnsi="Times New Roman"/>
                <w:i/>
                <w:iCs/>
                <w:noProof/>
                <w:color w:val="1F497D" w:themeColor="text2"/>
              </w:rPr>
              <w:t>Circaetus gallicus</w:t>
            </w:r>
            <w:r w:rsidR="00A8783E" w:rsidRPr="00A8783E">
              <w:rPr>
                <w:rStyle w:val="Hyperlink"/>
                <w:rFonts w:ascii="Times New Roman" w:hAnsi="Times New Roman"/>
                <w:noProof/>
                <w:color w:val="1F497D" w:themeColor="text2"/>
              </w:rPr>
              <w:t xml:space="preserve"> (орел змияр)</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_Toc98838613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419</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14" w:history="1">
            <w:r w:rsidR="00A8783E" w:rsidRPr="00A8783E">
              <w:rPr>
                <w:rStyle w:val="Hyperlink"/>
                <w:rFonts w:ascii="Times New Roman" w:hAnsi="Times New Roman"/>
                <w:noProof/>
                <w:color w:val="1F497D" w:themeColor="text2"/>
              </w:rPr>
              <w:t xml:space="preserve">Специфични цели за </w:t>
            </w:r>
            <w:r w:rsidR="00A8783E" w:rsidRPr="00A8783E">
              <w:rPr>
                <w:rStyle w:val="Hyperlink"/>
                <w:rFonts w:ascii="Times New Roman" w:hAnsi="Times New Roman"/>
                <w:noProof/>
                <w:color w:val="1F497D" w:themeColor="text2"/>
                <w:lang w:val="en-US"/>
              </w:rPr>
              <w:t>A</w:t>
            </w:r>
            <w:r w:rsidR="00A8783E" w:rsidRPr="00A8783E">
              <w:rPr>
                <w:rStyle w:val="Hyperlink"/>
                <w:rFonts w:ascii="Times New Roman" w:hAnsi="Times New Roman"/>
                <w:noProof/>
                <w:color w:val="1F497D" w:themeColor="text2"/>
              </w:rPr>
              <w:t xml:space="preserve">081 </w:t>
            </w:r>
            <w:r w:rsidR="00A8783E" w:rsidRPr="00A8783E">
              <w:rPr>
                <w:rStyle w:val="Hyperlink"/>
                <w:rFonts w:ascii="Times New Roman" w:hAnsi="Times New Roman"/>
                <w:i/>
                <w:iCs/>
                <w:noProof/>
                <w:color w:val="1F497D" w:themeColor="text2"/>
                <w:lang w:val="en-US"/>
              </w:rPr>
              <w:t>Circus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aeruginosus</w:t>
            </w:r>
            <w:r w:rsidR="00A8783E" w:rsidRPr="00A8783E">
              <w:rPr>
                <w:rStyle w:val="Hyperlink"/>
                <w:rFonts w:ascii="Times New Roman" w:hAnsi="Times New Roman"/>
                <w:noProof/>
                <w:color w:val="1F497D" w:themeColor="text2"/>
              </w:rPr>
              <w:t xml:space="preserve"> (тръстиков блатар)</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_Toc98838614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421</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15" w:history="1">
            <w:r w:rsidR="00A8783E" w:rsidRPr="00A8783E">
              <w:rPr>
                <w:rStyle w:val="Hyperlink"/>
                <w:rFonts w:ascii="Times New Roman" w:hAnsi="Times New Roman"/>
                <w:noProof/>
                <w:color w:val="1F497D" w:themeColor="text2"/>
              </w:rPr>
              <w:t xml:space="preserve">Специфични цели за А082 </w:t>
            </w:r>
            <w:r w:rsidR="00A8783E" w:rsidRPr="00A8783E">
              <w:rPr>
                <w:rStyle w:val="Hyperlink"/>
                <w:rFonts w:ascii="Times New Roman" w:hAnsi="Times New Roman"/>
                <w:i/>
                <w:iCs/>
                <w:noProof/>
                <w:color w:val="1F497D" w:themeColor="text2"/>
              </w:rPr>
              <w:t>Circus cyaneus</w:t>
            </w:r>
            <w:r w:rsidR="00A8783E" w:rsidRPr="00A8783E">
              <w:rPr>
                <w:rStyle w:val="Hyperlink"/>
                <w:rFonts w:ascii="Times New Roman" w:hAnsi="Times New Roman"/>
                <w:noProof/>
                <w:color w:val="1F497D" w:themeColor="text2"/>
              </w:rPr>
              <w:t xml:space="preserve"> (полски блатар)</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_Toc98838615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425</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16" w:history="1">
            <w:r w:rsidR="00A8783E" w:rsidRPr="00A8783E">
              <w:rPr>
                <w:rStyle w:val="Hyperlink"/>
                <w:rFonts w:ascii="Times New Roman" w:hAnsi="Times New Roman"/>
                <w:noProof/>
                <w:color w:val="1F497D" w:themeColor="text2"/>
              </w:rPr>
              <w:t xml:space="preserve">Специфични цели за А083 </w:t>
            </w:r>
            <w:r w:rsidR="00A8783E" w:rsidRPr="00A8783E">
              <w:rPr>
                <w:rStyle w:val="Hyperlink"/>
                <w:rFonts w:ascii="Times New Roman" w:hAnsi="Times New Roman"/>
                <w:i/>
                <w:iCs/>
                <w:noProof/>
                <w:color w:val="1F497D" w:themeColor="text2"/>
              </w:rPr>
              <w:t xml:space="preserve">Circus </w:t>
            </w:r>
            <w:r w:rsidR="00A8783E" w:rsidRPr="00A8783E">
              <w:rPr>
                <w:rStyle w:val="Hyperlink"/>
                <w:rFonts w:ascii="Times New Roman" w:hAnsi="Times New Roman"/>
                <w:i/>
                <w:iCs/>
                <w:noProof/>
                <w:color w:val="1F497D" w:themeColor="text2"/>
                <w:lang w:val="en-US"/>
              </w:rPr>
              <w:t>macrourus</w:t>
            </w:r>
            <w:r w:rsidR="00A8783E" w:rsidRPr="00A8783E">
              <w:rPr>
                <w:rStyle w:val="Hyperlink"/>
                <w:rFonts w:ascii="Times New Roman" w:hAnsi="Times New Roman"/>
                <w:noProof/>
                <w:color w:val="1F497D" w:themeColor="text2"/>
              </w:rPr>
              <w:t xml:space="preserve"> (степен блатар)</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_Toc98838616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429</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17" w:history="1">
            <w:r w:rsidR="00A8783E" w:rsidRPr="00A8783E">
              <w:rPr>
                <w:rStyle w:val="Hyperlink"/>
                <w:rFonts w:ascii="Times New Roman" w:hAnsi="Times New Roman"/>
                <w:noProof/>
                <w:color w:val="1F497D" w:themeColor="text2"/>
              </w:rPr>
              <w:t xml:space="preserve">Специфични цели за А084 </w:t>
            </w:r>
            <w:r w:rsidR="00A8783E" w:rsidRPr="00A8783E">
              <w:rPr>
                <w:rStyle w:val="Hyperlink"/>
                <w:rFonts w:ascii="Times New Roman" w:hAnsi="Times New Roman"/>
                <w:i/>
                <w:iCs/>
                <w:noProof/>
                <w:color w:val="1F497D" w:themeColor="text2"/>
              </w:rPr>
              <w:t xml:space="preserve">Circus </w:t>
            </w:r>
            <w:r w:rsidR="00A8783E" w:rsidRPr="00A8783E">
              <w:rPr>
                <w:rStyle w:val="Hyperlink"/>
                <w:rFonts w:ascii="Times New Roman" w:hAnsi="Times New Roman"/>
                <w:i/>
                <w:iCs/>
                <w:noProof/>
                <w:color w:val="1F497D" w:themeColor="text2"/>
                <w:lang w:val="en-US"/>
              </w:rPr>
              <w:t>pygargus</w:t>
            </w:r>
            <w:r w:rsidR="00A8783E" w:rsidRPr="00A8783E">
              <w:rPr>
                <w:rStyle w:val="Hyperlink"/>
                <w:rFonts w:ascii="Times New Roman" w:hAnsi="Times New Roman"/>
                <w:noProof/>
                <w:color w:val="1F497D" w:themeColor="text2"/>
              </w:rPr>
              <w:t xml:space="preserve"> </w:t>
            </w:r>
            <w:r w:rsidR="00A8783E" w:rsidRPr="00A8783E">
              <w:rPr>
                <w:rStyle w:val="Hyperlink"/>
                <w:rFonts w:ascii="Times New Roman" w:hAnsi="Times New Roman"/>
                <w:noProof/>
                <w:color w:val="1F497D" w:themeColor="text2"/>
                <w:lang w:val="ru-RU"/>
              </w:rPr>
              <w:t>(</w:t>
            </w:r>
            <w:r w:rsidR="00A8783E" w:rsidRPr="00A8783E">
              <w:rPr>
                <w:rStyle w:val="Hyperlink"/>
                <w:rFonts w:ascii="Times New Roman" w:hAnsi="Times New Roman"/>
                <w:noProof/>
                <w:color w:val="1F497D" w:themeColor="text2"/>
              </w:rPr>
              <w:t>ливаден блатар</w:t>
            </w:r>
            <w:r w:rsidR="00A8783E" w:rsidRPr="00A8783E">
              <w:rPr>
                <w:rStyle w:val="Hyperlink"/>
                <w:rFonts w:ascii="Times New Roman" w:hAnsi="Times New Roman"/>
                <w:noProof/>
                <w:color w:val="1F497D" w:themeColor="text2"/>
                <w:lang w:val="ru-RU"/>
              </w:rPr>
              <w:t>)</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_Toc98838617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431</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18" w:history="1">
            <w:r w:rsidR="00A8783E" w:rsidRPr="00A8783E">
              <w:rPr>
                <w:rStyle w:val="Hyperlink"/>
                <w:rFonts w:ascii="Times New Roman" w:hAnsi="Times New Roman"/>
                <w:noProof/>
                <w:color w:val="1F497D" w:themeColor="text2"/>
              </w:rPr>
              <w:t xml:space="preserve">Специфични цели за </w:t>
            </w:r>
            <w:r w:rsidR="00A8783E" w:rsidRPr="00A8783E">
              <w:rPr>
                <w:rStyle w:val="Hyperlink"/>
                <w:rFonts w:ascii="Times New Roman" w:hAnsi="Times New Roman"/>
                <w:noProof/>
                <w:color w:val="1F497D" w:themeColor="text2"/>
                <w:lang w:val="en-US"/>
              </w:rPr>
              <w:t>A</w:t>
            </w:r>
            <w:r w:rsidR="00A8783E" w:rsidRPr="00A8783E">
              <w:rPr>
                <w:rStyle w:val="Hyperlink"/>
                <w:rFonts w:ascii="Times New Roman" w:hAnsi="Times New Roman"/>
                <w:noProof/>
                <w:color w:val="1F497D" w:themeColor="text2"/>
              </w:rPr>
              <w:t xml:space="preserve">899 </w:t>
            </w:r>
            <w:r w:rsidR="00A8783E" w:rsidRPr="00A8783E">
              <w:rPr>
                <w:rStyle w:val="Hyperlink"/>
                <w:rFonts w:ascii="Times New Roman" w:hAnsi="Times New Roman"/>
                <w:i/>
                <w:iCs/>
                <w:noProof/>
                <w:color w:val="1F497D" w:themeColor="text2"/>
                <w:lang w:val="en-US"/>
              </w:rPr>
              <w:t>Accipiter</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gentilis</w:t>
            </w:r>
            <w:r w:rsidR="00A8783E" w:rsidRPr="00A8783E">
              <w:rPr>
                <w:rStyle w:val="Hyperlink"/>
                <w:rFonts w:ascii="Times New Roman" w:hAnsi="Times New Roman"/>
                <w:noProof/>
                <w:color w:val="1F497D" w:themeColor="text2"/>
              </w:rPr>
              <w:t xml:space="preserve"> (голям ястреб)</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_Toc98838618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434</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19" w:history="1">
            <w:r w:rsidR="00A8783E" w:rsidRPr="00A8783E">
              <w:rPr>
                <w:rStyle w:val="Hyperlink"/>
                <w:rFonts w:ascii="Times New Roman" w:hAnsi="Times New Roman"/>
                <w:noProof/>
                <w:color w:val="1F497D" w:themeColor="text2"/>
              </w:rPr>
              <w:t xml:space="preserve">Специфични цели за A086 </w:t>
            </w:r>
            <w:r w:rsidR="00A8783E" w:rsidRPr="00A8783E">
              <w:rPr>
                <w:rStyle w:val="Hyperlink"/>
                <w:rFonts w:ascii="Times New Roman" w:hAnsi="Times New Roman"/>
                <w:i/>
                <w:iCs/>
                <w:noProof/>
                <w:color w:val="1F497D" w:themeColor="text2"/>
              </w:rPr>
              <w:t>Accipiter nisus</w:t>
            </w:r>
            <w:r w:rsidR="00A8783E" w:rsidRPr="00A8783E">
              <w:rPr>
                <w:rStyle w:val="Hyperlink"/>
                <w:rFonts w:ascii="Times New Roman" w:hAnsi="Times New Roman"/>
                <w:noProof/>
                <w:color w:val="1F497D" w:themeColor="text2"/>
              </w:rPr>
              <w:t xml:space="preserve"> (малък ястреб)</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_Toc98838619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436</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20" w:history="1">
            <w:r w:rsidR="00A8783E" w:rsidRPr="00A8783E">
              <w:rPr>
                <w:rStyle w:val="Hyperlink"/>
                <w:rFonts w:ascii="Times New Roman" w:hAnsi="Times New Roman"/>
                <w:noProof/>
                <w:color w:val="1F497D" w:themeColor="text2"/>
              </w:rPr>
              <w:t xml:space="preserve">Специфични цели за A087 </w:t>
            </w:r>
            <w:r w:rsidR="00A8783E" w:rsidRPr="00A8783E">
              <w:rPr>
                <w:rStyle w:val="Hyperlink"/>
                <w:rFonts w:ascii="Times New Roman" w:hAnsi="Times New Roman"/>
                <w:i/>
                <w:iCs/>
                <w:noProof/>
                <w:color w:val="1F497D" w:themeColor="text2"/>
              </w:rPr>
              <w:t>Buteo buteo</w:t>
            </w:r>
            <w:r w:rsidR="00A8783E" w:rsidRPr="00A8783E">
              <w:rPr>
                <w:rStyle w:val="Hyperlink"/>
                <w:rFonts w:ascii="Times New Roman" w:hAnsi="Times New Roman"/>
                <w:noProof/>
                <w:color w:val="1F497D" w:themeColor="text2"/>
              </w:rPr>
              <w:t xml:space="preserve"> (обикновен мишелов)</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_Toc98838620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440</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21" w:history="1">
            <w:r w:rsidR="00A8783E" w:rsidRPr="00A8783E">
              <w:rPr>
                <w:rStyle w:val="Hyperlink"/>
                <w:rFonts w:ascii="Times New Roman" w:hAnsi="Times New Roman"/>
                <w:noProof/>
                <w:color w:val="1F497D" w:themeColor="text2"/>
              </w:rPr>
              <w:t xml:space="preserve">Специфични цели за </w:t>
            </w:r>
            <w:r w:rsidR="00A8783E" w:rsidRPr="00A8783E">
              <w:rPr>
                <w:rStyle w:val="Hyperlink"/>
                <w:rFonts w:ascii="Times New Roman" w:hAnsi="Times New Roman"/>
                <w:noProof/>
                <w:color w:val="1F497D" w:themeColor="text2"/>
                <w:lang w:val="en-US"/>
              </w:rPr>
              <w:t>A</w:t>
            </w:r>
            <w:r w:rsidR="00A8783E" w:rsidRPr="00A8783E">
              <w:rPr>
                <w:rStyle w:val="Hyperlink"/>
                <w:rFonts w:ascii="Times New Roman" w:hAnsi="Times New Roman"/>
                <w:noProof/>
                <w:color w:val="1F497D" w:themeColor="text2"/>
                <w:lang w:val="ru-RU"/>
              </w:rPr>
              <w:t xml:space="preserve">088 </w:t>
            </w:r>
            <w:r w:rsidR="00A8783E" w:rsidRPr="00A8783E">
              <w:rPr>
                <w:rStyle w:val="Hyperlink"/>
                <w:rFonts w:ascii="Times New Roman" w:hAnsi="Times New Roman"/>
                <w:i/>
                <w:iCs/>
                <w:noProof/>
                <w:color w:val="1F497D" w:themeColor="text2"/>
                <w:lang w:val="en-US"/>
              </w:rPr>
              <w:t>Buteo</w:t>
            </w:r>
            <w:r w:rsidR="00A8783E" w:rsidRPr="00A8783E">
              <w:rPr>
                <w:rStyle w:val="Hyperlink"/>
                <w:rFonts w:ascii="Times New Roman" w:hAnsi="Times New Roman"/>
                <w:i/>
                <w:iCs/>
                <w:noProof/>
                <w:color w:val="1F497D" w:themeColor="text2"/>
                <w:lang w:val="ru-RU"/>
              </w:rPr>
              <w:t xml:space="preserve"> </w:t>
            </w:r>
            <w:r w:rsidR="00A8783E" w:rsidRPr="00A8783E">
              <w:rPr>
                <w:rStyle w:val="Hyperlink"/>
                <w:rFonts w:ascii="Times New Roman" w:hAnsi="Times New Roman"/>
                <w:i/>
                <w:iCs/>
                <w:noProof/>
                <w:color w:val="1F497D" w:themeColor="text2"/>
                <w:lang w:val="en-US"/>
              </w:rPr>
              <w:t>lagopus</w:t>
            </w:r>
            <w:r w:rsidR="00A8783E" w:rsidRPr="00A8783E">
              <w:rPr>
                <w:rStyle w:val="Hyperlink"/>
                <w:rFonts w:ascii="Times New Roman" w:hAnsi="Times New Roman"/>
                <w:noProof/>
                <w:color w:val="1F497D" w:themeColor="text2"/>
                <w:lang w:val="ru-RU"/>
              </w:rPr>
              <w:t xml:space="preserve"> (</w:t>
            </w:r>
            <w:r w:rsidR="00A8783E" w:rsidRPr="00A8783E">
              <w:rPr>
                <w:rStyle w:val="Hyperlink"/>
                <w:rFonts w:ascii="Times New Roman" w:hAnsi="Times New Roman"/>
                <w:noProof/>
                <w:color w:val="1F497D" w:themeColor="text2"/>
              </w:rPr>
              <w:t>северен мишелов</w:t>
            </w:r>
            <w:r w:rsidR="00A8783E" w:rsidRPr="00A8783E">
              <w:rPr>
                <w:rStyle w:val="Hyperlink"/>
                <w:rFonts w:ascii="Times New Roman" w:hAnsi="Times New Roman"/>
                <w:noProof/>
                <w:color w:val="1F497D" w:themeColor="text2"/>
                <w:lang w:val="ru-RU"/>
              </w:rPr>
              <w:t>)</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_Toc98838621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443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22" w:history="1">
            <w:r w:rsidR="00A8783E" w:rsidRPr="00A8783E">
              <w:rPr>
                <w:rStyle w:val="Hyperlink"/>
                <w:rFonts w:ascii="Times New Roman" w:hAnsi="Times New Roman"/>
                <w:noProof/>
                <w:color w:val="1F497D" w:themeColor="text2"/>
              </w:rPr>
              <w:t>Специфични цели за</w:t>
            </w:r>
            <w:r w:rsidR="00A8783E" w:rsidRPr="00A8783E">
              <w:rPr>
                <w:rStyle w:val="Hyperlink"/>
                <w:rFonts w:ascii="Times New Roman" w:hAnsi="Times New Roman"/>
                <w:noProof/>
                <w:color w:val="1F497D" w:themeColor="text2"/>
                <w:lang w:val="ru-RU"/>
              </w:rPr>
              <w:t xml:space="preserve"> </w:t>
            </w:r>
            <w:r w:rsidR="00A8783E" w:rsidRPr="00A8783E">
              <w:rPr>
                <w:rStyle w:val="Hyperlink"/>
                <w:rFonts w:ascii="Times New Roman" w:hAnsi="Times New Roman"/>
                <w:noProof/>
                <w:color w:val="1F497D" w:themeColor="text2"/>
                <w:lang w:val="en-US"/>
              </w:rPr>
              <w:t>A</w:t>
            </w:r>
            <w:r w:rsidR="00A8783E" w:rsidRPr="00A8783E">
              <w:rPr>
                <w:rStyle w:val="Hyperlink"/>
                <w:rFonts w:ascii="Times New Roman" w:hAnsi="Times New Roman"/>
                <w:noProof/>
                <w:color w:val="1F497D" w:themeColor="text2"/>
                <w:lang w:val="ru-RU"/>
              </w:rPr>
              <w:t xml:space="preserve">858 </w:t>
            </w:r>
            <w:r w:rsidR="00A8783E" w:rsidRPr="00A8783E">
              <w:rPr>
                <w:rStyle w:val="Hyperlink"/>
                <w:rFonts w:ascii="Times New Roman" w:hAnsi="Times New Roman"/>
                <w:i/>
                <w:noProof/>
                <w:color w:val="1F497D" w:themeColor="text2"/>
                <w:lang w:val="en-US"/>
              </w:rPr>
              <w:t>Clanga</w:t>
            </w:r>
            <w:r w:rsidR="00A8783E" w:rsidRPr="00A8783E">
              <w:rPr>
                <w:rStyle w:val="Hyperlink"/>
                <w:rFonts w:ascii="Times New Roman" w:hAnsi="Times New Roman"/>
                <w:i/>
                <w:iCs/>
                <w:noProof/>
                <w:color w:val="1F497D" w:themeColor="text2"/>
                <w:lang w:val="ru-RU"/>
              </w:rPr>
              <w:t xml:space="preserve"> </w:t>
            </w:r>
            <w:r w:rsidR="00A8783E" w:rsidRPr="00A8783E">
              <w:rPr>
                <w:rStyle w:val="Hyperlink"/>
                <w:rFonts w:ascii="Times New Roman" w:hAnsi="Times New Roman"/>
                <w:i/>
                <w:iCs/>
                <w:noProof/>
                <w:color w:val="1F497D" w:themeColor="text2"/>
                <w:lang w:val="en-US"/>
              </w:rPr>
              <w:t>pomarina</w:t>
            </w:r>
            <w:r w:rsidR="00A8783E" w:rsidRPr="00A8783E">
              <w:rPr>
                <w:rStyle w:val="Hyperlink"/>
                <w:rFonts w:ascii="Times New Roman" w:hAnsi="Times New Roman"/>
                <w:noProof/>
                <w:color w:val="1F497D" w:themeColor="text2"/>
                <w:lang w:val="ru-RU"/>
              </w:rPr>
              <w:t xml:space="preserve"> (малък креслив орел)</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_Toc98838622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444</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23" w:history="1">
            <w:r w:rsidR="00A8783E" w:rsidRPr="00A8783E">
              <w:rPr>
                <w:rStyle w:val="Hyperlink"/>
                <w:rFonts w:ascii="Times New Roman" w:hAnsi="Times New Roman"/>
                <w:noProof/>
                <w:color w:val="1F497D" w:themeColor="text2"/>
              </w:rPr>
              <w:t xml:space="preserve">Специфични цели за A091 </w:t>
            </w:r>
            <w:r w:rsidR="00A8783E" w:rsidRPr="00A8783E">
              <w:rPr>
                <w:rStyle w:val="Hyperlink"/>
                <w:rFonts w:ascii="Times New Roman" w:hAnsi="Times New Roman"/>
                <w:i/>
                <w:iCs/>
                <w:noProof/>
                <w:color w:val="1F497D" w:themeColor="text2"/>
              </w:rPr>
              <w:t>Aquila chrysaetos</w:t>
            </w:r>
            <w:r w:rsidR="00A8783E" w:rsidRPr="00A8783E">
              <w:rPr>
                <w:rStyle w:val="Hyperlink"/>
                <w:rFonts w:ascii="Times New Roman" w:hAnsi="Times New Roman"/>
                <w:noProof/>
                <w:color w:val="1F497D" w:themeColor="text2"/>
              </w:rPr>
              <w:t xml:space="preserve"> (скален орел)</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_Toc98838623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446</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24" w:history="1">
            <w:r w:rsidR="00A8783E" w:rsidRPr="00A8783E">
              <w:rPr>
                <w:rStyle w:val="Hyperlink"/>
                <w:rFonts w:ascii="Times New Roman" w:hAnsi="Times New Roman"/>
                <w:noProof/>
                <w:color w:val="1F497D" w:themeColor="text2"/>
              </w:rPr>
              <w:t xml:space="preserve">Специфични цели за А094 </w:t>
            </w:r>
            <w:r w:rsidR="00A8783E" w:rsidRPr="00A8783E">
              <w:rPr>
                <w:rStyle w:val="Hyperlink"/>
                <w:rFonts w:ascii="Times New Roman" w:hAnsi="Times New Roman"/>
                <w:i/>
                <w:iCs/>
                <w:noProof/>
                <w:color w:val="1F497D" w:themeColor="text2"/>
                <w:lang w:val="en-US"/>
              </w:rPr>
              <w:t>Pandion</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haliaetus</w:t>
            </w:r>
            <w:r w:rsidR="00A8783E" w:rsidRPr="00A8783E">
              <w:rPr>
                <w:rStyle w:val="Hyperlink"/>
                <w:rFonts w:ascii="Times New Roman" w:hAnsi="Times New Roman"/>
                <w:noProof/>
                <w:color w:val="1F497D" w:themeColor="text2"/>
              </w:rPr>
              <w:t xml:space="preserve"> (орел рибар)</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_Toc98838624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448</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25" w:history="1">
            <w:r w:rsidR="00A8783E" w:rsidRPr="00A8783E">
              <w:rPr>
                <w:rStyle w:val="Hyperlink"/>
                <w:rFonts w:ascii="Times New Roman" w:hAnsi="Times New Roman"/>
                <w:noProof/>
                <w:color w:val="1F497D" w:themeColor="text2"/>
              </w:rPr>
              <w:t xml:space="preserve">Специфични цели за A096 </w:t>
            </w:r>
            <w:r w:rsidR="00A8783E" w:rsidRPr="00A8783E">
              <w:rPr>
                <w:rStyle w:val="Hyperlink"/>
                <w:rFonts w:ascii="Times New Roman" w:hAnsi="Times New Roman"/>
                <w:i/>
                <w:iCs/>
                <w:noProof/>
                <w:color w:val="1F497D" w:themeColor="text2"/>
              </w:rPr>
              <w:t>Falco tinnunculus</w:t>
            </w:r>
            <w:r w:rsidR="00A8783E" w:rsidRPr="00A8783E">
              <w:rPr>
                <w:rStyle w:val="Hyperlink"/>
                <w:rFonts w:ascii="Times New Roman" w:hAnsi="Times New Roman"/>
                <w:noProof/>
                <w:color w:val="1F497D" w:themeColor="text2"/>
              </w:rPr>
              <w:t xml:space="preserve"> (черношипа ветрушка)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_Toc98838625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450</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26" w:history="1">
            <w:r w:rsidR="00A8783E" w:rsidRPr="00A8783E">
              <w:rPr>
                <w:rStyle w:val="Hyperlink"/>
                <w:rFonts w:ascii="Times New Roman" w:hAnsi="Times New Roman"/>
                <w:noProof/>
                <w:color w:val="1F497D" w:themeColor="text2"/>
              </w:rPr>
              <w:t xml:space="preserve">Специфични цели за А097 </w:t>
            </w:r>
            <w:r w:rsidR="00A8783E" w:rsidRPr="00A8783E">
              <w:rPr>
                <w:rStyle w:val="Hyperlink"/>
                <w:rFonts w:ascii="Times New Roman" w:hAnsi="Times New Roman"/>
                <w:i/>
                <w:iCs/>
                <w:noProof/>
                <w:color w:val="1F497D" w:themeColor="text2"/>
              </w:rPr>
              <w:t>Falco vespertinus</w:t>
            </w:r>
            <w:r w:rsidR="00A8783E" w:rsidRPr="00A8783E">
              <w:rPr>
                <w:rStyle w:val="Hyperlink"/>
                <w:rFonts w:ascii="Times New Roman" w:hAnsi="Times New Roman"/>
                <w:noProof/>
                <w:color w:val="1F497D" w:themeColor="text2"/>
              </w:rPr>
              <w:t xml:space="preserve"> (вечерна ветрушка)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_Toc98838626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453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27" w:history="1">
            <w:r w:rsidR="00A8783E" w:rsidRPr="00A8783E">
              <w:rPr>
                <w:rStyle w:val="Hyperlink"/>
                <w:rFonts w:ascii="Times New Roman" w:hAnsi="Times New Roman"/>
                <w:noProof/>
                <w:color w:val="1F497D" w:themeColor="text2"/>
              </w:rPr>
              <w:t xml:space="preserve">Специфични цели за A099 </w:t>
            </w:r>
            <w:r w:rsidR="00A8783E" w:rsidRPr="00A8783E">
              <w:rPr>
                <w:rStyle w:val="Hyperlink"/>
                <w:rFonts w:ascii="Times New Roman" w:hAnsi="Times New Roman"/>
                <w:i/>
                <w:iCs/>
                <w:noProof/>
                <w:color w:val="1F497D" w:themeColor="text2"/>
              </w:rPr>
              <w:t>Falco subbuteo</w:t>
            </w:r>
            <w:r w:rsidR="00A8783E" w:rsidRPr="00A8783E">
              <w:rPr>
                <w:rStyle w:val="Hyperlink"/>
                <w:rFonts w:ascii="Times New Roman" w:hAnsi="Times New Roman"/>
                <w:noProof/>
                <w:color w:val="1F497D" w:themeColor="text2"/>
              </w:rPr>
              <w:t xml:space="preserve"> (сокол орко)</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_Toc98838627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456</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28" w:history="1">
            <w:r w:rsidR="00A8783E" w:rsidRPr="00A8783E">
              <w:rPr>
                <w:rStyle w:val="Hyperlink"/>
                <w:rFonts w:ascii="Times New Roman" w:hAnsi="Times New Roman"/>
                <w:noProof/>
                <w:color w:val="1F497D" w:themeColor="text2"/>
              </w:rPr>
              <w:t xml:space="preserve">Специфични цели за А118 </w:t>
            </w:r>
            <w:r w:rsidR="00A8783E" w:rsidRPr="00A8783E">
              <w:rPr>
                <w:rStyle w:val="Hyperlink"/>
                <w:rFonts w:ascii="Times New Roman" w:hAnsi="Times New Roman"/>
                <w:i/>
                <w:iCs/>
                <w:noProof/>
                <w:color w:val="1F497D" w:themeColor="text2"/>
              </w:rPr>
              <w:t xml:space="preserve">Rallus aquaticus </w:t>
            </w:r>
            <w:r w:rsidR="00A8783E" w:rsidRPr="00A8783E">
              <w:rPr>
                <w:rStyle w:val="Hyperlink"/>
                <w:rFonts w:ascii="Times New Roman" w:hAnsi="Times New Roman"/>
                <w:noProof/>
                <w:color w:val="1F497D" w:themeColor="text2"/>
              </w:rPr>
              <w:t>(крещалец)</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_Toc98838628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459</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29" w:history="1">
            <w:r w:rsidR="00A8783E" w:rsidRPr="00A8783E">
              <w:rPr>
                <w:rStyle w:val="Hyperlink"/>
                <w:rFonts w:ascii="Times New Roman" w:hAnsi="Times New Roman"/>
                <w:noProof/>
                <w:color w:val="1F497D" w:themeColor="text2"/>
              </w:rPr>
              <w:t xml:space="preserve">Специфични цели за  А119 </w:t>
            </w:r>
            <w:r w:rsidR="00A8783E" w:rsidRPr="00A8783E">
              <w:rPr>
                <w:rStyle w:val="Hyperlink"/>
                <w:rFonts w:ascii="Times New Roman" w:hAnsi="Times New Roman"/>
                <w:i/>
                <w:iCs/>
                <w:noProof/>
                <w:color w:val="1F497D" w:themeColor="text2"/>
              </w:rPr>
              <w:t>Porzana porzana</w:t>
            </w:r>
            <w:r w:rsidR="00A8783E" w:rsidRPr="00A8783E">
              <w:rPr>
                <w:rStyle w:val="Hyperlink"/>
                <w:rFonts w:ascii="Times New Roman" w:hAnsi="Times New Roman"/>
                <w:noProof/>
                <w:color w:val="1F497D" w:themeColor="text2"/>
              </w:rPr>
              <w:t xml:space="preserve"> (голяма пъструшка)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_Toc98838629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462</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30" w:history="1">
            <w:r w:rsidR="00A8783E" w:rsidRPr="00A8783E">
              <w:rPr>
                <w:rStyle w:val="Hyperlink"/>
                <w:rFonts w:ascii="Times New Roman" w:hAnsi="Times New Roman"/>
                <w:noProof/>
                <w:color w:val="1F497D" w:themeColor="text2"/>
              </w:rPr>
              <w:t xml:space="preserve">Специфични цели за </w:t>
            </w:r>
            <w:r w:rsidR="00A8783E" w:rsidRPr="00A8783E">
              <w:rPr>
                <w:rStyle w:val="Hyperlink"/>
                <w:rFonts w:ascii="Times New Roman" w:hAnsi="Times New Roman"/>
                <w:noProof/>
                <w:color w:val="1F497D" w:themeColor="text2"/>
                <w:lang w:val="en-US"/>
              </w:rPr>
              <w:t>A</w:t>
            </w:r>
            <w:r w:rsidR="00A8783E" w:rsidRPr="00A8783E">
              <w:rPr>
                <w:rStyle w:val="Hyperlink"/>
                <w:rFonts w:ascii="Times New Roman" w:hAnsi="Times New Roman"/>
                <w:noProof/>
                <w:color w:val="1F497D" w:themeColor="text2"/>
              </w:rPr>
              <w:t xml:space="preserve">120/А892 </w:t>
            </w:r>
            <w:r w:rsidR="00A8783E" w:rsidRPr="00A8783E">
              <w:rPr>
                <w:rStyle w:val="Hyperlink"/>
                <w:rFonts w:ascii="Times New Roman" w:hAnsi="Times New Roman"/>
                <w:i/>
                <w:noProof/>
                <w:color w:val="1F497D" w:themeColor="text2"/>
                <w:lang w:val="en-US"/>
              </w:rPr>
              <w:t>Porzana</w:t>
            </w:r>
            <w:r w:rsidR="00A8783E" w:rsidRPr="00A8783E">
              <w:rPr>
                <w:rStyle w:val="Hyperlink"/>
                <w:rFonts w:ascii="Times New Roman" w:hAnsi="Times New Roman"/>
                <w:i/>
                <w:noProof/>
                <w:color w:val="1F497D" w:themeColor="text2"/>
              </w:rPr>
              <w:t xml:space="preserve"> </w:t>
            </w:r>
            <w:r w:rsidR="00A8783E" w:rsidRPr="00A8783E">
              <w:rPr>
                <w:rStyle w:val="Hyperlink"/>
                <w:rFonts w:ascii="Times New Roman" w:hAnsi="Times New Roman"/>
                <w:i/>
                <w:noProof/>
                <w:color w:val="1F497D" w:themeColor="text2"/>
                <w:lang w:val="en-US"/>
              </w:rPr>
              <w:t>parva</w:t>
            </w:r>
            <w:r w:rsidR="00A8783E" w:rsidRPr="00A8783E">
              <w:rPr>
                <w:rStyle w:val="Hyperlink"/>
                <w:rFonts w:ascii="Times New Roman" w:hAnsi="Times New Roman"/>
                <w:i/>
                <w:noProof/>
                <w:color w:val="1F497D" w:themeColor="text2"/>
              </w:rPr>
              <w:t xml:space="preserve"> / </w:t>
            </w:r>
            <w:r w:rsidR="00A8783E" w:rsidRPr="00A8783E">
              <w:rPr>
                <w:rStyle w:val="Hyperlink"/>
                <w:rFonts w:ascii="Times New Roman" w:hAnsi="Times New Roman"/>
                <w:i/>
                <w:noProof/>
                <w:color w:val="1F497D" w:themeColor="text2"/>
                <w:lang w:val="en-US"/>
              </w:rPr>
              <w:t>Zapornia</w:t>
            </w:r>
            <w:r w:rsidR="00A8783E" w:rsidRPr="00A8783E">
              <w:rPr>
                <w:rStyle w:val="Hyperlink"/>
                <w:rFonts w:ascii="Times New Roman" w:hAnsi="Times New Roman"/>
                <w:i/>
                <w:iCs/>
                <w:noProof/>
                <w:color w:val="1F497D" w:themeColor="text2"/>
              </w:rPr>
              <w:t xml:space="preserve"> parva</w:t>
            </w:r>
            <w:r w:rsidR="00A8783E" w:rsidRPr="00A8783E">
              <w:rPr>
                <w:rStyle w:val="Hyperlink"/>
                <w:rFonts w:ascii="Times New Roman" w:hAnsi="Times New Roman"/>
                <w:noProof/>
                <w:color w:val="1F497D" w:themeColor="text2"/>
              </w:rPr>
              <w:t xml:space="preserve"> (средна пъструшка)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_Toc98838630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465</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31" w:history="1">
            <w:r w:rsidR="00A8783E" w:rsidRPr="00A8783E">
              <w:rPr>
                <w:rStyle w:val="Hyperlink"/>
                <w:rFonts w:ascii="Times New Roman" w:hAnsi="Times New Roman"/>
                <w:noProof/>
                <w:color w:val="1F497D" w:themeColor="text2"/>
              </w:rPr>
              <w:t>Специфични цели за А121</w:t>
            </w:r>
            <w:r w:rsidR="00A8783E" w:rsidRPr="00A8783E">
              <w:rPr>
                <w:rStyle w:val="Hyperlink"/>
                <w:rFonts w:ascii="Times New Roman" w:hAnsi="Times New Roman"/>
                <w:noProof/>
                <w:color w:val="1F497D" w:themeColor="text2"/>
                <w:lang w:val="en-US"/>
              </w:rPr>
              <w:t>/A893</w:t>
            </w:r>
            <w:r w:rsidR="00A8783E" w:rsidRPr="00A8783E">
              <w:rPr>
                <w:rStyle w:val="Hyperlink"/>
                <w:rFonts w:ascii="Times New Roman" w:hAnsi="Times New Roman"/>
                <w:noProof/>
                <w:color w:val="1F497D" w:themeColor="text2"/>
              </w:rPr>
              <w:t xml:space="preserve"> </w:t>
            </w:r>
            <w:r w:rsidR="00A8783E" w:rsidRPr="00A8783E">
              <w:rPr>
                <w:rStyle w:val="Hyperlink"/>
                <w:rFonts w:ascii="Times New Roman" w:hAnsi="Times New Roman"/>
                <w:i/>
                <w:iCs/>
                <w:noProof/>
                <w:color w:val="1F497D" w:themeColor="text2"/>
              </w:rPr>
              <w:t>Porzana pusilla</w:t>
            </w:r>
            <w:r w:rsidR="00A8783E" w:rsidRPr="00A8783E">
              <w:rPr>
                <w:rStyle w:val="Hyperlink"/>
                <w:rFonts w:ascii="Times New Roman" w:hAnsi="Times New Roman"/>
                <w:i/>
                <w:iCs/>
                <w:noProof/>
                <w:color w:val="1F497D" w:themeColor="text2"/>
                <w:lang w:val="en-US"/>
              </w:rPr>
              <w:t xml:space="preserve"> </w:t>
            </w:r>
            <w:r w:rsidR="00A8783E" w:rsidRPr="00A8783E">
              <w:rPr>
                <w:rStyle w:val="Hyperlink"/>
                <w:rFonts w:ascii="Times New Roman" w:hAnsi="Times New Roman"/>
                <w:i/>
                <w:iCs/>
                <w:noProof/>
                <w:color w:val="1F497D" w:themeColor="text2"/>
              </w:rPr>
              <w:t>/</w:t>
            </w:r>
            <w:r w:rsidR="00A8783E" w:rsidRPr="00A8783E">
              <w:rPr>
                <w:rStyle w:val="Hyperlink"/>
                <w:rFonts w:ascii="Times New Roman" w:hAnsi="Times New Roman"/>
                <w:i/>
                <w:iCs/>
                <w:noProof/>
                <w:color w:val="1F497D" w:themeColor="text2"/>
                <w:lang w:val="en-US"/>
              </w:rPr>
              <w:t xml:space="preserve"> </w:t>
            </w:r>
            <w:r w:rsidR="00A8783E" w:rsidRPr="00A8783E">
              <w:rPr>
                <w:rStyle w:val="Hyperlink"/>
                <w:rFonts w:ascii="Times New Roman" w:hAnsi="Times New Roman"/>
                <w:i/>
                <w:iCs/>
                <w:noProof/>
                <w:color w:val="1F497D" w:themeColor="text2"/>
              </w:rPr>
              <w:t>Zapornia pusilla</w:t>
            </w:r>
            <w:r w:rsidR="00A8783E" w:rsidRPr="00A8783E">
              <w:rPr>
                <w:rStyle w:val="Hyperlink"/>
                <w:rFonts w:ascii="Times New Roman" w:hAnsi="Times New Roman"/>
                <w:noProof/>
                <w:color w:val="1F497D" w:themeColor="text2"/>
              </w:rPr>
              <w:t xml:space="preserve"> (малка пъструшка)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_Toc98838631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468</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32" w:history="1">
            <w:r w:rsidR="00A8783E" w:rsidRPr="00A8783E">
              <w:rPr>
                <w:rStyle w:val="Hyperlink"/>
                <w:rFonts w:ascii="Times New Roman" w:hAnsi="Times New Roman"/>
                <w:noProof/>
                <w:color w:val="1F497D" w:themeColor="text2"/>
              </w:rPr>
              <w:t xml:space="preserve">Специфични цели за </w:t>
            </w:r>
            <w:r w:rsidR="00A8783E" w:rsidRPr="00A8783E">
              <w:rPr>
                <w:rStyle w:val="Hyperlink"/>
                <w:rFonts w:ascii="Times New Roman" w:hAnsi="Times New Roman"/>
                <w:noProof/>
                <w:color w:val="1F497D" w:themeColor="text2"/>
                <w:lang w:val="en-US"/>
              </w:rPr>
              <w:t>A</w:t>
            </w:r>
            <w:r w:rsidR="00A8783E" w:rsidRPr="00A8783E">
              <w:rPr>
                <w:rStyle w:val="Hyperlink"/>
                <w:rFonts w:ascii="Times New Roman" w:hAnsi="Times New Roman"/>
                <w:noProof/>
                <w:color w:val="1F497D" w:themeColor="text2"/>
              </w:rPr>
              <w:t xml:space="preserve">122 </w:t>
            </w:r>
            <w:r w:rsidR="00A8783E" w:rsidRPr="00A8783E">
              <w:rPr>
                <w:rStyle w:val="Hyperlink"/>
                <w:rFonts w:ascii="Times New Roman" w:hAnsi="Times New Roman"/>
                <w:i/>
                <w:iCs/>
                <w:noProof/>
                <w:color w:val="1F497D" w:themeColor="text2"/>
                <w:lang w:val="en-US"/>
              </w:rPr>
              <w:t>Crex</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crex</w:t>
            </w:r>
            <w:r w:rsidR="00A8783E" w:rsidRPr="00A8783E">
              <w:rPr>
                <w:rStyle w:val="Hyperlink"/>
                <w:rFonts w:ascii="Times New Roman" w:hAnsi="Times New Roman"/>
                <w:noProof/>
                <w:color w:val="1F497D" w:themeColor="text2"/>
              </w:rPr>
              <w:t xml:space="preserve"> (ливаден дърдавец)</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_Toc98838632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471</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33" w:history="1">
            <w:r w:rsidR="00A8783E" w:rsidRPr="00A8783E">
              <w:rPr>
                <w:rStyle w:val="Hyperlink"/>
                <w:rFonts w:ascii="Times New Roman" w:hAnsi="Times New Roman"/>
                <w:noProof/>
                <w:color w:val="1F497D" w:themeColor="text2"/>
              </w:rPr>
              <w:t xml:space="preserve">Специфични цели за A123 </w:t>
            </w:r>
            <w:r w:rsidR="00A8783E" w:rsidRPr="00A8783E">
              <w:rPr>
                <w:rStyle w:val="Hyperlink"/>
                <w:rFonts w:ascii="Times New Roman" w:hAnsi="Times New Roman"/>
                <w:i/>
                <w:iCs/>
                <w:noProof/>
                <w:color w:val="1F497D" w:themeColor="text2"/>
                <w:lang w:val="en-US"/>
              </w:rPr>
              <w:t>Gallinula</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chloropus</w:t>
            </w:r>
            <w:r w:rsidR="00A8783E" w:rsidRPr="00A8783E">
              <w:rPr>
                <w:rStyle w:val="Hyperlink"/>
                <w:rFonts w:ascii="Times New Roman" w:hAnsi="Times New Roman"/>
                <w:noProof/>
                <w:color w:val="1F497D" w:themeColor="text2"/>
              </w:rPr>
              <w:t xml:space="preserve"> (зеленоножка)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_Toc98838633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474</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34" w:history="1">
            <w:r w:rsidR="00A8783E" w:rsidRPr="00A8783E">
              <w:rPr>
                <w:rStyle w:val="Hyperlink"/>
                <w:rFonts w:ascii="Times New Roman" w:hAnsi="Times New Roman"/>
                <w:noProof/>
                <w:color w:val="1F497D" w:themeColor="text2"/>
              </w:rPr>
              <w:t xml:space="preserve">Специфични цели за А125 </w:t>
            </w:r>
            <w:r w:rsidR="00A8783E" w:rsidRPr="00A8783E">
              <w:rPr>
                <w:rStyle w:val="Hyperlink"/>
                <w:rFonts w:ascii="Times New Roman" w:hAnsi="Times New Roman"/>
                <w:i/>
                <w:iCs/>
                <w:noProof/>
                <w:color w:val="1F497D" w:themeColor="text2"/>
              </w:rPr>
              <w:t>Fulica atra</w:t>
            </w:r>
            <w:r w:rsidR="00A8783E" w:rsidRPr="00A8783E">
              <w:rPr>
                <w:rStyle w:val="Hyperlink"/>
                <w:rFonts w:ascii="Times New Roman" w:hAnsi="Times New Roman"/>
                <w:noProof/>
                <w:color w:val="1F497D" w:themeColor="text2"/>
              </w:rPr>
              <w:t xml:space="preserve"> (лиска)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_Toc98838634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477</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35" w:history="1">
            <w:r w:rsidR="00A8783E" w:rsidRPr="00A8783E">
              <w:rPr>
                <w:rStyle w:val="Hyperlink"/>
                <w:rFonts w:ascii="Times New Roman" w:hAnsi="Times New Roman"/>
                <w:noProof/>
                <w:color w:val="1F497D" w:themeColor="text2"/>
              </w:rPr>
              <w:t xml:space="preserve">Специфични цели за А127 </w:t>
            </w:r>
            <w:r w:rsidR="00A8783E" w:rsidRPr="00A8783E">
              <w:rPr>
                <w:rStyle w:val="Hyperlink"/>
                <w:rFonts w:ascii="Times New Roman" w:hAnsi="Times New Roman"/>
                <w:i/>
                <w:iCs/>
                <w:noProof/>
                <w:color w:val="1F497D" w:themeColor="text2"/>
                <w:lang w:val="en-US"/>
              </w:rPr>
              <w:t>Grus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grus</w:t>
            </w:r>
            <w:r w:rsidR="00A8783E" w:rsidRPr="00A8783E">
              <w:rPr>
                <w:rStyle w:val="Hyperlink"/>
                <w:rFonts w:ascii="Times New Roman" w:hAnsi="Times New Roman"/>
                <w:noProof/>
                <w:color w:val="1F497D" w:themeColor="text2"/>
              </w:rPr>
              <w:t xml:space="preserve"> (сив жерав)</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_Toc98838635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481</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36" w:history="1">
            <w:r w:rsidR="00A8783E" w:rsidRPr="00A8783E">
              <w:rPr>
                <w:rStyle w:val="Hyperlink"/>
                <w:rFonts w:ascii="Times New Roman" w:hAnsi="Times New Roman"/>
                <w:noProof/>
                <w:color w:val="1F497D" w:themeColor="text2"/>
              </w:rPr>
              <w:t xml:space="preserve">Специфични цели за А131 </w:t>
            </w:r>
            <w:r w:rsidR="00A8783E" w:rsidRPr="00A8783E">
              <w:rPr>
                <w:rStyle w:val="Hyperlink"/>
                <w:rFonts w:ascii="Times New Roman" w:hAnsi="Times New Roman"/>
                <w:i/>
                <w:iCs/>
                <w:noProof/>
                <w:color w:val="1F497D" w:themeColor="text2"/>
                <w:lang w:val="en-US"/>
              </w:rPr>
              <w:t>Himantopus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himantopus</w:t>
            </w:r>
            <w:r w:rsidR="00A8783E" w:rsidRPr="00A8783E">
              <w:rPr>
                <w:rStyle w:val="Hyperlink"/>
                <w:rFonts w:ascii="Times New Roman" w:hAnsi="Times New Roman"/>
                <w:noProof/>
                <w:color w:val="1F497D" w:themeColor="text2"/>
              </w:rPr>
              <w:t xml:space="preserve"> (кокилобегач)</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_Toc98838636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484</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37" w:history="1">
            <w:r w:rsidR="00A8783E" w:rsidRPr="00A8783E">
              <w:rPr>
                <w:rStyle w:val="Hyperlink"/>
                <w:rFonts w:ascii="Times New Roman" w:hAnsi="Times New Roman"/>
                <w:noProof/>
                <w:color w:val="1F497D" w:themeColor="text2"/>
              </w:rPr>
              <w:t xml:space="preserve">Специфични цели за А132 </w:t>
            </w:r>
            <w:r w:rsidR="00A8783E" w:rsidRPr="00A8783E">
              <w:rPr>
                <w:rStyle w:val="Hyperlink"/>
                <w:rFonts w:ascii="Times New Roman" w:hAnsi="Times New Roman"/>
                <w:i/>
                <w:iCs/>
                <w:noProof/>
                <w:color w:val="1F497D" w:themeColor="text2"/>
                <w:lang w:val="en-US"/>
              </w:rPr>
              <w:t>Recurvirostra</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avosetta</w:t>
            </w:r>
            <w:r w:rsidR="00A8783E" w:rsidRPr="00A8783E">
              <w:rPr>
                <w:rStyle w:val="Hyperlink"/>
                <w:rFonts w:ascii="Times New Roman" w:hAnsi="Times New Roman"/>
                <w:noProof/>
                <w:color w:val="1F497D" w:themeColor="text2"/>
              </w:rPr>
              <w:t xml:space="preserve"> (саблеклюн)</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_Toc98838637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486</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38" w:history="1">
            <w:r w:rsidR="00A8783E" w:rsidRPr="00A8783E">
              <w:rPr>
                <w:rStyle w:val="Hyperlink"/>
                <w:rFonts w:ascii="Times New Roman" w:hAnsi="Times New Roman"/>
                <w:noProof/>
                <w:color w:val="1F497D" w:themeColor="text2"/>
              </w:rPr>
              <w:t xml:space="preserve">Специфични цели за А136 </w:t>
            </w:r>
            <w:r w:rsidR="00A8783E" w:rsidRPr="00A8783E">
              <w:rPr>
                <w:rStyle w:val="Hyperlink"/>
                <w:rFonts w:ascii="Times New Roman" w:hAnsi="Times New Roman"/>
                <w:i/>
                <w:iCs/>
                <w:noProof/>
                <w:color w:val="1F497D" w:themeColor="text2"/>
                <w:lang w:val="en-US"/>
              </w:rPr>
              <w:t>Charadrius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dubius</w:t>
            </w:r>
            <w:r w:rsidR="00A8783E" w:rsidRPr="00A8783E">
              <w:rPr>
                <w:rStyle w:val="Hyperlink"/>
                <w:rFonts w:ascii="Times New Roman" w:hAnsi="Times New Roman"/>
                <w:noProof/>
                <w:color w:val="1F497D" w:themeColor="text2"/>
              </w:rPr>
              <w:t xml:space="preserve"> (речен дъждосвирец)</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_Toc98838638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489</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39" w:history="1">
            <w:r w:rsidR="00A8783E" w:rsidRPr="00A8783E">
              <w:rPr>
                <w:rStyle w:val="Hyperlink"/>
                <w:rFonts w:ascii="Times New Roman" w:hAnsi="Times New Roman"/>
                <w:noProof/>
                <w:color w:val="1F497D" w:themeColor="text2"/>
              </w:rPr>
              <w:t xml:space="preserve">Специфични цели за А142 </w:t>
            </w:r>
            <w:r w:rsidR="00A8783E" w:rsidRPr="00A8783E">
              <w:rPr>
                <w:rStyle w:val="Hyperlink"/>
                <w:rFonts w:ascii="Times New Roman" w:hAnsi="Times New Roman"/>
                <w:i/>
                <w:iCs/>
                <w:noProof/>
                <w:color w:val="1F497D" w:themeColor="text2"/>
                <w:lang w:val="en-US"/>
              </w:rPr>
              <w:t>Vanellus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vanellus</w:t>
            </w:r>
            <w:r w:rsidR="00A8783E" w:rsidRPr="00A8783E">
              <w:rPr>
                <w:rStyle w:val="Hyperlink"/>
                <w:rFonts w:ascii="Times New Roman" w:hAnsi="Times New Roman"/>
                <w:noProof/>
                <w:color w:val="1F497D" w:themeColor="text2"/>
              </w:rPr>
              <w:t xml:space="preserve"> (обикновена калугерица)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_Toc98838639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493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40" w:history="1">
            <w:r w:rsidR="00A8783E" w:rsidRPr="00A8783E">
              <w:rPr>
                <w:rStyle w:val="Hyperlink"/>
                <w:rFonts w:ascii="Times New Roman" w:hAnsi="Times New Roman"/>
                <w:noProof/>
                <w:color w:val="1F497D" w:themeColor="text2"/>
              </w:rPr>
              <w:t xml:space="preserve">Специфични цели за А144 </w:t>
            </w:r>
            <w:r w:rsidR="00A8783E" w:rsidRPr="00A8783E">
              <w:rPr>
                <w:rStyle w:val="Hyperlink"/>
                <w:rFonts w:ascii="Times New Roman" w:hAnsi="Times New Roman"/>
                <w:i/>
                <w:iCs/>
                <w:noProof/>
                <w:color w:val="1F497D" w:themeColor="text2"/>
                <w:lang w:val="en-US"/>
              </w:rPr>
              <w:t>Calidris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alba</w:t>
            </w:r>
            <w:r w:rsidR="00A8783E" w:rsidRPr="00A8783E">
              <w:rPr>
                <w:rStyle w:val="Hyperlink"/>
                <w:rFonts w:ascii="Times New Roman" w:hAnsi="Times New Roman"/>
                <w:noProof/>
                <w:color w:val="1F497D" w:themeColor="text2"/>
              </w:rPr>
              <w:t xml:space="preserve"> (трипръст брегобегач)</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_Toc98838640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495</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41" w:history="1">
            <w:r w:rsidR="00A8783E" w:rsidRPr="00A8783E">
              <w:rPr>
                <w:rStyle w:val="Hyperlink"/>
                <w:rFonts w:ascii="Times New Roman" w:hAnsi="Times New Roman"/>
                <w:noProof/>
                <w:color w:val="1F497D" w:themeColor="text2"/>
              </w:rPr>
              <w:t>Специфични цели за А151/</w:t>
            </w:r>
            <w:r w:rsidR="00A8783E" w:rsidRPr="00A8783E">
              <w:rPr>
                <w:rStyle w:val="Hyperlink"/>
                <w:rFonts w:ascii="Times New Roman" w:hAnsi="Times New Roman"/>
                <w:noProof/>
                <w:color w:val="1F497D" w:themeColor="text2"/>
                <w:lang w:val="en-US"/>
              </w:rPr>
              <w:t>A</w:t>
            </w:r>
            <w:r w:rsidR="00A8783E" w:rsidRPr="00A8783E">
              <w:rPr>
                <w:rStyle w:val="Hyperlink"/>
                <w:rFonts w:ascii="Times New Roman" w:hAnsi="Times New Roman"/>
                <w:noProof/>
                <w:color w:val="1F497D" w:themeColor="text2"/>
              </w:rPr>
              <w:t xml:space="preserve">861 </w:t>
            </w:r>
            <w:r w:rsidR="00A8783E" w:rsidRPr="00A8783E">
              <w:rPr>
                <w:rStyle w:val="Hyperlink"/>
                <w:rFonts w:ascii="Times New Roman" w:hAnsi="Times New Roman"/>
                <w:i/>
                <w:iCs/>
                <w:noProof/>
                <w:color w:val="1F497D" w:themeColor="text2"/>
                <w:lang w:val="en-US"/>
              </w:rPr>
              <w:t>Philomachus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pugnax</w:t>
            </w:r>
            <w:r w:rsidR="00A8783E" w:rsidRPr="00A8783E">
              <w:rPr>
                <w:rStyle w:val="Hyperlink"/>
                <w:rFonts w:ascii="Times New Roman" w:hAnsi="Times New Roman"/>
                <w:i/>
                <w:iCs/>
                <w:noProof/>
                <w:color w:val="1F497D" w:themeColor="text2"/>
              </w:rPr>
              <w:t xml:space="preserve"> / </w:t>
            </w:r>
            <w:r w:rsidR="00A8783E" w:rsidRPr="00A8783E">
              <w:rPr>
                <w:rStyle w:val="Hyperlink"/>
                <w:rFonts w:ascii="Times New Roman" w:hAnsi="Times New Roman"/>
                <w:i/>
                <w:iCs/>
                <w:noProof/>
                <w:color w:val="1F497D" w:themeColor="text2"/>
                <w:lang w:val="en-US"/>
              </w:rPr>
              <w:t>Calidris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pugnax</w:t>
            </w:r>
            <w:r w:rsidR="00A8783E" w:rsidRPr="00A8783E">
              <w:rPr>
                <w:rStyle w:val="Hyperlink"/>
                <w:rFonts w:ascii="Times New Roman" w:hAnsi="Times New Roman"/>
                <w:noProof/>
                <w:color w:val="1F497D" w:themeColor="text2"/>
              </w:rPr>
              <w:t xml:space="preserve"> (бойник)</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_Toc98838641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498</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42" w:history="1">
            <w:r w:rsidR="00A8783E" w:rsidRPr="00A8783E">
              <w:rPr>
                <w:rStyle w:val="Hyperlink"/>
                <w:rFonts w:ascii="Times New Roman" w:hAnsi="Times New Roman"/>
                <w:noProof/>
                <w:color w:val="1F497D" w:themeColor="text2"/>
              </w:rPr>
              <w:t>Специфични цели за А1</w:t>
            </w:r>
            <w:r w:rsidR="00A8783E" w:rsidRPr="00A8783E">
              <w:rPr>
                <w:rStyle w:val="Hyperlink"/>
                <w:rFonts w:ascii="Times New Roman" w:hAnsi="Times New Roman"/>
                <w:noProof/>
                <w:color w:val="1F497D" w:themeColor="text2"/>
                <w:lang w:val="ru-RU"/>
              </w:rPr>
              <w:t>65</w:t>
            </w:r>
            <w:r w:rsidR="00A8783E" w:rsidRPr="00A8783E">
              <w:rPr>
                <w:rStyle w:val="Hyperlink"/>
                <w:rFonts w:ascii="Times New Roman" w:hAnsi="Times New Roman"/>
                <w:noProof/>
                <w:color w:val="1F497D" w:themeColor="text2"/>
              </w:rPr>
              <w:t xml:space="preserve"> </w:t>
            </w:r>
            <w:r w:rsidR="00A8783E" w:rsidRPr="00A8783E">
              <w:rPr>
                <w:rStyle w:val="Hyperlink"/>
                <w:rFonts w:ascii="Times New Roman" w:hAnsi="Times New Roman"/>
                <w:i/>
                <w:iCs/>
                <w:noProof/>
                <w:color w:val="1F497D" w:themeColor="text2"/>
                <w:lang w:val="en-US"/>
              </w:rPr>
              <w:t>Tringa</w:t>
            </w:r>
            <w:r w:rsidR="00A8783E" w:rsidRPr="00A8783E">
              <w:rPr>
                <w:rStyle w:val="Hyperlink"/>
                <w:rFonts w:ascii="Times New Roman" w:hAnsi="Times New Roman"/>
                <w:i/>
                <w:iCs/>
                <w:noProof/>
                <w:color w:val="1F497D" w:themeColor="text2"/>
                <w:lang w:val="ru-RU"/>
              </w:rPr>
              <w:t xml:space="preserve"> </w:t>
            </w:r>
            <w:r w:rsidR="00A8783E" w:rsidRPr="00A8783E">
              <w:rPr>
                <w:rStyle w:val="Hyperlink"/>
                <w:rFonts w:ascii="Times New Roman" w:hAnsi="Times New Roman"/>
                <w:i/>
                <w:iCs/>
                <w:noProof/>
                <w:color w:val="1F497D" w:themeColor="text2"/>
                <w:lang w:val="en-US"/>
              </w:rPr>
              <w:t>ochropus</w:t>
            </w:r>
            <w:r w:rsidR="00A8783E" w:rsidRPr="00A8783E">
              <w:rPr>
                <w:rStyle w:val="Hyperlink"/>
                <w:rFonts w:ascii="Times New Roman" w:hAnsi="Times New Roman"/>
                <w:noProof/>
                <w:color w:val="1F497D" w:themeColor="text2"/>
              </w:rPr>
              <w:t xml:space="preserve"> (голям горски водобегач)</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_Toc98838642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500</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43" w:history="1">
            <w:r w:rsidR="00A8783E" w:rsidRPr="00A8783E">
              <w:rPr>
                <w:rStyle w:val="Hyperlink"/>
                <w:rFonts w:ascii="Times New Roman" w:hAnsi="Times New Roman"/>
                <w:noProof/>
                <w:color w:val="1F497D" w:themeColor="text2"/>
              </w:rPr>
              <w:t xml:space="preserve">Специфични цели за А176 </w:t>
            </w:r>
            <w:r w:rsidR="00A8783E" w:rsidRPr="00A8783E">
              <w:rPr>
                <w:rStyle w:val="Hyperlink"/>
                <w:rFonts w:ascii="Times New Roman" w:hAnsi="Times New Roman"/>
                <w:i/>
                <w:iCs/>
                <w:noProof/>
                <w:color w:val="1F497D" w:themeColor="text2"/>
                <w:lang w:val="en-US"/>
              </w:rPr>
              <w:t>Larus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melanocephalus</w:t>
            </w:r>
            <w:r w:rsidR="00A8783E" w:rsidRPr="00A8783E">
              <w:rPr>
                <w:rStyle w:val="Hyperlink"/>
                <w:rFonts w:ascii="Times New Roman" w:hAnsi="Times New Roman"/>
                <w:noProof/>
                <w:color w:val="1F497D" w:themeColor="text2"/>
              </w:rPr>
              <w:t xml:space="preserve"> (малка черноглава чайка)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_Toc98838643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503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44" w:history="1">
            <w:r w:rsidR="00A8783E" w:rsidRPr="00A8783E">
              <w:rPr>
                <w:rStyle w:val="Hyperlink"/>
                <w:rFonts w:ascii="Times New Roman" w:hAnsi="Times New Roman"/>
                <w:noProof/>
                <w:color w:val="1F497D" w:themeColor="text2"/>
              </w:rPr>
              <w:t>Специфични цели за</w:t>
            </w:r>
            <w:r w:rsidR="00A8783E" w:rsidRPr="00A8783E">
              <w:rPr>
                <w:rStyle w:val="Hyperlink"/>
                <w:rFonts w:ascii="Times New Roman" w:hAnsi="Times New Roman"/>
                <w:noProof/>
                <w:color w:val="1F497D" w:themeColor="text2"/>
                <w:lang w:val="ru-RU"/>
              </w:rPr>
              <w:t xml:space="preserve"> А177 </w:t>
            </w:r>
            <w:r w:rsidR="00A8783E" w:rsidRPr="00A8783E">
              <w:rPr>
                <w:rStyle w:val="Hyperlink"/>
                <w:rFonts w:ascii="Times New Roman" w:hAnsi="Times New Roman"/>
                <w:i/>
                <w:iCs/>
                <w:noProof/>
                <w:color w:val="1F497D" w:themeColor="text2"/>
                <w:lang w:val="en-US"/>
              </w:rPr>
              <w:t>Larus</w:t>
            </w:r>
            <w:r w:rsidR="00A8783E" w:rsidRPr="00A8783E">
              <w:rPr>
                <w:rStyle w:val="Hyperlink"/>
                <w:rFonts w:ascii="Times New Roman" w:hAnsi="Times New Roman"/>
                <w:i/>
                <w:iCs/>
                <w:noProof/>
                <w:color w:val="1F497D" w:themeColor="text2"/>
                <w:lang w:val="ru-RU"/>
              </w:rPr>
              <w:t xml:space="preserve"> </w:t>
            </w:r>
            <w:r w:rsidR="00A8783E" w:rsidRPr="00A8783E">
              <w:rPr>
                <w:rStyle w:val="Hyperlink"/>
                <w:rFonts w:ascii="Times New Roman" w:hAnsi="Times New Roman"/>
                <w:i/>
                <w:iCs/>
                <w:noProof/>
                <w:color w:val="1F497D" w:themeColor="text2"/>
                <w:lang w:val="en-US"/>
              </w:rPr>
              <w:t>minutus</w:t>
            </w:r>
            <w:r w:rsidR="00A8783E" w:rsidRPr="00A8783E">
              <w:rPr>
                <w:rStyle w:val="Hyperlink"/>
                <w:rFonts w:ascii="Times New Roman" w:hAnsi="Times New Roman"/>
                <w:noProof/>
                <w:color w:val="1F497D" w:themeColor="text2"/>
                <w:lang w:val="ru-RU"/>
              </w:rPr>
              <w:t xml:space="preserve"> (малка чайка)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_Toc98838644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506</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45" w:history="1">
            <w:r w:rsidR="00A8783E" w:rsidRPr="00A8783E">
              <w:rPr>
                <w:rStyle w:val="Hyperlink"/>
                <w:rFonts w:ascii="Times New Roman" w:hAnsi="Times New Roman"/>
                <w:noProof/>
                <w:color w:val="1F497D" w:themeColor="text2"/>
              </w:rPr>
              <w:t xml:space="preserve">Специфични цели за А179 </w:t>
            </w:r>
            <w:r w:rsidR="00A8783E" w:rsidRPr="00A8783E">
              <w:rPr>
                <w:rStyle w:val="Hyperlink"/>
                <w:rFonts w:ascii="Times New Roman" w:hAnsi="Times New Roman"/>
                <w:i/>
                <w:iCs/>
                <w:noProof/>
                <w:color w:val="1F497D" w:themeColor="text2"/>
                <w:lang w:val="en-US"/>
              </w:rPr>
              <w:t>Larus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ridibundus</w:t>
            </w:r>
            <w:r w:rsidR="00A8783E" w:rsidRPr="00A8783E">
              <w:rPr>
                <w:rStyle w:val="Hyperlink"/>
                <w:rFonts w:ascii="Times New Roman" w:hAnsi="Times New Roman"/>
                <w:noProof/>
                <w:color w:val="1F497D" w:themeColor="text2"/>
              </w:rPr>
              <w:t xml:space="preserve"> (речна чайка)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_Toc98838645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508</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46" w:history="1">
            <w:r w:rsidR="00A8783E" w:rsidRPr="00A8783E">
              <w:rPr>
                <w:rStyle w:val="Hyperlink"/>
                <w:rFonts w:ascii="Times New Roman" w:hAnsi="Times New Roman"/>
                <w:noProof/>
                <w:color w:val="1F497D" w:themeColor="text2"/>
              </w:rPr>
              <w:t xml:space="preserve">Специфични цели за А182 </w:t>
            </w:r>
            <w:r w:rsidR="00A8783E" w:rsidRPr="00A8783E">
              <w:rPr>
                <w:rStyle w:val="Hyperlink"/>
                <w:rFonts w:ascii="Times New Roman" w:hAnsi="Times New Roman"/>
                <w:i/>
                <w:iCs/>
                <w:noProof/>
                <w:color w:val="1F497D" w:themeColor="text2"/>
              </w:rPr>
              <w:t>Larus canus</w:t>
            </w:r>
            <w:r w:rsidR="00A8783E" w:rsidRPr="00A8783E">
              <w:rPr>
                <w:rStyle w:val="Hyperlink"/>
                <w:rFonts w:ascii="Times New Roman" w:hAnsi="Times New Roman"/>
                <w:noProof/>
                <w:color w:val="1F497D" w:themeColor="text2"/>
              </w:rPr>
              <w:t xml:space="preserve"> (чайка буревестница)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_Toc98838646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511</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47" w:history="1">
            <w:r w:rsidR="00A8783E" w:rsidRPr="00A8783E">
              <w:rPr>
                <w:rStyle w:val="Hyperlink"/>
                <w:rFonts w:ascii="Times New Roman" w:hAnsi="Times New Roman"/>
                <w:noProof/>
                <w:color w:val="1F497D" w:themeColor="text2"/>
              </w:rPr>
              <w:t>Специфични цели за А190</w:t>
            </w:r>
            <w:r w:rsidR="00A8783E" w:rsidRPr="00A8783E">
              <w:rPr>
                <w:rStyle w:val="Hyperlink"/>
                <w:rFonts w:ascii="Times New Roman" w:hAnsi="Times New Roman"/>
                <w:noProof/>
                <w:color w:val="1F497D" w:themeColor="text2"/>
                <w:lang w:val="ru-RU"/>
              </w:rPr>
              <w:t>/</w:t>
            </w:r>
            <w:r w:rsidR="00A8783E" w:rsidRPr="00A8783E">
              <w:rPr>
                <w:rStyle w:val="Hyperlink"/>
                <w:rFonts w:ascii="Times New Roman" w:hAnsi="Times New Roman"/>
                <w:noProof/>
                <w:color w:val="1F497D" w:themeColor="text2"/>
                <w:lang w:val="en-US"/>
              </w:rPr>
              <w:t>A</w:t>
            </w:r>
            <w:r w:rsidR="00A8783E" w:rsidRPr="00A8783E">
              <w:rPr>
                <w:rStyle w:val="Hyperlink"/>
                <w:rFonts w:ascii="Times New Roman" w:hAnsi="Times New Roman"/>
                <w:noProof/>
                <w:color w:val="1F497D" w:themeColor="text2"/>
                <w:lang w:val="ru-RU"/>
              </w:rPr>
              <w:t>894</w:t>
            </w:r>
            <w:r w:rsidR="00A8783E" w:rsidRPr="00A8783E">
              <w:rPr>
                <w:rStyle w:val="Hyperlink"/>
                <w:rFonts w:ascii="Times New Roman" w:hAnsi="Times New Roman"/>
                <w:noProof/>
                <w:color w:val="1F497D" w:themeColor="text2"/>
              </w:rPr>
              <w:t xml:space="preserve"> </w:t>
            </w:r>
            <w:r w:rsidR="00A8783E" w:rsidRPr="00A8783E">
              <w:rPr>
                <w:rStyle w:val="Hyperlink"/>
                <w:rFonts w:ascii="Times New Roman" w:hAnsi="Times New Roman"/>
                <w:i/>
                <w:iCs/>
                <w:noProof/>
                <w:color w:val="1F497D" w:themeColor="text2"/>
              </w:rPr>
              <w:t>Sterna caspia</w:t>
            </w:r>
            <w:r w:rsidR="00A8783E" w:rsidRPr="00A8783E">
              <w:rPr>
                <w:rStyle w:val="Hyperlink"/>
                <w:rFonts w:ascii="Times New Roman" w:hAnsi="Times New Roman"/>
                <w:i/>
                <w:iCs/>
                <w:noProof/>
                <w:color w:val="1F497D" w:themeColor="text2"/>
                <w:lang w:val="ru-RU"/>
              </w:rPr>
              <w:t>/</w:t>
            </w:r>
            <w:r w:rsidR="00A8783E" w:rsidRPr="00A8783E">
              <w:rPr>
                <w:rStyle w:val="Hyperlink"/>
                <w:rFonts w:cs="Calibri"/>
                <w:noProof/>
                <w:color w:val="1F497D" w:themeColor="text2"/>
              </w:rPr>
              <w:t xml:space="preserve"> </w:t>
            </w:r>
            <w:r w:rsidR="00A8783E" w:rsidRPr="00A8783E">
              <w:rPr>
                <w:rStyle w:val="Hyperlink"/>
                <w:rFonts w:ascii="Times New Roman" w:hAnsi="Times New Roman"/>
                <w:i/>
                <w:iCs/>
                <w:noProof/>
                <w:color w:val="1F497D" w:themeColor="text2"/>
                <w:lang w:val="ru-RU"/>
              </w:rPr>
              <w:t>Hydroprogne caspia</w:t>
            </w:r>
            <w:r w:rsidR="00A8783E" w:rsidRPr="00A8783E">
              <w:rPr>
                <w:rStyle w:val="Hyperlink"/>
                <w:rFonts w:ascii="Times New Roman" w:hAnsi="Times New Roman"/>
                <w:noProof/>
                <w:color w:val="1F497D" w:themeColor="text2"/>
              </w:rPr>
              <w:t xml:space="preserve"> (каспийска рибарка</w:t>
            </w:r>
            <w:r w:rsidR="00A8783E" w:rsidRPr="00A8783E">
              <w:rPr>
                <w:rStyle w:val="Hyperlink"/>
                <w:rFonts w:ascii="Times New Roman" w:hAnsi="Times New Roman"/>
                <w:noProof/>
                <w:color w:val="1F497D" w:themeColor="text2"/>
                <w:lang w:val="ru-RU"/>
              </w:rPr>
              <w:t>)</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_Toc98838647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513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48" w:history="1">
            <w:r w:rsidR="00A8783E" w:rsidRPr="00A8783E">
              <w:rPr>
                <w:rStyle w:val="Hyperlink"/>
                <w:rFonts w:ascii="Times New Roman" w:hAnsi="Times New Roman"/>
                <w:noProof/>
                <w:color w:val="1F497D" w:themeColor="text2"/>
              </w:rPr>
              <w:t xml:space="preserve">Специфични цели за А193 </w:t>
            </w:r>
            <w:r w:rsidR="00A8783E" w:rsidRPr="00A8783E">
              <w:rPr>
                <w:rStyle w:val="Hyperlink"/>
                <w:rFonts w:ascii="Times New Roman" w:hAnsi="Times New Roman"/>
                <w:i/>
                <w:iCs/>
                <w:noProof/>
                <w:color w:val="1F497D" w:themeColor="text2"/>
              </w:rPr>
              <w:t>Sterna hirundo</w:t>
            </w:r>
            <w:r w:rsidR="00A8783E" w:rsidRPr="00A8783E">
              <w:rPr>
                <w:rStyle w:val="Hyperlink"/>
                <w:rFonts w:ascii="Times New Roman" w:hAnsi="Times New Roman"/>
                <w:noProof/>
                <w:color w:val="1F497D" w:themeColor="text2"/>
              </w:rPr>
              <w:t xml:space="preserve"> (речна рибарка)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_Toc98838648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515</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49" w:history="1">
            <w:r w:rsidR="00A8783E" w:rsidRPr="00A8783E">
              <w:rPr>
                <w:rStyle w:val="Hyperlink"/>
                <w:rFonts w:ascii="Times New Roman" w:hAnsi="Times New Roman"/>
                <w:noProof/>
                <w:color w:val="1F497D" w:themeColor="text2"/>
              </w:rPr>
              <w:t xml:space="preserve">Специфични цели за А196 </w:t>
            </w:r>
            <w:r w:rsidR="00A8783E" w:rsidRPr="00A8783E">
              <w:rPr>
                <w:rStyle w:val="Hyperlink"/>
                <w:rFonts w:ascii="Times New Roman" w:hAnsi="Times New Roman"/>
                <w:i/>
                <w:iCs/>
                <w:noProof/>
                <w:color w:val="1F497D" w:themeColor="text2"/>
              </w:rPr>
              <w:t>Chlidonias hybridus</w:t>
            </w:r>
            <w:r w:rsidR="00A8783E" w:rsidRPr="00A8783E">
              <w:rPr>
                <w:rStyle w:val="Hyperlink"/>
                <w:rFonts w:ascii="Times New Roman" w:hAnsi="Times New Roman"/>
                <w:noProof/>
                <w:color w:val="1F497D" w:themeColor="text2"/>
              </w:rPr>
              <w:t xml:space="preserve"> (белобуза рибарка)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_Toc98838649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518</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50" w:history="1">
            <w:r w:rsidR="00A8783E" w:rsidRPr="00A8783E">
              <w:rPr>
                <w:rStyle w:val="Hyperlink"/>
                <w:rFonts w:ascii="Times New Roman" w:hAnsi="Times New Roman"/>
                <w:noProof/>
                <w:color w:val="1F497D" w:themeColor="text2"/>
              </w:rPr>
              <w:t xml:space="preserve">Специфични цели за А197 </w:t>
            </w:r>
            <w:r w:rsidR="00A8783E" w:rsidRPr="00A8783E">
              <w:rPr>
                <w:rStyle w:val="Hyperlink"/>
                <w:rFonts w:ascii="Times New Roman" w:hAnsi="Times New Roman"/>
                <w:i/>
                <w:iCs/>
                <w:noProof/>
                <w:color w:val="1F497D" w:themeColor="text2"/>
              </w:rPr>
              <w:t>Chlidonias niger</w:t>
            </w:r>
            <w:r w:rsidR="00A8783E" w:rsidRPr="00A8783E">
              <w:rPr>
                <w:rStyle w:val="Hyperlink"/>
                <w:rFonts w:ascii="Times New Roman" w:hAnsi="Times New Roman"/>
                <w:noProof/>
                <w:color w:val="1F497D" w:themeColor="text2"/>
              </w:rPr>
              <w:t xml:space="preserve"> (черна рибарка)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_Toc98838650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522</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51" w:history="1">
            <w:r w:rsidR="00A8783E" w:rsidRPr="00A8783E">
              <w:rPr>
                <w:rStyle w:val="Hyperlink"/>
                <w:rFonts w:ascii="Times New Roman" w:hAnsi="Times New Roman"/>
                <w:noProof/>
                <w:color w:val="1F497D" w:themeColor="text2"/>
              </w:rPr>
              <w:t xml:space="preserve">Специфични цели за А198 </w:t>
            </w:r>
            <w:r w:rsidR="00A8783E" w:rsidRPr="00A8783E">
              <w:rPr>
                <w:rStyle w:val="Hyperlink"/>
                <w:rFonts w:ascii="Times New Roman" w:hAnsi="Times New Roman"/>
                <w:i/>
                <w:iCs/>
                <w:noProof/>
                <w:color w:val="1F497D" w:themeColor="text2"/>
              </w:rPr>
              <w:t>Chlidonias leucopterus</w:t>
            </w:r>
            <w:r w:rsidR="00A8783E" w:rsidRPr="00A8783E">
              <w:rPr>
                <w:rStyle w:val="Hyperlink"/>
                <w:rFonts w:ascii="Times New Roman" w:hAnsi="Times New Roman"/>
                <w:noProof/>
                <w:color w:val="1F497D" w:themeColor="text2"/>
              </w:rPr>
              <w:t xml:space="preserve"> (белокрила рибарка)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_Toc98838651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526</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52" w:history="1">
            <w:r w:rsidR="00A8783E" w:rsidRPr="00A8783E">
              <w:rPr>
                <w:rStyle w:val="Hyperlink"/>
                <w:rFonts w:ascii="Times New Roman" w:hAnsi="Times New Roman"/>
                <w:noProof/>
                <w:color w:val="1F497D" w:themeColor="text2"/>
              </w:rPr>
              <w:t xml:space="preserve">Специфични цели за А215 </w:t>
            </w:r>
            <w:r w:rsidR="00A8783E" w:rsidRPr="00A8783E">
              <w:rPr>
                <w:rStyle w:val="Hyperlink"/>
                <w:rFonts w:ascii="Times New Roman" w:hAnsi="Times New Roman"/>
                <w:i/>
                <w:iCs/>
                <w:noProof/>
                <w:color w:val="1F497D" w:themeColor="text2"/>
              </w:rPr>
              <w:t>Bubo bubo</w:t>
            </w:r>
            <w:r w:rsidR="00A8783E" w:rsidRPr="00A8783E">
              <w:rPr>
                <w:rStyle w:val="Hyperlink"/>
                <w:rFonts w:ascii="Times New Roman" w:hAnsi="Times New Roman"/>
                <w:noProof/>
                <w:color w:val="1F497D" w:themeColor="text2"/>
              </w:rPr>
              <w:t xml:space="preserve"> (бухал)</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_Toc98838652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528</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53" w:history="1">
            <w:r w:rsidR="00A8783E" w:rsidRPr="00A8783E">
              <w:rPr>
                <w:rStyle w:val="Hyperlink"/>
                <w:rFonts w:ascii="Times New Roman" w:hAnsi="Times New Roman"/>
                <w:noProof/>
                <w:color w:val="1F497D" w:themeColor="text2"/>
              </w:rPr>
              <w:t xml:space="preserve">Специфични цели за  A229 </w:t>
            </w:r>
            <w:r w:rsidR="00A8783E" w:rsidRPr="00A8783E">
              <w:rPr>
                <w:rStyle w:val="Hyperlink"/>
                <w:rFonts w:ascii="Times New Roman" w:hAnsi="Times New Roman"/>
                <w:i/>
                <w:iCs/>
                <w:noProof/>
                <w:color w:val="1F497D" w:themeColor="text2"/>
              </w:rPr>
              <w:t>Alcedo atthis</w:t>
            </w:r>
            <w:r w:rsidR="00A8783E" w:rsidRPr="00A8783E">
              <w:rPr>
                <w:rStyle w:val="Hyperlink"/>
                <w:rFonts w:ascii="Times New Roman" w:hAnsi="Times New Roman"/>
                <w:noProof/>
                <w:color w:val="1F497D" w:themeColor="text2"/>
              </w:rPr>
              <w:t xml:space="preserve"> (земеродно рибарче)</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_Toc98838653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531</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54" w:history="1">
            <w:r w:rsidR="00A8783E" w:rsidRPr="00A8783E">
              <w:rPr>
                <w:rStyle w:val="Hyperlink"/>
                <w:rFonts w:ascii="Times New Roman" w:hAnsi="Times New Roman"/>
                <w:noProof/>
                <w:color w:val="1F497D" w:themeColor="text2"/>
              </w:rPr>
              <w:t xml:space="preserve">Специфични цели за </w:t>
            </w:r>
            <w:r w:rsidR="00A8783E" w:rsidRPr="00A8783E">
              <w:rPr>
                <w:rStyle w:val="Hyperlink"/>
                <w:rFonts w:ascii="Times New Roman" w:hAnsi="Times New Roman"/>
                <w:noProof/>
                <w:color w:val="1F497D" w:themeColor="text2"/>
                <w:lang w:val="en-GB"/>
              </w:rPr>
              <w:t>A</w:t>
            </w:r>
            <w:r w:rsidR="00A8783E" w:rsidRPr="00A8783E">
              <w:rPr>
                <w:rStyle w:val="Hyperlink"/>
                <w:rFonts w:ascii="Times New Roman" w:hAnsi="Times New Roman"/>
                <w:noProof/>
                <w:color w:val="1F497D" w:themeColor="text2"/>
              </w:rPr>
              <w:t xml:space="preserve">230 </w:t>
            </w:r>
            <w:r w:rsidR="00A8783E" w:rsidRPr="00A8783E">
              <w:rPr>
                <w:rStyle w:val="Hyperlink"/>
                <w:rFonts w:ascii="Times New Roman" w:hAnsi="Times New Roman"/>
                <w:i/>
                <w:iCs/>
                <w:noProof/>
                <w:color w:val="1F497D" w:themeColor="text2"/>
                <w:lang w:val="en-GB"/>
              </w:rPr>
              <w:t>Merops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GB"/>
              </w:rPr>
              <w:t>apiaster</w:t>
            </w:r>
            <w:r w:rsidR="00A8783E" w:rsidRPr="00A8783E">
              <w:rPr>
                <w:rStyle w:val="Hyperlink"/>
                <w:rFonts w:ascii="Times New Roman" w:hAnsi="Times New Roman"/>
                <w:noProof/>
                <w:color w:val="1F497D" w:themeColor="text2"/>
              </w:rPr>
              <w:t xml:space="preserve"> (обикновен пчелояд)</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_Toc98838654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533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55" w:history="1">
            <w:r w:rsidR="00A8783E" w:rsidRPr="00A8783E">
              <w:rPr>
                <w:rStyle w:val="Hyperlink"/>
                <w:rFonts w:ascii="Times New Roman" w:hAnsi="Times New Roman"/>
                <w:noProof/>
                <w:color w:val="1F497D" w:themeColor="text2"/>
              </w:rPr>
              <w:t xml:space="preserve">Специфични цели за </w:t>
            </w:r>
            <w:r w:rsidR="00A8783E" w:rsidRPr="00A8783E">
              <w:rPr>
                <w:rStyle w:val="Hyperlink"/>
                <w:rFonts w:ascii="Times New Roman" w:hAnsi="Times New Roman"/>
                <w:noProof/>
                <w:color w:val="1F497D" w:themeColor="text2"/>
                <w:lang w:val="en-GB"/>
              </w:rPr>
              <w:t>A</w:t>
            </w:r>
            <w:r w:rsidR="00A8783E" w:rsidRPr="00A8783E">
              <w:rPr>
                <w:rStyle w:val="Hyperlink"/>
                <w:rFonts w:ascii="Times New Roman" w:hAnsi="Times New Roman"/>
                <w:noProof/>
                <w:color w:val="1F497D" w:themeColor="text2"/>
              </w:rPr>
              <w:t xml:space="preserve">231 </w:t>
            </w:r>
            <w:r w:rsidR="00A8783E" w:rsidRPr="00A8783E">
              <w:rPr>
                <w:rStyle w:val="Hyperlink"/>
                <w:rFonts w:ascii="Times New Roman" w:hAnsi="Times New Roman"/>
                <w:i/>
                <w:iCs/>
                <w:noProof/>
                <w:color w:val="1F497D" w:themeColor="text2"/>
                <w:lang w:val="en-GB"/>
              </w:rPr>
              <w:t>Coracias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GB"/>
              </w:rPr>
              <w:t>garrulus</w:t>
            </w:r>
            <w:r w:rsidR="00A8783E" w:rsidRPr="00A8783E">
              <w:rPr>
                <w:rStyle w:val="Hyperlink"/>
                <w:rFonts w:ascii="Times New Roman" w:hAnsi="Times New Roman"/>
                <w:noProof/>
                <w:color w:val="1F497D" w:themeColor="text2"/>
              </w:rPr>
              <w:t xml:space="preserve"> (синявица)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_Toc98838655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537</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56" w:history="1">
            <w:r w:rsidR="00A8783E" w:rsidRPr="00A8783E">
              <w:rPr>
                <w:rStyle w:val="Hyperlink"/>
                <w:rFonts w:ascii="Times New Roman" w:hAnsi="Times New Roman"/>
                <w:noProof/>
                <w:color w:val="1F497D" w:themeColor="text2"/>
              </w:rPr>
              <w:t xml:space="preserve">Специфични цели за  A234 </w:t>
            </w:r>
            <w:r w:rsidR="00A8783E" w:rsidRPr="00A8783E">
              <w:rPr>
                <w:rStyle w:val="Hyperlink"/>
                <w:rFonts w:ascii="Times New Roman" w:hAnsi="Times New Roman"/>
                <w:i/>
                <w:iCs/>
                <w:noProof/>
                <w:color w:val="1F497D" w:themeColor="text2"/>
              </w:rPr>
              <w:t>Picus canus</w:t>
            </w:r>
            <w:r w:rsidR="00A8783E" w:rsidRPr="00A8783E">
              <w:rPr>
                <w:rStyle w:val="Hyperlink"/>
                <w:rFonts w:ascii="Times New Roman" w:hAnsi="Times New Roman"/>
                <w:noProof/>
                <w:color w:val="1F497D" w:themeColor="text2"/>
              </w:rPr>
              <w:t xml:space="preserve"> (Сив кълвач)</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_Toc98838656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540</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57" w:history="1">
            <w:r w:rsidR="00A8783E" w:rsidRPr="00A8783E">
              <w:rPr>
                <w:rStyle w:val="Hyperlink"/>
                <w:rFonts w:ascii="Times New Roman" w:hAnsi="Times New Roman"/>
                <w:noProof/>
                <w:color w:val="1F497D" w:themeColor="text2"/>
              </w:rPr>
              <w:t xml:space="preserve">Специфични цели за А236 </w:t>
            </w:r>
            <w:r w:rsidR="00A8783E" w:rsidRPr="00A8783E">
              <w:rPr>
                <w:rStyle w:val="Hyperlink"/>
                <w:rFonts w:ascii="Times New Roman" w:hAnsi="Times New Roman"/>
                <w:i/>
                <w:iCs/>
                <w:noProof/>
                <w:color w:val="1F497D" w:themeColor="text2"/>
              </w:rPr>
              <w:t xml:space="preserve">Dryocopus martius </w:t>
            </w:r>
            <w:r w:rsidR="00A8783E" w:rsidRPr="00A8783E">
              <w:rPr>
                <w:rStyle w:val="Hyperlink"/>
                <w:rFonts w:ascii="Times New Roman" w:hAnsi="Times New Roman"/>
                <w:noProof/>
                <w:color w:val="1F497D" w:themeColor="text2"/>
              </w:rPr>
              <w:t>(черен кълвач)</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_Toc98838657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542</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58" w:history="1">
            <w:r w:rsidR="00A8783E" w:rsidRPr="00A8783E">
              <w:rPr>
                <w:rStyle w:val="Hyperlink"/>
                <w:rFonts w:ascii="Times New Roman" w:hAnsi="Times New Roman"/>
                <w:noProof/>
                <w:color w:val="1F497D" w:themeColor="text2"/>
                <w:lang w:val="ru-RU"/>
              </w:rPr>
              <w:t xml:space="preserve">Специфични цели за </w:t>
            </w:r>
            <w:r w:rsidR="00A8783E" w:rsidRPr="00A8783E">
              <w:rPr>
                <w:rStyle w:val="Hyperlink"/>
                <w:rFonts w:ascii="Times New Roman" w:hAnsi="Times New Roman"/>
                <w:noProof/>
                <w:color w:val="1F497D" w:themeColor="text2"/>
                <w:lang w:val="en-GB"/>
              </w:rPr>
              <w:t>A</w:t>
            </w:r>
            <w:r w:rsidR="00A8783E" w:rsidRPr="00A8783E">
              <w:rPr>
                <w:rStyle w:val="Hyperlink"/>
                <w:rFonts w:ascii="Times New Roman" w:hAnsi="Times New Roman"/>
                <w:noProof/>
                <w:color w:val="1F497D" w:themeColor="text2"/>
                <w:lang w:val="ru-RU"/>
              </w:rPr>
              <w:t xml:space="preserve">246 </w:t>
            </w:r>
            <w:r w:rsidR="00A8783E" w:rsidRPr="00A8783E">
              <w:rPr>
                <w:rStyle w:val="Hyperlink"/>
                <w:rFonts w:ascii="Times New Roman" w:hAnsi="Times New Roman"/>
                <w:i/>
                <w:iCs/>
                <w:noProof/>
                <w:color w:val="1F497D" w:themeColor="text2"/>
                <w:lang w:val="en-GB"/>
              </w:rPr>
              <w:t>Lullula</w:t>
            </w:r>
            <w:r w:rsidR="00A8783E" w:rsidRPr="00A8783E">
              <w:rPr>
                <w:rStyle w:val="Hyperlink"/>
                <w:rFonts w:ascii="Times New Roman" w:hAnsi="Times New Roman"/>
                <w:i/>
                <w:iCs/>
                <w:noProof/>
                <w:color w:val="1F497D" w:themeColor="text2"/>
                <w:lang w:val="ru-RU"/>
              </w:rPr>
              <w:t xml:space="preserve"> </w:t>
            </w:r>
            <w:r w:rsidR="00A8783E" w:rsidRPr="00A8783E">
              <w:rPr>
                <w:rStyle w:val="Hyperlink"/>
                <w:rFonts w:ascii="Times New Roman" w:hAnsi="Times New Roman"/>
                <w:i/>
                <w:iCs/>
                <w:noProof/>
                <w:color w:val="1F497D" w:themeColor="text2"/>
                <w:lang w:val="en-GB"/>
              </w:rPr>
              <w:t>arborea</w:t>
            </w:r>
            <w:r w:rsidR="00A8783E" w:rsidRPr="00A8783E">
              <w:rPr>
                <w:rStyle w:val="Hyperlink"/>
                <w:rFonts w:ascii="Times New Roman" w:hAnsi="Times New Roman"/>
                <w:noProof/>
                <w:color w:val="1F497D" w:themeColor="text2"/>
                <w:lang w:val="ru-RU"/>
              </w:rPr>
              <w:t xml:space="preserve"> </w:t>
            </w:r>
            <w:r w:rsidR="00A8783E" w:rsidRPr="00A8783E">
              <w:rPr>
                <w:rStyle w:val="Hyperlink"/>
                <w:rFonts w:ascii="Times New Roman" w:hAnsi="Times New Roman"/>
                <w:noProof/>
                <w:color w:val="1F497D" w:themeColor="text2"/>
              </w:rPr>
              <w:t>(горска чучулига)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_Toc98838658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545</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59" w:history="1">
            <w:r w:rsidR="00A8783E" w:rsidRPr="00A8783E">
              <w:rPr>
                <w:rStyle w:val="Hyperlink"/>
                <w:rFonts w:ascii="Times New Roman" w:hAnsi="Times New Roman"/>
                <w:noProof/>
                <w:color w:val="1F497D" w:themeColor="text2"/>
              </w:rPr>
              <w:t xml:space="preserve">Специфични цели за  </w:t>
            </w:r>
            <w:r w:rsidR="00A8783E" w:rsidRPr="00A8783E">
              <w:rPr>
                <w:rStyle w:val="Hyperlink"/>
                <w:rFonts w:ascii="Times New Roman" w:hAnsi="Times New Roman"/>
                <w:noProof/>
                <w:color w:val="1F497D" w:themeColor="text2"/>
                <w:lang w:val="en-US"/>
              </w:rPr>
              <w:t>A</w:t>
            </w:r>
            <w:r w:rsidR="00A8783E" w:rsidRPr="00A8783E">
              <w:rPr>
                <w:rStyle w:val="Hyperlink"/>
                <w:rFonts w:ascii="Times New Roman" w:hAnsi="Times New Roman"/>
                <w:noProof/>
                <w:color w:val="1F497D" w:themeColor="text2"/>
              </w:rPr>
              <w:t xml:space="preserve">255 </w:t>
            </w:r>
            <w:r w:rsidR="00A8783E" w:rsidRPr="00A8783E">
              <w:rPr>
                <w:rStyle w:val="Hyperlink"/>
                <w:rFonts w:ascii="Times New Roman" w:hAnsi="Times New Roman"/>
                <w:i/>
                <w:iCs/>
                <w:noProof/>
                <w:color w:val="1F497D" w:themeColor="text2"/>
                <w:lang w:val="en-US"/>
              </w:rPr>
              <w:t>Anthus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US"/>
              </w:rPr>
              <w:t>campestris</w:t>
            </w:r>
            <w:r w:rsidR="00A8783E" w:rsidRPr="00A8783E">
              <w:rPr>
                <w:rStyle w:val="Hyperlink"/>
                <w:rFonts w:ascii="Times New Roman" w:hAnsi="Times New Roman"/>
                <w:noProof/>
                <w:color w:val="1F497D" w:themeColor="text2"/>
              </w:rPr>
              <w:t xml:space="preserve">  (полска бъбрица)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_Toc98838659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546</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60" w:history="1">
            <w:r w:rsidR="00A8783E" w:rsidRPr="00A8783E">
              <w:rPr>
                <w:rStyle w:val="Hyperlink"/>
                <w:rFonts w:ascii="Times New Roman" w:hAnsi="Times New Roman"/>
                <w:noProof/>
                <w:color w:val="1F497D" w:themeColor="text2"/>
              </w:rPr>
              <w:t xml:space="preserve">Специфични цели за </w:t>
            </w:r>
            <w:r w:rsidR="00A8783E" w:rsidRPr="00A8783E">
              <w:rPr>
                <w:rStyle w:val="Hyperlink"/>
                <w:rFonts w:ascii="Times New Roman" w:hAnsi="Times New Roman"/>
                <w:noProof/>
                <w:color w:val="1F497D" w:themeColor="text2"/>
                <w:lang w:val="en-GB"/>
              </w:rPr>
              <w:t>A</w:t>
            </w:r>
            <w:r w:rsidR="00A8783E" w:rsidRPr="00A8783E">
              <w:rPr>
                <w:rStyle w:val="Hyperlink"/>
                <w:rFonts w:ascii="Times New Roman" w:hAnsi="Times New Roman"/>
                <w:noProof/>
                <w:color w:val="1F497D" w:themeColor="text2"/>
              </w:rPr>
              <w:t xml:space="preserve">480 </w:t>
            </w:r>
            <w:r w:rsidR="00A8783E" w:rsidRPr="00A8783E">
              <w:rPr>
                <w:rStyle w:val="Hyperlink"/>
                <w:rFonts w:ascii="Times New Roman" w:hAnsi="Times New Roman"/>
                <w:i/>
                <w:iCs/>
                <w:noProof/>
                <w:color w:val="1F497D" w:themeColor="text2"/>
                <w:lang w:val="en-US"/>
              </w:rPr>
              <w:t>L</w:t>
            </w:r>
            <w:r w:rsidR="00A8783E" w:rsidRPr="00A8783E">
              <w:rPr>
                <w:rStyle w:val="Hyperlink"/>
                <w:rFonts w:ascii="Times New Roman" w:hAnsi="Times New Roman"/>
                <w:i/>
                <w:iCs/>
                <w:noProof/>
                <w:color w:val="1F497D" w:themeColor="text2"/>
                <w:lang w:val="en-GB"/>
              </w:rPr>
              <w:t>uscinia</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GB"/>
              </w:rPr>
              <w:t>svecica</w:t>
            </w:r>
            <w:r w:rsidR="00A8783E" w:rsidRPr="00A8783E">
              <w:rPr>
                <w:rStyle w:val="Hyperlink"/>
                <w:rFonts w:ascii="Times New Roman" w:hAnsi="Times New Roman"/>
                <w:i/>
                <w:iCs/>
                <w:noProof/>
                <w:color w:val="1F497D" w:themeColor="text2"/>
              </w:rPr>
              <w:t>/</w:t>
            </w:r>
            <w:r w:rsidR="00A8783E" w:rsidRPr="00A8783E">
              <w:rPr>
                <w:rStyle w:val="Hyperlink"/>
                <w:rFonts w:cs="Calibri"/>
                <w:noProof/>
                <w:color w:val="1F497D" w:themeColor="text2"/>
              </w:rPr>
              <w:t xml:space="preserve"> </w:t>
            </w:r>
            <w:r w:rsidR="00A8783E" w:rsidRPr="00A8783E">
              <w:rPr>
                <w:rStyle w:val="Hyperlink"/>
                <w:rFonts w:ascii="Times New Roman" w:hAnsi="Times New Roman"/>
                <w:i/>
                <w:iCs/>
                <w:noProof/>
                <w:color w:val="1F497D" w:themeColor="text2"/>
              </w:rPr>
              <w:t>Cyanecula svecica</w:t>
            </w:r>
            <w:r w:rsidR="00A8783E" w:rsidRPr="00A8783E">
              <w:rPr>
                <w:rStyle w:val="Hyperlink"/>
                <w:rFonts w:ascii="Times New Roman" w:hAnsi="Times New Roman"/>
                <w:noProof/>
                <w:color w:val="1F497D" w:themeColor="text2"/>
              </w:rPr>
              <w:t xml:space="preserve"> (синьогушка)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_Toc98838660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548</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61" w:history="1">
            <w:r w:rsidR="00A8783E" w:rsidRPr="00A8783E">
              <w:rPr>
                <w:rStyle w:val="Hyperlink"/>
                <w:rFonts w:ascii="Times New Roman" w:hAnsi="Times New Roman"/>
                <w:noProof/>
                <w:color w:val="1F497D" w:themeColor="text2"/>
              </w:rPr>
              <w:t xml:space="preserve">Специфични цели за </w:t>
            </w:r>
            <w:r w:rsidR="00A8783E" w:rsidRPr="00A8783E">
              <w:rPr>
                <w:rStyle w:val="Hyperlink"/>
                <w:rFonts w:ascii="Times New Roman" w:hAnsi="Times New Roman"/>
                <w:noProof/>
                <w:color w:val="1F497D" w:themeColor="text2"/>
                <w:lang w:val="en-GB"/>
              </w:rPr>
              <w:t>A</w:t>
            </w:r>
            <w:r w:rsidR="00A8783E" w:rsidRPr="00A8783E">
              <w:rPr>
                <w:rStyle w:val="Hyperlink"/>
                <w:rFonts w:ascii="Times New Roman" w:hAnsi="Times New Roman"/>
                <w:noProof/>
                <w:color w:val="1F497D" w:themeColor="text2"/>
              </w:rPr>
              <w:t xml:space="preserve">293 </w:t>
            </w:r>
            <w:r w:rsidR="00A8783E" w:rsidRPr="00A8783E">
              <w:rPr>
                <w:rStyle w:val="Hyperlink"/>
                <w:rFonts w:ascii="Times New Roman" w:hAnsi="Times New Roman"/>
                <w:i/>
                <w:iCs/>
                <w:noProof/>
                <w:color w:val="1F497D" w:themeColor="text2"/>
                <w:lang w:val="en-GB"/>
              </w:rPr>
              <w:t>Acrocephalus</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GB"/>
              </w:rPr>
              <w:t>melanopogon</w:t>
            </w:r>
            <w:r w:rsidR="00A8783E" w:rsidRPr="00A8783E">
              <w:rPr>
                <w:rStyle w:val="Hyperlink"/>
                <w:rFonts w:ascii="Times New Roman" w:hAnsi="Times New Roman"/>
                <w:noProof/>
                <w:color w:val="1F497D" w:themeColor="text2"/>
              </w:rPr>
              <w:t xml:space="preserve"> (мустакато шаварче)</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_Toc98838661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550</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62" w:history="1">
            <w:r w:rsidR="00A8783E" w:rsidRPr="00A8783E">
              <w:rPr>
                <w:rStyle w:val="Hyperlink"/>
                <w:rFonts w:ascii="Times New Roman" w:hAnsi="Times New Roman"/>
                <w:noProof/>
                <w:color w:val="1F497D" w:themeColor="text2"/>
              </w:rPr>
              <w:t xml:space="preserve">Специфични цели за  </w:t>
            </w:r>
            <w:r w:rsidR="00A8783E" w:rsidRPr="00A8783E">
              <w:rPr>
                <w:rStyle w:val="Hyperlink"/>
                <w:rFonts w:ascii="Times New Roman" w:hAnsi="Times New Roman"/>
                <w:noProof/>
                <w:color w:val="1F497D" w:themeColor="text2"/>
                <w:lang w:val="en-GB"/>
              </w:rPr>
              <w:t>A</w:t>
            </w:r>
            <w:r w:rsidR="00A8783E" w:rsidRPr="00A8783E">
              <w:rPr>
                <w:rStyle w:val="Hyperlink"/>
                <w:rFonts w:ascii="Times New Roman" w:hAnsi="Times New Roman"/>
                <w:noProof/>
                <w:color w:val="1F497D" w:themeColor="text2"/>
              </w:rPr>
              <w:t xml:space="preserve">307 </w:t>
            </w:r>
            <w:r w:rsidR="00A8783E" w:rsidRPr="00A8783E">
              <w:rPr>
                <w:rStyle w:val="Hyperlink"/>
                <w:rFonts w:ascii="Times New Roman" w:hAnsi="Times New Roman"/>
                <w:i/>
                <w:iCs/>
                <w:noProof/>
                <w:color w:val="1F497D" w:themeColor="text2"/>
                <w:lang w:val="en-GB"/>
              </w:rPr>
              <w:t>Sylvia</w:t>
            </w:r>
            <w:r w:rsidR="00A8783E" w:rsidRPr="00A8783E">
              <w:rPr>
                <w:rStyle w:val="Hyperlink"/>
                <w:rFonts w:ascii="Times New Roman" w:hAnsi="Times New Roman"/>
                <w:i/>
                <w:iCs/>
                <w:noProof/>
                <w:color w:val="1F497D" w:themeColor="text2"/>
              </w:rPr>
              <w:t xml:space="preserve"> </w:t>
            </w:r>
            <w:r w:rsidR="00A8783E" w:rsidRPr="00A8783E">
              <w:rPr>
                <w:rStyle w:val="Hyperlink"/>
                <w:rFonts w:ascii="Times New Roman" w:hAnsi="Times New Roman"/>
                <w:i/>
                <w:iCs/>
                <w:noProof/>
                <w:color w:val="1F497D" w:themeColor="text2"/>
                <w:lang w:val="en-GB"/>
              </w:rPr>
              <w:t>nisoria</w:t>
            </w:r>
            <w:r w:rsidR="00A8783E" w:rsidRPr="00A8783E">
              <w:rPr>
                <w:rStyle w:val="Hyperlink"/>
                <w:rFonts w:ascii="Times New Roman" w:hAnsi="Times New Roman"/>
                <w:noProof/>
                <w:color w:val="1F497D" w:themeColor="text2"/>
              </w:rPr>
              <w:t xml:space="preserve"> (ястребогушо коприварче)</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_Toc98838662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551</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63" w:history="1">
            <w:r w:rsidR="00A8783E" w:rsidRPr="00A8783E">
              <w:rPr>
                <w:rStyle w:val="Hyperlink"/>
                <w:rFonts w:ascii="Times New Roman" w:hAnsi="Times New Roman"/>
                <w:noProof/>
                <w:color w:val="1F497D" w:themeColor="text2"/>
              </w:rPr>
              <w:t>Специфични цели за</w:t>
            </w:r>
            <w:r w:rsidR="00A8783E" w:rsidRPr="00A8783E">
              <w:rPr>
                <w:rStyle w:val="Hyperlink"/>
                <w:rFonts w:ascii="Times New Roman" w:hAnsi="Times New Roman"/>
                <w:noProof/>
                <w:color w:val="1F497D" w:themeColor="text2"/>
                <w:lang w:val="ru-RU"/>
              </w:rPr>
              <w:t xml:space="preserve"> А338 </w:t>
            </w:r>
            <w:r w:rsidR="00A8783E" w:rsidRPr="00A8783E">
              <w:rPr>
                <w:rStyle w:val="Hyperlink"/>
                <w:rFonts w:ascii="Times New Roman" w:hAnsi="Times New Roman"/>
                <w:i/>
                <w:iCs/>
                <w:noProof/>
                <w:color w:val="1F497D" w:themeColor="text2"/>
                <w:lang w:val="en-US"/>
              </w:rPr>
              <w:t>Lanius</w:t>
            </w:r>
            <w:r w:rsidR="00A8783E" w:rsidRPr="00A8783E">
              <w:rPr>
                <w:rStyle w:val="Hyperlink"/>
                <w:rFonts w:ascii="Times New Roman" w:hAnsi="Times New Roman"/>
                <w:i/>
                <w:iCs/>
                <w:noProof/>
                <w:color w:val="1F497D" w:themeColor="text2"/>
                <w:lang w:val="ru-RU"/>
              </w:rPr>
              <w:t xml:space="preserve"> </w:t>
            </w:r>
            <w:r w:rsidR="00A8783E" w:rsidRPr="00A8783E">
              <w:rPr>
                <w:rStyle w:val="Hyperlink"/>
                <w:rFonts w:ascii="Times New Roman" w:hAnsi="Times New Roman"/>
                <w:i/>
                <w:iCs/>
                <w:noProof/>
                <w:color w:val="1F497D" w:themeColor="text2"/>
                <w:lang w:val="en-US"/>
              </w:rPr>
              <w:t>collurio</w:t>
            </w:r>
            <w:r w:rsidR="00A8783E" w:rsidRPr="00A8783E">
              <w:rPr>
                <w:rStyle w:val="Hyperlink"/>
                <w:rFonts w:ascii="Times New Roman" w:hAnsi="Times New Roman"/>
                <w:noProof/>
                <w:color w:val="1F497D" w:themeColor="text2"/>
                <w:lang w:val="ru-RU"/>
              </w:rPr>
              <w:t xml:space="preserve"> (червеногърба сврачка)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_Toc98838663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553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64" w:history="1">
            <w:r w:rsidR="00A8783E" w:rsidRPr="00A8783E">
              <w:rPr>
                <w:rStyle w:val="Hyperlink"/>
                <w:rFonts w:ascii="Times New Roman" w:hAnsi="Times New Roman"/>
                <w:noProof/>
                <w:color w:val="1F497D" w:themeColor="text2"/>
              </w:rPr>
              <w:t>Специфични цели за</w:t>
            </w:r>
            <w:r w:rsidR="00A8783E" w:rsidRPr="00A8783E">
              <w:rPr>
                <w:rStyle w:val="Hyperlink"/>
                <w:rFonts w:ascii="Times New Roman" w:hAnsi="Times New Roman"/>
                <w:noProof/>
                <w:color w:val="1F497D" w:themeColor="text2"/>
                <w:lang w:val="ru-RU"/>
              </w:rPr>
              <w:t xml:space="preserve"> А339 </w:t>
            </w:r>
            <w:r w:rsidR="00A8783E" w:rsidRPr="00A8783E">
              <w:rPr>
                <w:rStyle w:val="Hyperlink"/>
                <w:rFonts w:ascii="Times New Roman" w:hAnsi="Times New Roman"/>
                <w:i/>
                <w:iCs/>
                <w:noProof/>
                <w:color w:val="1F497D" w:themeColor="text2"/>
                <w:lang w:val="en-US"/>
              </w:rPr>
              <w:t>Lanius</w:t>
            </w:r>
            <w:r w:rsidR="00A8783E" w:rsidRPr="00A8783E">
              <w:rPr>
                <w:rStyle w:val="Hyperlink"/>
                <w:rFonts w:ascii="Times New Roman" w:hAnsi="Times New Roman"/>
                <w:i/>
                <w:iCs/>
                <w:noProof/>
                <w:color w:val="1F497D" w:themeColor="text2"/>
                <w:lang w:val="ru-RU"/>
              </w:rPr>
              <w:t xml:space="preserve"> </w:t>
            </w:r>
            <w:r w:rsidR="00A8783E" w:rsidRPr="00A8783E">
              <w:rPr>
                <w:rStyle w:val="Hyperlink"/>
                <w:rFonts w:ascii="Times New Roman" w:hAnsi="Times New Roman"/>
                <w:i/>
                <w:iCs/>
                <w:noProof/>
                <w:color w:val="1F497D" w:themeColor="text2"/>
                <w:lang w:val="en-US"/>
              </w:rPr>
              <w:t>minor</w:t>
            </w:r>
            <w:r w:rsidR="00A8783E" w:rsidRPr="00A8783E">
              <w:rPr>
                <w:rStyle w:val="Hyperlink"/>
                <w:rFonts w:ascii="Times New Roman" w:hAnsi="Times New Roman"/>
                <w:noProof/>
                <w:color w:val="1F497D" w:themeColor="text2"/>
                <w:lang w:val="ru-RU"/>
              </w:rPr>
              <w:t xml:space="preserve"> (черночела сврачка)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_Toc98838664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556</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65" w:history="1">
            <w:r w:rsidR="00A8783E" w:rsidRPr="00A8783E">
              <w:rPr>
                <w:rStyle w:val="Hyperlink"/>
                <w:rFonts w:ascii="Times New Roman" w:hAnsi="Times New Roman"/>
                <w:noProof/>
                <w:color w:val="1F497D" w:themeColor="text2"/>
              </w:rPr>
              <w:t xml:space="preserve">Специфични цели за А379 </w:t>
            </w:r>
            <w:r w:rsidR="00A8783E" w:rsidRPr="00A8783E">
              <w:rPr>
                <w:rStyle w:val="Hyperlink"/>
                <w:rFonts w:ascii="Times New Roman" w:hAnsi="Times New Roman"/>
                <w:i/>
                <w:iCs/>
                <w:noProof/>
                <w:color w:val="1F497D" w:themeColor="text2"/>
              </w:rPr>
              <w:t xml:space="preserve">Emberiza hortulana </w:t>
            </w:r>
            <w:r w:rsidR="00A8783E" w:rsidRPr="00A8783E">
              <w:rPr>
                <w:rStyle w:val="Hyperlink"/>
                <w:rFonts w:ascii="Times New Roman" w:hAnsi="Times New Roman"/>
                <w:noProof/>
                <w:color w:val="1F497D" w:themeColor="text2"/>
              </w:rPr>
              <w:t>(градинска овесарка)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_Toc98838665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559</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66" w:history="1">
            <w:r w:rsidR="00A8783E" w:rsidRPr="00A8783E">
              <w:rPr>
                <w:rStyle w:val="Hyperlink"/>
                <w:rFonts w:ascii="Times New Roman" w:hAnsi="Times New Roman"/>
                <w:noProof/>
                <w:color w:val="1F497D" w:themeColor="text2"/>
              </w:rPr>
              <w:t>Специфични цели за А</w:t>
            </w:r>
            <w:r w:rsidR="00A8783E" w:rsidRPr="00A8783E">
              <w:rPr>
                <w:rStyle w:val="Hyperlink"/>
                <w:rFonts w:ascii="Times New Roman" w:hAnsi="Times New Roman"/>
                <w:noProof/>
                <w:color w:val="1F497D" w:themeColor="text2"/>
                <w:lang w:val="ru-RU"/>
              </w:rPr>
              <w:t>875</w:t>
            </w:r>
            <w:r w:rsidR="00A8783E" w:rsidRPr="00A8783E">
              <w:rPr>
                <w:rStyle w:val="Hyperlink"/>
                <w:rFonts w:ascii="Times New Roman" w:hAnsi="Times New Roman"/>
                <w:noProof/>
                <w:color w:val="1F497D" w:themeColor="text2"/>
              </w:rPr>
              <w:t xml:space="preserve"> </w:t>
            </w:r>
            <w:r w:rsidR="00A8783E" w:rsidRPr="00A8783E">
              <w:rPr>
                <w:rStyle w:val="Hyperlink"/>
                <w:rFonts w:ascii="Times New Roman" w:hAnsi="Times New Roman"/>
                <w:i/>
                <w:iCs/>
                <w:noProof/>
                <w:color w:val="1F497D" w:themeColor="text2"/>
                <w:lang w:val="en-GB"/>
              </w:rPr>
              <w:t>Microcarbo</w:t>
            </w:r>
            <w:r w:rsidR="00A8783E" w:rsidRPr="00A8783E">
              <w:rPr>
                <w:rStyle w:val="Hyperlink"/>
                <w:rFonts w:ascii="Times New Roman" w:hAnsi="Times New Roman"/>
                <w:i/>
                <w:iCs/>
                <w:noProof/>
                <w:color w:val="1F497D" w:themeColor="text2"/>
                <w:lang w:val="ru-RU"/>
              </w:rPr>
              <w:t xml:space="preserve"> </w:t>
            </w:r>
            <w:r w:rsidR="00A8783E" w:rsidRPr="00A8783E">
              <w:rPr>
                <w:rStyle w:val="Hyperlink"/>
                <w:rFonts w:ascii="Times New Roman" w:hAnsi="Times New Roman"/>
                <w:i/>
                <w:iCs/>
                <w:noProof/>
                <w:color w:val="1F497D" w:themeColor="text2"/>
                <w:lang w:val="en-GB"/>
              </w:rPr>
              <w:t>pygmaeus</w:t>
            </w:r>
            <w:r w:rsidR="00A8783E" w:rsidRPr="00A8783E">
              <w:rPr>
                <w:rStyle w:val="Hyperlink"/>
                <w:rFonts w:ascii="Times New Roman" w:hAnsi="Times New Roman"/>
                <w:noProof/>
                <w:color w:val="1F497D" w:themeColor="text2"/>
              </w:rPr>
              <w:t xml:space="preserve"> (малък корморан)</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_Toc98838666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561</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67" w:history="1">
            <w:r w:rsidR="00A8783E" w:rsidRPr="00A8783E">
              <w:rPr>
                <w:rStyle w:val="Hyperlink"/>
                <w:rFonts w:ascii="Times New Roman" w:hAnsi="Times New Roman"/>
                <w:noProof/>
                <w:color w:val="1F497D" w:themeColor="text2"/>
              </w:rPr>
              <w:t>Специфични цели за А</w:t>
            </w:r>
            <w:r w:rsidR="00A8783E" w:rsidRPr="00A8783E">
              <w:rPr>
                <w:rStyle w:val="Hyperlink"/>
                <w:rFonts w:ascii="Times New Roman" w:hAnsi="Times New Roman"/>
                <w:noProof/>
                <w:color w:val="1F497D" w:themeColor="text2"/>
                <w:lang w:val="ru-RU"/>
              </w:rPr>
              <w:t>396</w:t>
            </w:r>
            <w:r w:rsidR="00A8783E" w:rsidRPr="00A8783E">
              <w:rPr>
                <w:rStyle w:val="Hyperlink"/>
                <w:rFonts w:ascii="Times New Roman" w:hAnsi="Times New Roman"/>
                <w:noProof/>
                <w:color w:val="1F497D" w:themeColor="text2"/>
              </w:rPr>
              <w:t xml:space="preserve"> </w:t>
            </w:r>
            <w:r w:rsidR="00A8783E" w:rsidRPr="00A8783E">
              <w:rPr>
                <w:rStyle w:val="Hyperlink"/>
                <w:rFonts w:ascii="Times New Roman" w:hAnsi="Times New Roman"/>
                <w:i/>
                <w:iCs/>
                <w:noProof/>
                <w:color w:val="1F497D" w:themeColor="text2"/>
                <w:lang w:val="en-GB"/>
              </w:rPr>
              <w:t>Branta</w:t>
            </w:r>
            <w:r w:rsidR="00A8783E" w:rsidRPr="00A8783E">
              <w:rPr>
                <w:rStyle w:val="Hyperlink"/>
                <w:rFonts w:ascii="Times New Roman" w:hAnsi="Times New Roman"/>
                <w:i/>
                <w:iCs/>
                <w:noProof/>
                <w:color w:val="1F497D" w:themeColor="text2"/>
                <w:lang w:val="ru-RU"/>
              </w:rPr>
              <w:t xml:space="preserve"> </w:t>
            </w:r>
            <w:r w:rsidR="00A8783E" w:rsidRPr="00A8783E">
              <w:rPr>
                <w:rStyle w:val="Hyperlink"/>
                <w:rFonts w:ascii="Times New Roman" w:hAnsi="Times New Roman"/>
                <w:i/>
                <w:iCs/>
                <w:noProof/>
                <w:color w:val="1F497D" w:themeColor="text2"/>
                <w:lang w:val="en-GB"/>
              </w:rPr>
              <w:t>ruficollis</w:t>
            </w:r>
            <w:r w:rsidR="00A8783E" w:rsidRPr="00A8783E">
              <w:rPr>
                <w:rStyle w:val="Hyperlink"/>
                <w:rFonts w:ascii="Times New Roman" w:hAnsi="Times New Roman"/>
                <w:noProof/>
                <w:color w:val="1F497D" w:themeColor="text2"/>
              </w:rPr>
              <w:t xml:space="preserve"> (червеногуша гъска)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_Toc98838667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566</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68" w:history="1">
            <w:r w:rsidR="00A8783E" w:rsidRPr="00A8783E">
              <w:rPr>
                <w:rStyle w:val="Hyperlink"/>
                <w:rFonts w:ascii="Times New Roman" w:hAnsi="Times New Roman"/>
                <w:noProof/>
                <w:color w:val="1F497D" w:themeColor="text2"/>
              </w:rPr>
              <w:t xml:space="preserve">Специфични цели за </w:t>
            </w:r>
            <w:r w:rsidR="00A8783E" w:rsidRPr="00A8783E">
              <w:rPr>
                <w:rStyle w:val="Hyperlink"/>
                <w:rFonts w:ascii="Times New Roman" w:hAnsi="Times New Roman"/>
                <w:noProof/>
                <w:color w:val="1F497D" w:themeColor="text2"/>
                <w:lang w:val="en-US"/>
              </w:rPr>
              <w:t xml:space="preserve">A397 </w:t>
            </w:r>
            <w:r w:rsidR="00A8783E" w:rsidRPr="00A8783E">
              <w:rPr>
                <w:rStyle w:val="Hyperlink"/>
                <w:rFonts w:ascii="Times New Roman" w:hAnsi="Times New Roman"/>
                <w:i/>
                <w:iCs/>
                <w:noProof/>
                <w:color w:val="1F497D" w:themeColor="text2"/>
                <w:lang w:val="en-US"/>
              </w:rPr>
              <w:t>T</w:t>
            </w:r>
            <w:r w:rsidR="00A8783E" w:rsidRPr="00A8783E">
              <w:rPr>
                <w:rStyle w:val="Hyperlink"/>
                <w:rFonts w:ascii="Times New Roman" w:hAnsi="Times New Roman"/>
                <w:i/>
                <w:iCs/>
                <w:noProof/>
                <w:color w:val="1F497D" w:themeColor="text2"/>
              </w:rPr>
              <w:t xml:space="preserve">adorna ferruginea </w:t>
            </w:r>
            <w:r w:rsidR="00A8783E" w:rsidRPr="00A8783E">
              <w:rPr>
                <w:rStyle w:val="Hyperlink"/>
                <w:rFonts w:ascii="Times New Roman" w:hAnsi="Times New Roman"/>
                <w:noProof/>
                <w:color w:val="1F497D" w:themeColor="text2"/>
              </w:rPr>
              <w:t>(червен ангъч)</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_Toc98838668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570</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69" w:history="1">
            <w:r w:rsidR="00A8783E" w:rsidRPr="00A8783E">
              <w:rPr>
                <w:rStyle w:val="Hyperlink"/>
                <w:rFonts w:ascii="Times New Roman" w:hAnsi="Times New Roman"/>
                <w:noProof/>
                <w:color w:val="1F497D" w:themeColor="text2"/>
              </w:rPr>
              <w:t>Специфични цели за А</w:t>
            </w:r>
            <w:r w:rsidR="00A8783E" w:rsidRPr="00A8783E">
              <w:rPr>
                <w:rStyle w:val="Hyperlink"/>
                <w:rFonts w:ascii="Times New Roman" w:hAnsi="Times New Roman"/>
                <w:noProof/>
                <w:color w:val="1F497D" w:themeColor="text2"/>
                <w:lang w:val="ru-RU"/>
              </w:rPr>
              <w:t>402</w:t>
            </w:r>
            <w:r w:rsidR="00A8783E" w:rsidRPr="00A8783E">
              <w:rPr>
                <w:rStyle w:val="Hyperlink"/>
                <w:rFonts w:ascii="Times New Roman" w:hAnsi="Times New Roman"/>
                <w:noProof/>
                <w:color w:val="1F497D" w:themeColor="text2"/>
              </w:rPr>
              <w:t xml:space="preserve"> </w:t>
            </w:r>
            <w:r w:rsidR="00A8783E" w:rsidRPr="00A8783E">
              <w:rPr>
                <w:rStyle w:val="Hyperlink"/>
                <w:rFonts w:ascii="Times New Roman" w:hAnsi="Times New Roman"/>
                <w:i/>
                <w:iCs/>
                <w:noProof/>
                <w:color w:val="1F497D" w:themeColor="text2"/>
                <w:lang w:val="en-GB"/>
              </w:rPr>
              <w:t>Accipiter</w:t>
            </w:r>
            <w:r w:rsidR="00A8783E" w:rsidRPr="00A8783E">
              <w:rPr>
                <w:rStyle w:val="Hyperlink"/>
                <w:rFonts w:ascii="Times New Roman" w:hAnsi="Times New Roman"/>
                <w:i/>
                <w:iCs/>
                <w:noProof/>
                <w:color w:val="1F497D" w:themeColor="text2"/>
                <w:lang w:val="ru-RU"/>
              </w:rPr>
              <w:t xml:space="preserve"> </w:t>
            </w:r>
            <w:r w:rsidR="00A8783E" w:rsidRPr="00A8783E">
              <w:rPr>
                <w:rStyle w:val="Hyperlink"/>
                <w:rFonts w:ascii="Times New Roman" w:hAnsi="Times New Roman"/>
                <w:i/>
                <w:iCs/>
                <w:noProof/>
                <w:color w:val="1F497D" w:themeColor="text2"/>
                <w:lang w:val="en-GB"/>
              </w:rPr>
              <w:t>brevipes</w:t>
            </w:r>
            <w:r w:rsidR="00A8783E" w:rsidRPr="00A8783E">
              <w:rPr>
                <w:rStyle w:val="Hyperlink"/>
                <w:rFonts w:ascii="Times New Roman" w:hAnsi="Times New Roman"/>
                <w:noProof/>
                <w:color w:val="1F497D" w:themeColor="text2"/>
              </w:rPr>
              <w:t xml:space="preserve"> (Късопръст ястреб)</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_Toc98838669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573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70" w:history="1">
            <w:r w:rsidR="00A8783E" w:rsidRPr="00A8783E">
              <w:rPr>
                <w:rStyle w:val="Hyperlink"/>
                <w:rFonts w:ascii="Times New Roman" w:hAnsi="Times New Roman"/>
                <w:noProof/>
                <w:color w:val="1F497D" w:themeColor="text2"/>
              </w:rPr>
              <w:t>Специфични цели за А</w:t>
            </w:r>
            <w:r w:rsidR="00A8783E" w:rsidRPr="00A8783E">
              <w:rPr>
                <w:rStyle w:val="Hyperlink"/>
                <w:rFonts w:ascii="Times New Roman" w:hAnsi="Times New Roman"/>
                <w:noProof/>
                <w:color w:val="1F497D" w:themeColor="text2"/>
                <w:lang w:val="ru-RU"/>
              </w:rPr>
              <w:t>403</w:t>
            </w:r>
            <w:r w:rsidR="00A8783E" w:rsidRPr="00A8783E">
              <w:rPr>
                <w:rStyle w:val="Hyperlink"/>
                <w:rFonts w:ascii="Times New Roman" w:hAnsi="Times New Roman"/>
                <w:noProof/>
                <w:color w:val="1F497D" w:themeColor="text2"/>
              </w:rPr>
              <w:t xml:space="preserve"> </w:t>
            </w:r>
            <w:r w:rsidR="00A8783E" w:rsidRPr="00A8783E">
              <w:rPr>
                <w:rStyle w:val="Hyperlink"/>
                <w:rFonts w:ascii="Times New Roman" w:hAnsi="Times New Roman"/>
                <w:i/>
                <w:iCs/>
                <w:noProof/>
                <w:color w:val="1F497D" w:themeColor="text2"/>
                <w:lang w:val="en-GB"/>
              </w:rPr>
              <w:t>Buteo</w:t>
            </w:r>
            <w:r w:rsidR="00A8783E" w:rsidRPr="00A8783E">
              <w:rPr>
                <w:rStyle w:val="Hyperlink"/>
                <w:rFonts w:ascii="Times New Roman" w:hAnsi="Times New Roman"/>
                <w:i/>
                <w:iCs/>
                <w:noProof/>
                <w:color w:val="1F497D" w:themeColor="text2"/>
                <w:lang w:val="ru-RU"/>
              </w:rPr>
              <w:t xml:space="preserve"> </w:t>
            </w:r>
            <w:r w:rsidR="00A8783E" w:rsidRPr="00A8783E">
              <w:rPr>
                <w:rStyle w:val="Hyperlink"/>
                <w:rFonts w:ascii="Times New Roman" w:hAnsi="Times New Roman"/>
                <w:i/>
                <w:iCs/>
                <w:noProof/>
                <w:color w:val="1F497D" w:themeColor="text2"/>
                <w:lang w:val="en-GB"/>
              </w:rPr>
              <w:t>rufinus</w:t>
            </w:r>
            <w:r w:rsidR="00A8783E" w:rsidRPr="00A8783E">
              <w:rPr>
                <w:rStyle w:val="Hyperlink"/>
                <w:rFonts w:ascii="Times New Roman" w:hAnsi="Times New Roman"/>
                <w:i/>
                <w:iCs/>
                <w:noProof/>
                <w:color w:val="1F497D" w:themeColor="text2"/>
                <w:lang w:val="ru-RU"/>
              </w:rPr>
              <w:t xml:space="preserve"> </w:t>
            </w:r>
            <w:r w:rsidR="00A8783E" w:rsidRPr="00A8783E">
              <w:rPr>
                <w:rStyle w:val="Hyperlink"/>
                <w:rFonts w:ascii="Times New Roman" w:hAnsi="Times New Roman"/>
                <w:noProof/>
                <w:color w:val="1F497D" w:themeColor="text2"/>
                <w:lang w:val="ru-RU"/>
              </w:rPr>
              <w:t>(белоопашат мишелов)</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_Toc98838670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576</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71" w:history="1">
            <w:r w:rsidR="00A8783E" w:rsidRPr="00A8783E">
              <w:rPr>
                <w:rStyle w:val="Hyperlink"/>
                <w:rFonts w:ascii="Times New Roman" w:hAnsi="Times New Roman"/>
                <w:noProof/>
                <w:color w:val="1F497D" w:themeColor="text2"/>
              </w:rPr>
              <w:t>Специфични цели за А</w:t>
            </w:r>
            <w:r w:rsidR="00A8783E" w:rsidRPr="00A8783E">
              <w:rPr>
                <w:rStyle w:val="Hyperlink"/>
                <w:rFonts w:ascii="Times New Roman" w:hAnsi="Times New Roman"/>
                <w:noProof/>
                <w:color w:val="1F497D" w:themeColor="text2"/>
                <w:lang w:val="ru-RU"/>
              </w:rPr>
              <w:t>404</w:t>
            </w:r>
            <w:r w:rsidR="00A8783E" w:rsidRPr="00A8783E">
              <w:rPr>
                <w:rStyle w:val="Hyperlink"/>
                <w:rFonts w:ascii="Times New Roman" w:hAnsi="Times New Roman"/>
                <w:noProof/>
                <w:color w:val="1F497D" w:themeColor="text2"/>
              </w:rPr>
              <w:t xml:space="preserve"> </w:t>
            </w:r>
            <w:r w:rsidR="00A8783E" w:rsidRPr="00A8783E">
              <w:rPr>
                <w:rStyle w:val="Hyperlink"/>
                <w:rFonts w:ascii="Times New Roman" w:hAnsi="Times New Roman"/>
                <w:i/>
                <w:iCs/>
                <w:noProof/>
                <w:color w:val="1F497D" w:themeColor="text2"/>
                <w:lang w:val="en-GB"/>
              </w:rPr>
              <w:t>Aquila</w:t>
            </w:r>
            <w:r w:rsidR="00A8783E" w:rsidRPr="00A8783E">
              <w:rPr>
                <w:rStyle w:val="Hyperlink"/>
                <w:rFonts w:ascii="Times New Roman" w:hAnsi="Times New Roman"/>
                <w:i/>
                <w:iCs/>
                <w:noProof/>
                <w:color w:val="1F497D" w:themeColor="text2"/>
                <w:lang w:val="ru-RU"/>
              </w:rPr>
              <w:t xml:space="preserve"> </w:t>
            </w:r>
            <w:r w:rsidR="00A8783E" w:rsidRPr="00A8783E">
              <w:rPr>
                <w:rStyle w:val="Hyperlink"/>
                <w:rFonts w:ascii="Times New Roman" w:hAnsi="Times New Roman"/>
                <w:i/>
                <w:iCs/>
                <w:noProof/>
                <w:color w:val="1F497D" w:themeColor="text2"/>
                <w:lang w:val="en-GB"/>
              </w:rPr>
              <w:t>heliaca</w:t>
            </w:r>
            <w:r w:rsidR="00A8783E" w:rsidRPr="00A8783E">
              <w:rPr>
                <w:rStyle w:val="Hyperlink"/>
                <w:rFonts w:ascii="Times New Roman" w:hAnsi="Times New Roman"/>
                <w:noProof/>
                <w:color w:val="1F497D" w:themeColor="text2"/>
              </w:rPr>
              <w:t xml:space="preserve"> (Царски орел)</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_Toc98838671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578</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72" w:history="1">
            <w:r w:rsidR="00A8783E" w:rsidRPr="00A8783E">
              <w:rPr>
                <w:rStyle w:val="Hyperlink"/>
                <w:rFonts w:ascii="Times New Roman" w:hAnsi="Times New Roman"/>
                <w:noProof/>
                <w:color w:val="1F497D" w:themeColor="text2"/>
              </w:rPr>
              <w:t xml:space="preserve">Специфични цели за A429 </w:t>
            </w:r>
            <w:r w:rsidR="00A8783E" w:rsidRPr="00A8783E">
              <w:rPr>
                <w:rStyle w:val="Hyperlink"/>
                <w:rFonts w:ascii="Times New Roman" w:hAnsi="Times New Roman"/>
                <w:i/>
                <w:iCs/>
                <w:noProof/>
                <w:color w:val="1F497D" w:themeColor="text2"/>
              </w:rPr>
              <w:t>Dendrocopos syriacus</w:t>
            </w:r>
            <w:r w:rsidR="00A8783E" w:rsidRPr="00A8783E">
              <w:rPr>
                <w:rStyle w:val="Hyperlink"/>
                <w:rFonts w:ascii="Times New Roman" w:hAnsi="Times New Roman"/>
                <w:noProof/>
                <w:color w:val="1F497D" w:themeColor="text2"/>
              </w:rPr>
              <w:t xml:space="preserve"> (сирийски пъстър кълвач)</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_Toc98838672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580</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73" w:history="1">
            <w:r w:rsidR="00A8783E" w:rsidRPr="00A8783E">
              <w:rPr>
                <w:rStyle w:val="Hyperlink"/>
                <w:rFonts w:ascii="Times New Roman" w:hAnsi="Times New Roman"/>
                <w:noProof/>
                <w:color w:val="1F497D" w:themeColor="text2"/>
              </w:rPr>
              <w:t>Специфични цели за А</w:t>
            </w:r>
            <w:r w:rsidR="00A8783E" w:rsidRPr="00A8783E">
              <w:rPr>
                <w:rStyle w:val="Hyperlink"/>
                <w:rFonts w:ascii="Times New Roman" w:hAnsi="Times New Roman"/>
                <w:noProof/>
                <w:color w:val="1F497D" w:themeColor="text2"/>
                <w:lang w:val="ru-RU"/>
              </w:rPr>
              <w:t>459</w:t>
            </w:r>
            <w:r w:rsidR="00A8783E" w:rsidRPr="00A8783E">
              <w:rPr>
                <w:rStyle w:val="Hyperlink"/>
                <w:rFonts w:ascii="Times New Roman" w:hAnsi="Times New Roman"/>
                <w:noProof/>
                <w:color w:val="1F497D" w:themeColor="text2"/>
              </w:rPr>
              <w:t xml:space="preserve"> </w:t>
            </w:r>
            <w:r w:rsidR="00A8783E" w:rsidRPr="00A8783E">
              <w:rPr>
                <w:rStyle w:val="Hyperlink"/>
                <w:rFonts w:ascii="Times New Roman" w:hAnsi="Times New Roman"/>
                <w:i/>
                <w:iCs/>
                <w:noProof/>
                <w:color w:val="1F497D" w:themeColor="text2"/>
                <w:lang w:val="en-GB"/>
              </w:rPr>
              <w:t>Larus</w:t>
            </w:r>
            <w:r w:rsidR="00A8783E" w:rsidRPr="00A8783E">
              <w:rPr>
                <w:rStyle w:val="Hyperlink"/>
                <w:rFonts w:ascii="Times New Roman" w:hAnsi="Times New Roman"/>
                <w:i/>
                <w:iCs/>
                <w:noProof/>
                <w:color w:val="1F497D" w:themeColor="text2"/>
                <w:lang w:val="ru-RU"/>
              </w:rPr>
              <w:t xml:space="preserve"> </w:t>
            </w:r>
            <w:r w:rsidR="00A8783E" w:rsidRPr="00A8783E">
              <w:rPr>
                <w:rStyle w:val="Hyperlink"/>
                <w:rFonts w:ascii="Times New Roman" w:hAnsi="Times New Roman"/>
                <w:i/>
                <w:iCs/>
                <w:noProof/>
                <w:color w:val="1F497D" w:themeColor="text2"/>
                <w:lang w:val="en-GB"/>
              </w:rPr>
              <w:t>cachinans</w:t>
            </w:r>
            <w:r w:rsidR="00A8783E" w:rsidRPr="00A8783E">
              <w:rPr>
                <w:rStyle w:val="Hyperlink"/>
                <w:rFonts w:ascii="Times New Roman" w:hAnsi="Times New Roman"/>
                <w:noProof/>
                <w:color w:val="1F497D" w:themeColor="text2"/>
              </w:rPr>
              <w:t xml:space="preserve"> (Каспийска чайка)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_Toc98838673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583</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74" w:history="1">
            <w:r w:rsidR="00A8783E" w:rsidRPr="00A8783E">
              <w:rPr>
                <w:rStyle w:val="Hyperlink"/>
                <w:rFonts w:ascii="Times New Roman" w:hAnsi="Times New Roman"/>
                <w:noProof/>
                <w:color w:val="1F497D" w:themeColor="text2"/>
              </w:rPr>
              <w:t>Специфични цели за А</w:t>
            </w:r>
            <w:r w:rsidR="00A8783E" w:rsidRPr="00A8783E">
              <w:rPr>
                <w:rStyle w:val="Hyperlink"/>
                <w:rFonts w:ascii="Times New Roman" w:hAnsi="Times New Roman"/>
                <w:noProof/>
                <w:color w:val="1F497D" w:themeColor="text2"/>
                <w:lang w:val="ru-RU"/>
              </w:rPr>
              <w:t>511</w:t>
            </w:r>
            <w:r w:rsidR="00A8783E" w:rsidRPr="00A8783E">
              <w:rPr>
                <w:rStyle w:val="Hyperlink"/>
                <w:rFonts w:ascii="Times New Roman" w:hAnsi="Times New Roman"/>
                <w:noProof/>
                <w:color w:val="1F497D" w:themeColor="text2"/>
              </w:rPr>
              <w:t xml:space="preserve"> </w:t>
            </w:r>
            <w:r w:rsidR="00A8783E" w:rsidRPr="00A8783E">
              <w:rPr>
                <w:rStyle w:val="Hyperlink"/>
                <w:rFonts w:ascii="Times New Roman" w:hAnsi="Times New Roman"/>
                <w:i/>
                <w:iCs/>
                <w:noProof/>
                <w:color w:val="1F497D" w:themeColor="text2"/>
                <w:lang w:val="en-GB"/>
              </w:rPr>
              <w:t>Falco</w:t>
            </w:r>
            <w:r w:rsidR="00A8783E" w:rsidRPr="00A8783E">
              <w:rPr>
                <w:rStyle w:val="Hyperlink"/>
                <w:rFonts w:ascii="Times New Roman" w:hAnsi="Times New Roman"/>
                <w:i/>
                <w:iCs/>
                <w:noProof/>
                <w:color w:val="1F497D" w:themeColor="text2"/>
                <w:lang w:val="ru-RU"/>
              </w:rPr>
              <w:t xml:space="preserve"> </w:t>
            </w:r>
            <w:r w:rsidR="00A8783E" w:rsidRPr="00A8783E">
              <w:rPr>
                <w:rStyle w:val="Hyperlink"/>
                <w:rFonts w:ascii="Times New Roman" w:hAnsi="Times New Roman"/>
                <w:i/>
                <w:iCs/>
                <w:noProof/>
                <w:color w:val="1F497D" w:themeColor="text2"/>
                <w:lang w:val="en-GB"/>
              </w:rPr>
              <w:t>cherrug</w:t>
            </w:r>
            <w:r w:rsidR="00A8783E" w:rsidRPr="00A8783E">
              <w:rPr>
                <w:rStyle w:val="Hyperlink"/>
                <w:rFonts w:ascii="Times New Roman" w:hAnsi="Times New Roman"/>
                <w:noProof/>
                <w:color w:val="1F497D" w:themeColor="text2"/>
              </w:rPr>
              <w:t xml:space="preserve"> (Ловен сокол)</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_Toc98838674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585</w:t>
            </w:r>
            <w:r w:rsidR="00A8783E" w:rsidRPr="00A8783E">
              <w:rPr>
                <w:noProof/>
                <w:webHidden/>
                <w:color w:val="1F497D" w:themeColor="text2"/>
              </w:rPr>
              <w:fldChar w:fldCharType="end"/>
            </w:r>
          </w:hyperlink>
        </w:p>
        <w:p w:rsidR="00A8783E" w:rsidRPr="00A8783E" w:rsidRDefault="00DE51FF">
          <w:pPr>
            <w:pStyle w:val="TOC2"/>
            <w:tabs>
              <w:tab w:val="right" w:leader="dot" w:pos="9062"/>
            </w:tabs>
            <w:rPr>
              <w:rFonts w:asciiTheme="minorHAnsi" w:eastAsiaTheme="minorEastAsia" w:hAnsiTheme="minorHAnsi" w:cstheme="minorBidi"/>
              <w:noProof/>
              <w:color w:val="1F497D" w:themeColor="text2"/>
              <w:lang w:eastAsia="bg-BG"/>
            </w:rPr>
          </w:pPr>
          <w:hyperlink w:anchor="_Toc98838675" w:history="1">
            <w:r w:rsidR="00A8783E" w:rsidRPr="00A8783E">
              <w:rPr>
                <w:rStyle w:val="Hyperlink"/>
                <w:rFonts w:ascii="Times New Roman" w:hAnsi="Times New Roman"/>
                <w:b/>
                <w:bCs/>
                <w:noProof/>
                <w:color w:val="1F497D" w:themeColor="text2"/>
              </w:rPr>
              <w:t>Литература</w:t>
            </w:r>
            <w:r w:rsidR="00A8783E" w:rsidRPr="00A8783E">
              <w:rPr>
                <w:noProof/>
                <w:webHidden/>
                <w:color w:val="1F497D" w:themeColor="text2"/>
              </w:rPr>
              <w:tab/>
            </w:r>
            <w:r w:rsidR="00A8783E" w:rsidRPr="00A8783E">
              <w:rPr>
                <w:noProof/>
                <w:webHidden/>
                <w:color w:val="1F497D" w:themeColor="text2"/>
              </w:rPr>
              <w:fldChar w:fldCharType="begin"/>
            </w:r>
            <w:r w:rsidR="00A8783E" w:rsidRPr="00A8783E">
              <w:rPr>
                <w:noProof/>
                <w:webHidden/>
                <w:color w:val="1F497D" w:themeColor="text2"/>
              </w:rPr>
              <w:instrText xml:space="preserve"> PAGEREF _Toc98838675 \h </w:instrText>
            </w:r>
            <w:r w:rsidR="00A8783E" w:rsidRPr="00A8783E">
              <w:rPr>
                <w:noProof/>
                <w:webHidden/>
                <w:color w:val="1F497D" w:themeColor="text2"/>
              </w:rPr>
            </w:r>
            <w:r w:rsidR="00A8783E" w:rsidRPr="00A8783E">
              <w:rPr>
                <w:noProof/>
                <w:webHidden/>
                <w:color w:val="1F497D" w:themeColor="text2"/>
              </w:rPr>
              <w:fldChar w:fldCharType="separate"/>
            </w:r>
            <w:r w:rsidR="001544FD">
              <w:rPr>
                <w:noProof/>
                <w:webHidden/>
                <w:color w:val="1F497D" w:themeColor="text2"/>
              </w:rPr>
              <w:t>588</w:t>
            </w:r>
            <w:r w:rsidR="00A8783E" w:rsidRPr="00A8783E">
              <w:rPr>
                <w:noProof/>
                <w:webHidden/>
                <w:color w:val="1F497D" w:themeColor="text2"/>
              </w:rPr>
              <w:fldChar w:fldCharType="end"/>
            </w:r>
          </w:hyperlink>
        </w:p>
        <w:p w:rsidR="004760C9" w:rsidRDefault="004760C9">
          <w:r w:rsidRPr="00A8783E">
            <w:rPr>
              <w:b/>
              <w:bCs/>
              <w:noProof/>
              <w:color w:val="1F497D" w:themeColor="text2"/>
            </w:rPr>
            <w:fldChar w:fldCharType="end"/>
          </w:r>
        </w:p>
      </w:sdtContent>
    </w:sdt>
    <w:p w:rsidR="0031593F" w:rsidRDefault="0031593F"/>
    <w:p w:rsidR="0031593F" w:rsidRDefault="0031593F"/>
    <w:p w:rsidR="00104367" w:rsidRDefault="00104367" w:rsidP="0031593F">
      <w:pPr>
        <w:pageBreakBefore/>
        <w:spacing w:after="0"/>
        <w:ind w:firstLine="709"/>
        <w:jc w:val="both"/>
        <w:rPr>
          <w:rFonts w:ascii="Times New Roman" w:hAnsi="Times New Roman"/>
          <w:sz w:val="24"/>
          <w:szCs w:val="24"/>
        </w:rPr>
      </w:pPr>
      <w:r>
        <w:rPr>
          <w:rFonts w:ascii="Times New Roman" w:hAnsi="Times New Roman"/>
          <w:sz w:val="24"/>
          <w:szCs w:val="24"/>
        </w:rPr>
        <w:lastRenderedPageBreak/>
        <w:t xml:space="preserve">Защитена зона BG0000241 Сребърна по Директива 92/43/ЕИО </w:t>
      </w:r>
      <w:r w:rsidR="00482F18">
        <w:rPr>
          <w:rFonts w:ascii="Times New Roman" w:hAnsi="Times New Roman"/>
          <w:sz w:val="24"/>
          <w:szCs w:val="24"/>
        </w:rPr>
        <w:t xml:space="preserve">и </w:t>
      </w:r>
      <w:r w:rsidR="00482F18" w:rsidRPr="00482F18">
        <w:rPr>
          <w:rFonts w:ascii="Times New Roman" w:hAnsi="Times New Roman"/>
          <w:sz w:val="24"/>
          <w:szCs w:val="24"/>
        </w:rPr>
        <w:t xml:space="preserve">по Директива 2009/147/ЕО </w:t>
      </w:r>
      <w:r>
        <w:rPr>
          <w:rFonts w:ascii="Times New Roman" w:hAnsi="Times New Roman"/>
          <w:sz w:val="24"/>
          <w:szCs w:val="24"/>
        </w:rPr>
        <w:t>заема площ от 1448</w:t>
      </w:r>
      <w:r w:rsidRPr="000F25CB">
        <w:rPr>
          <w:rFonts w:ascii="Times New Roman" w:hAnsi="Times New Roman"/>
          <w:sz w:val="24"/>
          <w:szCs w:val="24"/>
        </w:rPr>
        <w:t>.</w:t>
      </w:r>
      <w:r>
        <w:rPr>
          <w:rFonts w:ascii="Times New Roman" w:hAnsi="Times New Roman"/>
          <w:sz w:val="24"/>
          <w:szCs w:val="24"/>
        </w:rPr>
        <w:t>22</w:t>
      </w:r>
      <w:r>
        <w:t xml:space="preserve"> </w:t>
      </w:r>
      <w:r>
        <w:rPr>
          <w:rFonts w:ascii="Times New Roman" w:hAnsi="Times New Roman"/>
          <w:sz w:val="24"/>
          <w:szCs w:val="24"/>
        </w:rPr>
        <w:t xml:space="preserve">ха и попада изцяло в Континенталния биогеографски регион. Обявена е със Заповед </w:t>
      </w:r>
      <w:r w:rsidRPr="001F6245">
        <w:rPr>
          <w:rFonts w:ascii="Times New Roman" w:hAnsi="Times New Roman"/>
          <w:sz w:val="24"/>
          <w:szCs w:val="24"/>
        </w:rPr>
        <w:t>№ РД-</w:t>
      </w:r>
      <w:r w:rsidR="00C40457">
        <w:rPr>
          <w:rFonts w:ascii="Times New Roman" w:hAnsi="Times New Roman"/>
          <w:sz w:val="24"/>
          <w:szCs w:val="24"/>
        </w:rPr>
        <w:t>564</w:t>
      </w:r>
      <w:r>
        <w:rPr>
          <w:rFonts w:ascii="Times New Roman" w:hAnsi="Times New Roman"/>
          <w:sz w:val="24"/>
          <w:szCs w:val="24"/>
        </w:rPr>
        <w:t xml:space="preserve"> </w:t>
      </w:r>
      <w:r w:rsidRPr="001F6245">
        <w:rPr>
          <w:rFonts w:ascii="Times New Roman" w:hAnsi="Times New Roman"/>
          <w:sz w:val="24"/>
          <w:szCs w:val="24"/>
        </w:rPr>
        <w:t xml:space="preserve">от </w:t>
      </w:r>
      <w:r w:rsidR="00C40457">
        <w:rPr>
          <w:rFonts w:ascii="Times New Roman" w:hAnsi="Times New Roman"/>
          <w:sz w:val="24"/>
          <w:szCs w:val="24"/>
        </w:rPr>
        <w:t>05</w:t>
      </w:r>
      <w:r>
        <w:rPr>
          <w:rFonts w:ascii="Times New Roman" w:hAnsi="Times New Roman"/>
          <w:sz w:val="24"/>
          <w:szCs w:val="24"/>
        </w:rPr>
        <w:t>.</w:t>
      </w:r>
      <w:r w:rsidR="00C40457">
        <w:rPr>
          <w:rFonts w:ascii="Times New Roman" w:hAnsi="Times New Roman"/>
          <w:sz w:val="24"/>
          <w:szCs w:val="24"/>
        </w:rPr>
        <w:t>09</w:t>
      </w:r>
      <w:r>
        <w:rPr>
          <w:rFonts w:ascii="Times New Roman" w:hAnsi="Times New Roman"/>
          <w:sz w:val="24"/>
          <w:szCs w:val="24"/>
        </w:rPr>
        <w:t>.</w:t>
      </w:r>
      <w:r w:rsidR="00C40457">
        <w:rPr>
          <w:rFonts w:ascii="Times New Roman" w:hAnsi="Times New Roman"/>
          <w:sz w:val="24"/>
          <w:szCs w:val="24"/>
        </w:rPr>
        <w:t>2008</w:t>
      </w:r>
      <w:r w:rsidRPr="001F6245">
        <w:rPr>
          <w:rFonts w:ascii="Times New Roman" w:hAnsi="Times New Roman"/>
          <w:sz w:val="24"/>
          <w:szCs w:val="24"/>
        </w:rPr>
        <w:t xml:space="preserve"> г</w:t>
      </w:r>
      <w:r>
        <w:rPr>
          <w:rFonts w:ascii="Times New Roman" w:hAnsi="Times New Roman"/>
          <w:sz w:val="24"/>
          <w:szCs w:val="24"/>
        </w:rPr>
        <w:t>. на Министъра на околната среда и водите</w:t>
      </w:r>
      <w:r w:rsidR="00C40457">
        <w:rPr>
          <w:rFonts w:ascii="Times New Roman" w:hAnsi="Times New Roman"/>
          <w:sz w:val="24"/>
          <w:szCs w:val="24"/>
        </w:rPr>
        <w:t xml:space="preserve"> и Заповед за изменение РД-277 от 31.03.2021г</w:t>
      </w:r>
      <w:r>
        <w:rPr>
          <w:rFonts w:ascii="Times New Roman" w:hAnsi="Times New Roman"/>
          <w:sz w:val="24"/>
          <w:szCs w:val="24"/>
        </w:rPr>
        <w:t>. Съгласно Стандартния формуляр за зоната,</w:t>
      </w:r>
      <w:r w:rsidRPr="00AB6B0F">
        <w:rPr>
          <w:rFonts w:ascii="Times New Roman" w:hAnsi="Times New Roman"/>
          <w:sz w:val="24"/>
          <w:szCs w:val="24"/>
        </w:rPr>
        <w:t xml:space="preserve"> </w:t>
      </w:r>
      <w:r>
        <w:rPr>
          <w:rFonts w:ascii="Times New Roman" w:hAnsi="Times New Roman"/>
          <w:sz w:val="24"/>
          <w:szCs w:val="24"/>
        </w:rPr>
        <w:t>в нея обект на опазване са 9 типа природни местообитания и 196 вида от фауната на България, като главно това са</w:t>
      </w:r>
      <w:r w:rsidR="00BF7AC4">
        <w:rPr>
          <w:rFonts w:ascii="Times New Roman" w:hAnsi="Times New Roman"/>
          <w:sz w:val="24"/>
          <w:szCs w:val="24"/>
        </w:rPr>
        <w:t xml:space="preserve"> представители на орнитофауната -105 вида птици</w:t>
      </w:r>
      <w:r w:rsidR="00BF7AC4" w:rsidRPr="00BF7AC4">
        <w:rPr>
          <w:rFonts w:ascii="Times New Roman" w:hAnsi="Times New Roman"/>
          <w:sz w:val="24"/>
          <w:szCs w:val="24"/>
        </w:rPr>
        <w:t>. Сребърна е еутрофно езеро, разположено на брега на река Дунав срещу км 393-391, на 18 км западно от град Силистра. На западния му бряг се намира село Сребърна. Езерото е обявено за резерват, в който се включват и бивши обработваеми земи, разположени северно от него; пояс от дървесни насаждения по брега на река Дунав; остров Комлука и акваторията, заключена между острова и брега на реката. Много характерни за езерото са естествените плаващи острови (кочки), образувани от седименти, обхванати от коренищата на растящата върху тях тръстика. В северозападния край на езерото и по брега на река Дунав има ивици от крайбрежна дървесно-храстова растителност, сред която са се запазили единични стари дървета бяла върба (</w:t>
      </w:r>
      <w:r w:rsidR="00BF7AC4" w:rsidRPr="00BF7AC4">
        <w:rPr>
          <w:rFonts w:ascii="Times New Roman" w:hAnsi="Times New Roman"/>
          <w:i/>
          <w:sz w:val="24"/>
          <w:szCs w:val="24"/>
        </w:rPr>
        <w:t>Salix alba</w:t>
      </w:r>
      <w:r w:rsidR="00BF7AC4" w:rsidRPr="00BF7AC4">
        <w:rPr>
          <w:rFonts w:ascii="Times New Roman" w:hAnsi="Times New Roman"/>
          <w:sz w:val="24"/>
          <w:szCs w:val="24"/>
        </w:rPr>
        <w:t>). Хълмовете наоколо са обрасли с тревни съобщества със степен характер и изкуствени насаждения от бяла акация (</w:t>
      </w:r>
      <w:r w:rsidR="00BF7AC4" w:rsidRPr="00BF7AC4">
        <w:rPr>
          <w:rFonts w:ascii="Times New Roman" w:hAnsi="Times New Roman"/>
          <w:i/>
          <w:sz w:val="24"/>
          <w:szCs w:val="24"/>
        </w:rPr>
        <w:t>Robinia pseudoacacia</w:t>
      </w:r>
      <w:r w:rsidR="00BF7AC4" w:rsidRPr="00BF7AC4">
        <w:rPr>
          <w:rFonts w:ascii="Times New Roman" w:hAnsi="Times New Roman"/>
          <w:sz w:val="24"/>
          <w:szCs w:val="24"/>
        </w:rPr>
        <w:t>) и миризлива върба (</w:t>
      </w:r>
      <w:r w:rsidR="00BF7AC4" w:rsidRPr="00BF7AC4">
        <w:rPr>
          <w:rFonts w:ascii="Times New Roman" w:hAnsi="Times New Roman"/>
          <w:i/>
          <w:sz w:val="24"/>
          <w:szCs w:val="24"/>
        </w:rPr>
        <w:t>Eleagnus angustifolia</w:t>
      </w:r>
      <w:r w:rsidR="00BF7AC4" w:rsidRPr="00BF7AC4">
        <w:rPr>
          <w:rFonts w:ascii="Times New Roman" w:hAnsi="Times New Roman"/>
          <w:sz w:val="24"/>
          <w:szCs w:val="24"/>
        </w:rPr>
        <w:t>). Остров Комлука е покрит със заливна гора предимно от върба (</w:t>
      </w:r>
      <w:r w:rsidR="00BF7AC4" w:rsidRPr="00BF7AC4">
        <w:rPr>
          <w:rFonts w:ascii="Times New Roman" w:hAnsi="Times New Roman"/>
          <w:i/>
          <w:sz w:val="24"/>
          <w:szCs w:val="24"/>
        </w:rPr>
        <w:t>Salix</w:t>
      </w:r>
      <w:r w:rsidR="00BF7AC4" w:rsidRPr="00BF7AC4">
        <w:rPr>
          <w:rFonts w:ascii="Times New Roman" w:hAnsi="Times New Roman"/>
          <w:sz w:val="24"/>
          <w:szCs w:val="24"/>
        </w:rPr>
        <w:t xml:space="preserve"> sp.) и топола (</w:t>
      </w:r>
      <w:r w:rsidR="00BF7AC4" w:rsidRPr="00BF7AC4">
        <w:rPr>
          <w:rFonts w:ascii="Times New Roman" w:hAnsi="Times New Roman"/>
          <w:i/>
          <w:sz w:val="24"/>
          <w:szCs w:val="24"/>
        </w:rPr>
        <w:t>Populus</w:t>
      </w:r>
      <w:r w:rsidR="00BF7AC4" w:rsidRPr="00BF7AC4">
        <w:rPr>
          <w:rFonts w:ascii="Times New Roman" w:hAnsi="Times New Roman"/>
          <w:sz w:val="24"/>
          <w:szCs w:val="24"/>
        </w:rPr>
        <w:t xml:space="preserve"> sp.).</w:t>
      </w:r>
    </w:p>
    <w:p w:rsidR="00104367" w:rsidRDefault="00104367" w:rsidP="00104367">
      <w:pPr>
        <w:spacing w:after="0"/>
        <w:ind w:firstLine="709"/>
        <w:rPr>
          <w:rFonts w:ascii="Times New Roman" w:hAnsi="Times New Roman"/>
          <w:sz w:val="24"/>
          <w:szCs w:val="24"/>
        </w:rPr>
      </w:pPr>
      <w:r>
        <w:rPr>
          <w:rFonts w:ascii="Times New Roman" w:hAnsi="Times New Roman"/>
          <w:sz w:val="24"/>
          <w:szCs w:val="24"/>
        </w:rPr>
        <w:t xml:space="preserve">Настоящият документ включва следните раздели с важна информация: </w:t>
      </w:r>
    </w:p>
    <w:p w:rsidR="00104367" w:rsidRPr="00993220" w:rsidRDefault="00104367" w:rsidP="00104367">
      <w:pPr>
        <w:pStyle w:val="ListParagraph"/>
        <w:numPr>
          <w:ilvl w:val="0"/>
          <w:numId w:val="1"/>
        </w:numPr>
        <w:spacing w:after="0"/>
        <w:ind w:firstLine="0"/>
        <w:rPr>
          <w:rFonts w:ascii="Times New Roman" w:hAnsi="Times New Roman" w:cs="Times New Roman"/>
          <w:sz w:val="24"/>
          <w:szCs w:val="24"/>
        </w:rPr>
      </w:pPr>
      <w:r w:rsidRPr="00993220">
        <w:rPr>
          <w:rFonts w:ascii="Times New Roman" w:hAnsi="Times New Roman" w:cs="Times New Roman"/>
          <w:sz w:val="24"/>
          <w:szCs w:val="24"/>
        </w:rPr>
        <w:t>Код и наименование на типа местообитание/вида</w:t>
      </w:r>
    </w:p>
    <w:p w:rsidR="00104367" w:rsidRPr="00993220" w:rsidRDefault="00104367" w:rsidP="00104367">
      <w:pPr>
        <w:pStyle w:val="ListParagraph"/>
        <w:numPr>
          <w:ilvl w:val="0"/>
          <w:numId w:val="1"/>
        </w:numPr>
        <w:spacing w:after="0"/>
        <w:ind w:firstLine="0"/>
        <w:rPr>
          <w:rFonts w:ascii="Times New Roman" w:hAnsi="Times New Roman" w:cs="Times New Roman"/>
          <w:sz w:val="24"/>
          <w:szCs w:val="24"/>
        </w:rPr>
      </w:pPr>
      <w:r w:rsidRPr="00993220">
        <w:rPr>
          <w:rFonts w:ascii="Times New Roman" w:hAnsi="Times New Roman" w:cs="Times New Roman"/>
          <w:sz w:val="24"/>
          <w:szCs w:val="24"/>
        </w:rPr>
        <w:t>Кратка характеристика на целевия обект</w:t>
      </w:r>
    </w:p>
    <w:p w:rsidR="00104367" w:rsidRPr="00993220" w:rsidRDefault="00104367" w:rsidP="00104367">
      <w:pPr>
        <w:pStyle w:val="ListParagraph"/>
        <w:numPr>
          <w:ilvl w:val="0"/>
          <w:numId w:val="1"/>
        </w:numPr>
        <w:spacing w:after="0"/>
        <w:ind w:firstLine="0"/>
        <w:rPr>
          <w:rFonts w:ascii="Times New Roman" w:hAnsi="Times New Roman" w:cs="Times New Roman"/>
          <w:sz w:val="24"/>
          <w:szCs w:val="24"/>
        </w:rPr>
      </w:pPr>
      <w:r w:rsidRPr="00993220">
        <w:rPr>
          <w:rFonts w:ascii="Times New Roman" w:hAnsi="Times New Roman" w:cs="Times New Roman"/>
          <w:sz w:val="24"/>
          <w:szCs w:val="24"/>
        </w:rPr>
        <w:t>Състояние на биогеографско ниво и разпространение в мрежата</w:t>
      </w:r>
    </w:p>
    <w:p w:rsidR="00104367" w:rsidRPr="00993220" w:rsidRDefault="00104367" w:rsidP="00104367">
      <w:pPr>
        <w:pStyle w:val="ListParagraph"/>
        <w:numPr>
          <w:ilvl w:val="0"/>
          <w:numId w:val="1"/>
        </w:numPr>
        <w:spacing w:after="0"/>
        <w:ind w:firstLine="0"/>
        <w:rPr>
          <w:rFonts w:ascii="Times New Roman" w:hAnsi="Times New Roman" w:cs="Times New Roman"/>
          <w:sz w:val="24"/>
          <w:szCs w:val="24"/>
        </w:rPr>
      </w:pPr>
      <w:r w:rsidRPr="00993220">
        <w:rPr>
          <w:rFonts w:ascii="Times New Roman" w:hAnsi="Times New Roman" w:cs="Times New Roman"/>
          <w:sz w:val="24"/>
          <w:szCs w:val="24"/>
        </w:rPr>
        <w:t>Състояние на ниво защитена зона</w:t>
      </w:r>
    </w:p>
    <w:p w:rsidR="00104367" w:rsidRPr="00993220" w:rsidRDefault="00104367" w:rsidP="00104367">
      <w:pPr>
        <w:pStyle w:val="ListParagraph"/>
        <w:numPr>
          <w:ilvl w:val="0"/>
          <w:numId w:val="1"/>
        </w:numPr>
        <w:spacing w:after="0"/>
        <w:ind w:left="1077" w:hanging="357"/>
        <w:rPr>
          <w:rFonts w:ascii="Times New Roman" w:hAnsi="Times New Roman" w:cs="Times New Roman"/>
          <w:sz w:val="24"/>
          <w:szCs w:val="24"/>
        </w:rPr>
      </w:pPr>
      <w:r w:rsidRPr="00993220">
        <w:rPr>
          <w:rFonts w:ascii="Times New Roman" w:hAnsi="Times New Roman" w:cs="Times New Roman"/>
          <w:sz w:val="24"/>
          <w:szCs w:val="24"/>
        </w:rPr>
        <w:t>Анализ на наличната инфо</w:t>
      </w:r>
      <w:r>
        <w:rPr>
          <w:rFonts w:ascii="Times New Roman" w:hAnsi="Times New Roman" w:cs="Times New Roman"/>
          <w:sz w:val="24"/>
          <w:szCs w:val="24"/>
        </w:rPr>
        <w:t>р</w:t>
      </w:r>
      <w:r w:rsidRPr="00993220">
        <w:rPr>
          <w:rFonts w:ascii="Times New Roman" w:hAnsi="Times New Roman" w:cs="Times New Roman"/>
          <w:sz w:val="24"/>
          <w:szCs w:val="24"/>
        </w:rPr>
        <w:t>мация</w:t>
      </w:r>
    </w:p>
    <w:p w:rsidR="00104367" w:rsidRPr="00993220" w:rsidRDefault="00104367" w:rsidP="00104367">
      <w:pPr>
        <w:pStyle w:val="ListParagraph"/>
        <w:numPr>
          <w:ilvl w:val="0"/>
          <w:numId w:val="1"/>
        </w:numPr>
        <w:spacing w:after="0"/>
        <w:ind w:left="1077" w:hanging="357"/>
        <w:rPr>
          <w:rFonts w:ascii="Times New Roman" w:hAnsi="Times New Roman" w:cs="Times New Roman"/>
          <w:sz w:val="24"/>
          <w:szCs w:val="24"/>
        </w:rPr>
      </w:pPr>
      <w:r w:rsidRPr="00993220">
        <w:rPr>
          <w:rFonts w:ascii="Times New Roman" w:hAnsi="Times New Roman" w:cs="Times New Roman"/>
          <w:sz w:val="24"/>
          <w:szCs w:val="24"/>
        </w:rPr>
        <w:t>Цели за подобряване/поддържане на природозащитното състояние на местообитанието/вида в зоната</w:t>
      </w:r>
    </w:p>
    <w:p w:rsidR="00104367" w:rsidRPr="00993220" w:rsidRDefault="00104367" w:rsidP="00104367">
      <w:pPr>
        <w:pStyle w:val="ListParagraph"/>
        <w:numPr>
          <w:ilvl w:val="0"/>
          <w:numId w:val="1"/>
        </w:numPr>
        <w:spacing w:after="0"/>
        <w:ind w:left="1077" w:hanging="357"/>
        <w:rPr>
          <w:rFonts w:ascii="Times New Roman" w:hAnsi="Times New Roman" w:cs="Times New Roman"/>
          <w:sz w:val="24"/>
          <w:szCs w:val="24"/>
        </w:rPr>
      </w:pPr>
      <w:r w:rsidRPr="00993220">
        <w:rPr>
          <w:rFonts w:ascii="Times New Roman" w:hAnsi="Times New Roman" w:cs="Times New Roman"/>
          <w:sz w:val="24"/>
          <w:szCs w:val="24"/>
        </w:rPr>
        <w:t>Необходимост от актуализация на Стандартния формуляр на защитената зона</w:t>
      </w:r>
    </w:p>
    <w:p w:rsidR="00104367" w:rsidRPr="00993220" w:rsidRDefault="00104367" w:rsidP="00104367">
      <w:pPr>
        <w:pStyle w:val="ListParagraph"/>
        <w:numPr>
          <w:ilvl w:val="0"/>
          <w:numId w:val="1"/>
        </w:numPr>
        <w:spacing w:after="0"/>
        <w:ind w:left="1077" w:hanging="357"/>
        <w:rPr>
          <w:rFonts w:ascii="Times New Roman" w:hAnsi="Times New Roman" w:cs="Times New Roman"/>
          <w:sz w:val="24"/>
          <w:szCs w:val="24"/>
        </w:rPr>
      </w:pPr>
      <w:r w:rsidRPr="00993220">
        <w:rPr>
          <w:rFonts w:ascii="Times New Roman" w:hAnsi="Times New Roman" w:cs="Times New Roman"/>
          <w:sz w:val="24"/>
          <w:szCs w:val="24"/>
        </w:rPr>
        <w:t>Използвана литература</w:t>
      </w:r>
    </w:p>
    <w:p w:rsidR="00104367" w:rsidRDefault="00104367" w:rsidP="00104367">
      <w:pPr>
        <w:spacing w:after="0"/>
        <w:ind w:firstLine="709"/>
        <w:jc w:val="both"/>
        <w:rPr>
          <w:rFonts w:ascii="Times New Roman" w:hAnsi="Times New Roman"/>
          <w:sz w:val="24"/>
          <w:szCs w:val="24"/>
        </w:rPr>
      </w:pPr>
      <w:r>
        <w:rPr>
          <w:rFonts w:ascii="Times New Roman" w:hAnsi="Times New Roman"/>
          <w:sz w:val="24"/>
          <w:szCs w:val="24"/>
        </w:rPr>
        <w:t>Природозащитните цели за типовете природни местообитания и видовете са представени в текста по-долу в табличен вид, като са изведени на преден план основни параметри с техните целеви стойности, към които да се насочат природозащитните цели така, че да се постигне поддържане и/или подобряване на природозащитното състояние</w:t>
      </w:r>
      <w:r w:rsidR="00CB6960">
        <w:rPr>
          <w:rFonts w:ascii="Times New Roman" w:hAnsi="Times New Roman"/>
          <w:sz w:val="24"/>
          <w:szCs w:val="24"/>
        </w:rPr>
        <w:t>.</w:t>
      </w:r>
    </w:p>
    <w:p w:rsidR="006D29D8" w:rsidRDefault="006D29D8" w:rsidP="00482F18">
      <w:pPr>
        <w:spacing w:after="0"/>
        <w:ind w:firstLine="709"/>
        <w:jc w:val="both"/>
        <w:rPr>
          <w:rFonts w:ascii="Times New Roman" w:hAnsi="Times New Roman"/>
          <w:sz w:val="24"/>
          <w:szCs w:val="24"/>
        </w:rPr>
      </w:pPr>
      <w:r w:rsidRPr="00482F18">
        <w:rPr>
          <w:rFonts w:ascii="Times New Roman" w:hAnsi="Times New Roman"/>
          <w:sz w:val="24"/>
          <w:szCs w:val="24"/>
        </w:rPr>
        <w:t xml:space="preserve">Не се разработват специфични за опазване цели, ако дадено природно местообитание е с оценка </w:t>
      </w:r>
      <w:r w:rsidRPr="00482F18">
        <w:rPr>
          <w:rFonts w:ascii="Times New Roman" w:hAnsi="Times New Roman"/>
          <w:sz w:val="24"/>
          <w:szCs w:val="24"/>
          <w:lang w:val="en-US"/>
        </w:rPr>
        <w:t xml:space="preserve">D </w:t>
      </w:r>
      <w:r w:rsidR="001544FD">
        <w:rPr>
          <w:rFonts w:ascii="Times New Roman" w:hAnsi="Times New Roman"/>
          <w:sz w:val="24"/>
          <w:szCs w:val="24"/>
        </w:rPr>
        <w:t xml:space="preserve">(незначително наличие) </w:t>
      </w:r>
      <w:r w:rsidRPr="00482F18">
        <w:rPr>
          <w:rFonts w:ascii="Times New Roman" w:hAnsi="Times New Roman"/>
          <w:sz w:val="24"/>
          <w:szCs w:val="24"/>
        </w:rPr>
        <w:t xml:space="preserve">по отношение на представителност в защитената зона. Аналогично, не се разработват цели за опазване и за видовете с оценка </w:t>
      </w:r>
      <w:r w:rsidRPr="00482F18">
        <w:rPr>
          <w:rFonts w:ascii="Times New Roman" w:hAnsi="Times New Roman"/>
          <w:sz w:val="24"/>
          <w:szCs w:val="24"/>
          <w:lang w:val="en-US"/>
        </w:rPr>
        <w:t xml:space="preserve">D </w:t>
      </w:r>
      <w:r w:rsidRPr="00482F18">
        <w:rPr>
          <w:rFonts w:ascii="Times New Roman" w:hAnsi="Times New Roman"/>
          <w:sz w:val="24"/>
          <w:szCs w:val="24"/>
        </w:rPr>
        <w:t>(незначителна популация) по отношение на показателя „Популация“.</w:t>
      </w:r>
      <w:r>
        <w:rPr>
          <w:rFonts w:ascii="Times New Roman" w:hAnsi="Times New Roman"/>
          <w:sz w:val="24"/>
          <w:szCs w:val="24"/>
        </w:rPr>
        <w:t xml:space="preserve"> В случаите на налични данни, че даден целеви обект може да бъде оценен с оценка различна от </w:t>
      </w:r>
      <w:r>
        <w:rPr>
          <w:rFonts w:ascii="Times New Roman" w:hAnsi="Times New Roman"/>
          <w:sz w:val="24"/>
          <w:szCs w:val="24"/>
          <w:lang w:val="en-US"/>
        </w:rPr>
        <w:t>D</w:t>
      </w:r>
      <w:r>
        <w:rPr>
          <w:rFonts w:ascii="Times New Roman" w:hAnsi="Times New Roman"/>
          <w:sz w:val="24"/>
          <w:szCs w:val="24"/>
        </w:rPr>
        <w:t>, то тогава са предложени цели за опазване.</w:t>
      </w:r>
    </w:p>
    <w:p w:rsidR="00482F18" w:rsidRPr="00482F18" w:rsidRDefault="00482F18" w:rsidP="00482F18">
      <w:pPr>
        <w:spacing w:after="0"/>
        <w:ind w:firstLine="709"/>
        <w:jc w:val="both"/>
        <w:rPr>
          <w:rFonts w:ascii="Times New Roman" w:hAnsi="Times New Roman"/>
          <w:sz w:val="24"/>
          <w:szCs w:val="24"/>
        </w:rPr>
      </w:pPr>
      <w:r w:rsidRPr="00482F18">
        <w:rPr>
          <w:rFonts w:ascii="Times New Roman" w:hAnsi="Times New Roman"/>
          <w:sz w:val="24"/>
          <w:szCs w:val="24"/>
        </w:rPr>
        <w:t>В случаите, когато е регистриран нов тип природно местообитание или нов вид, напр</w:t>
      </w:r>
      <w:r w:rsidR="00663EA6">
        <w:rPr>
          <w:rFonts w:ascii="Times New Roman" w:hAnsi="Times New Roman"/>
          <w:sz w:val="24"/>
          <w:szCs w:val="24"/>
        </w:rPr>
        <w:t>а</w:t>
      </w:r>
      <w:r w:rsidRPr="00482F18">
        <w:rPr>
          <w:rFonts w:ascii="Times New Roman" w:hAnsi="Times New Roman"/>
          <w:sz w:val="24"/>
          <w:szCs w:val="24"/>
        </w:rPr>
        <w:t>вени са пре</w:t>
      </w:r>
      <w:r w:rsidR="007F2E6B">
        <w:rPr>
          <w:rFonts w:ascii="Times New Roman" w:hAnsi="Times New Roman"/>
          <w:sz w:val="24"/>
          <w:szCs w:val="24"/>
        </w:rPr>
        <w:t>д</w:t>
      </w:r>
      <w:r w:rsidRPr="00482F18">
        <w:rPr>
          <w:rFonts w:ascii="Times New Roman" w:hAnsi="Times New Roman"/>
          <w:sz w:val="24"/>
          <w:szCs w:val="24"/>
        </w:rPr>
        <w:t xml:space="preserve">ложения за включване в Стандартния формуляр. </w:t>
      </w:r>
    </w:p>
    <w:p w:rsidR="00482F18" w:rsidRDefault="00482F18" w:rsidP="00482F18">
      <w:pPr>
        <w:spacing w:after="0"/>
        <w:ind w:firstLine="709"/>
        <w:jc w:val="both"/>
        <w:rPr>
          <w:rFonts w:ascii="Times New Roman" w:hAnsi="Times New Roman"/>
          <w:sz w:val="24"/>
          <w:szCs w:val="24"/>
        </w:rPr>
      </w:pPr>
      <w:r w:rsidRPr="00482F18">
        <w:rPr>
          <w:rFonts w:ascii="Times New Roman" w:hAnsi="Times New Roman"/>
          <w:sz w:val="24"/>
          <w:szCs w:val="24"/>
        </w:rPr>
        <w:lastRenderedPageBreak/>
        <w:t>В случаите, когато са наблюдавани промени в площите на даден тип природно местообитание или промени в популациите на целевите видове, това е отразено в аналитичната част на разработката и са направени с</w:t>
      </w:r>
      <w:r w:rsidR="006D29D8">
        <w:rPr>
          <w:rFonts w:ascii="Times New Roman" w:hAnsi="Times New Roman"/>
          <w:sz w:val="24"/>
          <w:szCs w:val="24"/>
        </w:rPr>
        <w:t>ъответни предложения за промени в Стандартния формуляр.</w:t>
      </w:r>
    </w:p>
    <w:p w:rsidR="00FC3B00" w:rsidRPr="00482F18" w:rsidRDefault="00FC3B00" w:rsidP="00482F18">
      <w:pPr>
        <w:spacing w:after="0"/>
        <w:ind w:firstLine="709"/>
        <w:jc w:val="both"/>
        <w:rPr>
          <w:rFonts w:ascii="Times New Roman" w:hAnsi="Times New Roman"/>
          <w:sz w:val="24"/>
          <w:szCs w:val="24"/>
        </w:rPr>
      </w:pPr>
      <w:r>
        <w:rPr>
          <w:rFonts w:ascii="Times New Roman" w:hAnsi="Times New Roman"/>
          <w:sz w:val="24"/>
          <w:szCs w:val="24"/>
        </w:rPr>
        <w:t xml:space="preserve">Новоустановен в зоната е видът </w:t>
      </w:r>
      <w:r w:rsidRPr="008131C7">
        <w:rPr>
          <w:rFonts w:ascii="Times New Roman" w:hAnsi="Times New Roman"/>
          <w:sz w:val="24"/>
          <w:szCs w:val="24"/>
          <w:lang w:eastAsia="bg-BG"/>
        </w:rPr>
        <w:t>1308</w:t>
      </w:r>
      <w:r w:rsidRPr="008131C7">
        <w:rPr>
          <w:rFonts w:ascii="Times New Roman" w:hAnsi="Times New Roman"/>
          <w:sz w:val="24"/>
          <w:szCs w:val="24"/>
          <w:lang w:val="en-GB" w:eastAsia="bg-BG"/>
        </w:rPr>
        <w:t xml:space="preserve"> </w:t>
      </w:r>
      <w:r w:rsidRPr="008131C7">
        <w:rPr>
          <w:rFonts w:ascii="Times New Roman" w:hAnsi="Times New Roman"/>
          <w:i/>
          <w:iCs/>
          <w:color w:val="000000"/>
          <w:sz w:val="24"/>
          <w:szCs w:val="24"/>
          <w:lang w:eastAsia="bg-BG"/>
        </w:rPr>
        <w:t xml:space="preserve">Barbastella barbastellus </w:t>
      </w:r>
      <w:r w:rsidRPr="008131C7">
        <w:rPr>
          <w:rFonts w:ascii="Times New Roman" w:hAnsi="Times New Roman"/>
          <w:color w:val="000000"/>
          <w:sz w:val="24"/>
          <w:szCs w:val="24"/>
          <w:lang w:eastAsia="bg-BG"/>
        </w:rPr>
        <w:t>(Schreber, 1774)</w:t>
      </w:r>
      <w:r w:rsidRPr="008131C7">
        <w:rPr>
          <w:rFonts w:ascii="Times New Roman" w:hAnsi="Times New Roman"/>
          <w:b/>
          <w:bCs/>
          <w:color w:val="000000"/>
          <w:sz w:val="24"/>
          <w:szCs w:val="24"/>
          <w:lang w:eastAsia="bg-BG"/>
        </w:rPr>
        <w:t xml:space="preserve"> - </w:t>
      </w:r>
      <w:r w:rsidRPr="008131C7">
        <w:rPr>
          <w:rFonts w:ascii="Times New Roman" w:hAnsi="Times New Roman"/>
          <w:bCs/>
          <w:color w:val="000000"/>
          <w:sz w:val="24"/>
          <w:szCs w:val="24"/>
          <w:lang w:eastAsia="bg-BG"/>
        </w:rPr>
        <w:t>Широкоух прилеп</w:t>
      </w:r>
      <w:r>
        <w:rPr>
          <w:rFonts w:ascii="Times New Roman" w:hAnsi="Times New Roman"/>
          <w:bCs/>
          <w:color w:val="000000"/>
          <w:sz w:val="24"/>
          <w:szCs w:val="24"/>
          <w:lang w:eastAsia="bg-BG"/>
        </w:rPr>
        <w:t>.</w:t>
      </w:r>
    </w:p>
    <w:p w:rsidR="00104367" w:rsidRDefault="00104367"/>
    <w:p w:rsidR="0070678B" w:rsidRDefault="0070678B" w:rsidP="001544FD">
      <w:pPr>
        <w:pageBreakBefore/>
      </w:pPr>
    </w:p>
    <w:p w:rsidR="0070678B" w:rsidRPr="0070678B" w:rsidRDefault="0070678B" w:rsidP="0031593F">
      <w:pPr>
        <w:outlineLvl w:val="0"/>
        <w:rPr>
          <w:rFonts w:ascii="Times New Roman" w:hAnsi="Times New Roman"/>
          <w:b/>
          <w:color w:val="1F497D" w:themeColor="text2"/>
          <w:sz w:val="28"/>
          <w:szCs w:val="28"/>
          <w:u w:val="single"/>
        </w:rPr>
      </w:pPr>
      <w:bookmarkStart w:id="0" w:name="_Toc98838521"/>
      <w:r w:rsidRPr="0070678B">
        <w:rPr>
          <w:rFonts w:ascii="Times New Roman" w:hAnsi="Times New Roman"/>
          <w:b/>
          <w:color w:val="1F497D" w:themeColor="text2"/>
          <w:sz w:val="28"/>
          <w:szCs w:val="28"/>
          <w:u w:val="single"/>
        </w:rPr>
        <w:t>Природни местообитания</w:t>
      </w:r>
      <w:bookmarkEnd w:id="0"/>
    </w:p>
    <w:p w:rsidR="0031593F" w:rsidRPr="0031593F" w:rsidRDefault="0031593F" w:rsidP="0031593F">
      <w:pPr>
        <w:spacing w:after="0" w:line="240" w:lineRule="auto"/>
        <w:jc w:val="center"/>
        <w:outlineLvl w:val="1"/>
        <w:rPr>
          <w:rFonts w:ascii="Times New Roman" w:eastAsia="Calibri" w:hAnsi="Times New Roman"/>
          <w:noProof/>
          <w:color w:val="1F497D"/>
          <w:sz w:val="28"/>
          <w:szCs w:val="28"/>
        </w:rPr>
      </w:pPr>
      <w:bookmarkStart w:id="1" w:name="_Toc98838522"/>
      <w:r w:rsidRPr="0031593F">
        <w:rPr>
          <w:rFonts w:ascii="Times New Roman" w:eastAsia="Calibri" w:hAnsi="Times New Roman"/>
          <w:noProof/>
          <w:color w:val="1F497D"/>
          <w:sz w:val="28"/>
          <w:szCs w:val="28"/>
        </w:rPr>
        <w:t xml:space="preserve">Природно местообитание 3130 Олиготрофни до мезотрофни стоящи води с растителност от </w:t>
      </w:r>
      <w:r w:rsidRPr="0031593F">
        <w:rPr>
          <w:rFonts w:ascii="Times New Roman" w:eastAsia="Calibri" w:hAnsi="Times New Roman"/>
          <w:i/>
          <w:noProof/>
          <w:color w:val="1F497D"/>
          <w:sz w:val="28"/>
          <w:szCs w:val="28"/>
        </w:rPr>
        <w:t>Littorelletea uniflorae</w:t>
      </w:r>
      <w:r w:rsidRPr="0031593F">
        <w:rPr>
          <w:rFonts w:ascii="Times New Roman" w:eastAsia="Calibri" w:hAnsi="Times New Roman"/>
          <w:noProof/>
          <w:color w:val="1F497D"/>
          <w:sz w:val="28"/>
          <w:szCs w:val="28"/>
        </w:rPr>
        <w:t xml:space="preserve"> и/или </w:t>
      </w:r>
      <w:r w:rsidRPr="0031593F">
        <w:rPr>
          <w:rFonts w:ascii="Times New Roman" w:eastAsia="Calibri" w:hAnsi="Times New Roman"/>
          <w:i/>
          <w:noProof/>
          <w:color w:val="1F497D"/>
          <w:sz w:val="28"/>
          <w:szCs w:val="28"/>
        </w:rPr>
        <w:t>Isoeto-Nanojuncetea</w:t>
      </w:r>
      <w:bookmarkEnd w:id="1"/>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40" w:lineRule="auto"/>
        <w:jc w:val="both"/>
        <w:rPr>
          <w:rFonts w:ascii="Times New Roman" w:hAnsi="Times New Roman"/>
          <w:bCs/>
          <w:i/>
          <w:sz w:val="24"/>
          <w:szCs w:val="24"/>
          <w:lang w:val="en-US" w:eastAsia="bg-BG"/>
        </w:rPr>
      </w:pPr>
      <w:r w:rsidRPr="0031593F">
        <w:rPr>
          <w:rFonts w:ascii="Times New Roman" w:eastAsia="Calibri" w:hAnsi="Times New Roman"/>
          <w:b/>
          <w:sz w:val="24"/>
          <w:szCs w:val="24"/>
        </w:rPr>
        <w:t xml:space="preserve">1. Код и наименование на типа местообитание: </w:t>
      </w:r>
      <w:r w:rsidRPr="0031593F">
        <w:rPr>
          <w:rFonts w:ascii="Times New Roman" w:hAnsi="Times New Roman"/>
          <w:bCs/>
          <w:sz w:val="24"/>
          <w:szCs w:val="24"/>
          <w:lang w:eastAsia="bg-BG"/>
        </w:rPr>
        <w:t xml:space="preserve">3130 Олиготрофни до мезотрофни стоящи води с растителност от </w:t>
      </w:r>
      <w:r w:rsidRPr="0031593F">
        <w:rPr>
          <w:rFonts w:ascii="Times New Roman" w:hAnsi="Times New Roman"/>
          <w:bCs/>
          <w:i/>
          <w:sz w:val="24"/>
          <w:szCs w:val="24"/>
          <w:lang w:eastAsia="bg-BG"/>
        </w:rPr>
        <w:t>Littorelletea uniflorae</w:t>
      </w:r>
      <w:r w:rsidRPr="0031593F">
        <w:rPr>
          <w:rFonts w:ascii="Times New Roman" w:hAnsi="Times New Roman"/>
          <w:bCs/>
          <w:sz w:val="24"/>
          <w:szCs w:val="24"/>
          <w:lang w:eastAsia="bg-BG"/>
        </w:rPr>
        <w:t xml:space="preserve"> и/или </w:t>
      </w:r>
      <w:r w:rsidRPr="0031593F">
        <w:rPr>
          <w:rFonts w:ascii="Times New Roman" w:hAnsi="Times New Roman"/>
          <w:bCs/>
          <w:i/>
          <w:sz w:val="24"/>
          <w:szCs w:val="24"/>
          <w:lang w:eastAsia="bg-BG"/>
        </w:rPr>
        <w:t>Isoeto-Nanojuncetea</w:t>
      </w:r>
    </w:p>
    <w:p w:rsidR="0031593F" w:rsidRPr="0031593F" w:rsidRDefault="0031593F" w:rsidP="0031593F">
      <w:pPr>
        <w:spacing w:after="0" w:line="240" w:lineRule="auto"/>
        <w:jc w:val="both"/>
        <w:rPr>
          <w:rFonts w:ascii="Times New Roman" w:eastAsia="Calibri" w:hAnsi="Times New Roman"/>
          <w:sz w:val="24"/>
          <w:szCs w:val="24"/>
          <w:highlight w:val="green"/>
        </w:rPr>
      </w:pPr>
    </w:p>
    <w:p w:rsidR="0031593F" w:rsidRPr="0031593F" w:rsidRDefault="0031593F" w:rsidP="0031593F">
      <w:pPr>
        <w:spacing w:after="0" w:line="240" w:lineRule="auto"/>
        <w:rPr>
          <w:rFonts w:ascii="Times New Roman" w:eastAsia="Calibri" w:hAnsi="Times New Roman"/>
          <w:b/>
          <w:sz w:val="24"/>
          <w:szCs w:val="24"/>
        </w:rPr>
      </w:pPr>
      <w:r w:rsidRPr="0031593F">
        <w:rPr>
          <w:rFonts w:ascii="Times New Roman" w:eastAsia="Calibri" w:hAnsi="Times New Roman"/>
          <w:b/>
          <w:sz w:val="24"/>
          <w:szCs w:val="24"/>
        </w:rPr>
        <w:t>2. Кратка характеристика на целевия обект</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М</w:t>
      </w:r>
      <w:r w:rsidRPr="0031593F">
        <w:rPr>
          <w:rFonts w:ascii="Times New Roman" w:eastAsia="Calibri" w:hAnsi="Times New Roman"/>
          <w:sz w:val="24"/>
          <w:szCs w:val="24"/>
          <w:lang w:val="en-US"/>
        </w:rPr>
        <w:t xml:space="preserve">естообитанието </w:t>
      </w:r>
      <w:r w:rsidRPr="0031593F">
        <w:rPr>
          <w:rFonts w:ascii="Times New Roman" w:eastAsia="Calibri" w:hAnsi="Times New Roman"/>
          <w:sz w:val="24"/>
          <w:szCs w:val="24"/>
        </w:rPr>
        <w:t>представлява</w:t>
      </w:r>
      <w:r w:rsidRPr="0031593F">
        <w:rPr>
          <w:rFonts w:ascii="Times New Roman" w:eastAsia="Calibri" w:hAnsi="Times New Roman"/>
          <w:sz w:val="24"/>
          <w:szCs w:val="24"/>
          <w:lang w:val="en-US"/>
        </w:rPr>
        <w:t xml:space="preserve"> пионерни</w:t>
      </w:r>
      <w:r w:rsidRPr="0031593F">
        <w:rPr>
          <w:rFonts w:ascii="Times New Roman" w:eastAsia="Calibri" w:hAnsi="Times New Roman"/>
          <w:sz w:val="24"/>
          <w:szCs w:val="24"/>
        </w:rPr>
        <w:t xml:space="preserve"> и временни</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фито</w:t>
      </w:r>
      <w:r w:rsidRPr="0031593F">
        <w:rPr>
          <w:rFonts w:ascii="Times New Roman" w:eastAsia="Calibri" w:hAnsi="Times New Roman"/>
          <w:sz w:val="24"/>
          <w:szCs w:val="24"/>
          <w:lang w:val="en-US"/>
        </w:rPr>
        <w:t xml:space="preserve">ценози от ниски (до 10 сm) едногодишни </w:t>
      </w:r>
      <w:r w:rsidRPr="0031593F">
        <w:rPr>
          <w:rFonts w:ascii="Times New Roman" w:eastAsia="Calibri" w:hAnsi="Times New Roman"/>
          <w:sz w:val="24"/>
          <w:szCs w:val="24"/>
        </w:rPr>
        <w:t>влаголюбиви растения</w:t>
      </w:r>
      <w:r w:rsidRPr="0031593F">
        <w:rPr>
          <w:rFonts w:ascii="Times New Roman" w:eastAsia="Calibri" w:hAnsi="Times New Roman"/>
          <w:sz w:val="24"/>
          <w:szCs w:val="24"/>
          <w:lang w:val="en-US"/>
        </w:rPr>
        <w:t xml:space="preserve">, които се развиват върху пресъхващите влажни наноси (тиня и пясъци) през втората половина на лятото </w:t>
      </w:r>
      <w:r w:rsidRPr="0031593F">
        <w:rPr>
          <w:rFonts w:ascii="Times New Roman" w:eastAsia="Calibri" w:hAnsi="Times New Roman"/>
          <w:sz w:val="24"/>
          <w:szCs w:val="24"/>
        </w:rPr>
        <w:t xml:space="preserve">и есента </w:t>
      </w:r>
      <w:r w:rsidRPr="0031593F">
        <w:rPr>
          <w:rFonts w:ascii="Times New Roman" w:eastAsia="Calibri" w:hAnsi="Times New Roman"/>
          <w:sz w:val="24"/>
          <w:szCs w:val="24"/>
          <w:lang w:val="en-US"/>
        </w:rPr>
        <w:t xml:space="preserve">при спадане на нивото на водоемите. </w:t>
      </w:r>
      <w:r w:rsidRPr="0031593F">
        <w:rPr>
          <w:rFonts w:ascii="Times New Roman" w:eastAsia="Calibri" w:hAnsi="Times New Roman"/>
          <w:sz w:val="24"/>
          <w:szCs w:val="24"/>
        </w:rPr>
        <w:t>Срещат се главно край р. Дунав и някои по-големи реки, но</w:t>
      </w:r>
      <w:r w:rsidRPr="0031593F">
        <w:rPr>
          <w:rFonts w:ascii="Times New Roman" w:eastAsia="Calibri" w:hAnsi="Times New Roman"/>
          <w:sz w:val="24"/>
          <w:szCs w:val="24"/>
          <w:lang w:val="en-US"/>
        </w:rPr>
        <w:t xml:space="preserve"> и по </w:t>
      </w:r>
      <w:r w:rsidRPr="0031593F">
        <w:rPr>
          <w:rFonts w:ascii="Times New Roman" w:eastAsia="Calibri" w:hAnsi="Times New Roman"/>
          <w:sz w:val="24"/>
          <w:szCs w:val="24"/>
        </w:rPr>
        <w:t>бреговете</w:t>
      </w:r>
      <w:r w:rsidRPr="0031593F">
        <w:rPr>
          <w:rFonts w:ascii="Times New Roman" w:eastAsia="Calibri" w:hAnsi="Times New Roman"/>
          <w:sz w:val="24"/>
          <w:szCs w:val="24"/>
          <w:lang w:val="en-US"/>
        </w:rPr>
        <w:t xml:space="preserve"> на езера и блата, рибарници и край някои големи язовири. </w:t>
      </w:r>
      <w:r w:rsidRPr="0031593F">
        <w:rPr>
          <w:rFonts w:ascii="Times New Roman" w:eastAsia="Calibri" w:hAnsi="Times New Roman"/>
          <w:sz w:val="24"/>
          <w:szCs w:val="24"/>
        </w:rPr>
        <w:t>Тези съобщества са много динамични, като разпространението им и продължителността на вегетационния сезон зависи от метерологичните условия</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през годината и динамиката на речното ниво. Характерни видове</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 xml:space="preserve">са </w:t>
      </w:r>
      <w:r w:rsidRPr="0031593F">
        <w:rPr>
          <w:rFonts w:ascii="Times New Roman" w:eastAsia="Calibri" w:hAnsi="Times New Roman"/>
          <w:i/>
          <w:iCs/>
          <w:sz w:val="24"/>
          <w:szCs w:val="24"/>
          <w:lang w:val="en-US"/>
        </w:rPr>
        <w:t>Eleocharis аcicularis</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Dichostylis michelianus</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Butomus umbellatus</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Cyperus fuscus</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Echinochloa crus-galli</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Eleocharis palustris</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Gnaphalium uliginosum</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Lindernia dubia</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Persicaria</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lapathifolia</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Portulaca oleracea</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Rorippa sylvestris</w:t>
      </w:r>
      <w:r w:rsidRPr="0031593F">
        <w:rPr>
          <w:rFonts w:ascii="Times New Roman" w:eastAsia="Calibri" w:hAnsi="Times New Roman"/>
          <w:i/>
          <w:iCs/>
          <w:sz w:val="24"/>
          <w:szCs w:val="24"/>
        </w:rPr>
        <w:t xml:space="preserve"> </w:t>
      </w:r>
      <w:r w:rsidRPr="0031593F">
        <w:rPr>
          <w:rFonts w:ascii="Times New Roman" w:eastAsia="Calibri" w:hAnsi="Times New Roman"/>
          <w:iCs/>
          <w:sz w:val="24"/>
          <w:szCs w:val="24"/>
        </w:rPr>
        <w:t>и др.</w:t>
      </w:r>
      <w:r w:rsidRPr="0031593F">
        <w:rPr>
          <w:rFonts w:ascii="Times New Roman" w:eastAsia="Calibri" w:hAnsi="Times New Roman"/>
          <w:sz w:val="24"/>
          <w:szCs w:val="24"/>
        </w:rPr>
        <w:t xml:space="preserve"> При продължаващо отдръпване на реката и изсъхване на брега се появяват по-високи нитрофилни и слабо халофитни видове, като </w:t>
      </w:r>
      <w:r w:rsidRPr="0031593F">
        <w:rPr>
          <w:rFonts w:ascii="Times New Roman" w:eastAsia="Calibri" w:hAnsi="Times New Roman"/>
          <w:i/>
          <w:sz w:val="24"/>
          <w:szCs w:val="24"/>
          <w:lang w:val="en-US"/>
        </w:rPr>
        <w:t>Mentha pulegium, Inula britannica, Cynodon dactylon, Trifolium fragiferum, Pulicaria dysentherica, Bidens</w:t>
      </w:r>
      <w:r w:rsidRPr="0031593F">
        <w:rPr>
          <w:rFonts w:ascii="Times New Roman" w:eastAsia="Calibri" w:hAnsi="Times New Roman"/>
          <w:sz w:val="24"/>
          <w:szCs w:val="24"/>
          <w:lang w:val="en-US"/>
        </w:rPr>
        <w:t xml:space="preserve"> spp. </w:t>
      </w:r>
      <w:r w:rsidRPr="0031593F">
        <w:rPr>
          <w:rFonts w:ascii="Times New Roman" w:eastAsia="Calibri" w:hAnsi="Times New Roman"/>
          <w:sz w:val="24"/>
          <w:szCs w:val="24"/>
        </w:rPr>
        <w:t>и др.</w:t>
      </w:r>
    </w:p>
    <w:p w:rsidR="0031593F" w:rsidRPr="0031593F" w:rsidRDefault="0031593F" w:rsidP="0031593F">
      <w:pPr>
        <w:spacing w:after="0" w:line="240" w:lineRule="auto"/>
        <w:ind w:firstLine="709"/>
        <w:jc w:val="both"/>
        <w:rPr>
          <w:rFonts w:ascii="Times New Roman" w:hAnsi="Times New Roman"/>
          <w:bCs/>
          <w:sz w:val="24"/>
          <w:szCs w:val="24"/>
          <w:lang w:val="en-US" w:eastAsia="bg-BG"/>
        </w:rPr>
      </w:pPr>
      <w:r w:rsidRPr="0031593F">
        <w:rPr>
          <w:rFonts w:ascii="Times New Roman" w:eastAsia="Calibri" w:hAnsi="Times New Roman"/>
          <w:sz w:val="24"/>
          <w:szCs w:val="24"/>
          <w:lang w:val="en-US"/>
        </w:rPr>
        <w:t>Съобщества от този тип са широко разпространени по брега на река Дунав, както и по брег</w:t>
      </w:r>
      <w:r w:rsidRPr="0031593F">
        <w:rPr>
          <w:rFonts w:ascii="Times New Roman" w:hAnsi="Times New Roman"/>
          <w:bCs/>
          <w:sz w:val="24"/>
          <w:szCs w:val="24"/>
          <w:lang w:eastAsia="bg-BG"/>
        </w:rPr>
        <w:t>овете на островите</w:t>
      </w:r>
      <w:r w:rsidRPr="0031593F">
        <w:rPr>
          <w:rFonts w:ascii="Times New Roman" w:hAnsi="Times New Roman"/>
          <w:bCs/>
          <w:sz w:val="24"/>
          <w:szCs w:val="24"/>
          <w:lang w:val="en-US" w:eastAsia="bg-BG"/>
        </w:rPr>
        <w:t xml:space="preserve">. </w:t>
      </w:r>
      <w:r w:rsidRPr="0031593F">
        <w:rPr>
          <w:rFonts w:ascii="Times New Roman" w:hAnsi="Times New Roman"/>
          <w:bCs/>
          <w:sz w:val="24"/>
          <w:szCs w:val="24"/>
          <w:lang w:eastAsia="bg-BG"/>
        </w:rPr>
        <w:t>Ц</w:t>
      </w:r>
      <w:r w:rsidRPr="0031593F">
        <w:rPr>
          <w:rFonts w:ascii="Times New Roman" w:hAnsi="Times New Roman"/>
          <w:bCs/>
          <w:sz w:val="24"/>
          <w:szCs w:val="24"/>
          <w:lang w:val="en-US" w:eastAsia="bg-BG"/>
        </w:rPr>
        <w:t>енозите са много представителни и включват почти всички типични видове за местообитанието.</w:t>
      </w:r>
      <w:r w:rsidRPr="0031593F">
        <w:rPr>
          <w:rFonts w:ascii="Times New Roman" w:hAnsi="Times New Roman"/>
          <w:bCs/>
          <w:sz w:val="24"/>
          <w:szCs w:val="24"/>
          <w:lang w:eastAsia="bg-BG"/>
        </w:rPr>
        <w:t xml:space="preserve"> Такива съобщества бяха установени и на остров Девня.</w:t>
      </w:r>
    </w:p>
    <w:p w:rsidR="0031593F" w:rsidRPr="0031593F" w:rsidRDefault="0031593F" w:rsidP="0031593F">
      <w:pPr>
        <w:spacing w:after="0" w:line="240" w:lineRule="auto"/>
        <w:jc w:val="both"/>
        <w:rPr>
          <w:rFonts w:ascii="Times New Roman" w:eastAsia="Calibri" w:hAnsi="Times New Roman"/>
          <w:sz w:val="24"/>
          <w:szCs w:val="24"/>
          <w:highlight w:val="green"/>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3. Състояние на биогеографско ниво и разпространение в мрежата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В мрежата Натура 2000, природно местообитание с код 3130 е предмет на опазване в 18 защитени зони (</w:t>
      </w:r>
      <w:r w:rsidRPr="0031593F">
        <w:rPr>
          <w:rFonts w:ascii="Times New Roman" w:hAnsi="Times New Roman"/>
          <w:noProof/>
          <w:position w:val="-1"/>
          <w:sz w:val="24"/>
          <w:szCs w:val="24"/>
        </w:rPr>
        <w:t xml:space="preserve">Natura 2000 update April 2019: </w:t>
      </w:r>
      <w:hyperlink r:id="rId9">
        <w:r w:rsidRPr="0031593F">
          <w:rPr>
            <w:rFonts w:ascii="Times New Roman" w:hAnsi="Times New Roman"/>
            <w:noProof/>
            <w:color w:val="0563C1"/>
            <w:position w:val="-1"/>
            <w:sz w:val="24"/>
            <w:szCs w:val="24"/>
            <w:u w:val="single"/>
          </w:rPr>
          <w:t>https://cdr.eionet.europa.eu/bg/eu/n2000</w:t>
        </w:r>
      </w:hyperlink>
      <w:r w:rsidRPr="0031593F">
        <w:rPr>
          <w:rFonts w:ascii="Times New Roman" w:eastAsia="Calibri" w:hAnsi="Times New Roman"/>
          <w:sz w:val="24"/>
          <w:szCs w:val="24"/>
        </w:rPr>
        <w:t xml:space="preserve">) и е разпространено в Алпийския и в Континенталния биогеографски </w:t>
      </w:r>
      <w:r>
        <w:rPr>
          <w:rFonts w:ascii="Times New Roman" w:eastAsia="Calibri" w:hAnsi="Times New Roman"/>
          <w:sz w:val="24"/>
          <w:szCs w:val="24"/>
        </w:rPr>
        <w:t>рег</w:t>
      </w:r>
      <w:r w:rsidR="00482F18">
        <w:rPr>
          <w:rFonts w:ascii="Times New Roman" w:eastAsia="Calibri" w:hAnsi="Times New Roman"/>
          <w:sz w:val="24"/>
          <w:szCs w:val="24"/>
        </w:rPr>
        <w:t>и</w:t>
      </w:r>
      <w:r>
        <w:rPr>
          <w:rFonts w:ascii="Times New Roman" w:eastAsia="Calibri" w:hAnsi="Times New Roman"/>
          <w:sz w:val="24"/>
          <w:szCs w:val="24"/>
        </w:rPr>
        <w:t>они</w:t>
      </w:r>
      <w:r w:rsidRPr="0031593F">
        <w:rPr>
          <w:rFonts w:ascii="Times New Roman" w:eastAsia="Calibri" w:hAnsi="Times New Roman"/>
          <w:sz w:val="24"/>
          <w:szCs w:val="24"/>
        </w:rPr>
        <w:t>.</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Съгласно докладването по чл. 17 от Директива за местообитанията през 2019 г. (за периода 2013-2018 г.), природното местообитание е в благоприятно природозащитно състояние за </w:t>
      </w:r>
      <w:r w:rsidRPr="0031593F">
        <w:rPr>
          <w:rFonts w:ascii="Times New Roman" w:eastAsia="Calibri" w:hAnsi="Times New Roman"/>
          <w:sz w:val="24"/>
          <w:szCs w:val="24"/>
          <w:lang w:val="en-US"/>
        </w:rPr>
        <w:t>Алпийския</w:t>
      </w:r>
      <w:r w:rsidRPr="0031593F">
        <w:rPr>
          <w:rFonts w:ascii="Times New Roman" w:eastAsia="Calibri" w:hAnsi="Times New Roman"/>
          <w:sz w:val="24"/>
          <w:szCs w:val="24"/>
        </w:rPr>
        <w:t xml:space="preserve"> биогеографски </w:t>
      </w:r>
      <w:r>
        <w:rPr>
          <w:rFonts w:ascii="Times New Roman" w:eastAsia="Calibri" w:hAnsi="Times New Roman"/>
          <w:sz w:val="24"/>
          <w:szCs w:val="24"/>
        </w:rPr>
        <w:t>регион</w:t>
      </w:r>
      <w:r w:rsidRPr="0031593F">
        <w:rPr>
          <w:rFonts w:ascii="Times New Roman" w:eastAsia="Calibri" w:hAnsi="Times New Roman"/>
          <w:sz w:val="24"/>
          <w:szCs w:val="24"/>
        </w:rPr>
        <w:t xml:space="preserve"> и в неблагоприятно-незадоволително за Континенталния (благоприятно разпространение и неблагоприятно-незадоволителни площ, структура и функции, и бъдещи перспективи). При докладването през 2019 г., посочените заплахи и влияния са оценени със средна степен на въздействие – температурни промени поради изменение на климата, абиотични естествени процеси (ерозия, затлачване, осушаване и др.), натрупване на органичен материал, водовземане от подземни, повърхностни или смесени води, замърсяване на повърхностни или подземни води, изхвърляне на градски отпадъчни води, добив на минерали (напр. чакъл, пясък, черупки) и др. При докладването по чл. 17 през 2013 г. (за периода 2007-2012 г.) местообитанието е с оценка неблагоприятно-незадоволително състояние за Алпийския биогеографски </w:t>
      </w:r>
      <w:r>
        <w:rPr>
          <w:rFonts w:ascii="Times New Roman" w:eastAsia="Calibri" w:hAnsi="Times New Roman"/>
          <w:sz w:val="24"/>
          <w:szCs w:val="24"/>
        </w:rPr>
        <w:t>регион</w:t>
      </w:r>
      <w:r w:rsidRPr="0031593F">
        <w:rPr>
          <w:rFonts w:ascii="Times New Roman" w:eastAsia="Calibri" w:hAnsi="Times New Roman"/>
          <w:sz w:val="24"/>
          <w:szCs w:val="24"/>
        </w:rPr>
        <w:t xml:space="preserve"> (благоприятно разпространение и площ, неблагоприятно-незадоволителни структура и функции, и бъдещи перспективи) и благоприятно състояние за Континенталния район.</w:t>
      </w:r>
    </w:p>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rPr>
          <w:rFonts w:ascii="Times New Roman" w:eastAsia="Calibri" w:hAnsi="Times New Roman"/>
          <w:i/>
          <w:sz w:val="24"/>
          <w:szCs w:val="24"/>
        </w:rPr>
      </w:pPr>
      <w:r w:rsidRPr="0031593F">
        <w:rPr>
          <w:rFonts w:ascii="Times New Roman" w:eastAsia="Calibri" w:hAnsi="Times New Roman"/>
          <w:b/>
          <w:sz w:val="24"/>
          <w:szCs w:val="24"/>
        </w:rPr>
        <w:t>4. Състояние на ниво защитена зона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Според данните в стандартния формуляр, площта на местообитанието в ЗЗ „Сребърна“ е </w:t>
      </w:r>
      <w:r w:rsidRPr="0031593F">
        <w:rPr>
          <w:rFonts w:ascii="Times New Roman" w:eastAsia="Calibri" w:hAnsi="Times New Roman"/>
          <w:sz w:val="24"/>
          <w:szCs w:val="24"/>
          <w:lang w:val="en-US"/>
        </w:rPr>
        <w:t>2,72264</w:t>
      </w:r>
      <w:r w:rsidRPr="0031593F">
        <w:rPr>
          <w:rFonts w:ascii="Times New Roman" w:eastAsia="Calibri" w:hAnsi="Times New Roman"/>
          <w:sz w:val="24"/>
          <w:szCs w:val="24"/>
        </w:rPr>
        <w:t xml:space="preserve"> ha</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 xml:space="preserve">и попада в Континенталния биогеографски </w:t>
      </w:r>
      <w:r>
        <w:rPr>
          <w:rFonts w:ascii="Times New Roman" w:eastAsia="Calibri" w:hAnsi="Times New Roman"/>
          <w:sz w:val="24"/>
          <w:szCs w:val="24"/>
        </w:rPr>
        <w:t>регион</w:t>
      </w:r>
      <w:r w:rsidRPr="0031593F">
        <w:rPr>
          <w:rFonts w:ascii="Times New Roman" w:eastAsia="Calibri" w:hAnsi="Times New Roman"/>
          <w:sz w:val="24"/>
          <w:szCs w:val="24"/>
        </w:rPr>
        <w:t>. В „Информационна система за защитени зони от екологичната мрежа Натура 2000 на МОСВ“ няма специфичен доклад за него. Според общия доклад за местообитанието, то не е регистрирано в защитената зона в рамките на проект „Картиране и определяне на природозащитното състояние на природни местообитания и видове - фаза I“ (т.е. през 2011-2012 г.). Запазена е съществуващата до 2011 г. площ в СФ на зоната. Според стандартния формуляр, местообитанието в зоната е с оценки за „Представителност“ „</w:t>
      </w:r>
      <w:r w:rsidRPr="0031593F">
        <w:rPr>
          <w:rFonts w:ascii="Times New Roman" w:eastAsia="Calibri" w:hAnsi="Times New Roman"/>
          <w:sz w:val="24"/>
          <w:szCs w:val="24"/>
          <w:lang w:val="en-US"/>
        </w:rPr>
        <w:t>C</w:t>
      </w:r>
      <w:r w:rsidRPr="0031593F">
        <w:rPr>
          <w:rFonts w:ascii="Times New Roman" w:eastAsia="Calibri" w:hAnsi="Times New Roman"/>
          <w:sz w:val="24"/>
          <w:szCs w:val="24"/>
        </w:rPr>
        <w:t>“, за „Относителна площ“ „</w:t>
      </w:r>
      <w:r w:rsidRPr="0031593F">
        <w:rPr>
          <w:rFonts w:ascii="Times New Roman" w:eastAsia="Calibri" w:hAnsi="Times New Roman"/>
          <w:sz w:val="24"/>
          <w:szCs w:val="24"/>
          <w:lang w:val="en-US"/>
        </w:rPr>
        <w:t>C</w:t>
      </w:r>
      <w:r w:rsidRPr="0031593F">
        <w:rPr>
          <w:rFonts w:ascii="Times New Roman" w:eastAsia="Calibri" w:hAnsi="Times New Roman"/>
          <w:sz w:val="24"/>
          <w:szCs w:val="24"/>
        </w:rPr>
        <w:t>“, за „Степен на опазване“ „</w:t>
      </w:r>
      <w:r w:rsidRPr="0031593F">
        <w:rPr>
          <w:rFonts w:ascii="Times New Roman" w:eastAsia="Calibri" w:hAnsi="Times New Roman"/>
          <w:sz w:val="24"/>
          <w:szCs w:val="24"/>
          <w:lang w:val="en-US"/>
        </w:rPr>
        <w:t>B</w:t>
      </w:r>
      <w:r w:rsidRPr="0031593F">
        <w:rPr>
          <w:rFonts w:ascii="Times New Roman" w:eastAsia="Calibri" w:hAnsi="Times New Roman"/>
          <w:sz w:val="24"/>
          <w:szCs w:val="24"/>
        </w:rPr>
        <w:t>“, като общата оценка на стойността на защитената зона за опазване на природното местообитание е „</w:t>
      </w:r>
      <w:r w:rsidRPr="0031593F">
        <w:rPr>
          <w:rFonts w:ascii="Times New Roman" w:eastAsia="Calibri" w:hAnsi="Times New Roman"/>
          <w:sz w:val="24"/>
          <w:szCs w:val="24"/>
          <w:lang w:val="en-US"/>
        </w:rPr>
        <w:t>C</w:t>
      </w:r>
      <w:r w:rsidRPr="0031593F">
        <w:rPr>
          <w:rFonts w:ascii="Times New Roman" w:eastAsia="Calibri" w:hAnsi="Times New Roman"/>
          <w:sz w:val="24"/>
          <w:szCs w:val="24"/>
        </w:rPr>
        <w:t>“.</w:t>
      </w:r>
      <w:r w:rsidRPr="0031593F">
        <w:rPr>
          <w:rFonts w:ascii="Times New Roman" w:eastAsia="Calibri" w:hAnsi="Times New Roman"/>
          <w:sz w:val="24"/>
          <w:szCs w:val="24"/>
          <w:lang w:val="en-US"/>
        </w:rPr>
        <w:t xml:space="preserve"> Необходими са актуални данни за определяне на площ</w:t>
      </w:r>
      <w:r w:rsidRPr="0031593F">
        <w:rPr>
          <w:rFonts w:ascii="Times New Roman" w:eastAsia="Calibri" w:hAnsi="Times New Roman"/>
          <w:sz w:val="24"/>
          <w:szCs w:val="24"/>
        </w:rPr>
        <w:t>та</w:t>
      </w:r>
      <w:r w:rsidRPr="0031593F">
        <w:rPr>
          <w:rFonts w:ascii="Times New Roman" w:eastAsia="Calibri" w:hAnsi="Times New Roman"/>
          <w:sz w:val="24"/>
          <w:szCs w:val="24"/>
          <w:lang w:val="en-US"/>
        </w:rPr>
        <w:t xml:space="preserve"> и състояние</w:t>
      </w:r>
      <w:r w:rsidRPr="0031593F">
        <w:rPr>
          <w:rFonts w:ascii="Times New Roman" w:eastAsia="Calibri" w:hAnsi="Times New Roman"/>
          <w:sz w:val="24"/>
          <w:szCs w:val="24"/>
        </w:rPr>
        <w:t>то</w:t>
      </w:r>
      <w:r w:rsidRPr="0031593F">
        <w:rPr>
          <w:rFonts w:ascii="Times New Roman" w:eastAsia="Calibri" w:hAnsi="Times New Roman"/>
          <w:sz w:val="24"/>
          <w:szCs w:val="24"/>
          <w:lang w:val="en-US"/>
        </w:rPr>
        <w:t xml:space="preserve"> на местообитанието в зоната и съответни промени в стандартния формуляр.</w:t>
      </w:r>
    </w:p>
    <w:p w:rsidR="0031593F" w:rsidRPr="0031593F" w:rsidRDefault="0031593F" w:rsidP="0031593F">
      <w:pPr>
        <w:spacing w:after="0" w:line="240" w:lineRule="auto"/>
        <w:jc w:val="both"/>
        <w:rPr>
          <w:rFonts w:ascii="Times New Roman" w:eastAsia="Calibri"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1"/>
        <w:gridCol w:w="461"/>
        <w:gridCol w:w="483"/>
        <w:gridCol w:w="908"/>
        <w:gridCol w:w="1028"/>
        <w:gridCol w:w="839"/>
        <w:gridCol w:w="1627"/>
        <w:gridCol w:w="1126"/>
        <w:gridCol w:w="1361"/>
        <w:gridCol w:w="794"/>
      </w:tblGrid>
      <w:tr w:rsidR="0031593F" w:rsidRPr="0031593F" w:rsidTr="0031593F">
        <w:tc>
          <w:tcPr>
            <w:tcW w:w="2385" w:type="pct"/>
            <w:gridSpan w:val="6"/>
            <w:shd w:val="clear" w:color="auto" w:fill="D9D9D9"/>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Annex I Habitat types</w:t>
            </w:r>
          </w:p>
        </w:tc>
        <w:tc>
          <w:tcPr>
            <w:tcW w:w="2615" w:type="pct"/>
            <w:gridSpan w:val="4"/>
            <w:shd w:val="clear" w:color="auto" w:fill="D9D9D9"/>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Site assessment</w:t>
            </w:r>
          </w:p>
        </w:tc>
      </w:tr>
      <w:tr w:rsidR="0031593F" w:rsidRPr="0031593F" w:rsidTr="0031593F">
        <w:tc>
          <w:tcPr>
            <w:tcW w:w="344"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Code</w:t>
            </w:r>
          </w:p>
        </w:tc>
        <w:tc>
          <w:tcPr>
            <w:tcW w:w="240"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PF</w:t>
            </w:r>
          </w:p>
        </w:tc>
        <w:tc>
          <w:tcPr>
            <w:tcW w:w="251"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NP</w:t>
            </w:r>
          </w:p>
        </w:tc>
        <w:tc>
          <w:tcPr>
            <w:tcW w:w="526"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Cover (ha)</w:t>
            </w:r>
          </w:p>
        </w:tc>
        <w:tc>
          <w:tcPr>
            <w:tcW w:w="536"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Cave (number)</w:t>
            </w:r>
          </w:p>
        </w:tc>
        <w:tc>
          <w:tcPr>
            <w:tcW w:w="489"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Data quality</w:t>
            </w:r>
          </w:p>
        </w:tc>
        <w:tc>
          <w:tcPr>
            <w:tcW w:w="848"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A/B/C/D</w:t>
            </w:r>
          </w:p>
        </w:tc>
        <w:tc>
          <w:tcPr>
            <w:tcW w:w="1766" w:type="pct"/>
            <w:gridSpan w:val="3"/>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A/B/C</w:t>
            </w:r>
          </w:p>
        </w:tc>
      </w:tr>
      <w:tr w:rsidR="0031593F" w:rsidRPr="0031593F" w:rsidTr="0031593F">
        <w:trPr>
          <w:trHeight w:val="454"/>
        </w:trPr>
        <w:tc>
          <w:tcPr>
            <w:tcW w:w="344" w:type="pct"/>
          </w:tcPr>
          <w:p w:rsidR="0031593F" w:rsidRPr="0031593F" w:rsidRDefault="0031593F" w:rsidP="0031593F">
            <w:pPr>
              <w:rPr>
                <w:rFonts w:ascii="Times New Roman" w:hAnsi="Times New Roman"/>
                <w:b/>
                <w:color w:val="000000"/>
                <w:position w:val="-1"/>
                <w:sz w:val="20"/>
                <w:szCs w:val="20"/>
              </w:rPr>
            </w:pPr>
          </w:p>
        </w:tc>
        <w:tc>
          <w:tcPr>
            <w:tcW w:w="240" w:type="pct"/>
          </w:tcPr>
          <w:p w:rsidR="0031593F" w:rsidRPr="0031593F" w:rsidRDefault="0031593F" w:rsidP="0031593F">
            <w:pPr>
              <w:rPr>
                <w:rFonts w:ascii="Times New Roman" w:hAnsi="Times New Roman"/>
                <w:b/>
                <w:color w:val="000000"/>
                <w:position w:val="-1"/>
                <w:sz w:val="20"/>
                <w:szCs w:val="20"/>
              </w:rPr>
            </w:pPr>
          </w:p>
        </w:tc>
        <w:tc>
          <w:tcPr>
            <w:tcW w:w="251" w:type="pct"/>
          </w:tcPr>
          <w:p w:rsidR="0031593F" w:rsidRPr="0031593F" w:rsidRDefault="0031593F" w:rsidP="0031593F">
            <w:pPr>
              <w:rPr>
                <w:rFonts w:ascii="Times New Roman" w:hAnsi="Times New Roman"/>
                <w:b/>
                <w:color w:val="000000"/>
                <w:position w:val="-1"/>
                <w:sz w:val="20"/>
                <w:szCs w:val="20"/>
              </w:rPr>
            </w:pPr>
          </w:p>
        </w:tc>
        <w:tc>
          <w:tcPr>
            <w:tcW w:w="526" w:type="pct"/>
          </w:tcPr>
          <w:p w:rsidR="0031593F" w:rsidRPr="0031593F" w:rsidRDefault="0031593F" w:rsidP="0031593F">
            <w:pPr>
              <w:rPr>
                <w:rFonts w:ascii="Times New Roman" w:hAnsi="Times New Roman"/>
                <w:b/>
                <w:color w:val="000000"/>
                <w:position w:val="-1"/>
                <w:sz w:val="20"/>
                <w:szCs w:val="20"/>
              </w:rPr>
            </w:pPr>
          </w:p>
        </w:tc>
        <w:tc>
          <w:tcPr>
            <w:tcW w:w="536" w:type="pct"/>
          </w:tcPr>
          <w:p w:rsidR="0031593F" w:rsidRPr="0031593F" w:rsidRDefault="0031593F" w:rsidP="0031593F">
            <w:pPr>
              <w:rPr>
                <w:rFonts w:ascii="Times New Roman" w:hAnsi="Times New Roman"/>
                <w:b/>
                <w:color w:val="000000"/>
                <w:position w:val="-1"/>
                <w:sz w:val="20"/>
                <w:szCs w:val="20"/>
              </w:rPr>
            </w:pPr>
          </w:p>
        </w:tc>
        <w:tc>
          <w:tcPr>
            <w:tcW w:w="489" w:type="pct"/>
          </w:tcPr>
          <w:p w:rsidR="0031593F" w:rsidRPr="0031593F" w:rsidRDefault="0031593F" w:rsidP="0031593F">
            <w:pPr>
              <w:rPr>
                <w:rFonts w:ascii="Times New Roman" w:hAnsi="Times New Roman"/>
                <w:b/>
                <w:color w:val="000000"/>
                <w:position w:val="-1"/>
                <w:sz w:val="20"/>
                <w:szCs w:val="20"/>
              </w:rPr>
            </w:pPr>
          </w:p>
        </w:tc>
        <w:tc>
          <w:tcPr>
            <w:tcW w:w="848" w:type="pct"/>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Representativity</w:t>
            </w:r>
          </w:p>
        </w:tc>
        <w:tc>
          <w:tcPr>
            <w:tcW w:w="643"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Relative Surface</w:t>
            </w:r>
          </w:p>
        </w:tc>
        <w:tc>
          <w:tcPr>
            <w:tcW w:w="710"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Conservation</w:t>
            </w:r>
          </w:p>
        </w:tc>
        <w:tc>
          <w:tcPr>
            <w:tcW w:w="414"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Global</w:t>
            </w:r>
          </w:p>
        </w:tc>
      </w:tr>
      <w:tr w:rsidR="0031593F" w:rsidRPr="0031593F" w:rsidTr="0031593F">
        <w:trPr>
          <w:trHeight w:hRule="exact" w:val="284"/>
        </w:trPr>
        <w:tc>
          <w:tcPr>
            <w:tcW w:w="344" w:type="pct"/>
            <w:tcBorders>
              <w:top w:val="nil"/>
              <w:left w:val="single" w:sz="4" w:space="0" w:color="auto"/>
              <w:bottom w:val="single" w:sz="4" w:space="0" w:color="auto"/>
              <w:right w:val="single" w:sz="4" w:space="0" w:color="auto"/>
            </w:tcBorders>
            <w:shd w:val="clear" w:color="auto" w:fill="auto"/>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3130</w:t>
            </w:r>
          </w:p>
        </w:tc>
        <w:tc>
          <w:tcPr>
            <w:tcW w:w="240" w:type="pct"/>
          </w:tcPr>
          <w:p w:rsidR="0031593F" w:rsidRPr="0031593F" w:rsidRDefault="0031593F" w:rsidP="0031593F">
            <w:pPr>
              <w:rPr>
                <w:rFonts w:ascii="Times New Roman" w:eastAsia="Calibri" w:hAnsi="Times New Roman"/>
                <w:sz w:val="20"/>
                <w:szCs w:val="20"/>
                <w:lang w:val="en-US"/>
              </w:rPr>
            </w:pPr>
          </w:p>
        </w:tc>
        <w:tc>
          <w:tcPr>
            <w:tcW w:w="251" w:type="pct"/>
          </w:tcPr>
          <w:p w:rsidR="0031593F" w:rsidRPr="0031593F" w:rsidRDefault="0031593F" w:rsidP="0031593F">
            <w:pPr>
              <w:rPr>
                <w:rFonts w:ascii="Times New Roman" w:eastAsia="Calibri" w:hAnsi="Times New Roman"/>
                <w:sz w:val="20"/>
                <w:szCs w:val="20"/>
                <w:lang w:val="en-US"/>
              </w:rPr>
            </w:pPr>
          </w:p>
        </w:tc>
        <w:tc>
          <w:tcPr>
            <w:tcW w:w="526"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2,72264</w:t>
            </w:r>
          </w:p>
        </w:tc>
        <w:tc>
          <w:tcPr>
            <w:tcW w:w="536" w:type="pct"/>
          </w:tcPr>
          <w:p w:rsidR="0031593F" w:rsidRPr="0031593F" w:rsidRDefault="0031593F" w:rsidP="0031593F">
            <w:pPr>
              <w:rPr>
                <w:rFonts w:ascii="Times New Roman" w:eastAsia="Calibri" w:hAnsi="Times New Roman"/>
                <w:sz w:val="20"/>
                <w:szCs w:val="20"/>
                <w:lang w:val="en-US"/>
              </w:rPr>
            </w:pPr>
          </w:p>
        </w:tc>
        <w:tc>
          <w:tcPr>
            <w:tcW w:w="489" w:type="pct"/>
          </w:tcPr>
          <w:p w:rsidR="0031593F" w:rsidRPr="0031593F" w:rsidRDefault="0031593F" w:rsidP="0031593F">
            <w:pPr>
              <w:rPr>
                <w:rFonts w:ascii="Times New Roman" w:eastAsia="Calibri" w:hAnsi="Times New Roman"/>
                <w:sz w:val="20"/>
                <w:szCs w:val="20"/>
                <w:lang w:val="en-US"/>
              </w:rPr>
            </w:pPr>
          </w:p>
        </w:tc>
        <w:tc>
          <w:tcPr>
            <w:tcW w:w="848"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C</w:t>
            </w:r>
          </w:p>
        </w:tc>
        <w:tc>
          <w:tcPr>
            <w:tcW w:w="643"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C</w:t>
            </w:r>
          </w:p>
        </w:tc>
        <w:tc>
          <w:tcPr>
            <w:tcW w:w="710"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B</w:t>
            </w:r>
          </w:p>
        </w:tc>
        <w:tc>
          <w:tcPr>
            <w:tcW w:w="414"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C</w:t>
            </w:r>
          </w:p>
        </w:tc>
      </w:tr>
    </w:tbl>
    <w:p w:rsidR="0031593F" w:rsidRPr="0031593F" w:rsidRDefault="0031593F" w:rsidP="0031593F">
      <w:pPr>
        <w:spacing w:after="0" w:line="240" w:lineRule="auto"/>
        <w:jc w:val="both"/>
        <w:rPr>
          <w:rFonts w:ascii="Times New Roman" w:eastAsia="Calibri" w:hAnsi="Times New Roman"/>
          <w:b/>
          <w:sz w:val="24"/>
          <w:szCs w:val="24"/>
        </w:rPr>
      </w:pPr>
    </w:p>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b/>
          <w:sz w:val="24"/>
          <w:szCs w:val="24"/>
        </w:rPr>
        <w:t>5. Анализ на наличната информация</w:t>
      </w:r>
    </w:p>
    <w:p w:rsidR="0031593F" w:rsidRPr="0031593F" w:rsidRDefault="0031593F" w:rsidP="0031593F">
      <w:pPr>
        <w:spacing w:after="0" w:line="240" w:lineRule="auto"/>
        <w:ind w:firstLine="709"/>
        <w:jc w:val="both"/>
        <w:rPr>
          <w:rFonts w:ascii="Times New Roman" w:eastAsia="Calibri" w:hAnsi="Times New Roman"/>
          <w:noProof/>
          <w:sz w:val="24"/>
          <w:szCs w:val="24"/>
        </w:rPr>
      </w:pPr>
      <w:r w:rsidRPr="0031593F">
        <w:rPr>
          <w:rFonts w:ascii="Times New Roman" w:hAnsi="Times New Roman"/>
          <w:bCs/>
          <w:sz w:val="24"/>
          <w:szCs w:val="24"/>
          <w:lang w:eastAsia="bg-BG"/>
        </w:rPr>
        <w:t xml:space="preserve">Няма актуални данни за площта на местообитанието в защитената зона. Местообитанието не е установено в рамките на проект „Картиране и определяне на природозащитното състояние на местообитания и видове – Фаза 1”, както и по цялото дунавско </w:t>
      </w:r>
      <w:r w:rsidRPr="0031593F">
        <w:rPr>
          <w:rFonts w:ascii="Times New Roman" w:eastAsia="Calibri" w:hAnsi="Times New Roman"/>
          <w:sz w:val="24"/>
          <w:szCs w:val="24"/>
          <w:lang w:val="en-US"/>
        </w:rPr>
        <w:t>крайбрежие</w:t>
      </w:r>
      <w:r w:rsidRPr="0031593F">
        <w:rPr>
          <w:rFonts w:ascii="Times New Roman" w:hAnsi="Times New Roman"/>
          <w:bCs/>
          <w:sz w:val="24"/>
          <w:szCs w:val="24"/>
          <w:lang w:eastAsia="bg-BG"/>
        </w:rPr>
        <w:t>, доколкото за него от част от картиращите екипи е възприета характеристика значително различаваща се от описаната в Червена книга на Република България, том 3. Природни местообитания (вж. Бисерков и др. 2015) и от националното Ръководство за определяне на местообитания от Европейска значимост в България (Кавръкова и др. 2009) и свеждаща местообитанието само до олиготрофните планински езера.</w:t>
      </w:r>
    </w:p>
    <w:p w:rsidR="0031593F" w:rsidRPr="0031593F" w:rsidRDefault="0031593F" w:rsidP="0031593F">
      <w:pPr>
        <w:spacing w:after="0" w:line="240" w:lineRule="auto"/>
        <w:ind w:firstLine="709"/>
        <w:jc w:val="both"/>
        <w:rPr>
          <w:rFonts w:ascii="Times New Roman" w:hAnsi="Times New Roman"/>
          <w:bCs/>
          <w:sz w:val="24"/>
          <w:szCs w:val="24"/>
          <w:lang w:eastAsia="bg-BG"/>
        </w:rPr>
      </w:pPr>
      <w:r w:rsidRPr="0031593F">
        <w:rPr>
          <w:rFonts w:ascii="Times New Roman" w:hAnsi="Times New Roman"/>
          <w:bCs/>
          <w:sz w:val="24"/>
          <w:szCs w:val="24"/>
          <w:lang w:eastAsia="bg-BG"/>
        </w:rPr>
        <w:t>Т</w:t>
      </w:r>
      <w:r w:rsidRPr="0031593F">
        <w:rPr>
          <w:rFonts w:ascii="Times New Roman" w:hAnsi="Times New Roman"/>
          <w:bCs/>
          <w:sz w:val="24"/>
          <w:szCs w:val="24"/>
          <w:lang w:val="en-US" w:eastAsia="bg-BG"/>
        </w:rPr>
        <w:t xml:space="preserve">ова е </w:t>
      </w:r>
      <w:r w:rsidRPr="0031593F">
        <w:rPr>
          <w:rFonts w:ascii="Times New Roman" w:eastAsia="Calibri" w:hAnsi="Times New Roman"/>
          <w:sz w:val="24"/>
          <w:szCs w:val="24"/>
          <w:lang w:val="en-US"/>
        </w:rPr>
        <w:t>едно</w:t>
      </w:r>
      <w:r w:rsidRPr="0031593F">
        <w:rPr>
          <w:rFonts w:ascii="Times New Roman" w:hAnsi="Times New Roman"/>
          <w:bCs/>
          <w:sz w:val="24"/>
          <w:szCs w:val="24"/>
          <w:lang w:val="en-US" w:eastAsia="bg-BG"/>
        </w:rPr>
        <w:t xml:space="preserve"> от най-проблемните за картиране природни местообитания, доколкото е много динамично и се появява в зависимост от ниски води на река Дунав</w:t>
      </w:r>
      <w:r w:rsidRPr="0031593F">
        <w:rPr>
          <w:rFonts w:ascii="Times New Roman" w:hAnsi="Times New Roman"/>
          <w:bCs/>
          <w:sz w:val="24"/>
          <w:szCs w:val="24"/>
          <w:lang w:eastAsia="bg-BG"/>
        </w:rPr>
        <w:t>, както</w:t>
      </w:r>
      <w:r w:rsidRPr="0031593F">
        <w:rPr>
          <w:rFonts w:ascii="Times New Roman" w:hAnsi="Times New Roman"/>
          <w:bCs/>
          <w:sz w:val="24"/>
          <w:szCs w:val="24"/>
          <w:lang w:val="en-US" w:eastAsia="bg-BG"/>
        </w:rPr>
        <w:t xml:space="preserve"> и зависи от динамиката на речните наноси. </w:t>
      </w:r>
      <w:r w:rsidRPr="0031593F">
        <w:rPr>
          <w:rFonts w:ascii="Times New Roman" w:hAnsi="Times New Roman"/>
          <w:bCs/>
          <w:sz w:val="24"/>
          <w:szCs w:val="24"/>
          <w:lang w:eastAsia="bg-BG"/>
        </w:rPr>
        <w:t>По</w:t>
      </w:r>
      <w:r w:rsidRPr="0031593F">
        <w:rPr>
          <w:rFonts w:ascii="Times New Roman" w:hAnsi="Times New Roman"/>
          <w:bCs/>
          <w:sz w:val="24"/>
          <w:szCs w:val="24"/>
          <w:lang w:val="en-US" w:eastAsia="bg-BG"/>
        </w:rPr>
        <w:t xml:space="preserve">ради това всяка площ, посочена за него е условна, доколкото тя се мени година за година. Друг проблем е, че поради особеностите на седиментацията – смесена (пясъци и глина), няма ясно разграничаване от много подобното на него местообитание 3270 Реки с кални брегове с </w:t>
      </w:r>
      <w:r w:rsidRPr="0031593F">
        <w:rPr>
          <w:rFonts w:ascii="Times New Roman" w:hAnsi="Times New Roman"/>
          <w:bCs/>
          <w:i/>
          <w:sz w:val="24"/>
          <w:szCs w:val="24"/>
          <w:lang w:val="en-US" w:eastAsia="bg-BG"/>
        </w:rPr>
        <w:t>Chenopodion rubri и</w:t>
      </w:r>
      <w:r w:rsidRPr="0031593F">
        <w:rPr>
          <w:rFonts w:ascii="Times New Roman" w:hAnsi="Times New Roman"/>
          <w:bCs/>
          <w:sz w:val="24"/>
          <w:szCs w:val="24"/>
          <w:lang w:val="en-US" w:eastAsia="bg-BG"/>
        </w:rPr>
        <w:t xml:space="preserve"> </w:t>
      </w:r>
      <w:r w:rsidRPr="0031593F">
        <w:rPr>
          <w:rFonts w:ascii="Times New Roman" w:hAnsi="Times New Roman"/>
          <w:bCs/>
          <w:i/>
          <w:sz w:val="24"/>
          <w:szCs w:val="24"/>
          <w:lang w:val="en-US" w:eastAsia="bg-BG"/>
        </w:rPr>
        <w:t>Bidention</w:t>
      </w:r>
      <w:r w:rsidRPr="0031593F">
        <w:rPr>
          <w:rFonts w:ascii="Times New Roman" w:hAnsi="Times New Roman"/>
          <w:bCs/>
          <w:sz w:val="24"/>
          <w:szCs w:val="24"/>
          <w:lang w:val="en-US" w:eastAsia="bg-BG"/>
        </w:rPr>
        <w:t xml:space="preserve"> p.p., с което в поречието на р. Дунав двете местообитание обра</w:t>
      </w:r>
      <w:r w:rsidRPr="0031593F">
        <w:rPr>
          <w:rFonts w:ascii="Times New Roman" w:hAnsi="Times New Roman"/>
          <w:bCs/>
          <w:sz w:val="24"/>
          <w:szCs w:val="24"/>
          <w:lang w:eastAsia="bg-BG"/>
        </w:rPr>
        <w:t>з</w:t>
      </w:r>
      <w:r w:rsidRPr="0031593F">
        <w:rPr>
          <w:rFonts w:ascii="Times New Roman" w:hAnsi="Times New Roman"/>
          <w:bCs/>
          <w:sz w:val="24"/>
          <w:szCs w:val="24"/>
          <w:lang w:val="en-US" w:eastAsia="bg-BG"/>
        </w:rPr>
        <w:t>уват комплекс. Първо</w:t>
      </w:r>
      <w:r w:rsidRPr="0031593F">
        <w:rPr>
          <w:rFonts w:ascii="Times New Roman" w:hAnsi="Times New Roman"/>
          <w:bCs/>
          <w:sz w:val="24"/>
          <w:szCs w:val="24"/>
          <w:lang w:eastAsia="bg-BG"/>
        </w:rPr>
        <w:t>,</w:t>
      </w:r>
      <w:r w:rsidRPr="0031593F">
        <w:rPr>
          <w:rFonts w:ascii="Times New Roman" w:hAnsi="Times New Roman"/>
          <w:bCs/>
          <w:sz w:val="24"/>
          <w:szCs w:val="24"/>
          <w:lang w:val="en-US" w:eastAsia="bg-BG"/>
        </w:rPr>
        <w:t xml:space="preserve"> по-близо до водата и по-бързо се развиват съобществата на 3130, а при постепенното пресъхване и </w:t>
      </w:r>
      <w:r w:rsidRPr="0031593F">
        <w:rPr>
          <w:rFonts w:ascii="Times New Roman" w:hAnsi="Times New Roman"/>
          <w:bCs/>
          <w:sz w:val="24"/>
          <w:szCs w:val="24"/>
          <w:lang w:eastAsia="bg-BG"/>
        </w:rPr>
        <w:t xml:space="preserve">увеличаване на нитрофилните видове – </w:t>
      </w:r>
      <w:r w:rsidRPr="0031593F">
        <w:rPr>
          <w:rFonts w:ascii="Times New Roman" w:hAnsi="Times New Roman"/>
          <w:bCs/>
          <w:sz w:val="24"/>
          <w:szCs w:val="24"/>
          <w:lang w:val="en-US" w:eastAsia="bg-BG"/>
        </w:rPr>
        <w:t>тези на 3270.</w:t>
      </w:r>
      <w:r w:rsidRPr="0031593F">
        <w:rPr>
          <w:rFonts w:ascii="Times New Roman" w:hAnsi="Times New Roman"/>
          <w:bCs/>
          <w:sz w:val="24"/>
          <w:szCs w:val="24"/>
          <w:lang w:eastAsia="bg-BG"/>
        </w:rPr>
        <w:t xml:space="preserve"> Заеманата площ от местообитанието трудно се моделира понеже то е силно динамично, както и не може да се направи карта на реалното му, а само на потенциалното му разпространение, с изричната уговорка, че през различните периоди на годината и през различни години, тази територия може да бъде съответно дълго време залята от вода или да бъде колонизирана в момента на теренна проверка от други съобщества, принадлежащи към местообитания 3260 и 3270. Поради това, като цел на опазване </w:t>
      </w:r>
      <w:r w:rsidRPr="0031593F">
        <w:rPr>
          <w:rFonts w:ascii="Times New Roman" w:hAnsi="Times New Roman"/>
          <w:bCs/>
          <w:sz w:val="24"/>
          <w:szCs w:val="24"/>
          <w:lang w:eastAsia="bg-BG"/>
        </w:rPr>
        <w:lastRenderedPageBreak/>
        <w:t>трудно може да се определи постоянна площ, а по-скоро нейна минимална стойност или стойностите, между които варира.</w:t>
      </w:r>
    </w:p>
    <w:p w:rsidR="0031593F" w:rsidRPr="0031593F" w:rsidRDefault="0031593F" w:rsidP="0031593F">
      <w:pPr>
        <w:spacing w:after="0" w:line="240" w:lineRule="auto"/>
        <w:ind w:firstLine="709"/>
        <w:jc w:val="both"/>
        <w:rPr>
          <w:rFonts w:ascii="Times New Roman" w:hAnsi="Times New Roman"/>
          <w:bCs/>
          <w:sz w:val="24"/>
          <w:szCs w:val="24"/>
          <w:lang w:eastAsia="bg-BG"/>
        </w:rPr>
      </w:pPr>
      <w:r w:rsidRPr="0031593F">
        <w:rPr>
          <w:rFonts w:ascii="Times New Roman" w:hAnsi="Times New Roman"/>
          <w:bCs/>
          <w:sz w:val="24"/>
          <w:szCs w:val="24"/>
          <w:lang w:eastAsia="bg-BG"/>
        </w:rPr>
        <w:t>Считаме, че площта, посочена в стандартния формуляр е занижена</w:t>
      </w:r>
      <w:r w:rsidRPr="0031593F">
        <w:rPr>
          <w:rFonts w:ascii="Times New Roman" w:hAnsi="Times New Roman"/>
          <w:bCs/>
          <w:sz w:val="24"/>
          <w:szCs w:val="24"/>
          <w:lang w:val="en-US" w:eastAsia="bg-BG"/>
        </w:rPr>
        <w:t xml:space="preserve"> (2,72264 ha)</w:t>
      </w:r>
      <w:r w:rsidRPr="0031593F">
        <w:rPr>
          <w:rFonts w:ascii="Times New Roman" w:hAnsi="Times New Roman"/>
          <w:bCs/>
          <w:sz w:val="24"/>
          <w:szCs w:val="24"/>
          <w:lang w:eastAsia="bg-BG"/>
        </w:rPr>
        <w:t xml:space="preserve">. След проведените </w:t>
      </w:r>
      <w:r w:rsidRPr="0031593F">
        <w:rPr>
          <w:rFonts w:ascii="Times New Roman" w:eastAsia="Calibri" w:hAnsi="Times New Roman"/>
          <w:sz w:val="24"/>
          <w:szCs w:val="24"/>
          <w:lang w:val="en-US"/>
        </w:rPr>
        <w:t>теренни</w:t>
      </w:r>
      <w:r w:rsidRPr="0031593F">
        <w:rPr>
          <w:rFonts w:ascii="Times New Roman" w:hAnsi="Times New Roman"/>
          <w:bCs/>
          <w:sz w:val="24"/>
          <w:szCs w:val="24"/>
          <w:lang w:eastAsia="bg-BG"/>
        </w:rPr>
        <w:t xml:space="preserve"> наблюдения през 2021 г. и критичния оглед на наличната информация е направено моделиране и определената при него стойност </w:t>
      </w:r>
      <w:r w:rsidRPr="0031593F">
        <w:rPr>
          <w:rFonts w:ascii="Times New Roman" w:hAnsi="Times New Roman"/>
          <w:bCs/>
          <w:sz w:val="24"/>
          <w:szCs w:val="24"/>
          <w:lang w:val="en-US" w:eastAsia="bg-BG"/>
        </w:rPr>
        <w:t xml:space="preserve">(5,5 ha) </w:t>
      </w:r>
      <w:r w:rsidRPr="0031593F">
        <w:rPr>
          <w:rFonts w:ascii="Times New Roman" w:hAnsi="Times New Roman"/>
          <w:bCs/>
          <w:sz w:val="24"/>
          <w:szCs w:val="24"/>
          <w:lang w:eastAsia="bg-BG"/>
        </w:rPr>
        <w:t>е подходяща да бъде приета за минимална, предвид дължината на бреговите ивици на островите и брега на река Дунав в защитената зона. Предлагаме тя да бъде приета за актуална и записана в СФ. Обективната оценка на потенциалната площ и разпространение на местообитанието трябва да се направи след специализирано проучване.</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Направени са следните изводи за настоящото състояние на местообитанието, които са отразени в целите, представени в този документ:</w:t>
      </w:r>
    </w:p>
    <w:p w:rsidR="0031593F" w:rsidRPr="0031593F" w:rsidRDefault="0031593F" w:rsidP="00635999">
      <w:pPr>
        <w:numPr>
          <w:ilvl w:val="0"/>
          <w:numId w:val="6"/>
        </w:numPr>
        <w:spacing w:after="0" w:line="240" w:lineRule="auto"/>
        <w:contextualSpacing/>
        <w:jc w:val="both"/>
        <w:rPr>
          <w:rFonts w:ascii="Times New Roman" w:eastAsia="Calibri" w:hAnsi="Times New Roman"/>
          <w:sz w:val="24"/>
          <w:szCs w:val="24"/>
          <w:lang w:val="en-US"/>
        </w:rPr>
      </w:pPr>
      <w:r w:rsidRPr="0031593F">
        <w:rPr>
          <w:rFonts w:ascii="Times New Roman" w:eastAsia="Calibri" w:hAnsi="Times New Roman"/>
          <w:sz w:val="24"/>
          <w:szCs w:val="24"/>
        </w:rPr>
        <w:t>Местообитанието се характеризира с присъствие на типичните видове растения, характерни на национално ниво.</w:t>
      </w:r>
    </w:p>
    <w:p w:rsidR="0031593F" w:rsidRPr="0031593F" w:rsidRDefault="0031593F" w:rsidP="00635999">
      <w:pPr>
        <w:numPr>
          <w:ilvl w:val="0"/>
          <w:numId w:val="6"/>
        </w:numPr>
        <w:spacing w:after="0" w:line="240" w:lineRule="auto"/>
        <w:contextualSpacing/>
        <w:jc w:val="both"/>
        <w:rPr>
          <w:rFonts w:ascii="Times New Roman" w:eastAsia="Calibri" w:hAnsi="Times New Roman"/>
          <w:sz w:val="24"/>
          <w:szCs w:val="24"/>
          <w:lang w:val="en-US"/>
        </w:rPr>
      </w:pPr>
      <w:r w:rsidRPr="0031593F">
        <w:rPr>
          <w:rFonts w:ascii="Times New Roman" w:eastAsia="Calibri" w:hAnsi="Times New Roman"/>
          <w:sz w:val="24"/>
          <w:szCs w:val="24"/>
        </w:rPr>
        <w:t>Поради режима на защитената територия (в границите на поддържан резерват „Сребърна“) не се наблюдават п</w:t>
      </w:r>
      <w:r w:rsidRPr="0031593F">
        <w:rPr>
          <w:rFonts w:ascii="Times New Roman" w:eastAsia="Calibri" w:hAnsi="Times New Roman"/>
          <w:sz w:val="24"/>
          <w:szCs w:val="24"/>
          <w:lang w:val="en-US"/>
        </w:rPr>
        <w:t>ромени в хидрологичния</w:t>
      </w:r>
      <w:r w:rsidRPr="0031593F">
        <w:rPr>
          <w:rFonts w:ascii="Times New Roman" w:eastAsia="Calibri" w:hAnsi="Times New Roman"/>
          <w:sz w:val="24"/>
          <w:szCs w:val="24"/>
        </w:rPr>
        <w:t xml:space="preserve"> му</w:t>
      </w:r>
      <w:r w:rsidRPr="0031593F">
        <w:rPr>
          <w:rFonts w:ascii="Times New Roman" w:eastAsia="Calibri" w:hAnsi="Times New Roman"/>
          <w:sz w:val="24"/>
          <w:szCs w:val="24"/>
          <w:lang w:val="en-US"/>
        </w:rPr>
        <w:t xml:space="preserve"> режим свързани</w:t>
      </w:r>
      <w:r w:rsidRPr="0031593F">
        <w:rPr>
          <w:rFonts w:ascii="Times New Roman" w:eastAsia="Calibri" w:hAnsi="Times New Roman"/>
          <w:sz w:val="24"/>
          <w:szCs w:val="24"/>
        </w:rPr>
        <w:t>и</w:t>
      </w:r>
      <w:r w:rsidRPr="0031593F">
        <w:rPr>
          <w:rFonts w:ascii="Times New Roman" w:eastAsia="Calibri" w:hAnsi="Times New Roman"/>
          <w:sz w:val="24"/>
          <w:szCs w:val="24"/>
          <w:lang w:val="en-US"/>
        </w:rPr>
        <w:t xml:space="preserve"> с отводняване и водоползване</w:t>
      </w:r>
      <w:r w:rsidRPr="0031593F">
        <w:rPr>
          <w:rFonts w:ascii="Times New Roman" w:eastAsia="Calibri" w:hAnsi="Times New Roman"/>
          <w:sz w:val="24"/>
          <w:szCs w:val="24"/>
        </w:rPr>
        <w:t>.</w:t>
      </w:r>
    </w:p>
    <w:p w:rsidR="0031593F" w:rsidRPr="0031593F" w:rsidRDefault="0031593F" w:rsidP="0031593F">
      <w:pPr>
        <w:spacing w:after="0" w:line="240" w:lineRule="auto"/>
        <w:contextualSpacing/>
        <w:jc w:val="both"/>
        <w:rPr>
          <w:rFonts w:ascii="Times New Roman" w:hAnsi="Times New Roman"/>
          <w:bCs/>
          <w:sz w:val="24"/>
          <w:szCs w:val="24"/>
          <w:lang w:eastAsia="bg-BG"/>
        </w:rPr>
      </w:pPr>
    </w:p>
    <w:p w:rsidR="0031593F" w:rsidRPr="0031593F" w:rsidRDefault="0031593F" w:rsidP="0031593F">
      <w:pPr>
        <w:spacing w:after="0" w:line="240" w:lineRule="auto"/>
        <w:jc w:val="both"/>
        <w:rPr>
          <w:rFonts w:ascii="Times New Roman" w:eastAsia="Calibri" w:hAnsi="Times New Roman"/>
          <w:b/>
          <w:i/>
          <w:sz w:val="24"/>
          <w:szCs w:val="24"/>
          <w:lang w:val="en-US"/>
        </w:rPr>
      </w:pPr>
      <w:r w:rsidRPr="0031593F">
        <w:rPr>
          <w:rFonts w:ascii="Times New Roman" w:eastAsia="Calibri" w:hAnsi="Times New Roman"/>
          <w:b/>
          <w:sz w:val="24"/>
          <w:szCs w:val="24"/>
        </w:rPr>
        <w:t>6. Цели за подобряване/поддържане на природозащитното състояние на местообитанието в зоната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Целите са формулирани по параметри със съответни мерни единици и целеви </w:t>
      </w:r>
      <w:r w:rsidRPr="0031593F">
        <w:rPr>
          <w:rFonts w:ascii="Times New Roman" w:eastAsia="Calibri" w:hAnsi="Times New Roman"/>
          <w:sz w:val="24"/>
          <w:szCs w:val="24"/>
          <w:lang w:val="en-US"/>
        </w:rPr>
        <w:t>стойности</w:t>
      </w:r>
      <w:r w:rsidRPr="0031593F">
        <w:rPr>
          <w:rFonts w:ascii="Times New Roman" w:eastAsia="Calibri" w:hAnsi="Times New Roman"/>
          <w:sz w:val="24"/>
          <w:szCs w:val="24"/>
        </w:rPr>
        <w:t xml:space="preserve"> и са представени в таблицата по-долу.</w:t>
      </w:r>
    </w:p>
    <w:p w:rsidR="0031593F" w:rsidRPr="0031593F" w:rsidRDefault="0031593F" w:rsidP="0031593F">
      <w:pPr>
        <w:spacing w:after="0" w:line="240" w:lineRule="auto"/>
        <w:jc w:val="both"/>
        <w:rPr>
          <w:rFonts w:ascii="Times New Roman" w:eastAsia="Calibri" w:hAnsi="Times New Roman"/>
          <w:sz w:val="24"/>
          <w:szCs w:val="24"/>
        </w:rPr>
      </w:pP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484"/>
        <w:gridCol w:w="2551"/>
        <w:gridCol w:w="2236"/>
      </w:tblGrid>
      <w:tr w:rsidR="0031593F" w:rsidRPr="0031593F" w:rsidTr="0031593F">
        <w:trPr>
          <w:tblHeader/>
          <w:jc w:val="center"/>
        </w:trPr>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rPr>
                <w:rFonts w:ascii="Times New Roman" w:eastAsia="Calibri" w:hAnsi="Times New Roman"/>
                <w:b/>
                <w:bCs/>
                <w:sz w:val="20"/>
                <w:szCs w:val="20"/>
              </w:rPr>
            </w:pPr>
            <w:bookmarkStart w:id="2" w:name="_Hlk54108732"/>
            <w:r w:rsidRPr="0031593F">
              <w:rPr>
                <w:rFonts w:ascii="Times New Roman" w:eastAsia="Calibri" w:hAnsi="Times New Roman"/>
                <w:b/>
                <w:bCs/>
                <w:sz w:val="20"/>
                <w:szCs w:val="20"/>
              </w:rPr>
              <w:t>Параметър</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rPr>
                <w:rFonts w:ascii="Times New Roman" w:eastAsia="Calibri" w:hAnsi="Times New Roman"/>
                <w:b/>
                <w:bCs/>
                <w:sz w:val="20"/>
                <w:szCs w:val="20"/>
              </w:rPr>
            </w:pPr>
            <w:r w:rsidRPr="0031593F">
              <w:rPr>
                <w:rFonts w:ascii="Times New Roman" w:eastAsia="Calibri" w:hAnsi="Times New Roman"/>
                <w:b/>
                <w:bCs/>
                <w:sz w:val="20"/>
                <w:szCs w:val="20"/>
              </w:rPr>
              <w:t>Мерна единица</w:t>
            </w:r>
          </w:p>
        </w:tc>
        <w:tc>
          <w:tcPr>
            <w:tcW w:w="148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rPr>
                <w:rFonts w:ascii="Times New Roman" w:eastAsia="Calibri" w:hAnsi="Times New Roman"/>
                <w:b/>
                <w:bCs/>
                <w:sz w:val="20"/>
                <w:szCs w:val="20"/>
              </w:rPr>
            </w:pPr>
            <w:r w:rsidRPr="0031593F">
              <w:rPr>
                <w:rFonts w:ascii="Times New Roman" w:eastAsia="Calibri" w:hAnsi="Times New Roman"/>
                <w:b/>
                <w:bCs/>
                <w:sz w:val="20"/>
                <w:szCs w:val="20"/>
              </w:rPr>
              <w:t>Целева стойност</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rPr>
                <w:rFonts w:ascii="Times New Roman" w:eastAsia="Calibri" w:hAnsi="Times New Roman"/>
                <w:b/>
                <w:bCs/>
                <w:sz w:val="20"/>
                <w:szCs w:val="20"/>
              </w:rPr>
            </w:pPr>
            <w:r w:rsidRPr="0031593F">
              <w:rPr>
                <w:rFonts w:ascii="Times New Roman" w:eastAsia="Calibri" w:hAnsi="Times New Roman"/>
                <w:b/>
                <w:bCs/>
                <w:sz w:val="20"/>
                <w:szCs w:val="20"/>
              </w:rPr>
              <w:t>Допълнителна информация</w:t>
            </w:r>
          </w:p>
        </w:tc>
        <w:tc>
          <w:tcPr>
            <w:tcW w:w="2236" w:type="dxa"/>
            <w:tcBorders>
              <w:top w:val="single" w:sz="4" w:space="0" w:color="auto"/>
              <w:left w:val="single" w:sz="4" w:space="0" w:color="auto"/>
              <w:bottom w:val="single" w:sz="4" w:space="0" w:color="auto"/>
              <w:right w:val="single" w:sz="4" w:space="0" w:color="auto"/>
            </w:tcBorders>
            <w:shd w:val="clear" w:color="auto" w:fill="DBE5F1"/>
          </w:tcPr>
          <w:p w:rsidR="0031593F" w:rsidRPr="0031593F" w:rsidRDefault="0031593F" w:rsidP="0031593F">
            <w:pPr>
              <w:spacing w:after="160" w:line="259" w:lineRule="auto"/>
              <w:rPr>
                <w:rFonts w:ascii="Times New Roman" w:eastAsia="Calibri" w:hAnsi="Times New Roman"/>
                <w:b/>
                <w:bCs/>
                <w:sz w:val="20"/>
                <w:szCs w:val="20"/>
              </w:rPr>
            </w:pPr>
            <w:r w:rsidRPr="0031593F">
              <w:rPr>
                <w:rFonts w:ascii="Times New Roman" w:eastAsia="Calibri" w:hAnsi="Times New Roman"/>
                <w:b/>
                <w:bCs/>
                <w:sz w:val="20"/>
                <w:szCs w:val="20"/>
              </w:rPr>
              <w:t>Специфична цел</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b/>
                <w:sz w:val="20"/>
                <w:szCs w:val="20"/>
                <w:lang w:val="en-US"/>
              </w:rPr>
            </w:pPr>
            <w:r w:rsidRPr="0031593F">
              <w:rPr>
                <w:rFonts w:ascii="Times New Roman" w:eastAsia="Calibri" w:hAnsi="Times New Roman"/>
                <w:b/>
                <w:sz w:val="20"/>
                <w:szCs w:val="20"/>
                <w:lang w:val="en-US"/>
              </w:rPr>
              <w:t>Площ</w:t>
            </w:r>
          </w:p>
        </w:tc>
        <w:tc>
          <w:tcPr>
            <w:tcW w:w="170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Хектари</w:t>
            </w:r>
          </w:p>
        </w:tc>
        <w:tc>
          <w:tcPr>
            <w:tcW w:w="1484"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Най-малко 5,5 ha</w:t>
            </w:r>
          </w:p>
        </w:tc>
        <w:tc>
          <w:tcPr>
            <w:tcW w:w="255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Обективна оценка на потенциалната площ и разпространение на местообитанието трябва да се направи след специализирано проучване.</w:t>
            </w:r>
          </w:p>
        </w:tc>
        <w:tc>
          <w:tcPr>
            <w:tcW w:w="2236"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 xml:space="preserve">Поддържане на площта – най-малко </w:t>
            </w:r>
            <w:r w:rsidRPr="0031593F">
              <w:rPr>
                <w:rFonts w:ascii="Times New Roman" w:eastAsia="Calibri" w:hAnsi="Times New Roman"/>
                <w:noProof/>
                <w:sz w:val="20"/>
                <w:szCs w:val="20"/>
                <w:lang w:val="en-US"/>
              </w:rPr>
              <w:t>5,5 ha</w:t>
            </w:r>
            <w:r w:rsidRPr="0031593F">
              <w:rPr>
                <w:rFonts w:ascii="Times New Roman" w:eastAsia="Calibri" w:hAnsi="Times New Roman"/>
                <w:sz w:val="20"/>
                <w:szCs w:val="20"/>
                <w:lang w:val="en-US"/>
              </w:rPr>
              <w:t>.</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b/>
                <w:sz w:val="20"/>
                <w:szCs w:val="20"/>
              </w:rPr>
            </w:pPr>
            <w:r w:rsidRPr="0031593F">
              <w:rPr>
                <w:rFonts w:ascii="Times New Roman" w:eastAsia="Calibri" w:hAnsi="Times New Roman"/>
                <w:b/>
                <w:sz w:val="20"/>
                <w:szCs w:val="20"/>
              </w:rPr>
              <w:t>Структура и функции: Присъствие на типични видове растения</w:t>
            </w:r>
          </w:p>
        </w:tc>
        <w:tc>
          <w:tcPr>
            <w:tcW w:w="170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rPr>
            </w:pPr>
            <w:r w:rsidRPr="0031593F">
              <w:rPr>
                <w:rFonts w:ascii="Times New Roman" w:eastAsia="Calibri" w:hAnsi="Times New Roman"/>
                <w:sz w:val="20"/>
                <w:szCs w:val="20"/>
              </w:rPr>
              <w:t>Брой типични видове</w:t>
            </w:r>
          </w:p>
        </w:tc>
        <w:tc>
          <w:tcPr>
            <w:tcW w:w="1484"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rPr>
            </w:pPr>
            <w:r w:rsidRPr="0031593F">
              <w:rPr>
                <w:rFonts w:ascii="Times New Roman" w:eastAsia="Calibri" w:hAnsi="Times New Roman"/>
                <w:sz w:val="20"/>
                <w:szCs w:val="20"/>
              </w:rPr>
              <w:t>Най-малко 5 вида</w:t>
            </w:r>
          </w:p>
        </w:tc>
        <w:tc>
          <w:tcPr>
            <w:tcW w:w="255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i/>
                <w:sz w:val="20"/>
                <w:szCs w:val="20"/>
              </w:rPr>
            </w:pPr>
            <w:r w:rsidRPr="0031593F">
              <w:rPr>
                <w:rFonts w:ascii="Times New Roman" w:eastAsia="Calibri" w:hAnsi="Times New Roman"/>
                <w:sz w:val="20"/>
                <w:szCs w:val="20"/>
              </w:rPr>
              <w:t xml:space="preserve">Типични видове: </w:t>
            </w:r>
            <w:r w:rsidRPr="0031593F">
              <w:rPr>
                <w:rFonts w:ascii="Times New Roman" w:eastAsia="Calibri" w:hAnsi="Times New Roman"/>
                <w:i/>
                <w:sz w:val="20"/>
                <w:szCs w:val="20"/>
              </w:rPr>
              <w:t xml:space="preserve">Eleocharis аcicularis, Alisma plantago-aquatica, Dichostylis michelianus, Lindernia spp., Eleocharis palustris, Cyperus fuscus, Persicaria lapathifolia, Echinochloa crus-galli, Rorippa sylvestris, Butomus umbellatus, Plantago altissima, Plantago major var. uliginosa, Gnaphalium uliginosum, Verbena officinalis, Heliotropium supinum, Amaranthus lividus; Crypsis spp., Astragalus contortuplicatus, Pycreus glomeratus, Glinus lotoides, Mentha pulegium, Pulicaria vulgaris, Inula </w:t>
            </w:r>
            <w:r w:rsidRPr="0031593F">
              <w:rPr>
                <w:rFonts w:ascii="Times New Roman" w:eastAsia="Calibri" w:hAnsi="Times New Roman"/>
                <w:i/>
                <w:sz w:val="20"/>
                <w:szCs w:val="20"/>
              </w:rPr>
              <w:lastRenderedPageBreak/>
              <w:t>britannica,</w:t>
            </w:r>
            <w:r w:rsidRPr="0031593F">
              <w:rPr>
                <w:rFonts w:ascii="Times New Roman" w:eastAsia="Calibri" w:hAnsi="Times New Roman"/>
                <w:i/>
                <w:sz w:val="20"/>
                <w:szCs w:val="20"/>
                <w:lang w:val="en-US"/>
              </w:rPr>
              <w:t xml:space="preserve"> Potentilla supine,</w:t>
            </w:r>
            <w:r w:rsidRPr="0031593F">
              <w:rPr>
                <w:rFonts w:ascii="Times New Roman" w:eastAsia="Calibri" w:hAnsi="Times New Roman"/>
                <w:i/>
                <w:sz w:val="20"/>
                <w:szCs w:val="20"/>
              </w:rPr>
              <w:t xml:space="preserve"> Potentilla anserina</w:t>
            </w:r>
          </w:p>
        </w:tc>
        <w:tc>
          <w:tcPr>
            <w:tcW w:w="2236"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b/>
                <w:sz w:val="20"/>
                <w:szCs w:val="20"/>
              </w:rPr>
            </w:pPr>
            <w:r w:rsidRPr="0031593F">
              <w:rPr>
                <w:rFonts w:ascii="Times New Roman" w:eastAsia="Calibri" w:hAnsi="Times New Roman"/>
                <w:sz w:val="20"/>
                <w:szCs w:val="20"/>
              </w:rPr>
              <w:lastRenderedPageBreak/>
              <w:t>Поддържане на състоянието – присъстват поне 5 от типичните видове.</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b/>
                <w:sz w:val="20"/>
                <w:szCs w:val="20"/>
                <w:lang w:val="en-US"/>
              </w:rPr>
            </w:pPr>
            <w:r w:rsidRPr="0031593F">
              <w:rPr>
                <w:rFonts w:ascii="Times New Roman" w:eastAsia="Calibri" w:hAnsi="Times New Roman"/>
                <w:b/>
                <w:sz w:val="20"/>
                <w:szCs w:val="20"/>
                <w:lang w:val="en-US"/>
              </w:rPr>
              <w:lastRenderedPageBreak/>
              <w:t>Структура и функции: Промени в хидрологичния режим свързани с отводняване и водоползване</w:t>
            </w:r>
          </w:p>
        </w:tc>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Наличие/ липса на отводнителни съоръжения и водоползвания</w:t>
            </w:r>
          </w:p>
        </w:tc>
        <w:tc>
          <w:tcPr>
            <w:tcW w:w="1484"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Няма нови отводнителни съоръжения и водоползвания.</w:t>
            </w:r>
          </w:p>
        </w:tc>
        <w:tc>
          <w:tcPr>
            <w:tcW w:w="255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p>
        </w:tc>
        <w:tc>
          <w:tcPr>
            <w:tcW w:w="2236"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Поддържане на състоянието – липса на нови дейности, свързани с негативни промени на хидрологичния режим.</w:t>
            </w:r>
          </w:p>
        </w:tc>
      </w:tr>
      <w:bookmarkEnd w:id="2"/>
    </w:tbl>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7. Необходимост от актуализация на СФ на защитената зона</w:t>
      </w:r>
    </w:p>
    <w:p w:rsidR="0031593F" w:rsidRPr="0031593F" w:rsidRDefault="0031593F" w:rsidP="00482F18">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Въз основа на събраната информация е необходима промян</w:t>
      </w:r>
      <w:r w:rsidRPr="0031593F">
        <w:rPr>
          <w:rFonts w:ascii="Times New Roman" w:eastAsia="Calibri" w:hAnsi="Times New Roman"/>
          <w:sz w:val="24"/>
          <w:szCs w:val="24"/>
          <w:lang w:val="en-US"/>
        </w:rPr>
        <w:t>a</w:t>
      </w:r>
      <w:r w:rsidRPr="0031593F">
        <w:rPr>
          <w:rFonts w:ascii="Times New Roman" w:eastAsia="Calibri" w:hAnsi="Times New Roman"/>
          <w:sz w:val="24"/>
          <w:szCs w:val="24"/>
        </w:rPr>
        <w:t xml:space="preserve"> в стандартния формуляр на защитената зона.</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Освен площта са променени и представителноста и общата оценка на местообитанието от С на В. Опазването е променено на А поради резерватния режим на територията.</w:t>
      </w:r>
    </w:p>
    <w:p w:rsidR="0031593F" w:rsidRPr="0031593F" w:rsidRDefault="0031593F" w:rsidP="0031593F">
      <w:pPr>
        <w:spacing w:after="0" w:line="240" w:lineRule="auto"/>
        <w:jc w:val="both"/>
        <w:rPr>
          <w:rFonts w:ascii="Times New Roman" w:eastAsia="Calibri" w:hAnsi="Times New Roman"/>
          <w:sz w:val="24"/>
          <w:szCs w:val="24"/>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567"/>
        <w:gridCol w:w="567"/>
        <w:gridCol w:w="851"/>
        <w:gridCol w:w="1134"/>
        <w:gridCol w:w="1134"/>
        <w:gridCol w:w="1842"/>
        <w:gridCol w:w="993"/>
        <w:gridCol w:w="1559"/>
        <w:gridCol w:w="850"/>
      </w:tblGrid>
      <w:tr w:rsidR="0031593F" w:rsidRPr="0031593F" w:rsidTr="0031593F">
        <w:tc>
          <w:tcPr>
            <w:tcW w:w="4957" w:type="dxa"/>
            <w:gridSpan w:val="6"/>
            <w:shd w:val="clear" w:color="auto" w:fill="D9D9D9"/>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Annex I Habitat types</w:t>
            </w:r>
          </w:p>
        </w:tc>
        <w:tc>
          <w:tcPr>
            <w:tcW w:w="5244" w:type="dxa"/>
            <w:gridSpan w:val="4"/>
            <w:shd w:val="clear" w:color="auto" w:fill="D9D9D9"/>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Site assessment</w:t>
            </w:r>
          </w:p>
        </w:tc>
      </w:tr>
      <w:tr w:rsidR="0031593F" w:rsidRPr="0031593F" w:rsidTr="0031593F">
        <w:tc>
          <w:tcPr>
            <w:tcW w:w="70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Code</w:t>
            </w:r>
          </w:p>
        </w:tc>
        <w:tc>
          <w:tcPr>
            <w:tcW w:w="567"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PF</w:t>
            </w:r>
          </w:p>
        </w:tc>
        <w:tc>
          <w:tcPr>
            <w:tcW w:w="567"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NP</w:t>
            </w:r>
          </w:p>
        </w:tc>
        <w:tc>
          <w:tcPr>
            <w:tcW w:w="851"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Cover (ha)</w:t>
            </w:r>
          </w:p>
        </w:tc>
        <w:tc>
          <w:tcPr>
            <w:tcW w:w="113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Cave (number)</w:t>
            </w:r>
          </w:p>
        </w:tc>
        <w:tc>
          <w:tcPr>
            <w:tcW w:w="113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Data quality</w:t>
            </w:r>
          </w:p>
        </w:tc>
        <w:tc>
          <w:tcPr>
            <w:tcW w:w="1842"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A/B/C/D</w:t>
            </w:r>
          </w:p>
        </w:tc>
        <w:tc>
          <w:tcPr>
            <w:tcW w:w="3402" w:type="dxa"/>
            <w:gridSpan w:val="3"/>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A/B/C</w:t>
            </w:r>
          </w:p>
        </w:tc>
      </w:tr>
      <w:tr w:rsidR="0031593F" w:rsidRPr="0031593F" w:rsidTr="0031593F">
        <w:tc>
          <w:tcPr>
            <w:tcW w:w="704" w:type="dxa"/>
          </w:tcPr>
          <w:p w:rsidR="0031593F" w:rsidRPr="0031593F" w:rsidRDefault="0031593F" w:rsidP="0031593F">
            <w:pPr>
              <w:rPr>
                <w:rFonts w:ascii="Times New Roman" w:hAnsi="Times New Roman"/>
                <w:noProof/>
                <w:color w:val="000000"/>
                <w:position w:val="-1"/>
                <w:sz w:val="20"/>
                <w:szCs w:val="20"/>
              </w:rPr>
            </w:pPr>
          </w:p>
        </w:tc>
        <w:tc>
          <w:tcPr>
            <w:tcW w:w="567" w:type="dxa"/>
          </w:tcPr>
          <w:p w:rsidR="0031593F" w:rsidRPr="0031593F" w:rsidRDefault="0031593F" w:rsidP="0031593F">
            <w:pPr>
              <w:rPr>
                <w:rFonts w:ascii="Times New Roman" w:hAnsi="Times New Roman"/>
                <w:noProof/>
                <w:color w:val="000000"/>
                <w:position w:val="-1"/>
                <w:sz w:val="20"/>
                <w:szCs w:val="20"/>
              </w:rPr>
            </w:pPr>
          </w:p>
        </w:tc>
        <w:tc>
          <w:tcPr>
            <w:tcW w:w="567" w:type="dxa"/>
          </w:tcPr>
          <w:p w:rsidR="0031593F" w:rsidRPr="0031593F" w:rsidRDefault="0031593F" w:rsidP="0031593F">
            <w:pPr>
              <w:rPr>
                <w:rFonts w:ascii="Times New Roman" w:hAnsi="Times New Roman"/>
                <w:noProof/>
                <w:color w:val="000000"/>
                <w:position w:val="-1"/>
                <w:sz w:val="20"/>
                <w:szCs w:val="20"/>
              </w:rPr>
            </w:pPr>
          </w:p>
        </w:tc>
        <w:tc>
          <w:tcPr>
            <w:tcW w:w="851" w:type="dxa"/>
          </w:tcPr>
          <w:p w:rsidR="0031593F" w:rsidRPr="0031593F" w:rsidRDefault="0031593F" w:rsidP="0031593F">
            <w:pPr>
              <w:rPr>
                <w:rFonts w:ascii="Times New Roman" w:hAnsi="Times New Roman"/>
                <w:noProof/>
                <w:color w:val="000000"/>
                <w:position w:val="-1"/>
                <w:sz w:val="20"/>
                <w:szCs w:val="20"/>
              </w:rPr>
            </w:pPr>
          </w:p>
        </w:tc>
        <w:tc>
          <w:tcPr>
            <w:tcW w:w="1134" w:type="dxa"/>
          </w:tcPr>
          <w:p w:rsidR="0031593F" w:rsidRPr="0031593F" w:rsidRDefault="0031593F" w:rsidP="0031593F">
            <w:pPr>
              <w:rPr>
                <w:rFonts w:ascii="Times New Roman" w:hAnsi="Times New Roman"/>
                <w:noProof/>
                <w:color w:val="000000"/>
                <w:position w:val="-1"/>
                <w:sz w:val="20"/>
                <w:szCs w:val="20"/>
              </w:rPr>
            </w:pPr>
          </w:p>
        </w:tc>
        <w:tc>
          <w:tcPr>
            <w:tcW w:w="1134" w:type="dxa"/>
          </w:tcPr>
          <w:p w:rsidR="0031593F" w:rsidRPr="0031593F" w:rsidRDefault="0031593F" w:rsidP="0031593F">
            <w:pPr>
              <w:rPr>
                <w:rFonts w:ascii="Times New Roman" w:hAnsi="Times New Roman"/>
                <w:noProof/>
                <w:color w:val="000000"/>
                <w:position w:val="-1"/>
                <w:sz w:val="20"/>
                <w:szCs w:val="20"/>
              </w:rPr>
            </w:pPr>
          </w:p>
        </w:tc>
        <w:tc>
          <w:tcPr>
            <w:tcW w:w="1842"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Representativity</w:t>
            </w:r>
          </w:p>
        </w:tc>
        <w:tc>
          <w:tcPr>
            <w:tcW w:w="993"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Relative Surface</w:t>
            </w:r>
          </w:p>
        </w:tc>
        <w:tc>
          <w:tcPr>
            <w:tcW w:w="1559"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Conservation</w:t>
            </w:r>
          </w:p>
        </w:tc>
        <w:tc>
          <w:tcPr>
            <w:tcW w:w="850"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Global</w:t>
            </w:r>
          </w:p>
        </w:tc>
      </w:tr>
      <w:tr w:rsidR="0031593F" w:rsidRPr="0031593F" w:rsidTr="0031593F">
        <w:tc>
          <w:tcPr>
            <w:tcW w:w="704" w:type="dxa"/>
          </w:tcPr>
          <w:p w:rsidR="0031593F" w:rsidRPr="0031593F" w:rsidRDefault="0031593F" w:rsidP="0031593F">
            <w:pPr>
              <w:rPr>
                <w:rFonts w:ascii="Times New Roman" w:eastAsia="Calibri" w:hAnsi="Times New Roman"/>
                <w:b/>
                <w:sz w:val="20"/>
                <w:szCs w:val="20"/>
                <w:lang w:val="en-US"/>
              </w:rPr>
            </w:pPr>
            <w:r w:rsidRPr="0031593F">
              <w:rPr>
                <w:rFonts w:ascii="Times New Roman" w:eastAsia="Calibri" w:hAnsi="Times New Roman"/>
                <w:b/>
                <w:sz w:val="20"/>
                <w:szCs w:val="20"/>
                <w:lang w:val="en-US"/>
              </w:rPr>
              <w:t>3130</w:t>
            </w:r>
          </w:p>
        </w:tc>
        <w:tc>
          <w:tcPr>
            <w:tcW w:w="567" w:type="dxa"/>
          </w:tcPr>
          <w:p w:rsidR="0031593F" w:rsidRPr="0031593F" w:rsidRDefault="0031593F" w:rsidP="0031593F">
            <w:pPr>
              <w:rPr>
                <w:rFonts w:ascii="Times New Roman" w:eastAsia="Calibri" w:hAnsi="Times New Roman"/>
                <w:b/>
                <w:sz w:val="20"/>
                <w:szCs w:val="20"/>
                <w:lang w:val="en-US"/>
              </w:rPr>
            </w:pPr>
          </w:p>
        </w:tc>
        <w:tc>
          <w:tcPr>
            <w:tcW w:w="567" w:type="dxa"/>
          </w:tcPr>
          <w:p w:rsidR="0031593F" w:rsidRPr="0031593F" w:rsidRDefault="0031593F" w:rsidP="0031593F">
            <w:pPr>
              <w:rPr>
                <w:rFonts w:ascii="Times New Roman" w:eastAsia="Calibri" w:hAnsi="Times New Roman"/>
                <w:b/>
                <w:sz w:val="20"/>
                <w:szCs w:val="20"/>
                <w:lang w:val="en-US"/>
              </w:rPr>
            </w:pPr>
          </w:p>
        </w:tc>
        <w:tc>
          <w:tcPr>
            <w:tcW w:w="851" w:type="dxa"/>
          </w:tcPr>
          <w:p w:rsidR="0031593F" w:rsidRPr="0031593F" w:rsidRDefault="0031593F" w:rsidP="0031593F">
            <w:pPr>
              <w:rPr>
                <w:rFonts w:ascii="Times New Roman" w:eastAsia="Calibri" w:hAnsi="Times New Roman"/>
                <w:b/>
                <w:color w:val="FF0000"/>
                <w:sz w:val="20"/>
                <w:szCs w:val="20"/>
                <w:lang w:val="en-US"/>
              </w:rPr>
            </w:pPr>
            <w:r w:rsidRPr="0031593F">
              <w:rPr>
                <w:rFonts w:ascii="Times New Roman" w:eastAsia="Calibri" w:hAnsi="Times New Roman"/>
                <w:b/>
                <w:color w:val="FF0000"/>
                <w:sz w:val="20"/>
                <w:szCs w:val="20"/>
                <w:lang w:val="en-US"/>
              </w:rPr>
              <w:t>5,5</w:t>
            </w:r>
          </w:p>
        </w:tc>
        <w:tc>
          <w:tcPr>
            <w:tcW w:w="1134" w:type="dxa"/>
          </w:tcPr>
          <w:p w:rsidR="0031593F" w:rsidRPr="0031593F" w:rsidRDefault="0031593F" w:rsidP="0031593F">
            <w:pPr>
              <w:rPr>
                <w:rFonts w:ascii="Times New Roman" w:eastAsia="Calibri" w:hAnsi="Times New Roman"/>
                <w:b/>
                <w:sz w:val="20"/>
                <w:szCs w:val="20"/>
                <w:lang w:val="en-US"/>
              </w:rPr>
            </w:pPr>
          </w:p>
        </w:tc>
        <w:tc>
          <w:tcPr>
            <w:tcW w:w="1134" w:type="dxa"/>
          </w:tcPr>
          <w:p w:rsidR="0031593F" w:rsidRPr="0031593F" w:rsidRDefault="0031593F" w:rsidP="0031593F">
            <w:pPr>
              <w:rPr>
                <w:rFonts w:ascii="Times New Roman" w:eastAsia="Calibri" w:hAnsi="Times New Roman"/>
                <w:b/>
                <w:color w:val="FF0000"/>
                <w:sz w:val="20"/>
                <w:szCs w:val="20"/>
                <w:lang w:val="en-US"/>
              </w:rPr>
            </w:pPr>
            <w:r w:rsidRPr="0031593F">
              <w:rPr>
                <w:rFonts w:ascii="Times New Roman" w:eastAsia="Calibri" w:hAnsi="Times New Roman"/>
                <w:b/>
                <w:color w:val="FF0000"/>
                <w:sz w:val="20"/>
                <w:szCs w:val="20"/>
                <w:lang w:val="en-US"/>
              </w:rPr>
              <w:t>G</w:t>
            </w:r>
          </w:p>
        </w:tc>
        <w:tc>
          <w:tcPr>
            <w:tcW w:w="1842" w:type="dxa"/>
          </w:tcPr>
          <w:p w:rsidR="0031593F" w:rsidRPr="0031593F" w:rsidRDefault="0031593F" w:rsidP="0031593F">
            <w:pPr>
              <w:rPr>
                <w:rFonts w:ascii="Times New Roman" w:eastAsia="Calibri" w:hAnsi="Times New Roman"/>
                <w:b/>
                <w:color w:val="FF0000"/>
              </w:rPr>
            </w:pPr>
            <w:r w:rsidRPr="0031593F">
              <w:rPr>
                <w:rFonts w:ascii="Times New Roman" w:eastAsia="Calibri" w:hAnsi="Times New Roman"/>
                <w:b/>
                <w:color w:val="FF0000"/>
              </w:rPr>
              <w:t>В</w:t>
            </w:r>
          </w:p>
        </w:tc>
        <w:tc>
          <w:tcPr>
            <w:tcW w:w="993"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C</w:t>
            </w:r>
          </w:p>
        </w:tc>
        <w:tc>
          <w:tcPr>
            <w:tcW w:w="1559" w:type="dxa"/>
          </w:tcPr>
          <w:p w:rsidR="0031593F" w:rsidRPr="0031593F" w:rsidRDefault="0031593F" w:rsidP="0031593F">
            <w:pPr>
              <w:rPr>
                <w:rFonts w:ascii="Times New Roman" w:eastAsia="Calibri" w:hAnsi="Times New Roman"/>
                <w:b/>
                <w:color w:val="FF0000"/>
              </w:rPr>
            </w:pPr>
            <w:r w:rsidRPr="0031593F">
              <w:rPr>
                <w:rFonts w:ascii="Times New Roman" w:eastAsia="Calibri" w:hAnsi="Times New Roman"/>
                <w:b/>
                <w:color w:val="FF0000"/>
              </w:rPr>
              <w:t>А</w:t>
            </w:r>
          </w:p>
        </w:tc>
        <w:tc>
          <w:tcPr>
            <w:tcW w:w="850" w:type="dxa"/>
          </w:tcPr>
          <w:p w:rsidR="0031593F" w:rsidRPr="0031593F" w:rsidRDefault="0031593F" w:rsidP="0031593F">
            <w:pPr>
              <w:rPr>
                <w:rFonts w:ascii="Times New Roman" w:eastAsia="Calibri" w:hAnsi="Times New Roman"/>
                <w:b/>
              </w:rPr>
            </w:pPr>
            <w:r w:rsidRPr="0031593F">
              <w:rPr>
                <w:rFonts w:ascii="Times New Roman" w:eastAsia="Calibri" w:hAnsi="Times New Roman"/>
                <w:b/>
                <w:color w:val="FF0000"/>
              </w:rPr>
              <w:t>В</w:t>
            </w:r>
          </w:p>
        </w:tc>
      </w:tr>
    </w:tbl>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sz w:val="24"/>
          <w:szCs w:val="24"/>
        </w:rPr>
        <w:t>Забележка: промените са отбелязани в червено.</w:t>
      </w:r>
    </w:p>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8. Цитирана литература</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Актуализиран план за управление на поддържан резерват „Сребърна“ (2016-2025 г.). 2014 г. Оперативна програма „Околна среда“ (2007-2013). МОСВ – РИОСВ Русе.</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Министерство на околната среда и водите (МОСВ). Информационна система за защитени зони от екологична мрежа Натура 2000. http://natura2000.moew.government.bg/Home/Natura2000ProtectedSites. Последно посетен на 15.10.2021.</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Стоянов, Н. 1948. Растителността на Дунавските ни острови и стопанското й използване. БАН, София.</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 xml:space="preserve">Цонев, Р. и Русакова, В. 2009. Олиготрофни до мезотрофни стоящи води с растителност от </w:t>
      </w:r>
      <w:r w:rsidRPr="0031593F">
        <w:rPr>
          <w:rFonts w:ascii="Times New Roman" w:eastAsia="Calibri" w:hAnsi="Times New Roman"/>
          <w:i/>
          <w:sz w:val="24"/>
          <w:szCs w:val="24"/>
        </w:rPr>
        <w:t>Littorelletea uniflorae</w:t>
      </w:r>
      <w:r w:rsidRPr="0031593F">
        <w:rPr>
          <w:rFonts w:ascii="Times New Roman" w:eastAsia="Calibri" w:hAnsi="Times New Roman"/>
          <w:sz w:val="24"/>
          <w:szCs w:val="24"/>
        </w:rPr>
        <w:t xml:space="preserve"> и/или </w:t>
      </w:r>
      <w:r w:rsidRPr="0031593F">
        <w:rPr>
          <w:rFonts w:ascii="Times New Roman" w:eastAsia="Calibri" w:hAnsi="Times New Roman"/>
          <w:i/>
          <w:sz w:val="24"/>
          <w:szCs w:val="24"/>
        </w:rPr>
        <w:t>Isoeto-Nanojuncetea</w:t>
      </w:r>
      <w:r w:rsidRPr="0031593F">
        <w:rPr>
          <w:rFonts w:ascii="Times New Roman" w:eastAsia="Calibri" w:hAnsi="Times New Roman"/>
          <w:sz w:val="24"/>
          <w:szCs w:val="24"/>
        </w:rPr>
        <w:t xml:space="preserve"> – В: Зингстра, Х., Ковачев, А., Китнаес, К., Цонев, Р., Димова, Д., Цветков, П. (ред.).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69-74.</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Цонев, Р. 2015. 20С3 Тинести и песъчливи речни брегове със съобщества от ниски, едногодишни хигрофити. – В: Бисерков В., Гусев Ч., Попов В., Хибаум Г., Русакова, В., Пандурски И., Узунов Й., Димитров М., Цонев Р., Цонева С. (ред.). Червена книга на Република България, Том 3. Природни местообитания”. ИБЕИ–БАН &amp; МОСВ, София, 458 стр.</w:t>
      </w:r>
    </w:p>
    <w:p w:rsidR="0031593F" w:rsidRPr="0031593F" w:rsidRDefault="0031593F" w:rsidP="0031593F">
      <w:pPr>
        <w:spacing w:after="0" w:line="240" w:lineRule="auto"/>
        <w:ind w:left="709" w:hanging="709"/>
        <w:jc w:val="both"/>
        <w:rPr>
          <w:rFonts w:ascii="Times New Roman" w:eastAsia="Calibri" w:hAnsi="Times New Roman"/>
          <w:sz w:val="24"/>
          <w:szCs w:val="24"/>
          <w:lang w:val="en-US"/>
        </w:rPr>
      </w:pPr>
      <w:r w:rsidRPr="0031593F">
        <w:rPr>
          <w:rFonts w:ascii="Times New Roman" w:eastAsia="Calibri" w:hAnsi="Times New Roman"/>
          <w:sz w:val="24"/>
          <w:szCs w:val="24"/>
        </w:rPr>
        <w:lastRenderedPageBreak/>
        <w:t>European commission. The State of Nature in the EU – Article 17 reporting. https://ec.europa.eu/environment/nature/knowledge/rep_habitats/index_en.htm. Last visited on 15.10.2021</w:t>
      </w:r>
      <w:r w:rsidRPr="0031593F">
        <w:rPr>
          <w:rFonts w:ascii="Times New Roman" w:eastAsia="Calibri" w:hAnsi="Times New Roman"/>
          <w:sz w:val="24"/>
          <w:szCs w:val="24"/>
          <w:lang w:val="en-US"/>
        </w:rPr>
        <w:t>.</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lang w:val="en-US"/>
        </w:rPr>
      </w:pPr>
      <w:r w:rsidRPr="0031593F">
        <w:rPr>
          <w:rFonts w:ascii="Times New Roman" w:eastAsia="Calibri" w:hAnsi="Times New Roman"/>
          <w:i/>
          <w:noProof/>
          <w:sz w:val="24"/>
          <w:szCs w:val="24"/>
          <w:lang w:val="en-US"/>
        </w:rPr>
        <w:t>Автори на текста</w:t>
      </w:r>
      <w:r w:rsidRPr="0031593F">
        <w:rPr>
          <w:rFonts w:ascii="Times New Roman" w:eastAsia="Calibri" w:hAnsi="Times New Roman"/>
          <w:noProof/>
          <w:sz w:val="24"/>
          <w:szCs w:val="24"/>
          <w:lang w:val="en-US"/>
        </w:rPr>
        <w:t>: Росен Цонев, Чавдар Гусев, Валери Георгиев, Соня Цонева</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40" w:lineRule="auto"/>
        <w:jc w:val="center"/>
        <w:outlineLvl w:val="1"/>
        <w:rPr>
          <w:rFonts w:ascii="Times New Roman" w:eastAsia="Calibri" w:hAnsi="Times New Roman"/>
          <w:noProof/>
          <w:color w:val="1F497D"/>
          <w:sz w:val="28"/>
          <w:szCs w:val="28"/>
        </w:rPr>
      </w:pPr>
      <w:bookmarkStart w:id="3" w:name="_Toc98838523"/>
      <w:r w:rsidRPr="0031593F">
        <w:rPr>
          <w:rFonts w:ascii="Times New Roman" w:eastAsia="Calibri" w:hAnsi="Times New Roman"/>
          <w:noProof/>
          <w:color w:val="1F497D"/>
          <w:sz w:val="28"/>
          <w:szCs w:val="28"/>
        </w:rPr>
        <w:t xml:space="preserve">Природно местообитание 3150 Естествени еутрофни езера с растителност от типа </w:t>
      </w:r>
      <w:r w:rsidRPr="0031593F">
        <w:rPr>
          <w:rFonts w:ascii="Times New Roman" w:eastAsia="Calibri" w:hAnsi="Times New Roman"/>
          <w:i/>
          <w:noProof/>
          <w:color w:val="1F497D"/>
          <w:sz w:val="28"/>
          <w:szCs w:val="28"/>
        </w:rPr>
        <w:t>Magnopotamion</w:t>
      </w:r>
      <w:r w:rsidRPr="0031593F">
        <w:rPr>
          <w:rFonts w:ascii="Times New Roman" w:eastAsia="Calibri" w:hAnsi="Times New Roman"/>
          <w:noProof/>
          <w:color w:val="1F497D"/>
          <w:sz w:val="28"/>
          <w:szCs w:val="28"/>
        </w:rPr>
        <w:t xml:space="preserve"> или </w:t>
      </w:r>
      <w:r w:rsidRPr="0031593F">
        <w:rPr>
          <w:rFonts w:ascii="Times New Roman" w:eastAsia="Calibri" w:hAnsi="Times New Roman"/>
          <w:i/>
          <w:noProof/>
          <w:color w:val="1F497D"/>
          <w:sz w:val="28"/>
          <w:szCs w:val="28"/>
        </w:rPr>
        <w:t>Hydrocharition</w:t>
      </w:r>
      <w:bookmarkEnd w:id="3"/>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59" w:lineRule="auto"/>
        <w:jc w:val="both"/>
        <w:rPr>
          <w:rFonts w:ascii="Times New Roman" w:eastAsia="Calibri" w:hAnsi="Times New Roman"/>
          <w:sz w:val="24"/>
          <w:szCs w:val="24"/>
        </w:rPr>
      </w:pPr>
      <w:r w:rsidRPr="0031593F">
        <w:rPr>
          <w:rFonts w:ascii="Times New Roman" w:eastAsia="Calibri" w:hAnsi="Times New Roman"/>
          <w:b/>
          <w:sz w:val="24"/>
          <w:szCs w:val="24"/>
        </w:rPr>
        <w:t xml:space="preserve">1. Код и наименование на типа местообитание: </w:t>
      </w:r>
      <w:r w:rsidRPr="0031593F">
        <w:rPr>
          <w:rFonts w:ascii="Times New Roman" w:eastAsia="Calibri" w:hAnsi="Times New Roman"/>
          <w:bCs/>
          <w:sz w:val="24"/>
          <w:szCs w:val="24"/>
        </w:rPr>
        <w:t xml:space="preserve">3150 Естествени еутрофни езера с растителност от типа </w:t>
      </w:r>
      <w:r w:rsidRPr="0031593F">
        <w:rPr>
          <w:rFonts w:ascii="Times New Roman" w:eastAsia="Calibri" w:hAnsi="Times New Roman"/>
          <w:bCs/>
          <w:i/>
          <w:sz w:val="24"/>
          <w:szCs w:val="24"/>
        </w:rPr>
        <w:t>Magnopotamion</w:t>
      </w:r>
      <w:r w:rsidRPr="0031593F">
        <w:rPr>
          <w:rFonts w:ascii="Times New Roman" w:eastAsia="Calibri" w:hAnsi="Times New Roman"/>
          <w:bCs/>
          <w:sz w:val="24"/>
          <w:szCs w:val="24"/>
        </w:rPr>
        <w:t xml:space="preserve"> или </w:t>
      </w:r>
      <w:r w:rsidRPr="0031593F">
        <w:rPr>
          <w:rFonts w:ascii="Times New Roman" w:eastAsia="Calibri" w:hAnsi="Times New Roman"/>
          <w:bCs/>
          <w:i/>
          <w:sz w:val="24"/>
          <w:szCs w:val="24"/>
        </w:rPr>
        <w:t>Hydrocharition</w:t>
      </w:r>
    </w:p>
    <w:p w:rsidR="0031593F" w:rsidRPr="0031593F" w:rsidRDefault="0031593F" w:rsidP="0031593F">
      <w:pPr>
        <w:spacing w:after="0" w:line="240" w:lineRule="auto"/>
        <w:jc w:val="both"/>
        <w:rPr>
          <w:rFonts w:ascii="Times New Roman" w:eastAsia="Calibri" w:hAnsi="Times New Roman"/>
          <w:sz w:val="24"/>
          <w:szCs w:val="24"/>
          <w:highlight w:val="yellow"/>
        </w:rPr>
      </w:pPr>
    </w:p>
    <w:p w:rsidR="0031593F" w:rsidRPr="0031593F" w:rsidRDefault="0031593F" w:rsidP="0031593F">
      <w:pPr>
        <w:spacing w:after="0" w:line="240" w:lineRule="auto"/>
        <w:rPr>
          <w:rFonts w:ascii="Times New Roman" w:eastAsia="Calibri" w:hAnsi="Times New Roman"/>
          <w:b/>
          <w:sz w:val="24"/>
          <w:szCs w:val="24"/>
        </w:rPr>
      </w:pPr>
      <w:r w:rsidRPr="0031593F">
        <w:rPr>
          <w:rFonts w:ascii="Times New Roman" w:eastAsia="Calibri" w:hAnsi="Times New Roman"/>
          <w:b/>
          <w:sz w:val="24"/>
          <w:szCs w:val="24"/>
        </w:rPr>
        <w:t>2. Кратка характеристика на целевия обект</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Това местообитание представлява мезотрофни до еутрофни крайречни езера и блата, старици – най-разпространение по поречието на реките и по брега на Черно море. В тази група се включват и водоеми с частично антропогенен произход (например изоставени наводнени баластриери, стари речни корита), някои блата, които са били използвани като рибарници и после изоставени, ако в тях се развиват типични хидрофитни ценози, доминирани от </w:t>
      </w:r>
      <w:r w:rsidRPr="0031593F">
        <w:rPr>
          <w:rFonts w:ascii="Times New Roman" w:eastAsia="Calibri" w:hAnsi="Times New Roman"/>
          <w:i/>
          <w:sz w:val="24"/>
          <w:szCs w:val="24"/>
          <w:lang w:val="en-US"/>
        </w:rPr>
        <w:t>Lemna spp., Nymphoides peltata, Persicaria amphibia, Nymphaea alba, Nuphar lutea, Trapa natans, Potamogeton spp</w:t>
      </w:r>
      <w:r w:rsidRPr="0031593F">
        <w:rPr>
          <w:rFonts w:ascii="Times New Roman" w:eastAsia="Calibri" w:hAnsi="Times New Roman"/>
          <w:sz w:val="24"/>
          <w:szCs w:val="24"/>
        </w:rPr>
        <w:t xml:space="preserve">., </w:t>
      </w:r>
      <w:r w:rsidRPr="0031593F">
        <w:rPr>
          <w:rFonts w:ascii="Times New Roman" w:eastAsia="Calibri" w:hAnsi="Times New Roman"/>
          <w:i/>
          <w:sz w:val="24"/>
          <w:szCs w:val="24"/>
          <w:lang w:val="en-US"/>
        </w:rPr>
        <w:t>Ceratophyllum spp., Utricularia spp.</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и др. При нормалната, ежегодна циркулация на водата в бившите дунавски блата, реката е изнасяла натрупаната през годината недоизгнила растителна маса и е намалявала скоростта на сукцесия и изплитняване съпроводено с увеличаване на хигрофитните съобщества. Поради това обикновено хидрофитните ценози в блатата и езерата формират комплекс с разнообразни хигрофитни съобщества, например пояси и петна от тръстика</w:t>
      </w:r>
      <w:r w:rsidRPr="0031593F">
        <w:rPr>
          <w:rFonts w:ascii="Times New Roman" w:eastAsia="Calibri" w:hAnsi="Times New Roman"/>
          <w:sz w:val="24"/>
          <w:szCs w:val="24"/>
          <w:lang w:val="en-US"/>
        </w:rPr>
        <w:t xml:space="preserve"> (</w:t>
      </w:r>
      <w:r w:rsidRPr="0031593F">
        <w:rPr>
          <w:rFonts w:ascii="Times New Roman" w:eastAsia="Calibri" w:hAnsi="Times New Roman"/>
          <w:i/>
          <w:sz w:val="24"/>
          <w:szCs w:val="24"/>
          <w:lang w:val="en-US"/>
        </w:rPr>
        <w:t>Phragmites australis</w:t>
      </w:r>
      <w:r w:rsidRPr="0031593F">
        <w:rPr>
          <w:rFonts w:ascii="Times New Roman" w:eastAsia="Calibri" w:hAnsi="Times New Roman"/>
          <w:sz w:val="24"/>
          <w:szCs w:val="24"/>
          <w:lang w:val="en-US"/>
        </w:rPr>
        <w:t>)</w:t>
      </w:r>
      <w:r w:rsidRPr="0031593F">
        <w:rPr>
          <w:rFonts w:ascii="Times New Roman" w:eastAsia="Calibri" w:hAnsi="Times New Roman"/>
          <w:sz w:val="24"/>
          <w:szCs w:val="24"/>
        </w:rPr>
        <w:t>, папур</w:t>
      </w:r>
      <w:r w:rsidRPr="0031593F">
        <w:rPr>
          <w:rFonts w:ascii="Times New Roman" w:eastAsia="Calibri" w:hAnsi="Times New Roman"/>
          <w:sz w:val="24"/>
          <w:szCs w:val="24"/>
          <w:lang w:val="en-US"/>
        </w:rPr>
        <w:t xml:space="preserve"> (</w:t>
      </w:r>
      <w:r w:rsidRPr="0031593F">
        <w:rPr>
          <w:rFonts w:ascii="Times New Roman" w:eastAsia="Calibri" w:hAnsi="Times New Roman"/>
          <w:i/>
          <w:sz w:val="24"/>
          <w:szCs w:val="24"/>
          <w:lang w:val="en-US"/>
        </w:rPr>
        <w:t>Typha</w:t>
      </w:r>
      <w:r w:rsidRPr="0031593F">
        <w:rPr>
          <w:rFonts w:ascii="Times New Roman" w:eastAsia="Calibri" w:hAnsi="Times New Roman"/>
          <w:sz w:val="24"/>
          <w:szCs w:val="24"/>
          <w:lang w:val="en-US"/>
        </w:rPr>
        <w:t xml:space="preserve"> spp.)</w:t>
      </w:r>
      <w:r w:rsidRPr="0031593F">
        <w:rPr>
          <w:rFonts w:ascii="Times New Roman" w:eastAsia="Calibri" w:hAnsi="Times New Roman"/>
          <w:sz w:val="24"/>
          <w:szCs w:val="24"/>
        </w:rPr>
        <w:t>, камъш</w:t>
      </w:r>
      <w:r w:rsidRPr="0031593F">
        <w:rPr>
          <w:rFonts w:ascii="Times New Roman" w:eastAsia="Calibri" w:hAnsi="Times New Roman"/>
          <w:sz w:val="24"/>
          <w:szCs w:val="24"/>
          <w:lang w:val="en-US"/>
        </w:rPr>
        <w:t xml:space="preserve"> (</w:t>
      </w:r>
      <w:r w:rsidRPr="0031593F">
        <w:rPr>
          <w:rFonts w:ascii="Times New Roman" w:eastAsia="Calibri" w:hAnsi="Times New Roman"/>
          <w:i/>
          <w:sz w:val="24"/>
          <w:szCs w:val="24"/>
          <w:lang w:val="en-US"/>
        </w:rPr>
        <w:t>Schoenoplectus lacustris)</w:t>
      </w:r>
      <w:r w:rsidRPr="0031593F">
        <w:rPr>
          <w:rFonts w:ascii="Times New Roman" w:eastAsia="Calibri" w:hAnsi="Times New Roman"/>
          <w:sz w:val="24"/>
          <w:szCs w:val="24"/>
        </w:rPr>
        <w:t xml:space="preserve"> и др. Различните хидромелиоративни мероприятия водят до бързо изплитняване, пресъхване и запълване на езерата и блатата с растителни останки и хигрофитните ценози могат да ги заемат изцяло. Това е деградационна сукцесия в тези водоеми, която силно намалява тяхното значени за опазване на водолюбива флора и фауна.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Езерата или блатата следва да се разглеждат като комплексен хабитатен тип, доколкото включват разнообразни хабитатни подтипове или респективно растителни съобщества, които се намират в динамично равновесие помежду си. Тези водоеми имат понякога силно флуктуиращо водно ниво в зависимост от нивото на реката, в чиято тераса се намират. Откритите водни площи, известни още като „водни огледала“ или „лъщинета“, са заети най-често от потопена (бентосна) и плаваща растителност, съставена от типични хидрофити. Те също варират по площ и обем и при сухи лета могат временно да изчезват.</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Защитена зона BG0000241 Сребърна е вероятно най-представителната за това природно местообитание в България. По-голяма част от зоната е заета от еутрофното езеро, почти единственото край р. Дунав, което не е пресушено и е само частично с променен воден режим, който е в процес на поддържане и възстановяване. Езерото има голямо окрито водно огледало, както и широк пояс от високи хелофити, основно от тръстика (</w:t>
      </w:r>
      <w:r w:rsidRPr="0031593F">
        <w:rPr>
          <w:rFonts w:ascii="Times New Roman" w:eastAsia="Calibri" w:hAnsi="Times New Roman"/>
          <w:i/>
          <w:sz w:val="24"/>
          <w:szCs w:val="24"/>
          <w:lang w:val="en-US"/>
        </w:rPr>
        <w:t>Phragmites australis</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както и наводнявани храсталаци от сива върба (</w:t>
      </w:r>
      <w:r w:rsidRPr="0031593F">
        <w:rPr>
          <w:rFonts w:ascii="Times New Roman" w:eastAsia="Calibri" w:hAnsi="Times New Roman"/>
          <w:i/>
          <w:sz w:val="24"/>
          <w:szCs w:val="24"/>
          <w:lang w:val="en-US"/>
        </w:rPr>
        <w:t>Salix cinerea</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За езерото са характерни така наречените „кочки“ – плаващи тръстикови острови, които се разместват от вятъра по повърхността на водата. При разместването им се разкриват различни по размер, но като цяло по-малки, временни водни огледала, в които са представени разнообразни макрофитни съобщества.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lastRenderedPageBreak/>
        <w:t xml:space="preserve">Езерото е уникално място в страната с разнообразието си на типични хидрофити. Различни по размери ценози формират представители на родовете </w:t>
      </w:r>
      <w:r w:rsidRPr="0031593F">
        <w:rPr>
          <w:rFonts w:ascii="Times New Roman" w:eastAsia="Calibri" w:hAnsi="Times New Roman"/>
          <w:i/>
          <w:sz w:val="24"/>
          <w:szCs w:val="24"/>
          <w:lang w:val="en-US"/>
        </w:rPr>
        <w:t xml:space="preserve">Potamogeton </w:t>
      </w:r>
      <w:r w:rsidRPr="0031593F">
        <w:rPr>
          <w:rFonts w:ascii="Times New Roman" w:eastAsia="Calibri" w:hAnsi="Times New Roman"/>
          <w:sz w:val="24"/>
          <w:szCs w:val="24"/>
          <w:lang w:val="en-US"/>
        </w:rPr>
        <w:t xml:space="preserve">spp., </w:t>
      </w:r>
      <w:r w:rsidRPr="0031593F">
        <w:rPr>
          <w:rFonts w:ascii="Times New Roman" w:eastAsia="Calibri" w:hAnsi="Times New Roman"/>
          <w:i/>
          <w:sz w:val="24"/>
          <w:szCs w:val="24"/>
          <w:lang w:val="en-US"/>
        </w:rPr>
        <w:t>Myriophyllum</w:t>
      </w:r>
      <w:r w:rsidRPr="0031593F">
        <w:rPr>
          <w:rFonts w:ascii="Times New Roman" w:eastAsia="Calibri" w:hAnsi="Times New Roman"/>
          <w:sz w:val="24"/>
          <w:szCs w:val="24"/>
          <w:lang w:val="en-US"/>
        </w:rPr>
        <w:t xml:space="preserve"> spp., </w:t>
      </w:r>
      <w:r w:rsidRPr="0031593F">
        <w:rPr>
          <w:rFonts w:ascii="Times New Roman" w:eastAsia="Calibri" w:hAnsi="Times New Roman"/>
          <w:i/>
          <w:sz w:val="24"/>
          <w:szCs w:val="24"/>
          <w:lang w:val="en-US"/>
        </w:rPr>
        <w:t>Lemna spp.</w:t>
      </w:r>
      <w:r w:rsidRPr="0031593F">
        <w:rPr>
          <w:rFonts w:ascii="Times New Roman" w:eastAsia="Calibri" w:hAnsi="Times New Roman"/>
          <w:sz w:val="24"/>
          <w:szCs w:val="24"/>
          <w:lang w:val="en-US"/>
        </w:rPr>
        <w:t>,</w:t>
      </w:r>
      <w:r w:rsidRPr="0031593F">
        <w:rPr>
          <w:rFonts w:ascii="Times New Roman" w:eastAsia="Calibri" w:hAnsi="Times New Roman"/>
          <w:i/>
          <w:sz w:val="24"/>
          <w:szCs w:val="24"/>
          <w:lang w:val="en-US"/>
        </w:rPr>
        <w:t xml:space="preserve"> Utricularia spp.</w:t>
      </w:r>
      <w:r w:rsidRPr="0031593F">
        <w:rPr>
          <w:rFonts w:ascii="Times New Roman" w:eastAsia="Calibri" w:hAnsi="Times New Roman"/>
          <w:i/>
          <w:sz w:val="24"/>
          <w:szCs w:val="24"/>
        </w:rPr>
        <w:t>,</w:t>
      </w:r>
      <w:r w:rsidRPr="0031593F">
        <w:rPr>
          <w:rFonts w:ascii="Times New Roman" w:eastAsia="Calibri" w:hAnsi="Times New Roman"/>
          <w:sz w:val="24"/>
          <w:szCs w:val="24"/>
          <w:lang w:val="en-US"/>
        </w:rPr>
        <w:t xml:space="preserve"> както и видовете </w:t>
      </w:r>
      <w:r w:rsidRPr="0031593F">
        <w:rPr>
          <w:rFonts w:ascii="Times New Roman" w:eastAsia="Calibri" w:hAnsi="Times New Roman"/>
          <w:i/>
          <w:sz w:val="24"/>
          <w:szCs w:val="24"/>
          <w:lang w:val="en-US"/>
        </w:rPr>
        <w:t>Spirodela polyrrhiza, Hydrocharis morsus-ranae, Nymphoides peltata, Persicaria amphibia</w:t>
      </w:r>
      <w:r w:rsidRPr="0031593F">
        <w:rPr>
          <w:rFonts w:ascii="Times New Roman" w:eastAsia="Calibri" w:hAnsi="Times New Roman"/>
          <w:sz w:val="24"/>
          <w:szCs w:val="24"/>
          <w:lang w:val="en-US"/>
        </w:rPr>
        <w:t xml:space="preserve">, </w:t>
      </w:r>
      <w:r w:rsidRPr="0031593F">
        <w:rPr>
          <w:rFonts w:ascii="Times New Roman" w:eastAsia="Calibri" w:hAnsi="Times New Roman"/>
          <w:i/>
          <w:sz w:val="24"/>
          <w:szCs w:val="24"/>
          <w:lang w:val="en-US"/>
        </w:rPr>
        <w:t>Ceratophyllum demersum</w:t>
      </w:r>
      <w:r w:rsidRPr="0031593F">
        <w:rPr>
          <w:rFonts w:ascii="Times New Roman" w:eastAsia="Calibri" w:hAnsi="Times New Roman"/>
          <w:sz w:val="24"/>
          <w:szCs w:val="24"/>
        </w:rPr>
        <w:t>.</w:t>
      </w:r>
      <w:r w:rsidRPr="0031593F">
        <w:rPr>
          <w:rFonts w:ascii="Times New Roman" w:eastAsia="Calibri" w:hAnsi="Times New Roman"/>
          <w:i/>
          <w:sz w:val="24"/>
          <w:szCs w:val="24"/>
        </w:rPr>
        <w:t xml:space="preserve"> </w:t>
      </w:r>
      <w:r w:rsidRPr="0031593F">
        <w:rPr>
          <w:rFonts w:ascii="Times New Roman" w:eastAsia="Calibri" w:hAnsi="Times New Roman"/>
          <w:sz w:val="24"/>
          <w:szCs w:val="24"/>
        </w:rPr>
        <w:t xml:space="preserve">От консервационно значимите видове добре представени са популациите на </w:t>
      </w:r>
      <w:r w:rsidRPr="0031593F">
        <w:rPr>
          <w:rFonts w:ascii="Times New Roman" w:eastAsia="Calibri" w:hAnsi="Times New Roman"/>
          <w:i/>
          <w:sz w:val="24"/>
          <w:szCs w:val="24"/>
          <w:lang w:val="en-US"/>
        </w:rPr>
        <w:t>Nymphaea alba, Salvinia natans, Stratiotes aloides, Thelypteris palustris, Aldrovanda vesiculosa</w:t>
      </w:r>
      <w:r w:rsidRPr="0031593F">
        <w:rPr>
          <w:rFonts w:ascii="Times New Roman" w:eastAsia="Calibri" w:hAnsi="Times New Roman"/>
          <w:sz w:val="24"/>
          <w:szCs w:val="24"/>
        </w:rPr>
        <w:t xml:space="preserve">. Оптимално развитие в езерото имат и съобществата на хелофитите в по-плитките части на водоема, които освен тръстика, включват разнообразни представители на родовете </w:t>
      </w:r>
      <w:r w:rsidRPr="0031593F">
        <w:rPr>
          <w:rFonts w:ascii="Times New Roman" w:eastAsia="Calibri" w:hAnsi="Times New Roman"/>
          <w:i/>
          <w:sz w:val="24"/>
          <w:szCs w:val="24"/>
          <w:lang w:val="en-US"/>
        </w:rPr>
        <w:t>Typha</w:t>
      </w:r>
      <w:r w:rsidRPr="0031593F">
        <w:rPr>
          <w:rFonts w:ascii="Times New Roman" w:eastAsia="Calibri" w:hAnsi="Times New Roman"/>
          <w:sz w:val="24"/>
          <w:szCs w:val="24"/>
          <w:lang w:val="en-US"/>
        </w:rPr>
        <w:t xml:space="preserve"> spp., </w:t>
      </w:r>
      <w:r w:rsidRPr="0031593F">
        <w:rPr>
          <w:rFonts w:ascii="Times New Roman" w:eastAsia="Calibri" w:hAnsi="Times New Roman"/>
          <w:i/>
          <w:sz w:val="24"/>
          <w:szCs w:val="24"/>
          <w:lang w:val="en-US"/>
        </w:rPr>
        <w:t>Schoenolectus</w:t>
      </w:r>
      <w:r w:rsidRPr="0031593F">
        <w:rPr>
          <w:rFonts w:ascii="Times New Roman" w:eastAsia="Calibri" w:hAnsi="Times New Roman"/>
          <w:sz w:val="24"/>
          <w:szCs w:val="24"/>
          <w:lang w:val="en-US"/>
        </w:rPr>
        <w:t xml:space="preserve"> spp., </w:t>
      </w:r>
      <w:r w:rsidRPr="0031593F">
        <w:rPr>
          <w:rFonts w:ascii="Times New Roman" w:eastAsia="Calibri" w:hAnsi="Times New Roman"/>
          <w:i/>
          <w:sz w:val="24"/>
          <w:szCs w:val="24"/>
          <w:lang w:val="en-US"/>
        </w:rPr>
        <w:t xml:space="preserve">Carex </w:t>
      </w:r>
      <w:r w:rsidRPr="0031593F">
        <w:rPr>
          <w:rFonts w:ascii="Times New Roman" w:eastAsia="Calibri" w:hAnsi="Times New Roman"/>
          <w:sz w:val="24"/>
          <w:szCs w:val="24"/>
          <w:lang w:val="en-US"/>
        </w:rPr>
        <w:t xml:space="preserve">spp., </w:t>
      </w:r>
      <w:r w:rsidRPr="0031593F">
        <w:rPr>
          <w:rFonts w:ascii="Times New Roman" w:eastAsia="Calibri" w:hAnsi="Times New Roman"/>
          <w:i/>
          <w:sz w:val="24"/>
          <w:szCs w:val="24"/>
          <w:lang w:val="en-US"/>
        </w:rPr>
        <w:t>Cyperus</w:t>
      </w:r>
      <w:r w:rsidRPr="0031593F">
        <w:rPr>
          <w:rFonts w:ascii="Times New Roman" w:eastAsia="Calibri" w:hAnsi="Times New Roman"/>
          <w:sz w:val="24"/>
          <w:szCs w:val="24"/>
          <w:lang w:val="en-US"/>
        </w:rPr>
        <w:t xml:space="preserve"> spp., </w:t>
      </w:r>
      <w:r w:rsidRPr="0031593F">
        <w:rPr>
          <w:rFonts w:ascii="Times New Roman" w:eastAsia="Calibri" w:hAnsi="Times New Roman"/>
          <w:i/>
          <w:sz w:val="24"/>
          <w:szCs w:val="24"/>
          <w:lang w:val="en-US"/>
        </w:rPr>
        <w:t>Pycreus</w:t>
      </w:r>
      <w:r w:rsidRPr="0031593F">
        <w:rPr>
          <w:rFonts w:ascii="Times New Roman" w:eastAsia="Calibri" w:hAnsi="Times New Roman"/>
          <w:sz w:val="24"/>
          <w:szCs w:val="24"/>
          <w:lang w:val="en-US"/>
        </w:rPr>
        <w:t xml:space="preserve"> spp., </w:t>
      </w:r>
      <w:r w:rsidRPr="0031593F">
        <w:rPr>
          <w:rFonts w:ascii="Times New Roman" w:eastAsia="Calibri" w:hAnsi="Times New Roman"/>
          <w:i/>
          <w:sz w:val="24"/>
          <w:szCs w:val="24"/>
          <w:lang w:val="en-US"/>
        </w:rPr>
        <w:t xml:space="preserve">Oenanthe </w:t>
      </w:r>
      <w:r w:rsidRPr="0031593F">
        <w:rPr>
          <w:rFonts w:ascii="Times New Roman" w:eastAsia="Calibri" w:hAnsi="Times New Roman"/>
          <w:sz w:val="24"/>
          <w:szCs w:val="24"/>
          <w:lang w:val="en-US"/>
        </w:rPr>
        <w:t>spp.</w:t>
      </w:r>
      <w:r w:rsidRPr="0031593F">
        <w:rPr>
          <w:rFonts w:ascii="Times New Roman" w:eastAsia="Calibri" w:hAnsi="Times New Roman"/>
          <w:i/>
          <w:sz w:val="24"/>
          <w:szCs w:val="24"/>
          <w:lang w:val="en-US"/>
        </w:rPr>
        <w:t>, Rorippa</w:t>
      </w:r>
      <w:r w:rsidRPr="0031593F">
        <w:rPr>
          <w:rFonts w:ascii="Times New Roman" w:eastAsia="Calibri" w:hAnsi="Times New Roman"/>
          <w:sz w:val="24"/>
          <w:szCs w:val="24"/>
          <w:lang w:val="en-US"/>
        </w:rPr>
        <w:t xml:space="preserve"> spp.</w:t>
      </w:r>
    </w:p>
    <w:p w:rsidR="0031593F" w:rsidRPr="0031593F" w:rsidRDefault="0031593F" w:rsidP="0031593F">
      <w:pPr>
        <w:spacing w:after="0" w:line="240" w:lineRule="auto"/>
        <w:jc w:val="both"/>
        <w:rPr>
          <w:rFonts w:ascii="Times New Roman" w:eastAsia="Calibri" w:hAnsi="Times New Roman"/>
          <w:sz w:val="24"/>
          <w:szCs w:val="24"/>
          <w:lang w:val="en-US"/>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3. Състояние на биогеографско ниво и разпространение в мрежата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В мрежата Натура 2000, природно местообитание с код 3150 е предмет на опазване в 52 защитени зони (</w:t>
      </w:r>
      <w:r w:rsidRPr="0031593F">
        <w:rPr>
          <w:rFonts w:ascii="Times New Roman" w:hAnsi="Times New Roman"/>
          <w:noProof/>
          <w:position w:val="-1"/>
          <w:sz w:val="24"/>
          <w:szCs w:val="24"/>
        </w:rPr>
        <w:t xml:space="preserve">Natura 2000 update April 2019: </w:t>
      </w:r>
      <w:hyperlink r:id="rId10">
        <w:r w:rsidRPr="0031593F">
          <w:rPr>
            <w:rFonts w:ascii="Times New Roman" w:hAnsi="Times New Roman"/>
            <w:noProof/>
            <w:color w:val="0563C1"/>
            <w:position w:val="-1"/>
            <w:sz w:val="24"/>
            <w:szCs w:val="24"/>
            <w:u w:val="single"/>
          </w:rPr>
          <w:t>https://cdr.eionet.europa.eu/bg/eu/n2000</w:t>
        </w:r>
      </w:hyperlink>
      <w:r w:rsidRPr="0031593F">
        <w:rPr>
          <w:rFonts w:ascii="Times New Roman" w:eastAsia="Calibri" w:hAnsi="Times New Roman"/>
          <w:sz w:val="24"/>
          <w:szCs w:val="24"/>
        </w:rPr>
        <w:t xml:space="preserve">) и е разпространено в три биогеографски </w:t>
      </w:r>
      <w:r>
        <w:rPr>
          <w:rFonts w:ascii="Times New Roman" w:eastAsia="Calibri" w:hAnsi="Times New Roman"/>
          <w:sz w:val="24"/>
          <w:szCs w:val="24"/>
        </w:rPr>
        <w:t>региона</w:t>
      </w:r>
      <w:r w:rsidRPr="0031593F">
        <w:rPr>
          <w:rFonts w:ascii="Times New Roman" w:eastAsia="Calibri" w:hAnsi="Times New Roman"/>
          <w:sz w:val="24"/>
          <w:szCs w:val="24"/>
        </w:rPr>
        <w:t xml:space="preserve"> – Алпийски, Континентален и Черноморски, като най-обширни са площите му в Континенталния </w:t>
      </w:r>
      <w:r>
        <w:rPr>
          <w:rFonts w:ascii="Times New Roman" w:eastAsia="Calibri" w:hAnsi="Times New Roman"/>
          <w:sz w:val="24"/>
          <w:szCs w:val="24"/>
        </w:rPr>
        <w:t>регион</w:t>
      </w:r>
      <w:r w:rsidRPr="0031593F">
        <w:rPr>
          <w:rFonts w:ascii="Times New Roman" w:eastAsia="Calibri" w:hAnsi="Times New Roman"/>
          <w:sz w:val="24"/>
          <w:szCs w:val="24"/>
        </w:rPr>
        <w:t>.</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Съгласно докладването по чл. 17 от Директива за местообитанията през 2019 г. (за периода 2013-2018 г.), природното местообитание е в неблагоприятно-незадоволително природозащитно състояние и за трите биогеографски </w:t>
      </w:r>
      <w:r>
        <w:rPr>
          <w:rFonts w:ascii="Times New Roman" w:eastAsia="Calibri" w:hAnsi="Times New Roman"/>
          <w:sz w:val="24"/>
          <w:szCs w:val="24"/>
        </w:rPr>
        <w:t>региона</w:t>
      </w:r>
      <w:r w:rsidRPr="0031593F">
        <w:rPr>
          <w:rFonts w:ascii="Times New Roman" w:eastAsia="Calibri" w:hAnsi="Times New Roman"/>
          <w:sz w:val="24"/>
          <w:szCs w:val="24"/>
        </w:rPr>
        <w:t xml:space="preserve">. За тях е оценено в благоприятно състояние по критерий заемана площ, по критерии бъдещи перспективи и структура и функции е дадена оценка неблагоприятно-незадоволително състояние с изключение на Черноморския </w:t>
      </w:r>
      <w:r>
        <w:rPr>
          <w:rFonts w:ascii="Times New Roman" w:eastAsia="Calibri" w:hAnsi="Times New Roman"/>
          <w:sz w:val="24"/>
          <w:szCs w:val="24"/>
        </w:rPr>
        <w:t>регион</w:t>
      </w:r>
      <w:r w:rsidRPr="0031593F">
        <w:rPr>
          <w:rFonts w:ascii="Times New Roman" w:eastAsia="Calibri" w:hAnsi="Times New Roman"/>
          <w:sz w:val="24"/>
          <w:szCs w:val="24"/>
        </w:rPr>
        <w:t xml:space="preserve">, където за критерий структура и функции състоянието е неизвестно. При докладването през 2019 г., посочените заплахи и влияния са оценени със средна степен на значение – температурни промени поради изменение на климата, абиотични естествени процеси (ерозия, затлачване, осушаване и др.), водовземане от подземни, повърхностни или смесени води, замърсяване на повърхностни или подземни води, натрупване на органичен материал, добив на минерали (напр. чакъл, пясък, черупки) и др. При докладването по чл. 17 през 2013 г. (за периода 2007-2012 г.) местообитанието е с оценка неблагоприятно-незадоволително и за трите биогеографски </w:t>
      </w:r>
      <w:r>
        <w:rPr>
          <w:rFonts w:ascii="Times New Roman" w:eastAsia="Calibri" w:hAnsi="Times New Roman"/>
          <w:sz w:val="24"/>
          <w:szCs w:val="24"/>
        </w:rPr>
        <w:t>региона</w:t>
      </w:r>
      <w:r w:rsidRPr="0031593F">
        <w:rPr>
          <w:rFonts w:ascii="Times New Roman" w:eastAsia="Calibri" w:hAnsi="Times New Roman"/>
          <w:sz w:val="24"/>
          <w:szCs w:val="24"/>
        </w:rPr>
        <w:t xml:space="preserve"> (благоприятно разпространение и площ, неблагоприятно-незадоволителни структура и функции, и бъдещи перспективи). Като влияния и заплахи с висока степен на значимост се посочват замърсяването на повърхностни води и предизвиканите от човека промени на хидрологичните условия.</w:t>
      </w:r>
    </w:p>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rPr>
          <w:rFonts w:ascii="Times New Roman" w:eastAsia="Calibri" w:hAnsi="Times New Roman"/>
          <w:i/>
          <w:sz w:val="24"/>
          <w:szCs w:val="24"/>
        </w:rPr>
      </w:pPr>
      <w:r w:rsidRPr="0031593F">
        <w:rPr>
          <w:rFonts w:ascii="Times New Roman" w:eastAsia="Calibri" w:hAnsi="Times New Roman"/>
          <w:b/>
          <w:sz w:val="24"/>
          <w:szCs w:val="24"/>
        </w:rPr>
        <w:t>4. Състояние на ниво защитена зона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Според данните в стандартният формуляр, площта на местообитанието в ЗЗ „Сребърна“ е 705,59 </w:t>
      </w:r>
      <w:r w:rsidRPr="0031593F">
        <w:rPr>
          <w:rFonts w:ascii="Times New Roman" w:eastAsia="Calibri" w:hAnsi="Times New Roman"/>
          <w:sz w:val="24"/>
          <w:szCs w:val="24"/>
          <w:lang w:val="en-US"/>
        </w:rPr>
        <w:t xml:space="preserve">ha </w:t>
      </w:r>
      <w:r w:rsidRPr="0031593F">
        <w:rPr>
          <w:rFonts w:ascii="Times New Roman" w:eastAsia="Calibri" w:hAnsi="Times New Roman"/>
          <w:sz w:val="24"/>
          <w:szCs w:val="24"/>
        </w:rPr>
        <w:t>и попада в Континенталния биогеографски район. Тази площ е установена по проект „Картиране и определяне на природозащитното състояние на природни местообитания и видове - фаза I“ (т.е. през 2011-2012 г.) и е почти същата както и на дотогава съществуващата в СФ площ (705,39 ha).</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 xml:space="preserve">Съгласно специфичния доклад, публикуван в „Информационна система за защитени зони от екологичната мрежа Натура 2000 на МОСВ“, местообитанието е оценено в благоприятно състояние по критерий „Площ в границите на зоната“, по критерии „Структура и функции“ и „Бъдещи перспективи (заплахи и влияния)“ – в неблагоприятно-незадоволително състояние. Оценките се основават на установена фрагментация в рамките на местообитанието; неблагоприятна максимална дълбочина и електропроводимост; наличие на изхвърлени битови отпадъци и битови отпадни води; еутрофно, граничещо с хипертрофно състояние; неблагоприятни хидрологични и морфологични изменения; биологични въздействия </w:t>
      </w:r>
      <w:r w:rsidRPr="0031593F">
        <w:rPr>
          <w:rFonts w:ascii="Times New Roman" w:eastAsia="Calibri" w:hAnsi="Times New Roman"/>
          <w:sz w:val="24"/>
          <w:szCs w:val="24"/>
          <w:lang w:val="en-US"/>
        </w:rPr>
        <w:t>(„цъфтежни“ концентрации на фитопланктона)</w:t>
      </w:r>
      <w:r w:rsidRPr="0031593F">
        <w:rPr>
          <w:rFonts w:ascii="Times New Roman" w:eastAsia="Calibri" w:hAnsi="Times New Roman"/>
          <w:sz w:val="24"/>
          <w:szCs w:val="24"/>
        </w:rPr>
        <w:t xml:space="preserve">; естествени </w:t>
      </w:r>
      <w:r w:rsidRPr="0031593F">
        <w:rPr>
          <w:rFonts w:ascii="Times New Roman" w:eastAsia="Calibri" w:hAnsi="Times New Roman"/>
          <w:sz w:val="24"/>
          <w:szCs w:val="24"/>
        </w:rPr>
        <w:lastRenderedPageBreak/>
        <w:t>сукцесивни промени, типични за еутрофни басейни повлияни от човешка дейност; природни нарушения (засушаване и свързаното с това намаляване на водни площи). Според стандартния формуляр, местообитанието в зоната е с оценки за „Представителност“ „A“, за „Относителна площ“ „</w:t>
      </w:r>
      <w:r w:rsidRPr="0031593F">
        <w:rPr>
          <w:rFonts w:ascii="Times New Roman" w:eastAsia="Calibri" w:hAnsi="Times New Roman"/>
          <w:sz w:val="24"/>
          <w:szCs w:val="24"/>
          <w:lang w:val="en-US"/>
        </w:rPr>
        <w:t>B</w:t>
      </w:r>
      <w:r w:rsidRPr="0031593F">
        <w:rPr>
          <w:rFonts w:ascii="Times New Roman" w:eastAsia="Calibri" w:hAnsi="Times New Roman"/>
          <w:sz w:val="24"/>
          <w:szCs w:val="24"/>
        </w:rPr>
        <w:t>“ и за „Степен на опазване“ „</w:t>
      </w:r>
      <w:r w:rsidRPr="0031593F">
        <w:rPr>
          <w:rFonts w:ascii="Times New Roman" w:eastAsia="Calibri" w:hAnsi="Times New Roman"/>
          <w:sz w:val="24"/>
          <w:szCs w:val="24"/>
          <w:lang w:val="en-US"/>
        </w:rPr>
        <w:t>B</w:t>
      </w:r>
      <w:r w:rsidRPr="0031593F">
        <w:rPr>
          <w:rFonts w:ascii="Times New Roman" w:eastAsia="Calibri" w:hAnsi="Times New Roman"/>
          <w:sz w:val="24"/>
          <w:szCs w:val="24"/>
        </w:rPr>
        <w:t>“, като общата оценка на стойността на защитената зона за опазване на природното местообитание е „B“.</w:t>
      </w:r>
    </w:p>
    <w:p w:rsidR="0031593F" w:rsidRPr="0031593F" w:rsidRDefault="0031593F" w:rsidP="0031593F">
      <w:pPr>
        <w:spacing w:after="0" w:line="240" w:lineRule="auto"/>
        <w:jc w:val="both"/>
        <w:rPr>
          <w:rFonts w:ascii="Times New Roman" w:eastAsia="Calibri"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1"/>
        <w:gridCol w:w="461"/>
        <w:gridCol w:w="483"/>
        <w:gridCol w:w="908"/>
        <w:gridCol w:w="1028"/>
        <w:gridCol w:w="839"/>
        <w:gridCol w:w="1627"/>
        <w:gridCol w:w="1126"/>
        <w:gridCol w:w="1361"/>
        <w:gridCol w:w="794"/>
      </w:tblGrid>
      <w:tr w:rsidR="0031593F" w:rsidRPr="0031593F" w:rsidTr="0031593F">
        <w:tc>
          <w:tcPr>
            <w:tcW w:w="2385" w:type="pct"/>
            <w:gridSpan w:val="6"/>
            <w:shd w:val="clear" w:color="auto" w:fill="D9D9D9"/>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Annex I Habitat types</w:t>
            </w:r>
          </w:p>
        </w:tc>
        <w:tc>
          <w:tcPr>
            <w:tcW w:w="2615" w:type="pct"/>
            <w:gridSpan w:val="4"/>
            <w:shd w:val="clear" w:color="auto" w:fill="D9D9D9"/>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Site assessment</w:t>
            </w:r>
          </w:p>
        </w:tc>
      </w:tr>
      <w:tr w:rsidR="0031593F" w:rsidRPr="0031593F" w:rsidTr="0031593F">
        <w:tc>
          <w:tcPr>
            <w:tcW w:w="344"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Code</w:t>
            </w:r>
          </w:p>
        </w:tc>
        <w:tc>
          <w:tcPr>
            <w:tcW w:w="240"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PF</w:t>
            </w:r>
          </w:p>
        </w:tc>
        <w:tc>
          <w:tcPr>
            <w:tcW w:w="251"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NP</w:t>
            </w:r>
          </w:p>
        </w:tc>
        <w:tc>
          <w:tcPr>
            <w:tcW w:w="526"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Cover (ha)</w:t>
            </w:r>
          </w:p>
        </w:tc>
        <w:tc>
          <w:tcPr>
            <w:tcW w:w="536"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Cave (number)</w:t>
            </w:r>
          </w:p>
        </w:tc>
        <w:tc>
          <w:tcPr>
            <w:tcW w:w="489"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Data quality</w:t>
            </w:r>
          </w:p>
        </w:tc>
        <w:tc>
          <w:tcPr>
            <w:tcW w:w="848"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A/B/C/D</w:t>
            </w:r>
          </w:p>
        </w:tc>
        <w:tc>
          <w:tcPr>
            <w:tcW w:w="1766" w:type="pct"/>
            <w:gridSpan w:val="3"/>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A/B/C</w:t>
            </w:r>
          </w:p>
        </w:tc>
      </w:tr>
      <w:tr w:rsidR="0031593F" w:rsidRPr="0031593F" w:rsidTr="0031593F">
        <w:trPr>
          <w:trHeight w:val="454"/>
        </w:trPr>
        <w:tc>
          <w:tcPr>
            <w:tcW w:w="344" w:type="pct"/>
          </w:tcPr>
          <w:p w:rsidR="0031593F" w:rsidRPr="0031593F" w:rsidRDefault="0031593F" w:rsidP="0031593F">
            <w:pPr>
              <w:rPr>
                <w:rFonts w:ascii="Times New Roman" w:hAnsi="Times New Roman"/>
                <w:b/>
                <w:color w:val="000000"/>
                <w:position w:val="-1"/>
                <w:sz w:val="20"/>
                <w:szCs w:val="20"/>
              </w:rPr>
            </w:pPr>
          </w:p>
        </w:tc>
        <w:tc>
          <w:tcPr>
            <w:tcW w:w="240" w:type="pct"/>
          </w:tcPr>
          <w:p w:rsidR="0031593F" w:rsidRPr="0031593F" w:rsidRDefault="0031593F" w:rsidP="0031593F">
            <w:pPr>
              <w:rPr>
                <w:rFonts w:ascii="Times New Roman" w:hAnsi="Times New Roman"/>
                <w:b/>
                <w:color w:val="000000"/>
                <w:position w:val="-1"/>
                <w:sz w:val="20"/>
                <w:szCs w:val="20"/>
              </w:rPr>
            </w:pPr>
          </w:p>
        </w:tc>
        <w:tc>
          <w:tcPr>
            <w:tcW w:w="251" w:type="pct"/>
          </w:tcPr>
          <w:p w:rsidR="0031593F" w:rsidRPr="0031593F" w:rsidRDefault="0031593F" w:rsidP="0031593F">
            <w:pPr>
              <w:rPr>
                <w:rFonts w:ascii="Times New Roman" w:hAnsi="Times New Roman"/>
                <w:b/>
                <w:color w:val="000000"/>
                <w:position w:val="-1"/>
                <w:sz w:val="20"/>
                <w:szCs w:val="20"/>
              </w:rPr>
            </w:pPr>
          </w:p>
        </w:tc>
        <w:tc>
          <w:tcPr>
            <w:tcW w:w="526" w:type="pct"/>
          </w:tcPr>
          <w:p w:rsidR="0031593F" w:rsidRPr="0031593F" w:rsidRDefault="0031593F" w:rsidP="0031593F">
            <w:pPr>
              <w:rPr>
                <w:rFonts w:ascii="Times New Roman" w:hAnsi="Times New Roman"/>
                <w:b/>
                <w:color w:val="000000"/>
                <w:position w:val="-1"/>
                <w:sz w:val="20"/>
                <w:szCs w:val="20"/>
              </w:rPr>
            </w:pPr>
          </w:p>
        </w:tc>
        <w:tc>
          <w:tcPr>
            <w:tcW w:w="536" w:type="pct"/>
          </w:tcPr>
          <w:p w:rsidR="0031593F" w:rsidRPr="0031593F" w:rsidRDefault="0031593F" w:rsidP="0031593F">
            <w:pPr>
              <w:rPr>
                <w:rFonts w:ascii="Times New Roman" w:hAnsi="Times New Roman"/>
                <w:b/>
                <w:color w:val="000000"/>
                <w:position w:val="-1"/>
                <w:sz w:val="20"/>
                <w:szCs w:val="20"/>
              </w:rPr>
            </w:pPr>
          </w:p>
        </w:tc>
        <w:tc>
          <w:tcPr>
            <w:tcW w:w="489" w:type="pct"/>
          </w:tcPr>
          <w:p w:rsidR="0031593F" w:rsidRPr="0031593F" w:rsidRDefault="0031593F" w:rsidP="0031593F">
            <w:pPr>
              <w:rPr>
                <w:rFonts w:ascii="Times New Roman" w:hAnsi="Times New Roman"/>
                <w:b/>
                <w:color w:val="000000"/>
                <w:position w:val="-1"/>
                <w:sz w:val="20"/>
                <w:szCs w:val="20"/>
              </w:rPr>
            </w:pPr>
          </w:p>
        </w:tc>
        <w:tc>
          <w:tcPr>
            <w:tcW w:w="848" w:type="pct"/>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Representativity</w:t>
            </w:r>
          </w:p>
        </w:tc>
        <w:tc>
          <w:tcPr>
            <w:tcW w:w="643"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Relative Surface</w:t>
            </w:r>
          </w:p>
        </w:tc>
        <w:tc>
          <w:tcPr>
            <w:tcW w:w="710"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Conservation</w:t>
            </w:r>
          </w:p>
        </w:tc>
        <w:tc>
          <w:tcPr>
            <w:tcW w:w="414"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Global</w:t>
            </w:r>
          </w:p>
        </w:tc>
      </w:tr>
      <w:tr w:rsidR="0031593F" w:rsidRPr="0031593F" w:rsidTr="0031593F">
        <w:trPr>
          <w:trHeight w:hRule="exact" w:val="284"/>
        </w:trPr>
        <w:tc>
          <w:tcPr>
            <w:tcW w:w="344" w:type="pct"/>
            <w:tcBorders>
              <w:top w:val="single" w:sz="4" w:space="0" w:color="auto"/>
              <w:left w:val="single" w:sz="4" w:space="0" w:color="auto"/>
              <w:bottom w:val="single" w:sz="4" w:space="0" w:color="auto"/>
              <w:right w:val="single" w:sz="4" w:space="0" w:color="auto"/>
            </w:tcBorders>
            <w:shd w:val="clear" w:color="auto" w:fill="auto"/>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3150</w:t>
            </w:r>
          </w:p>
        </w:tc>
        <w:tc>
          <w:tcPr>
            <w:tcW w:w="240" w:type="pct"/>
          </w:tcPr>
          <w:p w:rsidR="0031593F" w:rsidRPr="0031593F" w:rsidRDefault="0031593F" w:rsidP="0031593F">
            <w:pPr>
              <w:rPr>
                <w:rFonts w:ascii="Times New Roman" w:eastAsia="Calibri" w:hAnsi="Times New Roman"/>
                <w:sz w:val="20"/>
                <w:szCs w:val="20"/>
                <w:lang w:val="en-US"/>
              </w:rPr>
            </w:pPr>
          </w:p>
        </w:tc>
        <w:tc>
          <w:tcPr>
            <w:tcW w:w="251" w:type="pct"/>
          </w:tcPr>
          <w:p w:rsidR="0031593F" w:rsidRPr="0031593F" w:rsidRDefault="0031593F" w:rsidP="0031593F">
            <w:pPr>
              <w:rPr>
                <w:rFonts w:ascii="Times New Roman" w:eastAsia="Calibri" w:hAnsi="Times New Roman"/>
                <w:sz w:val="20"/>
                <w:szCs w:val="20"/>
              </w:rPr>
            </w:pPr>
          </w:p>
        </w:tc>
        <w:tc>
          <w:tcPr>
            <w:tcW w:w="526"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705,59</w:t>
            </w:r>
          </w:p>
        </w:tc>
        <w:tc>
          <w:tcPr>
            <w:tcW w:w="536" w:type="pct"/>
          </w:tcPr>
          <w:p w:rsidR="0031593F" w:rsidRPr="0031593F" w:rsidRDefault="0031593F" w:rsidP="0031593F">
            <w:pPr>
              <w:rPr>
                <w:rFonts w:ascii="Times New Roman" w:eastAsia="Calibri" w:hAnsi="Times New Roman"/>
                <w:sz w:val="20"/>
                <w:szCs w:val="20"/>
                <w:lang w:val="en-US"/>
              </w:rPr>
            </w:pPr>
          </w:p>
        </w:tc>
        <w:tc>
          <w:tcPr>
            <w:tcW w:w="489"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G</w:t>
            </w:r>
          </w:p>
        </w:tc>
        <w:tc>
          <w:tcPr>
            <w:tcW w:w="848"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A</w:t>
            </w:r>
          </w:p>
        </w:tc>
        <w:tc>
          <w:tcPr>
            <w:tcW w:w="643"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B</w:t>
            </w:r>
          </w:p>
        </w:tc>
        <w:tc>
          <w:tcPr>
            <w:tcW w:w="710"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B</w:t>
            </w:r>
          </w:p>
        </w:tc>
        <w:tc>
          <w:tcPr>
            <w:tcW w:w="414"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B</w:t>
            </w:r>
          </w:p>
        </w:tc>
      </w:tr>
    </w:tbl>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b/>
          <w:sz w:val="24"/>
          <w:szCs w:val="24"/>
        </w:rPr>
        <w:t>5. Анализ на наличната информация</w:t>
      </w:r>
    </w:p>
    <w:p w:rsidR="0031593F" w:rsidRPr="0031593F" w:rsidRDefault="0031593F" w:rsidP="0031593F">
      <w:pPr>
        <w:spacing w:after="0" w:line="240" w:lineRule="auto"/>
        <w:ind w:firstLine="709"/>
        <w:jc w:val="both"/>
        <w:rPr>
          <w:rFonts w:ascii="Times New Roman" w:eastAsia="Calibri" w:hAnsi="Times New Roman"/>
          <w:sz w:val="24"/>
          <w:szCs w:val="24"/>
          <w:lang w:val="en-US"/>
        </w:rPr>
      </w:pPr>
      <w:r w:rsidRPr="0031593F">
        <w:rPr>
          <w:rFonts w:ascii="Times New Roman" w:eastAsia="Calibri" w:hAnsi="Times New Roman"/>
          <w:sz w:val="24"/>
          <w:szCs w:val="24"/>
        </w:rPr>
        <w:t>При определянето на природозащитните цели е използвана информацията за разпространението и състоянието на местообитанието, предоставена в Информационната система за защитени зони от екологична мрежа Натура 2000, Докладванията по член 17 от 2013 г. и 2019 г</w:t>
      </w:r>
      <w:r w:rsidRPr="0031593F">
        <w:rPr>
          <w:rFonts w:ascii="Times New Roman" w:eastAsia="Calibri" w:hAnsi="Times New Roman"/>
          <w:sz w:val="24"/>
          <w:szCs w:val="24"/>
          <w:lang w:val="en-US"/>
        </w:rPr>
        <w:t>.</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През 2021 г., беше извършена теренна проверка за актуализация на наличната информация за състоянието на местообитанието в зоната. Считаме, че площта на местообитанието, установена в защитената зона в рамките на проект „Картиране и определяне на природозащитното състояние на местообитания и видове – Фаза 1”, е по-голяма от неговата действителна площ, доколкото са включени територии край канала между р. Дунав и езерото, които не принадлежат към водното тяло. Поради тази причина и по налични сателитни снимки и картиране на терена през 2021 г., като се има предвид и че местообитанието флуктуира в зависимост от нивото на река Дунав са определени площи </w:t>
      </w:r>
      <w:r w:rsidRPr="0031593F">
        <w:rPr>
          <w:rFonts w:ascii="Times New Roman" w:eastAsia="Calibri" w:hAnsi="Times New Roman"/>
          <w:sz w:val="24"/>
          <w:szCs w:val="24"/>
          <w:lang w:val="en-US"/>
        </w:rPr>
        <w:t>(601,148 ha)</w:t>
      </w:r>
      <w:r w:rsidRPr="0031593F">
        <w:rPr>
          <w:rFonts w:ascii="Times New Roman" w:eastAsia="Calibri" w:hAnsi="Times New Roman"/>
          <w:sz w:val="24"/>
          <w:szCs w:val="24"/>
        </w:rPr>
        <w:t>, които считаме за най-актуални и достоверни. Наличен е шейп файл.</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Направени са следните изводи за настоящото състояние на местообитанието, които са отразени в целите, представени в този документ:</w:t>
      </w:r>
    </w:p>
    <w:p w:rsidR="0031593F" w:rsidRPr="0031593F" w:rsidRDefault="0031593F" w:rsidP="00635999">
      <w:pPr>
        <w:numPr>
          <w:ilvl w:val="0"/>
          <w:numId w:val="7"/>
        </w:numPr>
        <w:spacing w:after="0" w:line="240" w:lineRule="auto"/>
        <w:contextualSpacing/>
        <w:jc w:val="both"/>
        <w:rPr>
          <w:rFonts w:ascii="Times New Roman" w:eastAsia="Calibri" w:hAnsi="Times New Roman"/>
          <w:sz w:val="24"/>
          <w:szCs w:val="24"/>
          <w:lang w:val="en-US"/>
        </w:rPr>
      </w:pPr>
      <w:r w:rsidRPr="0031593F">
        <w:rPr>
          <w:rFonts w:ascii="Times New Roman" w:eastAsia="Calibri" w:hAnsi="Times New Roman"/>
          <w:sz w:val="24"/>
          <w:szCs w:val="24"/>
        </w:rPr>
        <w:t>Природното местообитание се отличава с висока степен на представителност по отношение на типичните видове растения, специално от групата на хидрофитите.</w:t>
      </w:r>
    </w:p>
    <w:p w:rsidR="0031593F" w:rsidRPr="0031593F" w:rsidRDefault="0031593F" w:rsidP="00635999">
      <w:pPr>
        <w:numPr>
          <w:ilvl w:val="0"/>
          <w:numId w:val="7"/>
        </w:numPr>
        <w:spacing w:after="0" w:line="240" w:lineRule="auto"/>
        <w:contextualSpacing/>
        <w:jc w:val="both"/>
        <w:rPr>
          <w:rFonts w:ascii="Times New Roman" w:eastAsia="Calibri" w:hAnsi="Times New Roman"/>
          <w:sz w:val="24"/>
          <w:szCs w:val="24"/>
          <w:lang w:val="en-US"/>
        </w:rPr>
      </w:pPr>
      <w:r w:rsidRPr="0031593F">
        <w:rPr>
          <w:rFonts w:ascii="Times New Roman" w:eastAsia="Calibri" w:hAnsi="Times New Roman"/>
          <w:sz w:val="24"/>
          <w:szCs w:val="24"/>
        </w:rPr>
        <w:t>Въпреки наличието на някои негативни промени в хидрологичния режим и основно поради проблеми на връзката с р. Дунав, може да се каже че поддръжката на този хидрологичен режим е благоприятно за местообитанието.</w:t>
      </w:r>
    </w:p>
    <w:p w:rsidR="0031593F" w:rsidRPr="0031593F" w:rsidRDefault="0031593F" w:rsidP="00635999">
      <w:pPr>
        <w:numPr>
          <w:ilvl w:val="0"/>
          <w:numId w:val="7"/>
        </w:numPr>
        <w:spacing w:after="0" w:line="240" w:lineRule="auto"/>
        <w:contextualSpacing/>
        <w:jc w:val="both"/>
        <w:rPr>
          <w:rFonts w:ascii="Times New Roman" w:eastAsia="Calibri" w:hAnsi="Times New Roman"/>
          <w:sz w:val="24"/>
          <w:szCs w:val="24"/>
          <w:lang w:val="en-US"/>
        </w:rPr>
      </w:pPr>
      <w:r w:rsidRPr="0031593F">
        <w:rPr>
          <w:rFonts w:ascii="Times New Roman" w:eastAsia="Calibri" w:hAnsi="Times New Roman"/>
          <w:sz w:val="24"/>
          <w:szCs w:val="24"/>
        </w:rPr>
        <w:t>Не бяха установени нови негативни п</w:t>
      </w:r>
      <w:r w:rsidRPr="0031593F">
        <w:rPr>
          <w:rFonts w:ascii="Times New Roman" w:eastAsia="Calibri" w:hAnsi="Times New Roman"/>
          <w:sz w:val="24"/>
          <w:szCs w:val="24"/>
          <w:lang w:val="en-US"/>
        </w:rPr>
        <w:t>ромени в хидрологичния режим свързани с отводняване и водоползване</w:t>
      </w:r>
      <w:r w:rsidRPr="0031593F">
        <w:rPr>
          <w:rFonts w:ascii="Times New Roman" w:eastAsia="Calibri" w:hAnsi="Times New Roman"/>
          <w:sz w:val="24"/>
          <w:szCs w:val="24"/>
        </w:rPr>
        <w:t>.</w:t>
      </w:r>
    </w:p>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jc w:val="both"/>
        <w:rPr>
          <w:rFonts w:ascii="Times New Roman" w:eastAsia="Calibri" w:hAnsi="Times New Roman"/>
          <w:b/>
          <w:i/>
          <w:sz w:val="24"/>
          <w:szCs w:val="24"/>
        </w:rPr>
      </w:pPr>
      <w:r w:rsidRPr="0031593F">
        <w:rPr>
          <w:rFonts w:ascii="Times New Roman" w:eastAsia="Calibri" w:hAnsi="Times New Roman"/>
          <w:b/>
          <w:sz w:val="24"/>
          <w:szCs w:val="24"/>
        </w:rPr>
        <w:t>6. Цели за подобряване/поддържане на природозащитното състояние на местообитанието в зоната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Специфичните природозащитни цели за защитената зона са формулирани по параметри със съответни мерни единици и целеви стойности в приложената таблица.</w:t>
      </w:r>
    </w:p>
    <w:p w:rsidR="0031593F" w:rsidRPr="0031593F" w:rsidRDefault="0031593F" w:rsidP="0031593F">
      <w:pPr>
        <w:spacing w:after="0" w:line="240" w:lineRule="auto"/>
        <w:rPr>
          <w:rFonts w:ascii="Times New Roman" w:eastAsia="Calibri" w:hAnsi="Times New Roman"/>
          <w:sz w:val="24"/>
          <w:szCs w:val="24"/>
          <w:highlight w:val="yellow"/>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909"/>
        <w:gridCol w:w="2126"/>
        <w:gridCol w:w="2023"/>
      </w:tblGrid>
      <w:tr w:rsidR="0031593F" w:rsidRPr="0031593F" w:rsidTr="0031593F">
        <w:trPr>
          <w:tblHeader/>
          <w:jc w:val="center"/>
        </w:trPr>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lastRenderedPageBreak/>
              <w:t>Параметър</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Мерна единица</w:t>
            </w:r>
          </w:p>
        </w:tc>
        <w:tc>
          <w:tcPr>
            <w:tcW w:w="190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Целева стойност</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Допълнителна информация</w:t>
            </w:r>
          </w:p>
        </w:tc>
        <w:tc>
          <w:tcPr>
            <w:tcW w:w="2023" w:type="dxa"/>
            <w:tcBorders>
              <w:top w:val="single" w:sz="4" w:space="0" w:color="auto"/>
              <w:left w:val="single" w:sz="4" w:space="0" w:color="auto"/>
              <w:bottom w:val="single" w:sz="4" w:space="0" w:color="auto"/>
              <w:right w:val="single" w:sz="4" w:space="0" w:color="auto"/>
            </w:tcBorders>
            <w:shd w:val="clear" w:color="auto" w:fill="DBE5F1"/>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Специфични природозащитни цели за защитената зона</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b/>
                <w:sz w:val="20"/>
                <w:szCs w:val="20"/>
                <w:lang w:val="en-US"/>
              </w:rPr>
            </w:pPr>
            <w:r w:rsidRPr="0031593F">
              <w:rPr>
                <w:rFonts w:ascii="Times New Roman" w:eastAsia="Calibri" w:hAnsi="Times New Roman"/>
                <w:b/>
                <w:sz w:val="20"/>
                <w:szCs w:val="20"/>
                <w:lang w:val="en-US"/>
              </w:rPr>
              <w:t>Площ</w:t>
            </w:r>
          </w:p>
        </w:tc>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Хектари</w:t>
            </w:r>
          </w:p>
        </w:tc>
        <w:tc>
          <w:tcPr>
            <w:tcW w:w="1909"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Най-малко 601,1</w:t>
            </w:r>
            <w:r w:rsidRPr="0031593F">
              <w:rPr>
                <w:rFonts w:ascii="Times New Roman" w:eastAsia="Calibri" w:hAnsi="Times New Roman"/>
                <w:sz w:val="20"/>
                <w:szCs w:val="20"/>
              </w:rPr>
              <w:t>48</w:t>
            </w:r>
            <w:r w:rsidRPr="0031593F">
              <w:rPr>
                <w:rFonts w:ascii="Times New Roman" w:eastAsia="Calibri" w:hAnsi="Times New Roman"/>
                <w:sz w:val="20"/>
                <w:szCs w:val="20"/>
                <w:lang w:val="en-US"/>
              </w:rPr>
              <w:t xml:space="preserve"> ha</w:t>
            </w:r>
          </w:p>
        </w:tc>
        <w:tc>
          <w:tcPr>
            <w:tcW w:w="2126"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p>
        </w:tc>
        <w:tc>
          <w:tcPr>
            <w:tcW w:w="202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rPr>
            </w:pPr>
            <w:r w:rsidRPr="0031593F">
              <w:rPr>
                <w:rFonts w:ascii="Times New Roman" w:eastAsia="Calibri" w:hAnsi="Times New Roman"/>
                <w:sz w:val="20"/>
                <w:szCs w:val="20"/>
              </w:rPr>
              <w:t>Поддържане на площта – най-малко 601,148 ha.</w:t>
            </w:r>
          </w:p>
        </w:tc>
      </w:tr>
      <w:tr w:rsidR="0031593F" w:rsidRPr="0031593F" w:rsidTr="0031593F">
        <w:trPr>
          <w:trHeight w:val="2066"/>
          <w:jc w:val="center"/>
        </w:trPr>
        <w:tc>
          <w:tcPr>
            <w:tcW w:w="170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b/>
                <w:sz w:val="20"/>
                <w:szCs w:val="20"/>
                <w:lang w:val="en-US"/>
              </w:rPr>
            </w:pPr>
            <w:r w:rsidRPr="0031593F">
              <w:rPr>
                <w:rFonts w:ascii="Times New Roman" w:eastAsia="Calibri" w:hAnsi="Times New Roman"/>
                <w:b/>
                <w:sz w:val="20"/>
                <w:szCs w:val="20"/>
                <w:lang w:val="en-US"/>
              </w:rPr>
              <w:t>Структура и функции: Присъствие на типични видове растения</w:t>
            </w:r>
          </w:p>
        </w:tc>
        <w:tc>
          <w:tcPr>
            <w:tcW w:w="170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Брой типични видове</w:t>
            </w:r>
          </w:p>
        </w:tc>
        <w:tc>
          <w:tcPr>
            <w:tcW w:w="1909"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rPr>
            </w:pPr>
            <w:r w:rsidRPr="0031593F">
              <w:rPr>
                <w:rFonts w:ascii="Times New Roman" w:eastAsia="Calibri" w:hAnsi="Times New Roman"/>
                <w:sz w:val="20"/>
                <w:szCs w:val="20"/>
                <w:lang w:val="en-US"/>
              </w:rPr>
              <w:t>Наличие на поне 3 вида</w:t>
            </w:r>
          </w:p>
        </w:tc>
        <w:tc>
          <w:tcPr>
            <w:tcW w:w="2126"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eastAsia="Calibri"/>
                <w:sz w:val="20"/>
                <w:szCs w:val="20"/>
                <w:lang w:val="en-US"/>
              </w:rPr>
            </w:pPr>
            <w:r w:rsidRPr="0031593F">
              <w:rPr>
                <w:rFonts w:ascii="Times New Roman" w:eastAsia="Calibri" w:hAnsi="Times New Roman"/>
                <w:sz w:val="20"/>
                <w:szCs w:val="20"/>
              </w:rPr>
              <w:t xml:space="preserve">Типични видове: </w:t>
            </w:r>
            <w:r w:rsidRPr="0031593F">
              <w:rPr>
                <w:rFonts w:ascii="Times New Roman" w:eastAsia="Calibri" w:hAnsi="Times New Roman"/>
                <w:i/>
                <w:sz w:val="20"/>
                <w:szCs w:val="20"/>
              </w:rPr>
              <w:t xml:space="preserve">Lemna spp., Spirodela polyrrhiza, </w:t>
            </w:r>
            <w:r w:rsidRPr="0031593F">
              <w:rPr>
                <w:rFonts w:ascii="Times New Roman" w:eastAsia="Calibri" w:hAnsi="Times New Roman"/>
                <w:i/>
                <w:sz w:val="20"/>
                <w:szCs w:val="20"/>
                <w:lang w:val="en-US"/>
              </w:rPr>
              <w:t xml:space="preserve">Thelypteris palustris, </w:t>
            </w:r>
            <w:r w:rsidRPr="0031593F">
              <w:rPr>
                <w:rFonts w:ascii="Times New Roman" w:eastAsia="Calibri" w:hAnsi="Times New Roman"/>
                <w:i/>
                <w:sz w:val="20"/>
                <w:szCs w:val="20"/>
              </w:rPr>
              <w:t xml:space="preserve">Salvinia natans, Hydrocharis morsus-ranae, </w:t>
            </w:r>
            <w:r w:rsidRPr="0031593F">
              <w:rPr>
                <w:rFonts w:ascii="Times New Roman" w:eastAsia="Calibri" w:hAnsi="Times New Roman"/>
                <w:i/>
                <w:sz w:val="20"/>
                <w:szCs w:val="20"/>
                <w:lang w:val="en-US"/>
              </w:rPr>
              <w:t xml:space="preserve">Nymphaea alba, </w:t>
            </w:r>
            <w:r w:rsidRPr="0031593F">
              <w:rPr>
                <w:rFonts w:ascii="Times New Roman" w:eastAsia="Calibri" w:hAnsi="Times New Roman"/>
                <w:i/>
                <w:sz w:val="20"/>
                <w:szCs w:val="20"/>
              </w:rPr>
              <w:t xml:space="preserve">Nymphoides peltata, </w:t>
            </w:r>
            <w:r w:rsidRPr="0031593F">
              <w:rPr>
                <w:rFonts w:ascii="Times New Roman" w:eastAsia="Calibri" w:hAnsi="Times New Roman"/>
                <w:i/>
                <w:sz w:val="20"/>
                <w:szCs w:val="20"/>
                <w:lang w:val="en-US"/>
              </w:rPr>
              <w:t xml:space="preserve">Stratiotes aloeides, </w:t>
            </w:r>
            <w:r w:rsidRPr="0031593F">
              <w:rPr>
                <w:rFonts w:ascii="Times New Roman" w:eastAsia="Calibri" w:hAnsi="Times New Roman"/>
                <w:i/>
                <w:sz w:val="20"/>
                <w:szCs w:val="20"/>
              </w:rPr>
              <w:t>Potamogeton spp., Myriophyllum spp., Ceratophyllum spp., Najas marina</w:t>
            </w:r>
            <w:r w:rsidRPr="0031593F">
              <w:rPr>
                <w:rFonts w:ascii="Times New Roman" w:eastAsia="Calibri" w:hAnsi="Times New Roman"/>
                <w:i/>
                <w:sz w:val="20"/>
                <w:szCs w:val="20"/>
                <w:lang w:val="en-US"/>
              </w:rPr>
              <w:t>, Najas minor, Utricularia spp., Aldrovanda vesiculosa</w:t>
            </w:r>
          </w:p>
        </w:tc>
        <w:tc>
          <w:tcPr>
            <w:tcW w:w="202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eastAsia="Calibri"/>
                <w:sz w:val="20"/>
                <w:szCs w:val="20"/>
                <w:lang w:val="en-US"/>
              </w:rPr>
            </w:pPr>
            <w:r w:rsidRPr="0031593F">
              <w:rPr>
                <w:rFonts w:ascii="Times New Roman" w:eastAsia="Calibri" w:hAnsi="Times New Roman"/>
                <w:sz w:val="20"/>
                <w:szCs w:val="20"/>
              </w:rPr>
              <w:t>Поддържане на състоянието – присъстват поне 3 от типичните видове.</w:t>
            </w:r>
          </w:p>
        </w:tc>
      </w:tr>
      <w:tr w:rsidR="0031593F" w:rsidRPr="0031593F" w:rsidTr="0031593F">
        <w:trPr>
          <w:trHeight w:val="1811"/>
          <w:jc w:val="center"/>
        </w:trPr>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rPr>
                <w:rFonts w:ascii="Times New Roman" w:eastAsia="Calibri" w:hAnsi="Times New Roman"/>
                <w:b/>
                <w:sz w:val="20"/>
                <w:szCs w:val="20"/>
              </w:rPr>
            </w:pPr>
            <w:r w:rsidRPr="0031593F">
              <w:rPr>
                <w:rFonts w:ascii="Times New Roman" w:eastAsia="Calibri" w:hAnsi="Times New Roman"/>
                <w:b/>
                <w:sz w:val="20"/>
                <w:szCs w:val="20"/>
              </w:rPr>
              <w:t>Структура и функции: Наличие на воден слой</w:t>
            </w:r>
          </w:p>
        </w:tc>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rPr>
                <w:rFonts w:ascii="Times New Roman" w:eastAsia="Calibri" w:hAnsi="Times New Roman"/>
                <w:sz w:val="20"/>
                <w:szCs w:val="20"/>
              </w:rPr>
            </w:pPr>
            <w:r w:rsidRPr="0031593F">
              <w:rPr>
                <w:rFonts w:ascii="Times New Roman" w:eastAsia="Calibri" w:hAnsi="Times New Roman"/>
                <w:sz w:val="20"/>
                <w:szCs w:val="20"/>
              </w:rPr>
              <w:t>Брой месеци от годината с воден слой</w:t>
            </w:r>
          </w:p>
        </w:tc>
        <w:tc>
          <w:tcPr>
            <w:tcW w:w="1909"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rPr>
                <w:rFonts w:ascii="Times New Roman" w:eastAsia="Calibri" w:hAnsi="Times New Roman"/>
                <w:sz w:val="20"/>
                <w:szCs w:val="20"/>
              </w:rPr>
            </w:pPr>
            <w:r w:rsidRPr="0031593F">
              <w:rPr>
                <w:rFonts w:ascii="Times New Roman" w:eastAsia="Calibri" w:hAnsi="Times New Roman"/>
                <w:sz w:val="20"/>
                <w:szCs w:val="20"/>
              </w:rPr>
              <w:t>Над 7 месеца</w:t>
            </w:r>
            <w:r w:rsidRPr="0031593F">
              <w:rPr>
                <w:rFonts w:ascii="Times New Roman" w:eastAsia="Calibri" w:hAnsi="Times New Roman"/>
                <w:sz w:val="20"/>
                <w:szCs w:val="20"/>
                <w:lang w:val="en-US"/>
              </w:rPr>
              <w:t xml:space="preserve"> </w:t>
            </w:r>
            <w:r w:rsidRPr="0031593F">
              <w:rPr>
                <w:rFonts w:ascii="Times New Roman" w:eastAsia="Calibri" w:hAnsi="Times New Roman"/>
                <w:sz w:val="20"/>
                <w:szCs w:val="20"/>
              </w:rPr>
              <w:t>през годината</w:t>
            </w:r>
          </w:p>
        </w:tc>
        <w:tc>
          <w:tcPr>
            <w:tcW w:w="2126"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rPr>
                <w:rFonts w:ascii="Times New Roman" w:eastAsia="Calibri" w:hAnsi="Times New Roman"/>
                <w:sz w:val="20"/>
                <w:szCs w:val="20"/>
              </w:rPr>
            </w:pPr>
          </w:p>
        </w:tc>
        <w:tc>
          <w:tcPr>
            <w:tcW w:w="202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rPr>
                <w:rFonts w:ascii="Times New Roman" w:eastAsia="Calibri" w:hAnsi="Times New Roman"/>
                <w:sz w:val="20"/>
                <w:szCs w:val="20"/>
              </w:rPr>
            </w:pPr>
            <w:r w:rsidRPr="0031593F">
              <w:rPr>
                <w:rFonts w:ascii="Times New Roman" w:eastAsia="Calibri" w:hAnsi="Times New Roman"/>
                <w:sz w:val="20"/>
                <w:szCs w:val="20"/>
                <w:lang w:val="en-US"/>
              </w:rPr>
              <w:t>Под</w:t>
            </w:r>
            <w:r w:rsidRPr="0031593F">
              <w:rPr>
                <w:rFonts w:ascii="Times New Roman" w:eastAsia="Calibri" w:hAnsi="Times New Roman"/>
                <w:sz w:val="20"/>
                <w:szCs w:val="20"/>
              </w:rPr>
              <w:t>държане</w:t>
            </w:r>
            <w:r w:rsidRPr="0031593F">
              <w:rPr>
                <w:rFonts w:ascii="Times New Roman" w:eastAsia="Calibri" w:hAnsi="Times New Roman"/>
                <w:sz w:val="20"/>
                <w:szCs w:val="20"/>
                <w:lang w:val="en-US"/>
              </w:rPr>
              <w:t xml:space="preserve"> на състоянието – </w:t>
            </w:r>
            <w:r w:rsidRPr="0031593F">
              <w:rPr>
                <w:rFonts w:ascii="Times New Roman" w:eastAsia="Calibri" w:hAnsi="Times New Roman"/>
                <w:sz w:val="20"/>
                <w:szCs w:val="20"/>
              </w:rPr>
              <w:t>наличие на воден слой повече от 7 месеца през годината.</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b/>
                <w:sz w:val="20"/>
                <w:szCs w:val="20"/>
                <w:lang w:val="en-US"/>
              </w:rPr>
            </w:pPr>
            <w:r w:rsidRPr="0031593F">
              <w:rPr>
                <w:rFonts w:ascii="Times New Roman" w:eastAsia="Calibri" w:hAnsi="Times New Roman"/>
                <w:b/>
                <w:sz w:val="20"/>
                <w:szCs w:val="20"/>
                <w:lang w:val="en-US"/>
              </w:rPr>
              <w:t>Структура и функции: Активна реакция - pH на водата</w:t>
            </w:r>
          </w:p>
        </w:tc>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Скала</w:t>
            </w:r>
          </w:p>
        </w:tc>
        <w:tc>
          <w:tcPr>
            <w:tcW w:w="1909"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rPr>
            </w:pPr>
            <w:r w:rsidRPr="0031593F">
              <w:rPr>
                <w:rFonts w:ascii="Times New Roman" w:eastAsia="Calibri" w:hAnsi="Times New Roman"/>
                <w:sz w:val="20"/>
                <w:szCs w:val="20"/>
                <w:lang w:val="en-US"/>
              </w:rPr>
              <w:t>6.5-9.</w:t>
            </w:r>
            <w:r w:rsidRPr="0031593F">
              <w:rPr>
                <w:rFonts w:ascii="Times New Roman" w:eastAsia="Calibri" w:hAnsi="Times New Roman"/>
                <w:sz w:val="20"/>
                <w:szCs w:val="20"/>
              </w:rPr>
              <w:t>00</w:t>
            </w:r>
          </w:p>
        </w:tc>
        <w:tc>
          <w:tcPr>
            <w:tcW w:w="2126"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p>
        </w:tc>
        <w:tc>
          <w:tcPr>
            <w:tcW w:w="202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rPr>
            </w:pPr>
            <w:r w:rsidRPr="0031593F">
              <w:rPr>
                <w:rFonts w:ascii="Times New Roman" w:eastAsia="Calibri" w:hAnsi="Times New Roman"/>
                <w:sz w:val="20"/>
                <w:szCs w:val="20"/>
                <w:lang w:val="en-US"/>
              </w:rPr>
              <w:t>Поддържане на състоянието –</w:t>
            </w:r>
            <w:r w:rsidRPr="0031593F">
              <w:rPr>
                <w:rFonts w:ascii="Times New Roman" w:eastAsia="Calibri" w:hAnsi="Times New Roman"/>
                <w:sz w:val="20"/>
                <w:szCs w:val="20"/>
              </w:rPr>
              <w:t xml:space="preserve"> </w:t>
            </w:r>
            <w:r w:rsidRPr="0031593F">
              <w:rPr>
                <w:rFonts w:ascii="Times New Roman" w:eastAsia="Calibri" w:hAnsi="Times New Roman"/>
                <w:sz w:val="20"/>
                <w:szCs w:val="20"/>
                <w:lang w:val="en-US"/>
              </w:rPr>
              <w:t>рН варира между 6.5 и 9.00</w:t>
            </w:r>
            <w:r w:rsidRPr="0031593F">
              <w:rPr>
                <w:rFonts w:ascii="Times New Roman" w:eastAsia="Calibri" w:hAnsi="Times New Roman"/>
                <w:sz w:val="20"/>
                <w:szCs w:val="20"/>
              </w:rPr>
              <w:t>.</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b/>
                <w:sz w:val="20"/>
                <w:szCs w:val="20"/>
                <w:lang w:val="en-US"/>
              </w:rPr>
            </w:pPr>
            <w:r w:rsidRPr="0031593F">
              <w:rPr>
                <w:rFonts w:ascii="Times New Roman" w:eastAsia="Calibri" w:hAnsi="Times New Roman"/>
                <w:b/>
                <w:sz w:val="20"/>
                <w:szCs w:val="20"/>
                <w:lang w:val="en-US"/>
              </w:rPr>
              <w:t>Структура и функции: Промени в хидрологичния режим свързани с отводняване и водоползване</w:t>
            </w:r>
          </w:p>
        </w:tc>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Наличие/ липса на отводнителни съоръжения и водоползвания</w:t>
            </w:r>
          </w:p>
        </w:tc>
        <w:tc>
          <w:tcPr>
            <w:tcW w:w="1909"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Няма нови отводнителни съоръжения и водоползвания.</w:t>
            </w:r>
          </w:p>
        </w:tc>
        <w:tc>
          <w:tcPr>
            <w:tcW w:w="2126"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p>
        </w:tc>
        <w:tc>
          <w:tcPr>
            <w:tcW w:w="202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Поддържане на състоянието – липса на нови дейности, свързани с негативни промени на хидрологичния режим.</w:t>
            </w:r>
          </w:p>
        </w:tc>
      </w:tr>
    </w:tbl>
    <w:p w:rsidR="0031593F" w:rsidRPr="0031593F" w:rsidRDefault="0031593F" w:rsidP="0031593F">
      <w:pPr>
        <w:spacing w:after="0" w:line="240" w:lineRule="auto"/>
        <w:jc w:val="both"/>
        <w:rPr>
          <w:rFonts w:ascii="Times New Roman" w:eastAsia="Calibri" w:hAnsi="Times New Roman"/>
          <w:sz w:val="24"/>
          <w:szCs w:val="24"/>
          <w:highlight w:val="yellow"/>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7. Необходимост от актуализация на СФ на защитената зона</w:t>
      </w:r>
    </w:p>
    <w:p w:rsidR="0031593F" w:rsidRPr="0031593F" w:rsidRDefault="0031593F" w:rsidP="0031593F">
      <w:pPr>
        <w:spacing w:after="0" w:line="240" w:lineRule="auto"/>
        <w:ind w:firstLine="709"/>
        <w:jc w:val="both"/>
        <w:rPr>
          <w:rFonts w:ascii="Times New Roman" w:hAnsi="Times New Roman"/>
          <w:sz w:val="24"/>
          <w:szCs w:val="24"/>
          <w:lang w:val="en-US" w:eastAsia="bg-BG"/>
        </w:rPr>
      </w:pPr>
      <w:r w:rsidRPr="0031593F">
        <w:rPr>
          <w:rFonts w:ascii="Times New Roman" w:hAnsi="Times New Roman"/>
          <w:sz w:val="24"/>
          <w:szCs w:val="24"/>
          <w:lang w:eastAsia="bg-BG"/>
        </w:rPr>
        <w:t>Въз основа на събраните теренни данни и обективна оценка са предложени промени в стандартния формуляр на зоната. Освен площта, поради наличието на резерватен режим и мерки по възстановяване и поддържане на водния режим, опазването е променено от В в А, както и глобалната оценка също от В в А, поради цялостната представителност и степен на опазване на езерото Сребърна.</w:t>
      </w:r>
    </w:p>
    <w:p w:rsidR="0031593F" w:rsidRPr="0031593F" w:rsidRDefault="0031593F" w:rsidP="0031593F">
      <w:pPr>
        <w:spacing w:after="0"/>
        <w:jc w:val="both"/>
        <w:rPr>
          <w:rFonts w:ascii="Times New Roman" w:eastAsia="Calibri" w:hAnsi="Times New Roman"/>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567"/>
        <w:gridCol w:w="567"/>
        <w:gridCol w:w="964"/>
        <w:gridCol w:w="1021"/>
        <w:gridCol w:w="1134"/>
        <w:gridCol w:w="1672"/>
        <w:gridCol w:w="1163"/>
        <w:gridCol w:w="1388"/>
        <w:gridCol w:w="851"/>
      </w:tblGrid>
      <w:tr w:rsidR="0031593F" w:rsidRPr="0031593F" w:rsidTr="0031593F">
        <w:tc>
          <w:tcPr>
            <w:tcW w:w="4957" w:type="dxa"/>
            <w:gridSpan w:val="6"/>
            <w:shd w:val="clear" w:color="auto" w:fill="D9D9D9"/>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lastRenderedPageBreak/>
              <w:t>Annex I Habitat types</w:t>
            </w:r>
          </w:p>
        </w:tc>
        <w:tc>
          <w:tcPr>
            <w:tcW w:w="5074" w:type="dxa"/>
            <w:gridSpan w:val="4"/>
            <w:shd w:val="clear" w:color="auto" w:fill="D9D9D9"/>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Site assessment</w:t>
            </w:r>
          </w:p>
        </w:tc>
      </w:tr>
      <w:tr w:rsidR="0031593F" w:rsidRPr="0031593F" w:rsidTr="0031593F">
        <w:tc>
          <w:tcPr>
            <w:tcW w:w="70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Code</w:t>
            </w:r>
          </w:p>
        </w:tc>
        <w:tc>
          <w:tcPr>
            <w:tcW w:w="567"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PF</w:t>
            </w:r>
          </w:p>
        </w:tc>
        <w:tc>
          <w:tcPr>
            <w:tcW w:w="567"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NP</w:t>
            </w:r>
          </w:p>
        </w:tc>
        <w:tc>
          <w:tcPr>
            <w:tcW w:w="96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Cover (ha)</w:t>
            </w:r>
          </w:p>
        </w:tc>
        <w:tc>
          <w:tcPr>
            <w:tcW w:w="1021"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Cave (number)</w:t>
            </w:r>
          </w:p>
        </w:tc>
        <w:tc>
          <w:tcPr>
            <w:tcW w:w="113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Data quality</w:t>
            </w:r>
          </w:p>
        </w:tc>
        <w:tc>
          <w:tcPr>
            <w:tcW w:w="1672"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A/B/C/D</w:t>
            </w:r>
          </w:p>
        </w:tc>
        <w:tc>
          <w:tcPr>
            <w:tcW w:w="3402" w:type="dxa"/>
            <w:gridSpan w:val="3"/>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A/B/C</w:t>
            </w:r>
          </w:p>
        </w:tc>
      </w:tr>
      <w:tr w:rsidR="0031593F" w:rsidRPr="0031593F" w:rsidTr="0031593F">
        <w:tc>
          <w:tcPr>
            <w:tcW w:w="704" w:type="dxa"/>
          </w:tcPr>
          <w:p w:rsidR="0031593F" w:rsidRPr="0031593F" w:rsidRDefault="0031593F" w:rsidP="0031593F">
            <w:pPr>
              <w:rPr>
                <w:rFonts w:ascii="Times New Roman" w:hAnsi="Times New Roman"/>
                <w:noProof/>
                <w:color w:val="000000"/>
                <w:position w:val="-1"/>
                <w:sz w:val="20"/>
                <w:szCs w:val="20"/>
              </w:rPr>
            </w:pPr>
          </w:p>
        </w:tc>
        <w:tc>
          <w:tcPr>
            <w:tcW w:w="567" w:type="dxa"/>
          </w:tcPr>
          <w:p w:rsidR="0031593F" w:rsidRPr="0031593F" w:rsidRDefault="0031593F" w:rsidP="0031593F">
            <w:pPr>
              <w:rPr>
                <w:rFonts w:ascii="Times New Roman" w:hAnsi="Times New Roman"/>
                <w:noProof/>
                <w:color w:val="000000"/>
                <w:position w:val="-1"/>
                <w:sz w:val="20"/>
                <w:szCs w:val="20"/>
              </w:rPr>
            </w:pPr>
          </w:p>
        </w:tc>
        <w:tc>
          <w:tcPr>
            <w:tcW w:w="567" w:type="dxa"/>
          </w:tcPr>
          <w:p w:rsidR="0031593F" w:rsidRPr="0031593F" w:rsidRDefault="0031593F" w:rsidP="0031593F">
            <w:pPr>
              <w:rPr>
                <w:rFonts w:ascii="Times New Roman" w:hAnsi="Times New Roman"/>
                <w:noProof/>
                <w:color w:val="000000"/>
                <w:position w:val="-1"/>
                <w:sz w:val="20"/>
                <w:szCs w:val="20"/>
              </w:rPr>
            </w:pPr>
          </w:p>
        </w:tc>
        <w:tc>
          <w:tcPr>
            <w:tcW w:w="964" w:type="dxa"/>
          </w:tcPr>
          <w:p w:rsidR="0031593F" w:rsidRPr="0031593F" w:rsidRDefault="0031593F" w:rsidP="0031593F">
            <w:pPr>
              <w:rPr>
                <w:rFonts w:ascii="Times New Roman" w:hAnsi="Times New Roman"/>
                <w:noProof/>
                <w:color w:val="000000"/>
                <w:position w:val="-1"/>
                <w:sz w:val="20"/>
                <w:szCs w:val="20"/>
              </w:rPr>
            </w:pPr>
          </w:p>
        </w:tc>
        <w:tc>
          <w:tcPr>
            <w:tcW w:w="1021" w:type="dxa"/>
          </w:tcPr>
          <w:p w:rsidR="0031593F" w:rsidRPr="0031593F" w:rsidRDefault="0031593F" w:rsidP="0031593F">
            <w:pPr>
              <w:rPr>
                <w:rFonts w:ascii="Times New Roman" w:hAnsi="Times New Roman"/>
                <w:noProof/>
                <w:color w:val="000000"/>
                <w:position w:val="-1"/>
                <w:sz w:val="20"/>
                <w:szCs w:val="20"/>
              </w:rPr>
            </w:pPr>
          </w:p>
        </w:tc>
        <w:tc>
          <w:tcPr>
            <w:tcW w:w="1134" w:type="dxa"/>
          </w:tcPr>
          <w:p w:rsidR="0031593F" w:rsidRPr="0031593F" w:rsidRDefault="0031593F" w:rsidP="0031593F">
            <w:pPr>
              <w:rPr>
                <w:rFonts w:ascii="Times New Roman" w:hAnsi="Times New Roman"/>
                <w:noProof/>
                <w:color w:val="000000"/>
                <w:position w:val="-1"/>
                <w:sz w:val="20"/>
                <w:szCs w:val="20"/>
              </w:rPr>
            </w:pPr>
          </w:p>
        </w:tc>
        <w:tc>
          <w:tcPr>
            <w:tcW w:w="1672"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Representativity</w:t>
            </w:r>
          </w:p>
        </w:tc>
        <w:tc>
          <w:tcPr>
            <w:tcW w:w="1163"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Relative Surface</w:t>
            </w:r>
          </w:p>
        </w:tc>
        <w:tc>
          <w:tcPr>
            <w:tcW w:w="1388"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Conservation</w:t>
            </w:r>
          </w:p>
        </w:tc>
        <w:tc>
          <w:tcPr>
            <w:tcW w:w="851"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Global</w:t>
            </w:r>
          </w:p>
        </w:tc>
      </w:tr>
      <w:tr w:rsidR="0031593F" w:rsidRPr="0031593F" w:rsidTr="0031593F">
        <w:tc>
          <w:tcPr>
            <w:tcW w:w="704"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3150</w:t>
            </w:r>
          </w:p>
        </w:tc>
        <w:tc>
          <w:tcPr>
            <w:tcW w:w="567" w:type="dxa"/>
          </w:tcPr>
          <w:p w:rsidR="0031593F" w:rsidRPr="0031593F" w:rsidRDefault="0031593F" w:rsidP="0031593F">
            <w:pPr>
              <w:rPr>
                <w:rFonts w:ascii="Times New Roman" w:eastAsia="Calibri" w:hAnsi="Times New Roman"/>
                <w:b/>
                <w:lang w:val="en-US"/>
              </w:rPr>
            </w:pPr>
          </w:p>
        </w:tc>
        <w:tc>
          <w:tcPr>
            <w:tcW w:w="567" w:type="dxa"/>
          </w:tcPr>
          <w:p w:rsidR="0031593F" w:rsidRPr="0031593F" w:rsidRDefault="0031593F" w:rsidP="0031593F">
            <w:pPr>
              <w:rPr>
                <w:rFonts w:ascii="Times New Roman" w:eastAsia="Calibri" w:hAnsi="Times New Roman"/>
                <w:b/>
                <w:lang w:val="en-US"/>
              </w:rPr>
            </w:pPr>
          </w:p>
        </w:tc>
        <w:tc>
          <w:tcPr>
            <w:tcW w:w="964" w:type="dxa"/>
          </w:tcPr>
          <w:p w:rsidR="0031593F" w:rsidRPr="0031593F" w:rsidRDefault="0031593F" w:rsidP="0031593F">
            <w:pPr>
              <w:rPr>
                <w:rFonts w:ascii="Times New Roman" w:eastAsia="Calibri" w:hAnsi="Times New Roman"/>
                <w:b/>
                <w:color w:val="FF0000"/>
                <w:lang w:val="en-US"/>
              </w:rPr>
            </w:pPr>
            <w:r w:rsidRPr="0031593F">
              <w:rPr>
                <w:rFonts w:ascii="Times New Roman" w:eastAsia="Calibri" w:hAnsi="Times New Roman"/>
                <w:b/>
                <w:color w:val="FF0000"/>
                <w:lang w:val="en-US"/>
              </w:rPr>
              <w:t>601,148</w:t>
            </w:r>
          </w:p>
        </w:tc>
        <w:tc>
          <w:tcPr>
            <w:tcW w:w="1021" w:type="dxa"/>
          </w:tcPr>
          <w:p w:rsidR="0031593F" w:rsidRPr="0031593F" w:rsidRDefault="0031593F" w:rsidP="0031593F">
            <w:pPr>
              <w:rPr>
                <w:rFonts w:ascii="Times New Roman" w:eastAsia="Calibri" w:hAnsi="Times New Roman"/>
                <w:b/>
                <w:lang w:val="en-US"/>
              </w:rPr>
            </w:pPr>
          </w:p>
        </w:tc>
        <w:tc>
          <w:tcPr>
            <w:tcW w:w="1134"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G</w:t>
            </w:r>
          </w:p>
        </w:tc>
        <w:tc>
          <w:tcPr>
            <w:tcW w:w="1672"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A</w:t>
            </w:r>
          </w:p>
        </w:tc>
        <w:tc>
          <w:tcPr>
            <w:tcW w:w="1163"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B</w:t>
            </w:r>
          </w:p>
        </w:tc>
        <w:tc>
          <w:tcPr>
            <w:tcW w:w="1388" w:type="dxa"/>
          </w:tcPr>
          <w:p w:rsidR="0031593F" w:rsidRPr="0031593F" w:rsidRDefault="0031593F" w:rsidP="0031593F">
            <w:pPr>
              <w:rPr>
                <w:rFonts w:ascii="Times New Roman" w:eastAsia="Calibri" w:hAnsi="Times New Roman"/>
                <w:b/>
                <w:color w:val="FF0000"/>
                <w:lang w:val="en-US"/>
              </w:rPr>
            </w:pPr>
            <w:r w:rsidRPr="0031593F">
              <w:rPr>
                <w:rFonts w:ascii="Times New Roman" w:eastAsia="Calibri" w:hAnsi="Times New Roman"/>
                <w:b/>
                <w:color w:val="FF0000"/>
                <w:lang w:val="en-US"/>
              </w:rPr>
              <w:t>A</w:t>
            </w:r>
          </w:p>
        </w:tc>
        <w:tc>
          <w:tcPr>
            <w:tcW w:w="851" w:type="dxa"/>
          </w:tcPr>
          <w:p w:rsidR="0031593F" w:rsidRPr="0031593F" w:rsidRDefault="0031593F" w:rsidP="0031593F">
            <w:pPr>
              <w:rPr>
                <w:rFonts w:ascii="Times New Roman" w:eastAsia="Calibri" w:hAnsi="Times New Roman"/>
                <w:b/>
                <w:color w:val="FF0000"/>
                <w:lang w:val="en-US"/>
              </w:rPr>
            </w:pPr>
            <w:r w:rsidRPr="0031593F">
              <w:rPr>
                <w:rFonts w:ascii="Times New Roman" w:eastAsia="Calibri" w:hAnsi="Times New Roman"/>
                <w:b/>
                <w:color w:val="FF0000"/>
                <w:lang w:val="en-US"/>
              </w:rPr>
              <w:t>A</w:t>
            </w:r>
          </w:p>
        </w:tc>
      </w:tr>
    </w:tbl>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sz w:val="24"/>
          <w:szCs w:val="24"/>
        </w:rPr>
        <w:t>Забележка: промените са отбелязани в червено.</w:t>
      </w:r>
    </w:p>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8. Цитирана литература</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Актуализиран план за управление на поддържан резерват „Сребърна“ (2016-2025 г.). 2014 г. Оперативна програма „Околна среда“ (2007-2013). МОСВ – РИОСВ Русе.</w:t>
      </w:r>
    </w:p>
    <w:p w:rsidR="0031593F" w:rsidRPr="0031593F" w:rsidRDefault="0031593F" w:rsidP="0031593F">
      <w:pPr>
        <w:spacing w:after="0" w:line="240" w:lineRule="auto"/>
        <w:ind w:left="709" w:hanging="709"/>
        <w:jc w:val="both"/>
        <w:rPr>
          <w:rFonts w:ascii="Times New Roman" w:hAnsi="Times New Roman"/>
          <w:sz w:val="24"/>
          <w:szCs w:val="24"/>
          <w:lang w:val="en-US" w:eastAsia="bg-BG"/>
        </w:rPr>
      </w:pPr>
      <w:r w:rsidRPr="0031593F">
        <w:rPr>
          <w:rFonts w:ascii="Times New Roman" w:hAnsi="Times New Roman"/>
          <w:sz w:val="24"/>
          <w:szCs w:val="24"/>
          <w:lang w:val="en-US" w:eastAsia="bg-BG"/>
        </w:rPr>
        <w:t>Бончев, Г. 1929. Блатата в България. Мининстерство на земеделието и държавните имоти, София: 26-75.</w:t>
      </w:r>
    </w:p>
    <w:p w:rsidR="0031593F" w:rsidRPr="0031593F" w:rsidRDefault="0031593F" w:rsidP="0031593F">
      <w:pPr>
        <w:spacing w:after="0" w:line="240" w:lineRule="auto"/>
        <w:ind w:left="709" w:hanging="709"/>
        <w:jc w:val="both"/>
        <w:rPr>
          <w:rFonts w:ascii="Times New Roman" w:hAnsi="Times New Roman"/>
          <w:sz w:val="24"/>
          <w:szCs w:val="24"/>
          <w:lang w:val="en-US" w:eastAsia="bg-BG"/>
        </w:rPr>
      </w:pPr>
      <w:r w:rsidRPr="0031593F">
        <w:rPr>
          <w:rFonts w:ascii="Times New Roman" w:hAnsi="Times New Roman"/>
          <w:sz w:val="24"/>
          <w:szCs w:val="24"/>
          <w:lang w:val="en-US" w:eastAsia="bg-BG"/>
        </w:rPr>
        <w:t xml:space="preserve">Кочев, Х. &amp; Йорданов, Д. 1981. Растителността на водоемите в България. Екология, охрана и стопанско значение, БАН, София </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 xml:space="preserve">Министерство на околната среда и водите (МОСВ). Информационна система за защитени зони от екологична мрежа Натура 2000. </w:t>
      </w:r>
      <w:hyperlink r:id="rId11" w:history="1">
        <w:r w:rsidRPr="0031593F">
          <w:rPr>
            <w:rFonts w:ascii="Times New Roman" w:eastAsia="Calibri" w:hAnsi="Times New Roman"/>
            <w:color w:val="0563C1"/>
            <w:sz w:val="24"/>
            <w:szCs w:val="24"/>
            <w:u w:val="single"/>
          </w:rPr>
          <w:t>http://natura2000.moew.government.bg/Home/Natura2000ProtectedSites. Последно посетен на 15.10.2021</w:t>
        </w:r>
      </w:hyperlink>
      <w:r w:rsidRPr="0031593F">
        <w:rPr>
          <w:rFonts w:ascii="Times New Roman" w:eastAsia="Calibri" w:hAnsi="Times New Roman"/>
          <w:sz w:val="24"/>
          <w:szCs w:val="24"/>
        </w:rPr>
        <w:t xml:space="preserve">. </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 xml:space="preserve">Мичев, Т. и Илиев, Р. 1982. Пеликани, тръстики, хора (Резерватът Сребърна: очерк). Изд. „Земиздат“, София. </w:t>
      </w:r>
    </w:p>
    <w:p w:rsidR="0031593F" w:rsidRPr="0031593F" w:rsidRDefault="0031593F" w:rsidP="0031593F">
      <w:pPr>
        <w:spacing w:after="0" w:line="240" w:lineRule="auto"/>
        <w:ind w:left="709" w:hanging="709"/>
        <w:jc w:val="both"/>
        <w:rPr>
          <w:rFonts w:ascii="Times New Roman" w:hAnsi="Times New Roman"/>
          <w:sz w:val="24"/>
          <w:szCs w:val="24"/>
          <w:lang w:eastAsia="bg-BG"/>
        </w:rPr>
      </w:pPr>
      <w:r w:rsidRPr="0031593F">
        <w:rPr>
          <w:rFonts w:ascii="Times New Roman" w:hAnsi="Times New Roman"/>
          <w:sz w:val="24"/>
          <w:szCs w:val="24"/>
          <w:lang w:val="en-US" w:eastAsia="bg-BG"/>
        </w:rPr>
        <w:t>Петков, С. 1911. Предварителни  издирвания по блатната флора на дунавското българско крайбрежие. Год. на СУ, Физ-мат. фак, Т. 6, София: 1-45 с.</w:t>
      </w:r>
    </w:p>
    <w:p w:rsidR="0031593F" w:rsidRPr="0031593F" w:rsidRDefault="0031593F" w:rsidP="0031593F">
      <w:pPr>
        <w:spacing w:after="0" w:line="240" w:lineRule="auto"/>
        <w:ind w:left="709" w:hanging="709"/>
        <w:jc w:val="both"/>
        <w:rPr>
          <w:rFonts w:ascii="Times New Roman" w:hAnsi="Times New Roman"/>
          <w:bCs/>
          <w:sz w:val="24"/>
          <w:szCs w:val="24"/>
          <w:lang w:eastAsia="bg-BG"/>
        </w:rPr>
      </w:pPr>
      <w:r w:rsidRPr="0031593F">
        <w:rPr>
          <w:rFonts w:ascii="Times New Roman" w:hAnsi="Times New Roman"/>
          <w:bCs/>
          <w:sz w:val="24"/>
          <w:szCs w:val="24"/>
          <w:lang w:eastAsia="bg-BG"/>
        </w:rPr>
        <w:t xml:space="preserve">Цонев, Р., Вълчев, В. и Георгиев, В. 2015. 04С1 </w:t>
      </w:r>
      <w:r w:rsidRPr="0031593F">
        <w:rPr>
          <w:rFonts w:ascii="Times New Roman" w:hAnsi="Times New Roman"/>
          <w:bCs/>
          <w:sz w:val="24"/>
          <w:szCs w:val="24"/>
          <w:lang w:val="en-US" w:eastAsia="bg-BG"/>
        </w:rPr>
        <w:t>Eстествени или полуестествени мезотрофни до еутрофни езера и блата с макрофитна растителност</w:t>
      </w:r>
      <w:r w:rsidRPr="0031593F">
        <w:rPr>
          <w:rFonts w:ascii="Times New Roman" w:hAnsi="Times New Roman"/>
          <w:bCs/>
          <w:sz w:val="24"/>
          <w:szCs w:val="24"/>
          <w:lang w:eastAsia="bg-BG"/>
        </w:rPr>
        <w:t>. – В: Бисерков В., Гусев Ч., Попов В., Хибаум Г., Русакова, В., Пандурски И., Узунов Й., Димитров М., Цонев Р., Цонева С. (ред.). Червена книга на Република България, Том 3. Природни местообитания”. ИБЕИ–БАН &amp; МОСВ, София, 458 стр.</w:t>
      </w:r>
    </w:p>
    <w:p w:rsidR="0031593F" w:rsidRPr="0031593F" w:rsidRDefault="0031593F" w:rsidP="0031593F">
      <w:pPr>
        <w:spacing w:after="0" w:line="240" w:lineRule="auto"/>
        <w:ind w:left="709" w:hanging="709"/>
        <w:jc w:val="both"/>
        <w:rPr>
          <w:rFonts w:ascii="Times New Roman" w:hAnsi="Times New Roman"/>
          <w:bCs/>
          <w:sz w:val="24"/>
          <w:szCs w:val="24"/>
          <w:lang w:eastAsia="bg-BG"/>
        </w:rPr>
      </w:pPr>
      <w:r w:rsidRPr="0031593F">
        <w:rPr>
          <w:rFonts w:ascii="Times New Roman" w:hAnsi="Times New Roman"/>
          <w:bCs/>
          <w:sz w:val="24"/>
          <w:szCs w:val="24"/>
          <w:lang w:eastAsia="bg-BG"/>
        </w:rPr>
        <w:t>Цонев, Р., Иванов. П. и Кожухаров, Д. 2009. 3150 Естествени еутрофни езера с растителност от типа Magnopotamion или Hydrocharition – В: Зингстра, Х., Ковачев, А., Китнаес, К., Цонев, Р., Димова, Д., Цветков, П. (ред.)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79-83.</w:t>
      </w:r>
    </w:p>
    <w:p w:rsidR="0031593F" w:rsidRPr="0031593F" w:rsidRDefault="0031593F" w:rsidP="0031593F">
      <w:pPr>
        <w:spacing w:after="0" w:line="240" w:lineRule="auto"/>
        <w:ind w:left="709" w:hanging="709"/>
        <w:jc w:val="both"/>
        <w:rPr>
          <w:rFonts w:ascii="Times New Roman" w:eastAsia="Calibri" w:hAnsi="Times New Roman"/>
          <w:iCs/>
          <w:sz w:val="24"/>
          <w:szCs w:val="24"/>
        </w:rPr>
      </w:pPr>
      <w:r w:rsidRPr="0031593F">
        <w:rPr>
          <w:rFonts w:ascii="Times New Roman" w:eastAsia="Calibri" w:hAnsi="Times New Roman"/>
          <w:iCs/>
          <w:sz w:val="24"/>
          <w:szCs w:val="24"/>
        </w:rPr>
        <w:t>European commission. The State of Nature in the EU – Article 17 reporting. https://ec.europa.eu/environment/nature/knowledge/rep_habitats/index_en.htm. Last visited on 15.10.2021</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iCs/>
          <w:sz w:val="24"/>
          <w:szCs w:val="24"/>
          <w:lang w:val="en-US"/>
        </w:rPr>
        <w:t>Michev</w:t>
      </w:r>
      <w:r w:rsidRPr="0031593F">
        <w:rPr>
          <w:rFonts w:ascii="Times New Roman" w:eastAsia="Calibri" w:hAnsi="Times New Roman"/>
          <w:i/>
          <w:sz w:val="24"/>
          <w:szCs w:val="24"/>
          <w:lang w:val="en-US"/>
        </w:rPr>
        <w:t xml:space="preserve">, </w:t>
      </w:r>
      <w:r w:rsidRPr="0031593F">
        <w:rPr>
          <w:rFonts w:ascii="Times New Roman" w:eastAsia="Calibri" w:hAnsi="Times New Roman"/>
          <w:sz w:val="24"/>
          <w:szCs w:val="24"/>
          <w:lang w:val="en-US"/>
        </w:rPr>
        <w:t>T. &amp;</w:t>
      </w:r>
      <w:r w:rsidRPr="0031593F">
        <w:rPr>
          <w:rFonts w:ascii="Times New Roman" w:eastAsia="Calibri" w:hAnsi="Times New Roman"/>
          <w:i/>
          <w:sz w:val="24"/>
          <w:szCs w:val="24"/>
          <w:lang w:val="en-US"/>
        </w:rPr>
        <w:t xml:space="preserve"> </w:t>
      </w:r>
      <w:r w:rsidRPr="0031593F">
        <w:rPr>
          <w:rFonts w:ascii="Times New Roman" w:eastAsia="Calibri" w:hAnsi="Times New Roman"/>
          <w:iCs/>
          <w:sz w:val="24"/>
          <w:szCs w:val="24"/>
          <w:lang w:val="en-US"/>
        </w:rPr>
        <w:t>Stoyneva</w:t>
      </w:r>
      <w:r w:rsidRPr="0031593F">
        <w:rPr>
          <w:rFonts w:ascii="Times New Roman" w:eastAsia="Calibri" w:hAnsi="Times New Roman"/>
          <w:i/>
          <w:sz w:val="24"/>
          <w:szCs w:val="24"/>
          <w:lang w:val="en-US"/>
        </w:rPr>
        <w:t>,</w:t>
      </w:r>
      <w:r w:rsidRPr="0031593F">
        <w:rPr>
          <w:rFonts w:ascii="Times New Roman" w:eastAsia="Calibri" w:hAnsi="Times New Roman"/>
          <w:sz w:val="24"/>
          <w:szCs w:val="24"/>
          <w:lang w:val="en-US"/>
        </w:rPr>
        <w:t xml:space="preserve"> M. (Eds). 2007. Inventory of Bulgarian Wetlands and Their Biodiversity, Part 1 Non-Lotic Wetlands, Publishing House Elsi-M, Sofia.</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 xml:space="preserve">Valchev, V., Tzonev, R., Georgiev, V. </w:t>
      </w:r>
      <w:r w:rsidRPr="0031593F">
        <w:rPr>
          <w:rFonts w:ascii="Times New Roman" w:eastAsia="Calibri" w:hAnsi="Times New Roman"/>
          <w:sz w:val="24"/>
          <w:szCs w:val="24"/>
          <w:lang w:val="en-US"/>
        </w:rPr>
        <w:t>&amp;</w:t>
      </w:r>
      <w:r w:rsidRPr="0031593F">
        <w:rPr>
          <w:rFonts w:ascii="Times New Roman" w:eastAsia="Calibri" w:hAnsi="Times New Roman"/>
          <w:sz w:val="24"/>
          <w:szCs w:val="24"/>
        </w:rPr>
        <w:t xml:space="preserve"> Tsoneva, S.</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 xml:space="preserve">2012. Aquatic Macrophytes: Species composition and Syntaxonomy. In: Uzunov, Y., Georgiev, </w:t>
      </w:r>
      <w:r w:rsidRPr="0031593F">
        <w:rPr>
          <w:rFonts w:ascii="Times New Roman" w:eastAsia="Calibri" w:hAnsi="Times New Roman"/>
          <w:sz w:val="24"/>
          <w:szCs w:val="24"/>
          <w:lang w:val="en-US"/>
        </w:rPr>
        <w:t xml:space="preserve">B., </w:t>
      </w:r>
      <w:r w:rsidRPr="0031593F">
        <w:rPr>
          <w:rFonts w:ascii="Times New Roman" w:eastAsia="Calibri" w:hAnsi="Times New Roman"/>
          <w:sz w:val="24"/>
          <w:szCs w:val="24"/>
        </w:rPr>
        <w:t xml:space="preserve">Varadinova, </w:t>
      </w:r>
      <w:r w:rsidRPr="0031593F">
        <w:rPr>
          <w:rFonts w:ascii="Times New Roman" w:eastAsia="Calibri" w:hAnsi="Times New Roman"/>
          <w:sz w:val="24"/>
          <w:szCs w:val="24"/>
          <w:lang w:val="en-US"/>
        </w:rPr>
        <w:t xml:space="preserve">E., </w:t>
      </w:r>
      <w:r w:rsidRPr="0031593F">
        <w:rPr>
          <w:rFonts w:ascii="Times New Roman" w:eastAsia="Calibri" w:hAnsi="Times New Roman"/>
          <w:sz w:val="24"/>
          <w:szCs w:val="24"/>
        </w:rPr>
        <w:t xml:space="preserve">Ivanova, </w:t>
      </w:r>
      <w:r w:rsidRPr="0031593F">
        <w:rPr>
          <w:rFonts w:ascii="Times New Roman" w:eastAsia="Calibri" w:hAnsi="Times New Roman"/>
          <w:sz w:val="24"/>
          <w:szCs w:val="24"/>
          <w:lang w:val="en-US"/>
        </w:rPr>
        <w:t xml:space="preserve">V., </w:t>
      </w:r>
      <w:r w:rsidRPr="0031593F">
        <w:rPr>
          <w:rFonts w:ascii="Times New Roman" w:eastAsia="Calibri" w:hAnsi="Times New Roman"/>
          <w:sz w:val="24"/>
          <w:szCs w:val="24"/>
        </w:rPr>
        <w:t>Pehlivanov,</w:t>
      </w:r>
      <w:r w:rsidRPr="0031593F">
        <w:rPr>
          <w:rFonts w:ascii="Times New Roman" w:eastAsia="Calibri" w:hAnsi="Times New Roman"/>
          <w:sz w:val="24"/>
          <w:szCs w:val="24"/>
          <w:lang w:val="en-US"/>
        </w:rPr>
        <w:t xml:space="preserve"> L. &amp;</w:t>
      </w:r>
      <w:r w:rsidRPr="0031593F">
        <w:rPr>
          <w:rFonts w:ascii="Times New Roman" w:eastAsia="Calibri" w:hAnsi="Times New Roman"/>
          <w:sz w:val="24"/>
          <w:szCs w:val="24"/>
        </w:rPr>
        <w:t xml:space="preserve"> Vasilev</w:t>
      </w:r>
      <w:r w:rsidRPr="0031593F">
        <w:rPr>
          <w:rFonts w:ascii="Times New Roman" w:eastAsia="Calibri" w:hAnsi="Times New Roman"/>
          <w:sz w:val="24"/>
          <w:szCs w:val="24"/>
          <w:lang w:val="en-US"/>
        </w:rPr>
        <w:t>, V.</w:t>
      </w:r>
      <w:r w:rsidRPr="0031593F">
        <w:rPr>
          <w:rFonts w:ascii="Times New Roman" w:eastAsia="Calibri" w:hAnsi="Times New Roman"/>
          <w:sz w:val="24"/>
          <w:szCs w:val="24"/>
        </w:rPr>
        <w:t xml:space="preserve"> (Eds)</w:t>
      </w:r>
      <w:r w:rsidRPr="0031593F">
        <w:rPr>
          <w:rFonts w:ascii="Times New Roman" w:eastAsia="Calibri" w:hAnsi="Times New Roman"/>
          <w:sz w:val="24"/>
          <w:szCs w:val="24"/>
          <w:lang w:val="en-US"/>
        </w:rPr>
        <w:t>.</w:t>
      </w:r>
      <w:r w:rsidRPr="0031593F">
        <w:rPr>
          <w:rFonts w:ascii="Times New Roman" w:eastAsia="Calibri" w:hAnsi="Times New Roman"/>
          <w:sz w:val="24"/>
          <w:szCs w:val="24"/>
        </w:rPr>
        <w:t xml:space="preserve"> 2012. Ecostystems of the Biosphere Reserve Srebarna Lake. Sofia, Professor Marin Drinov Academic Publishing House, vi+218 pp.</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lang w:val="en-US"/>
        </w:rPr>
      </w:pPr>
      <w:r w:rsidRPr="0031593F">
        <w:rPr>
          <w:rFonts w:ascii="Times New Roman" w:eastAsia="Calibri" w:hAnsi="Times New Roman"/>
          <w:i/>
          <w:noProof/>
          <w:sz w:val="24"/>
          <w:szCs w:val="24"/>
          <w:lang w:val="en-US"/>
        </w:rPr>
        <w:lastRenderedPageBreak/>
        <w:t>Автори на текста</w:t>
      </w:r>
      <w:r w:rsidRPr="0031593F">
        <w:rPr>
          <w:rFonts w:ascii="Times New Roman" w:eastAsia="Calibri" w:hAnsi="Times New Roman"/>
          <w:noProof/>
          <w:sz w:val="24"/>
          <w:szCs w:val="24"/>
          <w:lang w:val="en-US"/>
        </w:rPr>
        <w:t>: Росен Цонев, Чавдар Гусев, Валери Георгиев, Соня Цонева</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40" w:lineRule="auto"/>
        <w:jc w:val="center"/>
        <w:outlineLvl w:val="1"/>
        <w:rPr>
          <w:rFonts w:ascii="Times New Roman" w:eastAsia="Calibri" w:hAnsi="Times New Roman"/>
          <w:noProof/>
          <w:color w:val="1F497D"/>
          <w:sz w:val="28"/>
          <w:szCs w:val="28"/>
          <w:lang w:val="en-US"/>
        </w:rPr>
      </w:pPr>
      <w:bookmarkStart w:id="4" w:name="_Toc98838524"/>
      <w:r w:rsidRPr="0031593F">
        <w:rPr>
          <w:rFonts w:ascii="Times New Roman" w:eastAsia="Calibri" w:hAnsi="Times New Roman"/>
          <w:noProof/>
          <w:color w:val="1F497D"/>
          <w:sz w:val="28"/>
          <w:szCs w:val="28"/>
        </w:rPr>
        <w:t xml:space="preserve">Природно местообитание 3270 Реки с кални брегове с </w:t>
      </w:r>
      <w:r w:rsidRPr="0031593F">
        <w:rPr>
          <w:rFonts w:ascii="Times New Roman" w:eastAsia="Calibri" w:hAnsi="Times New Roman"/>
          <w:i/>
          <w:noProof/>
          <w:color w:val="1F497D"/>
          <w:sz w:val="28"/>
          <w:szCs w:val="28"/>
        </w:rPr>
        <w:t>Chenopodion rubri</w:t>
      </w:r>
      <w:r w:rsidRPr="0031593F">
        <w:rPr>
          <w:rFonts w:ascii="Times New Roman" w:eastAsia="Calibri" w:hAnsi="Times New Roman"/>
          <w:noProof/>
          <w:color w:val="1F497D"/>
          <w:sz w:val="28"/>
          <w:szCs w:val="28"/>
        </w:rPr>
        <w:t xml:space="preserve"> и </w:t>
      </w:r>
      <w:r w:rsidRPr="0031593F">
        <w:rPr>
          <w:rFonts w:ascii="Times New Roman" w:eastAsia="Calibri" w:hAnsi="Times New Roman"/>
          <w:i/>
          <w:noProof/>
          <w:color w:val="1F497D"/>
          <w:sz w:val="28"/>
          <w:szCs w:val="28"/>
        </w:rPr>
        <w:t>Bidention</w:t>
      </w:r>
      <w:r w:rsidRPr="0031593F">
        <w:rPr>
          <w:rFonts w:ascii="Times New Roman" w:eastAsia="Calibri" w:hAnsi="Times New Roman"/>
          <w:noProof/>
          <w:color w:val="1F497D"/>
          <w:sz w:val="28"/>
          <w:szCs w:val="28"/>
        </w:rPr>
        <w:t xml:space="preserve"> p.p</w:t>
      </w:r>
      <w:r w:rsidRPr="0031593F">
        <w:rPr>
          <w:rFonts w:ascii="Times New Roman" w:eastAsia="Calibri" w:hAnsi="Times New Roman"/>
          <w:noProof/>
          <w:color w:val="1F497D"/>
          <w:sz w:val="28"/>
          <w:szCs w:val="28"/>
          <w:lang w:val="en-US"/>
        </w:rPr>
        <w:t>.</w:t>
      </w:r>
      <w:bookmarkEnd w:id="4"/>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40" w:lineRule="auto"/>
        <w:jc w:val="both"/>
        <w:rPr>
          <w:rFonts w:ascii="Times New Roman" w:eastAsia="Calibri" w:hAnsi="Times New Roman"/>
          <w:sz w:val="24"/>
          <w:szCs w:val="24"/>
          <w:lang w:val="en-US"/>
        </w:rPr>
      </w:pPr>
      <w:r w:rsidRPr="0031593F">
        <w:rPr>
          <w:rFonts w:ascii="Times New Roman" w:eastAsia="Calibri" w:hAnsi="Times New Roman"/>
          <w:b/>
          <w:sz w:val="24"/>
          <w:szCs w:val="24"/>
        </w:rPr>
        <w:t xml:space="preserve">1. Код и наименование на типа местообитание: </w:t>
      </w:r>
      <w:r w:rsidRPr="0031593F">
        <w:rPr>
          <w:rFonts w:ascii="Times New Roman" w:eastAsia="Calibri" w:hAnsi="Times New Roman"/>
          <w:bCs/>
          <w:sz w:val="24"/>
          <w:szCs w:val="24"/>
        </w:rPr>
        <w:t xml:space="preserve">3270 Реки с кални брегове с </w:t>
      </w:r>
      <w:r w:rsidRPr="0031593F">
        <w:rPr>
          <w:rFonts w:ascii="Times New Roman" w:eastAsia="Calibri" w:hAnsi="Times New Roman"/>
          <w:bCs/>
          <w:i/>
          <w:sz w:val="24"/>
          <w:szCs w:val="24"/>
        </w:rPr>
        <w:t>Chenopodion rubri</w:t>
      </w:r>
      <w:r w:rsidRPr="0031593F">
        <w:rPr>
          <w:rFonts w:ascii="Times New Roman" w:eastAsia="Calibri" w:hAnsi="Times New Roman"/>
          <w:bCs/>
          <w:sz w:val="24"/>
          <w:szCs w:val="24"/>
        </w:rPr>
        <w:t xml:space="preserve"> и </w:t>
      </w:r>
      <w:r w:rsidRPr="0031593F">
        <w:rPr>
          <w:rFonts w:ascii="Times New Roman" w:eastAsia="Calibri" w:hAnsi="Times New Roman"/>
          <w:bCs/>
          <w:i/>
          <w:sz w:val="24"/>
          <w:szCs w:val="24"/>
        </w:rPr>
        <w:t>Bidention</w:t>
      </w:r>
      <w:r w:rsidRPr="0031593F">
        <w:rPr>
          <w:rFonts w:ascii="Times New Roman" w:eastAsia="Calibri" w:hAnsi="Times New Roman"/>
          <w:bCs/>
          <w:sz w:val="24"/>
          <w:szCs w:val="24"/>
        </w:rPr>
        <w:t xml:space="preserve"> p.p</w:t>
      </w:r>
      <w:r w:rsidRPr="0031593F">
        <w:rPr>
          <w:rFonts w:ascii="Times New Roman" w:eastAsia="Calibri" w:hAnsi="Times New Roman"/>
          <w:bCs/>
          <w:sz w:val="24"/>
          <w:szCs w:val="24"/>
          <w:lang w:val="en-US"/>
        </w:rPr>
        <w:t>.</w:t>
      </w:r>
    </w:p>
    <w:p w:rsidR="0031593F" w:rsidRPr="0031593F" w:rsidRDefault="0031593F" w:rsidP="0031593F">
      <w:pPr>
        <w:spacing w:after="0" w:line="240" w:lineRule="auto"/>
        <w:jc w:val="both"/>
        <w:rPr>
          <w:rFonts w:ascii="Times New Roman" w:eastAsia="Calibri" w:hAnsi="Times New Roman"/>
          <w:sz w:val="24"/>
          <w:szCs w:val="24"/>
          <w:highlight w:val="yellow"/>
        </w:rPr>
      </w:pPr>
    </w:p>
    <w:p w:rsidR="0031593F" w:rsidRPr="0031593F" w:rsidRDefault="0031593F" w:rsidP="0031593F">
      <w:pPr>
        <w:spacing w:after="0" w:line="240" w:lineRule="auto"/>
        <w:rPr>
          <w:rFonts w:ascii="Times New Roman" w:eastAsia="Calibri" w:hAnsi="Times New Roman"/>
          <w:b/>
          <w:sz w:val="24"/>
          <w:szCs w:val="24"/>
        </w:rPr>
      </w:pPr>
      <w:r w:rsidRPr="0031593F">
        <w:rPr>
          <w:rFonts w:ascii="Times New Roman" w:eastAsia="Calibri" w:hAnsi="Times New Roman"/>
          <w:b/>
          <w:sz w:val="24"/>
          <w:szCs w:val="24"/>
        </w:rPr>
        <w:t>2. Кратка характеристика на целевия обект</w:t>
      </w:r>
    </w:p>
    <w:p w:rsidR="0031593F" w:rsidRPr="0031593F" w:rsidRDefault="0031593F" w:rsidP="0031593F">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 xml:space="preserve">Местообитанието представлява кални речни брегове на големи реки в низините, където се развиват едногодишни, високи (0,50–0,70 m) пионерни нитрофилни (рудерални) растителни съобщества. Съобществата са свързани сукцесионно с тези на ниските хигрофити и се развиват при отдръпването на водата и оголването на богата на органика и азот тиня. Във видовия състав на ценозите преобладават нитрофилни и рудерални видове. Доминанти са </w:t>
      </w:r>
      <w:r w:rsidRPr="0031593F">
        <w:rPr>
          <w:rFonts w:ascii="Times New Roman" w:eastAsia="Calibri" w:hAnsi="Times New Roman"/>
          <w:i/>
          <w:noProof/>
          <w:sz w:val="24"/>
          <w:szCs w:val="24"/>
        </w:rPr>
        <w:t xml:space="preserve">Bidens frondosa, B. tripartita, Persicaria hydropiper, P. lapathifolia, Rumex conglomeratus, R. maritimus, Xanthium italicum </w:t>
      </w:r>
      <w:r w:rsidRPr="0031593F">
        <w:rPr>
          <w:rFonts w:ascii="Times New Roman" w:eastAsia="Calibri" w:hAnsi="Times New Roman"/>
          <w:noProof/>
          <w:sz w:val="24"/>
          <w:szCs w:val="24"/>
        </w:rPr>
        <w:t>и др. Тези съобщества обикновено формират комплекси със съобществата на ниските едногодишни хигрофити (3130). Те се появяват обикновено в края на лятото, като първоначално брегът изглежда кален и лишен от растителност, тъй като тя се развива по-късно. Първоначално се развиват ниските хигрофити (3130), след това, с изсъхването на оголените от водата наноси, се появяват и съобществата на високите нитрофили, които принадлежат към това местообитание.</w:t>
      </w:r>
    </w:p>
    <w:p w:rsidR="0031593F" w:rsidRPr="0031593F" w:rsidRDefault="0031593F" w:rsidP="0031593F">
      <w:pPr>
        <w:spacing w:after="0" w:line="240" w:lineRule="auto"/>
        <w:ind w:firstLine="709"/>
        <w:contextualSpacing/>
        <w:jc w:val="both"/>
        <w:rPr>
          <w:rFonts w:ascii="Times New Roman" w:hAnsi="Times New Roman"/>
          <w:bCs/>
          <w:sz w:val="24"/>
          <w:szCs w:val="24"/>
          <w:lang w:val="en-US" w:eastAsia="bg-BG"/>
        </w:rPr>
      </w:pPr>
      <w:r w:rsidRPr="0031593F">
        <w:rPr>
          <w:rFonts w:ascii="Times New Roman" w:hAnsi="Times New Roman"/>
          <w:bCs/>
          <w:sz w:val="24"/>
          <w:szCs w:val="24"/>
          <w:lang w:val="en-US" w:eastAsia="bg-BG"/>
        </w:rPr>
        <w:t xml:space="preserve">Съобщества от този тип са широко разпространени по </w:t>
      </w:r>
      <w:r w:rsidRPr="0031593F">
        <w:rPr>
          <w:rFonts w:ascii="Times New Roman" w:hAnsi="Times New Roman"/>
          <w:bCs/>
          <w:sz w:val="24"/>
          <w:szCs w:val="24"/>
          <w:lang w:eastAsia="bg-BG"/>
        </w:rPr>
        <w:t>брега на река Дунав</w:t>
      </w:r>
      <w:r w:rsidRPr="0031593F">
        <w:rPr>
          <w:rFonts w:ascii="Times New Roman" w:hAnsi="Times New Roman"/>
          <w:bCs/>
          <w:sz w:val="24"/>
          <w:szCs w:val="24"/>
          <w:lang w:val="en-US" w:eastAsia="bg-BG"/>
        </w:rPr>
        <w:t xml:space="preserve">, както и по </w:t>
      </w:r>
      <w:r w:rsidRPr="0031593F">
        <w:rPr>
          <w:rFonts w:ascii="Times New Roman" w:hAnsi="Times New Roman"/>
          <w:bCs/>
          <w:sz w:val="24"/>
          <w:szCs w:val="24"/>
          <w:lang w:eastAsia="bg-BG"/>
        </w:rPr>
        <w:t>бреговете на островите</w:t>
      </w:r>
      <w:r w:rsidRPr="0031593F">
        <w:rPr>
          <w:rFonts w:ascii="Times New Roman" w:hAnsi="Times New Roman"/>
          <w:bCs/>
          <w:sz w:val="24"/>
          <w:szCs w:val="24"/>
          <w:lang w:val="en-US" w:eastAsia="bg-BG"/>
        </w:rPr>
        <w:t>. По брега на река Дунав в за</w:t>
      </w:r>
      <w:r w:rsidRPr="0031593F">
        <w:rPr>
          <w:rFonts w:ascii="Times New Roman" w:hAnsi="Times New Roman"/>
          <w:bCs/>
          <w:sz w:val="24"/>
          <w:szCs w:val="24"/>
          <w:lang w:eastAsia="bg-BG"/>
        </w:rPr>
        <w:t>щ</w:t>
      </w:r>
      <w:r w:rsidRPr="0031593F">
        <w:rPr>
          <w:rFonts w:ascii="Times New Roman" w:hAnsi="Times New Roman"/>
          <w:bCs/>
          <w:sz w:val="24"/>
          <w:szCs w:val="24"/>
          <w:lang w:val="en-US" w:eastAsia="bg-BG"/>
        </w:rPr>
        <w:t>итената зона ценозите са представителни и включват повечето от типичните видове,</w:t>
      </w:r>
      <w:r w:rsidRPr="0031593F">
        <w:rPr>
          <w:rFonts w:ascii="Times New Roman" w:hAnsi="Times New Roman"/>
          <w:bCs/>
          <w:sz w:val="24"/>
          <w:szCs w:val="24"/>
          <w:lang w:eastAsia="bg-BG"/>
        </w:rPr>
        <w:t xml:space="preserve"> </w:t>
      </w:r>
      <w:r w:rsidRPr="0031593F">
        <w:rPr>
          <w:rFonts w:ascii="Times New Roman" w:hAnsi="Times New Roman"/>
          <w:bCs/>
          <w:sz w:val="24"/>
          <w:szCs w:val="24"/>
          <w:lang w:val="en-US" w:eastAsia="bg-BG"/>
        </w:rPr>
        <w:t>характерни за местообитанието</w:t>
      </w:r>
      <w:r w:rsidRPr="0031593F">
        <w:rPr>
          <w:rFonts w:ascii="Times New Roman" w:hAnsi="Times New Roman"/>
          <w:bCs/>
          <w:sz w:val="24"/>
          <w:szCs w:val="24"/>
          <w:lang w:eastAsia="bg-BG"/>
        </w:rPr>
        <w:t xml:space="preserve">, които се развиват след засъхване на бреговете, заети от съобществата на клас </w:t>
      </w:r>
      <w:r w:rsidRPr="0031593F">
        <w:rPr>
          <w:rFonts w:ascii="Times New Roman" w:hAnsi="Times New Roman"/>
          <w:bCs/>
          <w:i/>
          <w:sz w:val="24"/>
          <w:szCs w:val="24"/>
          <w:lang w:val="en-US" w:eastAsia="bg-BG"/>
        </w:rPr>
        <w:t>Isoeto-Nanojuncetea</w:t>
      </w:r>
      <w:r w:rsidRPr="0031593F">
        <w:rPr>
          <w:rFonts w:ascii="Times New Roman" w:hAnsi="Times New Roman"/>
          <w:bCs/>
          <w:sz w:val="24"/>
          <w:szCs w:val="24"/>
          <w:lang w:val="en-US" w:eastAsia="bg-BG"/>
        </w:rPr>
        <w:t xml:space="preserve"> (3130). Такива съобщества бяха установени и на остров Девня</w:t>
      </w:r>
      <w:r w:rsidRPr="0031593F">
        <w:rPr>
          <w:rFonts w:ascii="Times New Roman" w:hAnsi="Times New Roman"/>
          <w:bCs/>
          <w:sz w:val="24"/>
          <w:szCs w:val="24"/>
          <w:lang w:eastAsia="bg-BG"/>
        </w:rPr>
        <w:t>, който попада и в границите на поддържан резерват „Сребърна“</w:t>
      </w:r>
      <w:r w:rsidRPr="0031593F">
        <w:rPr>
          <w:rFonts w:ascii="Times New Roman" w:hAnsi="Times New Roman"/>
          <w:bCs/>
          <w:sz w:val="24"/>
          <w:szCs w:val="24"/>
          <w:lang w:val="en-US" w:eastAsia="bg-BG"/>
        </w:rPr>
        <w:t>.</w:t>
      </w:r>
    </w:p>
    <w:p w:rsidR="0031593F" w:rsidRPr="0031593F" w:rsidRDefault="0031593F" w:rsidP="0031593F">
      <w:pPr>
        <w:spacing w:after="0" w:line="240" w:lineRule="auto"/>
        <w:contextualSpacing/>
        <w:jc w:val="both"/>
        <w:rPr>
          <w:rFonts w:ascii="Times New Roman" w:hAnsi="Times New Roman"/>
          <w:bCs/>
          <w:noProof/>
          <w:sz w:val="24"/>
          <w:szCs w:val="24"/>
          <w:lang w:eastAsia="bg-BG"/>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3. Състояние на биогеографско ниво и разпространение в мрежата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В мрежата Натура 2000, природно местообитание с код 3270 е предмет на опазване в 2</w:t>
      </w:r>
      <w:r w:rsidRPr="0031593F">
        <w:rPr>
          <w:rFonts w:ascii="Times New Roman" w:eastAsia="Calibri" w:hAnsi="Times New Roman"/>
          <w:sz w:val="24"/>
          <w:szCs w:val="24"/>
          <w:lang w:val="en-US"/>
        </w:rPr>
        <w:t>9</w:t>
      </w:r>
      <w:r w:rsidRPr="0031593F">
        <w:rPr>
          <w:rFonts w:ascii="Times New Roman" w:eastAsia="Calibri" w:hAnsi="Times New Roman"/>
          <w:sz w:val="24"/>
          <w:szCs w:val="24"/>
        </w:rPr>
        <w:t xml:space="preserve"> защитени зони (</w:t>
      </w:r>
      <w:r w:rsidRPr="0031593F">
        <w:rPr>
          <w:rFonts w:ascii="Times New Roman" w:hAnsi="Times New Roman"/>
          <w:noProof/>
          <w:position w:val="-1"/>
          <w:sz w:val="24"/>
          <w:szCs w:val="24"/>
        </w:rPr>
        <w:t xml:space="preserve">Natura 2000 update April 2019: </w:t>
      </w:r>
      <w:hyperlink r:id="rId12">
        <w:r w:rsidRPr="0031593F">
          <w:rPr>
            <w:rFonts w:ascii="Times New Roman" w:hAnsi="Times New Roman"/>
            <w:noProof/>
            <w:color w:val="0563C1"/>
            <w:position w:val="-1"/>
            <w:sz w:val="24"/>
            <w:szCs w:val="24"/>
            <w:u w:val="single"/>
          </w:rPr>
          <w:t>https://cdr.eionet.europa.eu/bg/eu/n2000</w:t>
        </w:r>
      </w:hyperlink>
      <w:r w:rsidRPr="0031593F">
        <w:rPr>
          <w:rFonts w:ascii="Times New Roman" w:eastAsia="Calibri" w:hAnsi="Times New Roman"/>
          <w:sz w:val="24"/>
          <w:szCs w:val="24"/>
        </w:rPr>
        <w:t xml:space="preserve">) и е разпространено в три биогеографски </w:t>
      </w:r>
      <w:r>
        <w:rPr>
          <w:rFonts w:ascii="Times New Roman" w:eastAsia="Calibri" w:hAnsi="Times New Roman"/>
          <w:sz w:val="24"/>
          <w:szCs w:val="24"/>
        </w:rPr>
        <w:t>региона</w:t>
      </w:r>
      <w:r w:rsidRPr="0031593F">
        <w:rPr>
          <w:rFonts w:ascii="Times New Roman" w:eastAsia="Calibri" w:hAnsi="Times New Roman"/>
          <w:sz w:val="24"/>
          <w:szCs w:val="24"/>
        </w:rPr>
        <w:t xml:space="preserve"> – Алпийски, Континентален и Черноморски, като преобладаващата част от площта му е в Континенталния </w:t>
      </w:r>
      <w:r>
        <w:rPr>
          <w:rFonts w:ascii="Times New Roman" w:eastAsia="Calibri" w:hAnsi="Times New Roman"/>
          <w:sz w:val="24"/>
          <w:szCs w:val="24"/>
        </w:rPr>
        <w:t>регион</w:t>
      </w:r>
      <w:r w:rsidRPr="0031593F">
        <w:rPr>
          <w:rFonts w:ascii="Times New Roman" w:eastAsia="Calibri" w:hAnsi="Times New Roman"/>
          <w:sz w:val="24"/>
          <w:szCs w:val="24"/>
        </w:rPr>
        <w:t>.</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Съгласно докладването по чл. 17 от Директива за местообитанията през 2019 г. (за периода 2013-2018 г.), природното местообитание е в неблагоприятно-лошо природозащитно състояние за трите биогеографски </w:t>
      </w:r>
      <w:r>
        <w:rPr>
          <w:rFonts w:ascii="Times New Roman" w:eastAsia="Calibri" w:hAnsi="Times New Roman"/>
          <w:sz w:val="24"/>
          <w:szCs w:val="24"/>
        </w:rPr>
        <w:t>региона</w:t>
      </w:r>
      <w:r w:rsidRPr="0031593F">
        <w:rPr>
          <w:rFonts w:ascii="Times New Roman" w:eastAsia="Calibri" w:hAnsi="Times New Roman"/>
          <w:sz w:val="24"/>
          <w:szCs w:val="24"/>
        </w:rPr>
        <w:t xml:space="preserve"> (благоприятно разпространение, неблагоприятно-лошо по структура и функции, и бъдещи перспективи). </w:t>
      </w:r>
      <w:r w:rsidRPr="0031593F">
        <w:rPr>
          <w:rFonts w:ascii="Times New Roman" w:hAnsi="Times New Roman"/>
          <w:sz w:val="24"/>
          <w:szCs w:val="24"/>
        </w:rPr>
        <w:t>При докладването през 2019 г., посочените заплахи и влияния са оценени със средна степен на значение – засушаване и намаляване на валежите поради климатични промени, температурни промени поради изменение на климата, промяна на хидрологичния режим, водовземане от подземни, повърхностни или смесени води, физическа промяна на водните тела</w:t>
      </w:r>
      <w:r w:rsidRPr="0031593F">
        <w:rPr>
          <w:rFonts w:ascii="Times New Roman" w:eastAsia="Calibri" w:hAnsi="Times New Roman"/>
          <w:sz w:val="24"/>
          <w:szCs w:val="24"/>
        </w:rPr>
        <w:t xml:space="preserve">. При докладването по чл. 17 през 2013 г. (за периода 2007-2012 г.) местообитанието е с оценка неблагоприятно-незадоволително и за трите биогеографски </w:t>
      </w:r>
      <w:r>
        <w:rPr>
          <w:rFonts w:ascii="Times New Roman" w:eastAsia="Calibri" w:hAnsi="Times New Roman"/>
          <w:sz w:val="24"/>
          <w:szCs w:val="24"/>
        </w:rPr>
        <w:t>региона</w:t>
      </w:r>
      <w:r w:rsidRPr="0031593F">
        <w:rPr>
          <w:rFonts w:ascii="Times New Roman" w:eastAsia="Calibri" w:hAnsi="Times New Roman"/>
          <w:sz w:val="24"/>
          <w:szCs w:val="24"/>
        </w:rPr>
        <w:t xml:space="preserve"> (благоприятно разпространение и площ, неблагоприятно-незадоволителни структура и функции, и бъдещи перспективи). Като влияния и заплахи с висока степен се посочват затлачването и заустванията.</w:t>
      </w:r>
    </w:p>
    <w:p w:rsidR="0031593F" w:rsidRPr="0031593F" w:rsidRDefault="0031593F" w:rsidP="0031593F">
      <w:pPr>
        <w:spacing w:after="0" w:line="240" w:lineRule="auto"/>
        <w:jc w:val="both"/>
        <w:rPr>
          <w:rFonts w:ascii="Times New Roman" w:eastAsia="Calibri" w:hAnsi="Times New Roman"/>
          <w:sz w:val="24"/>
          <w:szCs w:val="24"/>
          <w:highlight w:val="yellow"/>
        </w:rPr>
      </w:pPr>
    </w:p>
    <w:p w:rsidR="0031593F" w:rsidRPr="0031593F" w:rsidRDefault="0031593F" w:rsidP="0031593F">
      <w:pPr>
        <w:spacing w:after="0" w:line="240" w:lineRule="auto"/>
        <w:rPr>
          <w:rFonts w:ascii="Times New Roman" w:eastAsia="Calibri" w:hAnsi="Times New Roman"/>
          <w:i/>
          <w:sz w:val="24"/>
          <w:szCs w:val="24"/>
        </w:rPr>
      </w:pPr>
      <w:r w:rsidRPr="0031593F">
        <w:rPr>
          <w:rFonts w:ascii="Times New Roman" w:eastAsia="Calibri" w:hAnsi="Times New Roman"/>
          <w:b/>
          <w:sz w:val="24"/>
          <w:szCs w:val="24"/>
        </w:rPr>
        <w:lastRenderedPageBreak/>
        <w:t>4. Състояние на ниво защитена зона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Според данните в стандартния формуляр, площта на местообитанието в ЗЗ „Сребърна“ е 4,75 </w:t>
      </w:r>
      <w:r w:rsidRPr="0031593F">
        <w:rPr>
          <w:rFonts w:ascii="Times New Roman" w:eastAsia="Calibri" w:hAnsi="Times New Roman"/>
          <w:sz w:val="24"/>
          <w:szCs w:val="24"/>
          <w:lang w:val="en-US"/>
        </w:rPr>
        <w:t xml:space="preserve">ha </w:t>
      </w:r>
      <w:r w:rsidRPr="0031593F">
        <w:rPr>
          <w:rFonts w:ascii="Times New Roman" w:eastAsia="Calibri" w:hAnsi="Times New Roman"/>
          <w:sz w:val="24"/>
          <w:szCs w:val="24"/>
        </w:rPr>
        <w:t xml:space="preserve">и попада в Континенталния биогеографски </w:t>
      </w:r>
      <w:r>
        <w:rPr>
          <w:rFonts w:ascii="Times New Roman" w:eastAsia="Calibri" w:hAnsi="Times New Roman"/>
          <w:sz w:val="24"/>
          <w:szCs w:val="24"/>
        </w:rPr>
        <w:t>регион</w:t>
      </w:r>
      <w:r w:rsidRPr="0031593F">
        <w:rPr>
          <w:rFonts w:ascii="Times New Roman" w:eastAsia="Calibri" w:hAnsi="Times New Roman"/>
          <w:sz w:val="24"/>
          <w:szCs w:val="24"/>
        </w:rPr>
        <w:t>. Тази площ е установена по проект „Картиране и определяне на природозащитното състояние на природни местообитания и видове – фаза I“ (т.е. през 2011-2012 г.) и е по-голяма от дотогава съществуваща площ в СФ на зоната (</w:t>
      </w:r>
      <w:r w:rsidRPr="0031593F">
        <w:rPr>
          <w:rFonts w:ascii="Times New Roman" w:eastAsia="Calibri" w:hAnsi="Times New Roman"/>
          <w:sz w:val="24"/>
          <w:szCs w:val="24"/>
          <w:lang w:val="en-US"/>
        </w:rPr>
        <w:t xml:space="preserve">2,72 </w:t>
      </w:r>
      <w:r w:rsidRPr="0031593F">
        <w:rPr>
          <w:rFonts w:ascii="Times New Roman" w:eastAsia="Calibri" w:hAnsi="Times New Roman"/>
          <w:sz w:val="24"/>
          <w:szCs w:val="24"/>
        </w:rPr>
        <w:t>ha). Съгласно специфичният доклад, публикуван в „Информационна система за защитени зони от екологичната мрежа Натура 2000 на МОСВ“, местообитанието е оценено в благоприятно състояние по критерий „Площ в границите на зоната“, по критерии „Структура и функции“ и „Бъдещи перспективи (заплахи и влияния)“ – в неблагоприятно-незадоволително състояние. Оценките се основават на установено наличие на инвазивни видове, типичното за река Дунав замърсяване с битово отпадни и промишлени води и значително битово замърсяване на брега на реката. Според стандартния формуляр, местообитанието в зоната е с оценки за „Представителност“ „A“, за „Относителна площ“ „C“ и за „Степен на опазване“ „B“, като общата оценка на стойността на защитената зона за опазване на природното местообитание е „B“.</w:t>
      </w:r>
    </w:p>
    <w:p w:rsidR="0031593F" w:rsidRPr="0031593F" w:rsidRDefault="0031593F" w:rsidP="0031593F">
      <w:pPr>
        <w:spacing w:after="0" w:line="240" w:lineRule="auto"/>
        <w:jc w:val="both"/>
        <w:rPr>
          <w:rFonts w:ascii="Times New Roman" w:eastAsia="Calibri"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1"/>
        <w:gridCol w:w="461"/>
        <w:gridCol w:w="483"/>
        <w:gridCol w:w="908"/>
        <w:gridCol w:w="1028"/>
        <w:gridCol w:w="839"/>
        <w:gridCol w:w="1627"/>
        <w:gridCol w:w="1126"/>
        <w:gridCol w:w="1361"/>
        <w:gridCol w:w="794"/>
      </w:tblGrid>
      <w:tr w:rsidR="0031593F" w:rsidRPr="0031593F" w:rsidTr="0031593F">
        <w:tc>
          <w:tcPr>
            <w:tcW w:w="2385" w:type="pct"/>
            <w:gridSpan w:val="6"/>
            <w:shd w:val="clear" w:color="auto" w:fill="D9D9D9"/>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Annex I Habitat types</w:t>
            </w:r>
          </w:p>
        </w:tc>
        <w:tc>
          <w:tcPr>
            <w:tcW w:w="2615" w:type="pct"/>
            <w:gridSpan w:val="4"/>
            <w:shd w:val="clear" w:color="auto" w:fill="D9D9D9"/>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Site assessment</w:t>
            </w:r>
          </w:p>
        </w:tc>
      </w:tr>
      <w:tr w:rsidR="0031593F" w:rsidRPr="0031593F" w:rsidTr="0031593F">
        <w:tc>
          <w:tcPr>
            <w:tcW w:w="344"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Code</w:t>
            </w:r>
          </w:p>
        </w:tc>
        <w:tc>
          <w:tcPr>
            <w:tcW w:w="240"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PF</w:t>
            </w:r>
          </w:p>
        </w:tc>
        <w:tc>
          <w:tcPr>
            <w:tcW w:w="251"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NP</w:t>
            </w:r>
          </w:p>
        </w:tc>
        <w:tc>
          <w:tcPr>
            <w:tcW w:w="526"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Cover (ha)</w:t>
            </w:r>
          </w:p>
        </w:tc>
        <w:tc>
          <w:tcPr>
            <w:tcW w:w="536"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Cave (number)</w:t>
            </w:r>
          </w:p>
        </w:tc>
        <w:tc>
          <w:tcPr>
            <w:tcW w:w="489"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Data quality</w:t>
            </w:r>
          </w:p>
        </w:tc>
        <w:tc>
          <w:tcPr>
            <w:tcW w:w="848"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A/B/C/D</w:t>
            </w:r>
          </w:p>
        </w:tc>
        <w:tc>
          <w:tcPr>
            <w:tcW w:w="1766" w:type="pct"/>
            <w:gridSpan w:val="3"/>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A/B/C</w:t>
            </w:r>
          </w:p>
        </w:tc>
      </w:tr>
      <w:tr w:rsidR="0031593F" w:rsidRPr="0031593F" w:rsidTr="0031593F">
        <w:trPr>
          <w:trHeight w:val="454"/>
        </w:trPr>
        <w:tc>
          <w:tcPr>
            <w:tcW w:w="344" w:type="pct"/>
          </w:tcPr>
          <w:p w:rsidR="0031593F" w:rsidRPr="0031593F" w:rsidRDefault="0031593F" w:rsidP="0031593F">
            <w:pPr>
              <w:rPr>
                <w:rFonts w:ascii="Times New Roman" w:hAnsi="Times New Roman"/>
                <w:b/>
                <w:color w:val="000000"/>
                <w:position w:val="-1"/>
                <w:sz w:val="20"/>
                <w:szCs w:val="20"/>
              </w:rPr>
            </w:pPr>
          </w:p>
        </w:tc>
        <w:tc>
          <w:tcPr>
            <w:tcW w:w="240" w:type="pct"/>
          </w:tcPr>
          <w:p w:rsidR="0031593F" w:rsidRPr="0031593F" w:rsidRDefault="0031593F" w:rsidP="0031593F">
            <w:pPr>
              <w:rPr>
                <w:rFonts w:ascii="Times New Roman" w:hAnsi="Times New Roman"/>
                <w:b/>
                <w:color w:val="000000"/>
                <w:position w:val="-1"/>
                <w:sz w:val="20"/>
                <w:szCs w:val="20"/>
              </w:rPr>
            </w:pPr>
          </w:p>
        </w:tc>
        <w:tc>
          <w:tcPr>
            <w:tcW w:w="251" w:type="pct"/>
          </w:tcPr>
          <w:p w:rsidR="0031593F" w:rsidRPr="0031593F" w:rsidRDefault="0031593F" w:rsidP="0031593F">
            <w:pPr>
              <w:rPr>
                <w:rFonts w:ascii="Times New Roman" w:hAnsi="Times New Roman"/>
                <w:b/>
                <w:color w:val="000000"/>
                <w:position w:val="-1"/>
                <w:sz w:val="20"/>
                <w:szCs w:val="20"/>
              </w:rPr>
            </w:pPr>
          </w:p>
        </w:tc>
        <w:tc>
          <w:tcPr>
            <w:tcW w:w="526" w:type="pct"/>
          </w:tcPr>
          <w:p w:rsidR="0031593F" w:rsidRPr="0031593F" w:rsidRDefault="0031593F" w:rsidP="0031593F">
            <w:pPr>
              <w:rPr>
                <w:rFonts w:ascii="Times New Roman" w:hAnsi="Times New Roman"/>
                <w:b/>
                <w:color w:val="000000"/>
                <w:position w:val="-1"/>
                <w:sz w:val="20"/>
                <w:szCs w:val="20"/>
              </w:rPr>
            </w:pPr>
          </w:p>
        </w:tc>
        <w:tc>
          <w:tcPr>
            <w:tcW w:w="536" w:type="pct"/>
          </w:tcPr>
          <w:p w:rsidR="0031593F" w:rsidRPr="0031593F" w:rsidRDefault="0031593F" w:rsidP="0031593F">
            <w:pPr>
              <w:rPr>
                <w:rFonts w:ascii="Times New Roman" w:hAnsi="Times New Roman"/>
                <w:b/>
                <w:color w:val="000000"/>
                <w:position w:val="-1"/>
                <w:sz w:val="20"/>
                <w:szCs w:val="20"/>
              </w:rPr>
            </w:pPr>
          </w:p>
        </w:tc>
        <w:tc>
          <w:tcPr>
            <w:tcW w:w="489" w:type="pct"/>
          </w:tcPr>
          <w:p w:rsidR="0031593F" w:rsidRPr="0031593F" w:rsidRDefault="0031593F" w:rsidP="0031593F">
            <w:pPr>
              <w:rPr>
                <w:rFonts w:ascii="Times New Roman" w:hAnsi="Times New Roman"/>
                <w:b/>
                <w:color w:val="000000"/>
                <w:position w:val="-1"/>
                <w:sz w:val="20"/>
                <w:szCs w:val="20"/>
              </w:rPr>
            </w:pPr>
          </w:p>
        </w:tc>
        <w:tc>
          <w:tcPr>
            <w:tcW w:w="848" w:type="pct"/>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Representativity</w:t>
            </w:r>
          </w:p>
        </w:tc>
        <w:tc>
          <w:tcPr>
            <w:tcW w:w="643"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Relative Surface</w:t>
            </w:r>
          </w:p>
        </w:tc>
        <w:tc>
          <w:tcPr>
            <w:tcW w:w="710"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Conservation</w:t>
            </w:r>
          </w:p>
        </w:tc>
        <w:tc>
          <w:tcPr>
            <w:tcW w:w="414"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Global</w:t>
            </w:r>
          </w:p>
        </w:tc>
      </w:tr>
      <w:tr w:rsidR="0031593F" w:rsidRPr="0031593F" w:rsidTr="0031593F">
        <w:trPr>
          <w:trHeight w:hRule="exact" w:val="284"/>
        </w:trPr>
        <w:tc>
          <w:tcPr>
            <w:tcW w:w="344" w:type="pct"/>
            <w:tcBorders>
              <w:top w:val="nil"/>
              <w:left w:val="single" w:sz="4" w:space="0" w:color="auto"/>
              <w:bottom w:val="single" w:sz="4" w:space="0" w:color="auto"/>
              <w:right w:val="single" w:sz="4" w:space="0" w:color="auto"/>
            </w:tcBorders>
            <w:shd w:val="clear" w:color="auto" w:fill="auto"/>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3270</w:t>
            </w:r>
          </w:p>
        </w:tc>
        <w:tc>
          <w:tcPr>
            <w:tcW w:w="240" w:type="pct"/>
          </w:tcPr>
          <w:p w:rsidR="0031593F" w:rsidRPr="0031593F" w:rsidRDefault="0031593F" w:rsidP="0031593F">
            <w:pPr>
              <w:rPr>
                <w:rFonts w:ascii="Times New Roman" w:eastAsia="Calibri" w:hAnsi="Times New Roman"/>
                <w:sz w:val="20"/>
                <w:szCs w:val="20"/>
                <w:lang w:val="en-US"/>
              </w:rPr>
            </w:pPr>
          </w:p>
        </w:tc>
        <w:tc>
          <w:tcPr>
            <w:tcW w:w="251" w:type="pct"/>
          </w:tcPr>
          <w:p w:rsidR="0031593F" w:rsidRPr="0031593F" w:rsidRDefault="0031593F" w:rsidP="0031593F">
            <w:pPr>
              <w:rPr>
                <w:rFonts w:ascii="Times New Roman" w:eastAsia="Calibri" w:hAnsi="Times New Roman"/>
                <w:sz w:val="20"/>
                <w:szCs w:val="20"/>
                <w:lang w:val="en-US"/>
              </w:rPr>
            </w:pPr>
          </w:p>
        </w:tc>
        <w:tc>
          <w:tcPr>
            <w:tcW w:w="526"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4,75</w:t>
            </w:r>
          </w:p>
        </w:tc>
        <w:tc>
          <w:tcPr>
            <w:tcW w:w="536" w:type="pct"/>
          </w:tcPr>
          <w:p w:rsidR="0031593F" w:rsidRPr="0031593F" w:rsidRDefault="0031593F" w:rsidP="0031593F">
            <w:pPr>
              <w:rPr>
                <w:rFonts w:ascii="Times New Roman" w:eastAsia="Calibri" w:hAnsi="Times New Roman"/>
                <w:sz w:val="20"/>
                <w:szCs w:val="20"/>
                <w:lang w:val="en-US"/>
              </w:rPr>
            </w:pPr>
          </w:p>
        </w:tc>
        <w:tc>
          <w:tcPr>
            <w:tcW w:w="489"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G</w:t>
            </w:r>
          </w:p>
        </w:tc>
        <w:tc>
          <w:tcPr>
            <w:tcW w:w="848"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A</w:t>
            </w:r>
          </w:p>
        </w:tc>
        <w:tc>
          <w:tcPr>
            <w:tcW w:w="643"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C</w:t>
            </w:r>
          </w:p>
        </w:tc>
        <w:tc>
          <w:tcPr>
            <w:tcW w:w="710"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B</w:t>
            </w:r>
          </w:p>
        </w:tc>
        <w:tc>
          <w:tcPr>
            <w:tcW w:w="414"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B</w:t>
            </w:r>
          </w:p>
        </w:tc>
      </w:tr>
    </w:tbl>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5. Анализ на наличната информация</w:t>
      </w:r>
    </w:p>
    <w:p w:rsidR="0031593F" w:rsidRPr="0031593F" w:rsidRDefault="0031593F" w:rsidP="0031593F">
      <w:pPr>
        <w:spacing w:after="0" w:line="240" w:lineRule="auto"/>
        <w:ind w:firstLine="709"/>
        <w:jc w:val="both"/>
        <w:rPr>
          <w:rFonts w:ascii="Times New Roman" w:eastAsia="Calibri" w:hAnsi="Times New Roman"/>
          <w:sz w:val="24"/>
          <w:szCs w:val="24"/>
          <w:lang w:val="en-US"/>
        </w:rPr>
      </w:pPr>
      <w:r w:rsidRPr="0031593F">
        <w:rPr>
          <w:rFonts w:ascii="Times New Roman" w:eastAsia="Calibri" w:hAnsi="Times New Roman"/>
          <w:sz w:val="24"/>
          <w:szCs w:val="24"/>
        </w:rPr>
        <w:t>При определянето на природозащитните цели е използвана информацията за разпространението и състоянието на местообитанието, предоставена в Информационната система за защитени зони от екологична мрежа Натура 2000, Докладванията по член 17 от 2013 г. и 2019 г</w:t>
      </w:r>
      <w:r w:rsidRPr="0031593F">
        <w:rPr>
          <w:rFonts w:ascii="Times New Roman" w:eastAsia="Calibri" w:hAnsi="Times New Roman"/>
          <w:sz w:val="24"/>
          <w:szCs w:val="24"/>
          <w:lang w:val="en-US"/>
        </w:rPr>
        <w:t>.</w:t>
      </w:r>
    </w:p>
    <w:p w:rsidR="0031593F" w:rsidRPr="0031593F" w:rsidRDefault="0031593F" w:rsidP="0031593F">
      <w:pPr>
        <w:spacing w:after="0" w:line="240" w:lineRule="auto"/>
        <w:ind w:firstLine="709"/>
        <w:contextualSpacing/>
        <w:jc w:val="both"/>
        <w:rPr>
          <w:rFonts w:ascii="Times New Roman" w:hAnsi="Times New Roman"/>
          <w:bCs/>
          <w:sz w:val="24"/>
          <w:szCs w:val="24"/>
          <w:lang w:eastAsia="bg-BG"/>
        </w:rPr>
      </w:pPr>
      <w:r w:rsidRPr="0031593F">
        <w:rPr>
          <w:rFonts w:ascii="Times New Roman" w:eastAsia="Calibri" w:hAnsi="Times New Roman"/>
          <w:sz w:val="24"/>
          <w:szCs w:val="24"/>
        </w:rPr>
        <w:t xml:space="preserve">През 2021 г. беше извършена теренна проверка за актуализация на наличната информация за състоянието на местообитанието в зоната. </w:t>
      </w:r>
      <w:r w:rsidRPr="0031593F">
        <w:rPr>
          <w:rFonts w:ascii="Times New Roman" w:eastAsia="Calibri" w:hAnsi="Times New Roman"/>
          <w:sz w:val="24"/>
          <w:szCs w:val="24"/>
          <w:lang w:val="en-US"/>
        </w:rPr>
        <w:t xml:space="preserve">Това е едно от проблемните за картиране природни местообитания, заедно с 3130, доколкото е много динамично и се появява в зависимост от ниски води на </w:t>
      </w:r>
      <w:r w:rsidRPr="0031593F">
        <w:rPr>
          <w:rFonts w:ascii="Times New Roman" w:eastAsia="Calibri" w:hAnsi="Times New Roman"/>
          <w:sz w:val="24"/>
          <w:szCs w:val="24"/>
        </w:rPr>
        <w:t>реките</w:t>
      </w:r>
      <w:r w:rsidRPr="0031593F">
        <w:rPr>
          <w:rFonts w:ascii="Times New Roman" w:eastAsia="Calibri" w:hAnsi="Times New Roman"/>
          <w:sz w:val="24"/>
          <w:szCs w:val="24"/>
          <w:lang w:val="en-US"/>
        </w:rPr>
        <w:t xml:space="preserve"> и зависи от динамиката на речните наноси. </w:t>
      </w:r>
      <w:r w:rsidRPr="0031593F">
        <w:rPr>
          <w:rFonts w:ascii="Times New Roman" w:eastAsia="Calibri" w:hAnsi="Times New Roman"/>
          <w:sz w:val="24"/>
          <w:szCs w:val="24"/>
        </w:rPr>
        <w:t>По</w:t>
      </w:r>
      <w:r w:rsidRPr="0031593F">
        <w:rPr>
          <w:rFonts w:ascii="Times New Roman" w:eastAsia="Calibri" w:hAnsi="Times New Roman"/>
          <w:sz w:val="24"/>
          <w:szCs w:val="24"/>
          <w:lang w:val="en-US"/>
        </w:rPr>
        <w:t xml:space="preserve">ради това всяка площ, посочена за него е условна, доколкото тя се мени година за година. </w:t>
      </w:r>
      <w:r w:rsidRPr="0031593F">
        <w:rPr>
          <w:rFonts w:ascii="Times New Roman" w:eastAsia="Calibri" w:hAnsi="Times New Roman"/>
          <w:sz w:val="24"/>
          <w:szCs w:val="24"/>
        </w:rPr>
        <w:t xml:space="preserve">Допълнително, в сравнение с 3130, това местообитание се нуждае от по-дълъг период на осушаване на наносите, за да се развие върху тях. </w:t>
      </w:r>
      <w:r w:rsidRPr="0031593F">
        <w:rPr>
          <w:rFonts w:ascii="Times New Roman" w:eastAsia="Calibri" w:hAnsi="Times New Roman"/>
          <w:sz w:val="24"/>
          <w:szCs w:val="24"/>
          <w:lang w:val="en-US"/>
        </w:rPr>
        <w:t xml:space="preserve">Друг проблем е, че поради особеностите на седиментацията – смесена (пясъци и глина), няма ясно разграничаване от много подобното на него местообитание 3130, с което в поречието на р. Дунав двете местообитание обрауват комплекс. Първо по-близо до водата и по-бързо се развиват съобществата на 3130, а при постепенното пресъхване и тези на 3270, които заемат по-ограничени площи, там където водата се </w:t>
      </w:r>
      <w:r w:rsidRPr="0031593F">
        <w:rPr>
          <w:rFonts w:ascii="Times New Roman" w:eastAsia="Calibri" w:hAnsi="Times New Roman"/>
          <w:sz w:val="24"/>
          <w:szCs w:val="24"/>
        </w:rPr>
        <w:t>е отдръпнала по-отдавна</w:t>
      </w:r>
      <w:r w:rsidRPr="0031593F">
        <w:rPr>
          <w:rFonts w:ascii="Times New Roman" w:eastAsia="Calibri" w:hAnsi="Times New Roman"/>
          <w:sz w:val="24"/>
          <w:szCs w:val="24"/>
          <w:lang w:val="en-US"/>
        </w:rPr>
        <w:t xml:space="preserve">. </w:t>
      </w:r>
      <w:r w:rsidRPr="0031593F">
        <w:rPr>
          <w:rFonts w:ascii="Times New Roman" w:hAnsi="Times New Roman"/>
          <w:bCs/>
          <w:sz w:val="24"/>
          <w:szCs w:val="24"/>
          <w:lang w:eastAsia="bg-BG"/>
        </w:rPr>
        <w:t>Самото съотношение, площта и разпространението на двете местообитания се променят всяка година.</w:t>
      </w:r>
    </w:p>
    <w:p w:rsidR="0031593F" w:rsidRPr="0031593F" w:rsidRDefault="0031593F" w:rsidP="0031593F">
      <w:pPr>
        <w:spacing w:after="0" w:line="240" w:lineRule="auto"/>
        <w:ind w:firstLine="709"/>
        <w:contextualSpacing/>
        <w:jc w:val="both"/>
        <w:rPr>
          <w:rFonts w:ascii="Times New Roman" w:hAnsi="Times New Roman"/>
          <w:bCs/>
          <w:sz w:val="24"/>
          <w:szCs w:val="24"/>
          <w:lang w:eastAsia="bg-BG"/>
        </w:rPr>
      </w:pPr>
      <w:r w:rsidRPr="0031593F">
        <w:rPr>
          <w:rFonts w:ascii="Times New Roman" w:hAnsi="Times New Roman"/>
          <w:bCs/>
          <w:sz w:val="24"/>
          <w:szCs w:val="24"/>
          <w:lang w:eastAsia="bg-BG"/>
        </w:rPr>
        <w:t xml:space="preserve">Заеманата площ от местообитанието трудно се моделира понеже то е силно динамично, както и не може да се направи карта на реалното му, а само на потенциалното му разпространение, с изричната уговорка, че през различните периоди на годината и през различни години, тази територия може да бъде съответно дълго време залята от вода или да бъде колонизирана в момента на теренна проверка от други </w:t>
      </w:r>
      <w:r w:rsidRPr="0031593F">
        <w:rPr>
          <w:rFonts w:ascii="Times New Roman" w:hAnsi="Times New Roman"/>
          <w:bCs/>
          <w:sz w:val="24"/>
          <w:szCs w:val="24"/>
          <w:lang w:eastAsia="bg-BG"/>
        </w:rPr>
        <w:lastRenderedPageBreak/>
        <w:t>съобщества, принадлежащи към местообитания 3260 и 3</w:t>
      </w:r>
      <w:r w:rsidRPr="0031593F">
        <w:rPr>
          <w:rFonts w:ascii="Times New Roman" w:hAnsi="Times New Roman"/>
          <w:bCs/>
          <w:sz w:val="24"/>
          <w:szCs w:val="24"/>
          <w:lang w:val="en-US" w:eastAsia="bg-BG"/>
        </w:rPr>
        <w:t>13</w:t>
      </w:r>
      <w:r w:rsidRPr="0031593F">
        <w:rPr>
          <w:rFonts w:ascii="Times New Roman" w:hAnsi="Times New Roman"/>
          <w:bCs/>
          <w:sz w:val="24"/>
          <w:szCs w:val="24"/>
          <w:lang w:eastAsia="bg-BG"/>
        </w:rPr>
        <w:t>0. Поради това като цел на опазване не може да се определи постоянна площ, а по-скоро нейна минимална стойност или стойности, между които варира.</w:t>
      </w:r>
    </w:p>
    <w:p w:rsidR="0031593F" w:rsidRPr="0031593F" w:rsidRDefault="0031593F" w:rsidP="0031593F">
      <w:pPr>
        <w:spacing w:after="0" w:line="240" w:lineRule="auto"/>
        <w:ind w:firstLine="709"/>
        <w:contextualSpacing/>
        <w:jc w:val="both"/>
        <w:rPr>
          <w:rFonts w:ascii="Times New Roman" w:eastAsia="Calibri" w:hAnsi="Times New Roman"/>
          <w:sz w:val="24"/>
          <w:szCs w:val="24"/>
          <w:lang w:val="en-US"/>
        </w:rPr>
      </w:pPr>
      <w:r w:rsidRPr="0031593F">
        <w:rPr>
          <w:rFonts w:ascii="Times New Roman" w:hAnsi="Times New Roman"/>
          <w:bCs/>
          <w:sz w:val="24"/>
          <w:szCs w:val="24"/>
          <w:lang w:eastAsia="bg-BG"/>
        </w:rPr>
        <w:t>След проведените теренни наблюдения през 2021 г. и преглед на наличната информация считаме, че площта, посочена в стандартния формуляр (</w:t>
      </w:r>
      <w:r w:rsidRPr="0031593F">
        <w:rPr>
          <w:rFonts w:ascii="Times New Roman" w:eastAsia="Calibri" w:hAnsi="Times New Roman"/>
          <w:sz w:val="24"/>
          <w:szCs w:val="24"/>
        </w:rPr>
        <w:t>4,75</w:t>
      </w:r>
      <w:r w:rsidRPr="0031593F">
        <w:rPr>
          <w:rFonts w:ascii="Times New Roman" w:hAnsi="Times New Roman"/>
          <w:bCs/>
          <w:sz w:val="24"/>
          <w:szCs w:val="24"/>
          <w:lang w:eastAsia="bg-BG"/>
        </w:rPr>
        <w:t xml:space="preserve"> ha) не отразява актуалното разпространение на местообитанието. </w:t>
      </w:r>
      <w:r w:rsidRPr="0031593F">
        <w:rPr>
          <w:rFonts w:ascii="Times New Roman" w:eastAsia="Calibri" w:hAnsi="Times New Roman"/>
          <w:sz w:val="24"/>
          <w:szCs w:val="24"/>
          <w:lang w:val="en-US"/>
        </w:rPr>
        <w:t>След критич</w:t>
      </w:r>
      <w:r w:rsidRPr="0031593F">
        <w:rPr>
          <w:rFonts w:ascii="Times New Roman" w:eastAsia="Calibri" w:hAnsi="Times New Roman"/>
          <w:sz w:val="24"/>
          <w:szCs w:val="24"/>
        </w:rPr>
        <w:t>на</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преценка</w:t>
      </w:r>
      <w:r w:rsidRPr="0031593F">
        <w:rPr>
          <w:rFonts w:ascii="Times New Roman" w:eastAsia="Calibri" w:hAnsi="Times New Roman"/>
          <w:sz w:val="24"/>
          <w:szCs w:val="24"/>
          <w:lang w:val="en-US"/>
        </w:rPr>
        <w:t xml:space="preserve"> на наличната информация е направено моделиране и определената при него стойност </w:t>
      </w:r>
      <w:r w:rsidRPr="0031593F">
        <w:rPr>
          <w:rFonts w:ascii="Times New Roman" w:hAnsi="Times New Roman"/>
          <w:bCs/>
          <w:sz w:val="24"/>
          <w:szCs w:val="24"/>
          <w:lang w:eastAsia="bg-BG"/>
        </w:rPr>
        <w:t>(</w:t>
      </w:r>
      <w:r w:rsidRPr="0031593F">
        <w:rPr>
          <w:rFonts w:ascii="Times New Roman" w:hAnsi="Times New Roman"/>
          <w:bCs/>
          <w:sz w:val="24"/>
          <w:szCs w:val="24"/>
          <w:lang w:val="en-US" w:eastAsia="bg-BG"/>
        </w:rPr>
        <w:t xml:space="preserve">2,5 </w:t>
      </w:r>
      <w:r w:rsidRPr="0031593F">
        <w:rPr>
          <w:rFonts w:ascii="Times New Roman" w:hAnsi="Times New Roman"/>
          <w:bCs/>
          <w:sz w:val="24"/>
          <w:szCs w:val="24"/>
          <w:lang w:eastAsia="bg-BG"/>
        </w:rPr>
        <w:t xml:space="preserve">ha) </w:t>
      </w:r>
      <w:r w:rsidRPr="0031593F">
        <w:rPr>
          <w:rFonts w:ascii="Times New Roman" w:eastAsia="Calibri" w:hAnsi="Times New Roman"/>
          <w:sz w:val="24"/>
          <w:szCs w:val="24"/>
          <w:lang w:val="en-US"/>
        </w:rPr>
        <w:t xml:space="preserve">е </w:t>
      </w:r>
      <w:r w:rsidRPr="0031593F">
        <w:rPr>
          <w:rFonts w:ascii="Times New Roman" w:eastAsia="Calibri" w:hAnsi="Times New Roman"/>
          <w:sz w:val="24"/>
          <w:szCs w:val="24"/>
        </w:rPr>
        <w:t>по-</w:t>
      </w:r>
      <w:r w:rsidRPr="0031593F">
        <w:rPr>
          <w:rFonts w:ascii="Times New Roman" w:eastAsia="Calibri" w:hAnsi="Times New Roman"/>
          <w:sz w:val="24"/>
          <w:szCs w:val="24"/>
          <w:lang w:val="en-US"/>
        </w:rPr>
        <w:t>подходяща да бъде приета за минимална, предвид дължината на бреговите ивици в защитената зона. Предлагаме тя да бъде приета за актуална и записана в СФ. Обективната оценка на потенциалната площ и разпространение на местообитанието трябва да се направи след специализирано проучване.</w:t>
      </w:r>
    </w:p>
    <w:p w:rsidR="0031593F" w:rsidRPr="0031593F" w:rsidRDefault="0031593F" w:rsidP="0031593F">
      <w:pPr>
        <w:spacing w:after="0" w:line="240" w:lineRule="auto"/>
        <w:ind w:firstLine="709"/>
        <w:contextualSpacing/>
        <w:jc w:val="both"/>
        <w:rPr>
          <w:rFonts w:ascii="Times New Roman" w:eastAsia="Calibri" w:hAnsi="Times New Roman"/>
          <w:sz w:val="24"/>
          <w:szCs w:val="24"/>
          <w:lang w:val="en-US"/>
        </w:rPr>
      </w:pPr>
      <w:r w:rsidRPr="0031593F">
        <w:rPr>
          <w:rFonts w:ascii="Times New Roman" w:eastAsia="Calibri" w:hAnsi="Times New Roman"/>
          <w:sz w:val="24"/>
          <w:szCs w:val="24"/>
          <w:lang w:val="en-US"/>
        </w:rPr>
        <w:t>Направени</w:t>
      </w:r>
      <w:r w:rsidRPr="0031593F">
        <w:rPr>
          <w:rFonts w:ascii="Times New Roman" w:eastAsia="Calibri" w:hAnsi="Times New Roman"/>
          <w:sz w:val="24"/>
          <w:szCs w:val="24"/>
        </w:rPr>
        <w:t xml:space="preserve"> са</w:t>
      </w:r>
      <w:r w:rsidRPr="0031593F">
        <w:rPr>
          <w:rFonts w:ascii="Times New Roman" w:eastAsia="Calibri" w:hAnsi="Times New Roman"/>
          <w:sz w:val="24"/>
          <w:szCs w:val="24"/>
          <w:lang w:val="en-US"/>
        </w:rPr>
        <w:t xml:space="preserve"> </w:t>
      </w:r>
      <w:r w:rsidRPr="0031593F">
        <w:rPr>
          <w:rFonts w:ascii="Times New Roman" w:hAnsi="Times New Roman"/>
          <w:bCs/>
          <w:sz w:val="24"/>
          <w:szCs w:val="24"/>
          <w:lang w:eastAsia="bg-BG"/>
        </w:rPr>
        <w:t>следните</w:t>
      </w:r>
      <w:r w:rsidRPr="0031593F">
        <w:rPr>
          <w:rFonts w:ascii="Times New Roman" w:eastAsia="Calibri" w:hAnsi="Times New Roman"/>
          <w:sz w:val="24"/>
          <w:szCs w:val="24"/>
          <w:lang w:val="en-US"/>
        </w:rPr>
        <w:t xml:space="preserve"> изводи за настоящото състояние на местообитанието, които са отразени в целите, представени в този документ:</w:t>
      </w:r>
    </w:p>
    <w:p w:rsidR="0031593F" w:rsidRPr="0031593F" w:rsidRDefault="0031593F" w:rsidP="0031593F">
      <w:pPr>
        <w:spacing w:after="0" w:line="240" w:lineRule="auto"/>
        <w:contextualSpacing/>
        <w:jc w:val="both"/>
        <w:rPr>
          <w:rFonts w:ascii="Times New Roman" w:eastAsia="Calibri" w:hAnsi="Times New Roman"/>
          <w:sz w:val="24"/>
          <w:szCs w:val="24"/>
          <w:lang w:val="en-US"/>
        </w:rPr>
      </w:pPr>
      <w:r w:rsidRPr="0031593F">
        <w:rPr>
          <w:rFonts w:ascii="Times New Roman" w:eastAsia="Calibri" w:hAnsi="Times New Roman"/>
          <w:sz w:val="24"/>
          <w:szCs w:val="24"/>
          <w:lang w:val="en-US"/>
        </w:rPr>
        <w:t>-</w:t>
      </w:r>
      <w:r w:rsidRPr="0031593F">
        <w:rPr>
          <w:rFonts w:ascii="Times New Roman" w:eastAsia="Calibri" w:hAnsi="Times New Roman"/>
          <w:sz w:val="24"/>
          <w:szCs w:val="24"/>
        </w:rPr>
        <w:t xml:space="preserve"> </w:t>
      </w:r>
      <w:r w:rsidRPr="0031593F">
        <w:rPr>
          <w:rFonts w:ascii="Times New Roman" w:eastAsia="Calibri" w:hAnsi="Times New Roman"/>
          <w:sz w:val="24"/>
          <w:szCs w:val="24"/>
          <w:lang w:val="en-US"/>
        </w:rPr>
        <w:t>Местообитанието се характеризира с присъствие на типичните видове растения, характерни на национално ниво.</w:t>
      </w:r>
    </w:p>
    <w:p w:rsidR="0031593F" w:rsidRPr="0031593F" w:rsidRDefault="0031593F" w:rsidP="0031593F">
      <w:pPr>
        <w:spacing w:after="0" w:line="240" w:lineRule="auto"/>
        <w:contextualSpacing/>
        <w:jc w:val="both"/>
        <w:rPr>
          <w:rFonts w:ascii="Times New Roman" w:eastAsia="Calibri" w:hAnsi="Times New Roman"/>
          <w:sz w:val="24"/>
          <w:szCs w:val="24"/>
        </w:rPr>
      </w:pPr>
      <w:r w:rsidRPr="0031593F">
        <w:rPr>
          <w:rFonts w:ascii="Times New Roman" w:eastAsia="Calibri" w:hAnsi="Times New Roman"/>
          <w:sz w:val="24"/>
          <w:szCs w:val="24"/>
          <w:lang w:val="en-US"/>
        </w:rPr>
        <w:t>-</w:t>
      </w:r>
      <w:r w:rsidRPr="0031593F">
        <w:rPr>
          <w:rFonts w:ascii="Times New Roman" w:eastAsia="Calibri" w:hAnsi="Times New Roman"/>
          <w:sz w:val="24"/>
          <w:szCs w:val="24"/>
        </w:rPr>
        <w:t xml:space="preserve"> П</w:t>
      </w:r>
      <w:r w:rsidRPr="0031593F">
        <w:rPr>
          <w:rFonts w:ascii="Times New Roman" w:eastAsia="Calibri" w:hAnsi="Times New Roman"/>
          <w:sz w:val="24"/>
          <w:szCs w:val="24"/>
          <w:lang w:val="en-US"/>
        </w:rPr>
        <w:t>оради режима на защитената територия (в границите на поддържан резерват „Сребърна“) не се наблюдават промени в хидрологичния му режим свързании с отводняване и водоползване.</w:t>
      </w:r>
    </w:p>
    <w:p w:rsidR="0031593F" w:rsidRPr="0031593F" w:rsidRDefault="0031593F" w:rsidP="0031593F">
      <w:pPr>
        <w:spacing w:after="0" w:line="240" w:lineRule="auto"/>
        <w:contextualSpacing/>
        <w:jc w:val="both"/>
        <w:rPr>
          <w:rFonts w:ascii="Times New Roman" w:eastAsia="Calibri" w:hAnsi="Times New Roman"/>
          <w:sz w:val="24"/>
          <w:szCs w:val="24"/>
        </w:rPr>
      </w:pPr>
    </w:p>
    <w:p w:rsidR="0031593F" w:rsidRPr="0031593F" w:rsidRDefault="0031593F" w:rsidP="0031593F">
      <w:pPr>
        <w:spacing w:after="0" w:line="240" w:lineRule="auto"/>
        <w:contextualSpacing/>
        <w:jc w:val="both"/>
        <w:rPr>
          <w:rFonts w:ascii="Times New Roman" w:eastAsia="Calibri" w:hAnsi="Times New Roman"/>
          <w:b/>
          <w:i/>
          <w:sz w:val="24"/>
          <w:szCs w:val="24"/>
          <w:lang w:val="en-US"/>
        </w:rPr>
      </w:pPr>
      <w:r w:rsidRPr="0031593F">
        <w:rPr>
          <w:rFonts w:ascii="Times New Roman" w:eastAsia="Calibri" w:hAnsi="Times New Roman"/>
          <w:b/>
          <w:sz w:val="24"/>
          <w:szCs w:val="24"/>
        </w:rPr>
        <w:t>6. Цели за подобряване/поддържане на природозащитното състояние на местообитанието в зоната</w:t>
      </w:r>
    </w:p>
    <w:p w:rsidR="0031593F" w:rsidRPr="0031593F" w:rsidRDefault="0031593F" w:rsidP="0031593F">
      <w:pPr>
        <w:spacing w:after="0" w:line="240" w:lineRule="auto"/>
        <w:ind w:firstLine="709"/>
        <w:rPr>
          <w:rFonts w:ascii="Times New Roman" w:eastAsia="Calibri" w:hAnsi="Times New Roman"/>
          <w:sz w:val="24"/>
          <w:szCs w:val="24"/>
        </w:rPr>
      </w:pPr>
      <w:r w:rsidRPr="0031593F">
        <w:rPr>
          <w:rFonts w:ascii="Times New Roman" w:eastAsia="Calibri" w:hAnsi="Times New Roman"/>
          <w:sz w:val="24"/>
          <w:szCs w:val="24"/>
        </w:rPr>
        <w:t>Целите са формулирани по параметри със съответни мерни единици и целеви стойности и са представени в таблицата по-долу.</w:t>
      </w:r>
    </w:p>
    <w:p w:rsidR="0031593F" w:rsidRPr="0031593F" w:rsidRDefault="0031593F" w:rsidP="0031593F">
      <w:pPr>
        <w:spacing w:after="0" w:line="240" w:lineRule="auto"/>
        <w:rPr>
          <w:rFonts w:ascii="Times New Roman" w:eastAsia="Calibri" w:hAnsi="Times New Roman"/>
          <w:sz w:val="24"/>
          <w:szCs w:val="24"/>
        </w:rPr>
      </w:pP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484"/>
        <w:gridCol w:w="2551"/>
        <w:gridCol w:w="2236"/>
      </w:tblGrid>
      <w:tr w:rsidR="0031593F" w:rsidRPr="0031593F" w:rsidTr="0031593F">
        <w:trPr>
          <w:tblHeader/>
          <w:jc w:val="center"/>
        </w:trPr>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Параметър</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Мерна единица</w:t>
            </w:r>
          </w:p>
        </w:tc>
        <w:tc>
          <w:tcPr>
            <w:tcW w:w="148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Целева стойност</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Допълнителна информация</w:t>
            </w:r>
          </w:p>
        </w:tc>
        <w:tc>
          <w:tcPr>
            <w:tcW w:w="2236" w:type="dxa"/>
            <w:tcBorders>
              <w:top w:val="single" w:sz="4" w:space="0" w:color="auto"/>
              <w:left w:val="single" w:sz="4" w:space="0" w:color="auto"/>
              <w:bottom w:val="single" w:sz="4" w:space="0" w:color="auto"/>
              <w:right w:val="single" w:sz="4" w:space="0" w:color="auto"/>
            </w:tcBorders>
            <w:shd w:val="clear" w:color="auto" w:fill="DBE5F1"/>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 xml:space="preserve">Специфични цели </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b/>
                <w:sz w:val="20"/>
                <w:szCs w:val="20"/>
                <w:lang w:val="en-US"/>
              </w:rPr>
            </w:pPr>
            <w:r w:rsidRPr="0031593F">
              <w:rPr>
                <w:rFonts w:ascii="Times New Roman" w:eastAsia="Calibri" w:hAnsi="Times New Roman"/>
                <w:b/>
                <w:sz w:val="20"/>
                <w:szCs w:val="20"/>
                <w:lang w:val="en-US"/>
              </w:rPr>
              <w:t>Площ</w:t>
            </w:r>
          </w:p>
        </w:tc>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Хектари</w:t>
            </w:r>
          </w:p>
        </w:tc>
        <w:tc>
          <w:tcPr>
            <w:tcW w:w="1484"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Най-малко 2,5 ha</w:t>
            </w:r>
          </w:p>
        </w:tc>
        <w:tc>
          <w:tcPr>
            <w:tcW w:w="255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Обективна оценка на потенциалната площ и разпространение на местообитанието трябва да се направи след специализирано проучване.</w:t>
            </w:r>
          </w:p>
        </w:tc>
        <w:tc>
          <w:tcPr>
            <w:tcW w:w="2236"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rPr>
            </w:pPr>
            <w:r w:rsidRPr="0031593F">
              <w:rPr>
                <w:rFonts w:ascii="Times New Roman" w:eastAsia="Calibri" w:hAnsi="Times New Roman"/>
                <w:noProof/>
                <w:sz w:val="20"/>
                <w:szCs w:val="20"/>
              </w:rPr>
              <w:t>Поддържане на площта – най-малко 2,5 ha.</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rPr>
                <w:rFonts w:ascii="Times New Roman" w:eastAsia="Calibri" w:hAnsi="Times New Roman"/>
                <w:b/>
                <w:sz w:val="20"/>
                <w:szCs w:val="20"/>
              </w:rPr>
            </w:pPr>
            <w:r w:rsidRPr="0031593F">
              <w:rPr>
                <w:rFonts w:ascii="Times New Roman" w:eastAsia="Calibri" w:hAnsi="Times New Roman"/>
                <w:b/>
                <w:sz w:val="20"/>
                <w:szCs w:val="20"/>
              </w:rPr>
              <w:t>Структура и функции: Присъствие на типични видове растения</w:t>
            </w:r>
          </w:p>
        </w:tc>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rPr>
                <w:rFonts w:ascii="Times New Roman" w:eastAsia="Calibri" w:hAnsi="Times New Roman"/>
                <w:sz w:val="20"/>
                <w:szCs w:val="20"/>
              </w:rPr>
            </w:pPr>
            <w:r w:rsidRPr="0031593F">
              <w:rPr>
                <w:rFonts w:ascii="Times New Roman" w:eastAsia="Calibri" w:hAnsi="Times New Roman"/>
                <w:sz w:val="20"/>
                <w:szCs w:val="20"/>
              </w:rPr>
              <w:t>Брой типични видове</w:t>
            </w:r>
          </w:p>
        </w:tc>
        <w:tc>
          <w:tcPr>
            <w:tcW w:w="1484"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rPr>
                <w:rFonts w:ascii="Times New Roman" w:eastAsia="Calibri" w:hAnsi="Times New Roman"/>
                <w:sz w:val="20"/>
                <w:szCs w:val="20"/>
              </w:rPr>
            </w:pPr>
            <w:r w:rsidRPr="0031593F">
              <w:rPr>
                <w:rFonts w:ascii="Times New Roman" w:eastAsia="Calibri" w:hAnsi="Times New Roman"/>
                <w:sz w:val="20"/>
                <w:szCs w:val="20"/>
              </w:rPr>
              <w:t xml:space="preserve">Най-малко 5 вида </w:t>
            </w:r>
          </w:p>
        </w:tc>
        <w:tc>
          <w:tcPr>
            <w:tcW w:w="255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rPr>
                <w:rFonts w:ascii="Times New Roman" w:eastAsia="Calibri" w:hAnsi="Times New Roman"/>
                <w:i/>
                <w:sz w:val="20"/>
                <w:szCs w:val="20"/>
              </w:rPr>
            </w:pPr>
            <w:r w:rsidRPr="0031593F">
              <w:rPr>
                <w:rFonts w:ascii="Times New Roman" w:eastAsia="Calibri" w:hAnsi="Times New Roman"/>
                <w:sz w:val="20"/>
                <w:szCs w:val="20"/>
              </w:rPr>
              <w:t xml:space="preserve">Типични видове: </w:t>
            </w:r>
            <w:r w:rsidRPr="0031593F">
              <w:rPr>
                <w:rFonts w:ascii="Times New Roman" w:eastAsia="Calibri" w:hAnsi="Times New Roman"/>
                <w:i/>
                <w:sz w:val="20"/>
                <w:szCs w:val="20"/>
              </w:rPr>
              <w:t xml:space="preserve">Xanthium italicum, Artemisia annua, Chenopodium </w:t>
            </w:r>
            <w:r w:rsidRPr="0031593F">
              <w:rPr>
                <w:rFonts w:ascii="Times New Roman" w:eastAsia="Calibri" w:hAnsi="Times New Roman"/>
                <w:i/>
                <w:sz w:val="20"/>
                <w:szCs w:val="20"/>
                <w:lang w:val="en-US"/>
              </w:rPr>
              <w:t>spp.,</w:t>
            </w:r>
            <w:r w:rsidRPr="0031593F">
              <w:rPr>
                <w:rFonts w:ascii="Times New Roman" w:eastAsia="Calibri" w:hAnsi="Times New Roman"/>
                <w:i/>
                <w:sz w:val="20"/>
                <w:szCs w:val="20"/>
              </w:rPr>
              <w:t xml:space="preserve"> Bidens </w:t>
            </w:r>
            <w:r w:rsidRPr="0031593F">
              <w:rPr>
                <w:rFonts w:ascii="Times New Roman" w:eastAsia="Calibri" w:hAnsi="Times New Roman"/>
                <w:i/>
                <w:sz w:val="20"/>
                <w:szCs w:val="20"/>
                <w:lang w:val="en-US"/>
              </w:rPr>
              <w:t xml:space="preserve">spp., </w:t>
            </w:r>
            <w:r w:rsidRPr="0031593F">
              <w:rPr>
                <w:rFonts w:ascii="Times New Roman" w:eastAsia="Calibri" w:hAnsi="Times New Roman"/>
                <w:i/>
                <w:sz w:val="20"/>
                <w:szCs w:val="20"/>
              </w:rPr>
              <w:t>Myosoton aquaticum,</w:t>
            </w:r>
            <w:r w:rsidRPr="0031593F">
              <w:rPr>
                <w:rFonts w:ascii="Times New Roman" w:eastAsia="Calibri" w:hAnsi="Times New Roman"/>
                <w:i/>
                <w:sz w:val="20"/>
                <w:szCs w:val="20"/>
                <w:lang w:val="en-US"/>
              </w:rPr>
              <w:t xml:space="preserve"> Mentha aquatica,</w:t>
            </w:r>
            <w:r w:rsidRPr="0031593F">
              <w:rPr>
                <w:rFonts w:ascii="Times New Roman" w:eastAsia="Calibri" w:hAnsi="Times New Roman"/>
                <w:i/>
                <w:sz w:val="20"/>
                <w:szCs w:val="20"/>
              </w:rPr>
              <w:t xml:space="preserve"> Persicaria spp., Potentilla supina, Echinochloa crus-gallii, Catabrosa aquatica, Ranunculus sceleratus, Rumex palustris, Rumex maritimus, Rumex conglomeratus, Veronica anaga</w:t>
            </w:r>
            <w:r w:rsidRPr="0031593F">
              <w:rPr>
                <w:rFonts w:ascii="Times New Roman" w:eastAsia="Calibri" w:hAnsi="Times New Roman"/>
                <w:i/>
                <w:sz w:val="20"/>
                <w:szCs w:val="20"/>
                <w:lang w:val="en-US"/>
              </w:rPr>
              <w:t>l</w:t>
            </w:r>
            <w:r w:rsidRPr="0031593F">
              <w:rPr>
                <w:rFonts w:ascii="Times New Roman" w:eastAsia="Calibri" w:hAnsi="Times New Roman"/>
                <w:i/>
                <w:sz w:val="20"/>
                <w:szCs w:val="20"/>
              </w:rPr>
              <w:t xml:space="preserve">lis-aquatica, Lythrum salicariа, Cyperus </w:t>
            </w:r>
            <w:r w:rsidRPr="0031593F">
              <w:rPr>
                <w:rFonts w:ascii="Times New Roman" w:eastAsia="Calibri" w:hAnsi="Times New Roman"/>
                <w:i/>
                <w:sz w:val="20"/>
                <w:szCs w:val="20"/>
                <w:lang w:val="en-US"/>
              </w:rPr>
              <w:t>spp</w:t>
            </w:r>
            <w:r w:rsidRPr="0031593F">
              <w:rPr>
                <w:rFonts w:ascii="Times New Roman" w:eastAsia="Calibri" w:hAnsi="Times New Roman"/>
                <w:i/>
                <w:sz w:val="20"/>
                <w:szCs w:val="20"/>
              </w:rPr>
              <w:t>.</w:t>
            </w:r>
          </w:p>
        </w:tc>
        <w:tc>
          <w:tcPr>
            <w:tcW w:w="2236"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rPr>
                <w:rFonts w:ascii="Times New Roman" w:eastAsia="Calibri" w:hAnsi="Times New Roman"/>
                <w:b/>
                <w:sz w:val="20"/>
                <w:szCs w:val="20"/>
              </w:rPr>
            </w:pPr>
            <w:r w:rsidRPr="0031593F">
              <w:rPr>
                <w:rFonts w:ascii="Times New Roman" w:eastAsia="Calibri" w:hAnsi="Times New Roman"/>
                <w:sz w:val="20"/>
                <w:szCs w:val="20"/>
              </w:rPr>
              <w:t>Поддържане на състоянието – присъстват поне 5 от типичните видове.</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b/>
                <w:sz w:val="20"/>
                <w:szCs w:val="20"/>
                <w:lang w:val="en-US"/>
              </w:rPr>
            </w:pPr>
            <w:r w:rsidRPr="0031593F">
              <w:rPr>
                <w:rFonts w:ascii="Times New Roman" w:eastAsia="Calibri" w:hAnsi="Times New Roman"/>
                <w:b/>
                <w:sz w:val="20"/>
                <w:szCs w:val="20"/>
                <w:lang w:val="en-US"/>
              </w:rPr>
              <w:t xml:space="preserve">Структура и функции: Промени в </w:t>
            </w:r>
            <w:r w:rsidRPr="0031593F">
              <w:rPr>
                <w:rFonts w:ascii="Times New Roman" w:eastAsia="Calibri" w:hAnsi="Times New Roman"/>
                <w:b/>
                <w:sz w:val="20"/>
                <w:szCs w:val="20"/>
                <w:lang w:val="en-US"/>
              </w:rPr>
              <w:lastRenderedPageBreak/>
              <w:t>хидрологичния режим свързани с отводняване и водоползване</w:t>
            </w:r>
          </w:p>
        </w:tc>
        <w:tc>
          <w:tcPr>
            <w:tcW w:w="170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lastRenderedPageBreak/>
              <w:t xml:space="preserve">Наличие/ липса на отводнителни съоръжения и </w:t>
            </w:r>
            <w:r w:rsidRPr="0031593F">
              <w:rPr>
                <w:rFonts w:ascii="Times New Roman" w:eastAsia="Calibri" w:hAnsi="Times New Roman"/>
                <w:sz w:val="20"/>
                <w:szCs w:val="20"/>
                <w:lang w:val="en-US"/>
              </w:rPr>
              <w:lastRenderedPageBreak/>
              <w:t>водоползвания</w:t>
            </w:r>
          </w:p>
        </w:tc>
        <w:tc>
          <w:tcPr>
            <w:tcW w:w="1484"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lastRenderedPageBreak/>
              <w:t xml:space="preserve">Няма нови отводнителни съоръжения и </w:t>
            </w:r>
            <w:r w:rsidRPr="0031593F">
              <w:rPr>
                <w:rFonts w:ascii="Times New Roman" w:eastAsia="Calibri" w:hAnsi="Times New Roman"/>
                <w:sz w:val="20"/>
                <w:szCs w:val="20"/>
                <w:lang w:val="en-US"/>
              </w:rPr>
              <w:lastRenderedPageBreak/>
              <w:t>водоползвания.</w:t>
            </w:r>
          </w:p>
        </w:tc>
        <w:tc>
          <w:tcPr>
            <w:tcW w:w="255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p>
        </w:tc>
        <w:tc>
          <w:tcPr>
            <w:tcW w:w="2236"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 xml:space="preserve">Поддържане на състоянието – липса на нови дейности, </w:t>
            </w:r>
            <w:r w:rsidRPr="0031593F">
              <w:rPr>
                <w:rFonts w:ascii="Times New Roman" w:eastAsia="Calibri" w:hAnsi="Times New Roman"/>
                <w:sz w:val="20"/>
                <w:szCs w:val="20"/>
                <w:lang w:val="en-US"/>
              </w:rPr>
              <w:lastRenderedPageBreak/>
              <w:t>свързани с негативни промени на хидрологичния режим.</w:t>
            </w:r>
          </w:p>
        </w:tc>
      </w:tr>
    </w:tbl>
    <w:p w:rsidR="0031593F" w:rsidRPr="0031593F" w:rsidRDefault="0031593F" w:rsidP="0031593F">
      <w:pPr>
        <w:spacing w:after="0" w:line="240" w:lineRule="auto"/>
        <w:jc w:val="both"/>
        <w:rPr>
          <w:rFonts w:ascii="Times New Roman" w:eastAsia="Calibri" w:hAnsi="Times New Roman"/>
          <w:sz w:val="24"/>
          <w:szCs w:val="24"/>
          <w:highlight w:val="yellow"/>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7. Необходимост от актуализация на СФ на защитената зона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Въз основа на събраната информация е необходима промян</w:t>
      </w:r>
      <w:r w:rsidRPr="0031593F">
        <w:rPr>
          <w:rFonts w:ascii="Times New Roman" w:eastAsia="Calibri" w:hAnsi="Times New Roman"/>
          <w:sz w:val="24"/>
          <w:szCs w:val="24"/>
          <w:lang w:val="en-US"/>
        </w:rPr>
        <w:t>a</w:t>
      </w:r>
      <w:r w:rsidRPr="0031593F">
        <w:rPr>
          <w:rFonts w:ascii="Times New Roman" w:eastAsia="Calibri" w:hAnsi="Times New Roman"/>
          <w:sz w:val="24"/>
          <w:szCs w:val="24"/>
        </w:rPr>
        <w:t xml:space="preserve"> в стандартния формуляр на защитената зона. Освен площта са променени представителността от А на В, а степента на опазване е повишена на А, поради наличието на строго защитена територия – поддържан резерват.</w:t>
      </w:r>
    </w:p>
    <w:p w:rsidR="0031593F" w:rsidRPr="0031593F" w:rsidRDefault="0031593F" w:rsidP="0031593F">
      <w:pPr>
        <w:rPr>
          <w:rFonts w:ascii="Times New Roman" w:eastAsia="Calibri" w:hAnsi="Times New Roman"/>
          <w:sz w:val="24"/>
          <w:szCs w:val="24"/>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567"/>
        <w:gridCol w:w="567"/>
        <w:gridCol w:w="851"/>
        <w:gridCol w:w="1134"/>
        <w:gridCol w:w="1134"/>
        <w:gridCol w:w="1842"/>
        <w:gridCol w:w="993"/>
        <w:gridCol w:w="1559"/>
        <w:gridCol w:w="850"/>
      </w:tblGrid>
      <w:tr w:rsidR="0031593F" w:rsidRPr="0031593F" w:rsidTr="0031593F">
        <w:tc>
          <w:tcPr>
            <w:tcW w:w="4957" w:type="dxa"/>
            <w:gridSpan w:val="6"/>
            <w:shd w:val="clear" w:color="auto" w:fill="D9D9D9"/>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Annex I Habitat types</w:t>
            </w:r>
          </w:p>
        </w:tc>
        <w:tc>
          <w:tcPr>
            <w:tcW w:w="5244" w:type="dxa"/>
            <w:gridSpan w:val="4"/>
            <w:shd w:val="clear" w:color="auto" w:fill="D9D9D9"/>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Site assessment</w:t>
            </w:r>
          </w:p>
        </w:tc>
      </w:tr>
      <w:tr w:rsidR="0031593F" w:rsidRPr="0031593F" w:rsidTr="0031593F">
        <w:tc>
          <w:tcPr>
            <w:tcW w:w="70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Code</w:t>
            </w:r>
          </w:p>
        </w:tc>
        <w:tc>
          <w:tcPr>
            <w:tcW w:w="567"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PF</w:t>
            </w:r>
          </w:p>
        </w:tc>
        <w:tc>
          <w:tcPr>
            <w:tcW w:w="567"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NP</w:t>
            </w:r>
          </w:p>
        </w:tc>
        <w:tc>
          <w:tcPr>
            <w:tcW w:w="851"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Cover (ha)</w:t>
            </w:r>
          </w:p>
        </w:tc>
        <w:tc>
          <w:tcPr>
            <w:tcW w:w="113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Cave (number)</w:t>
            </w:r>
          </w:p>
        </w:tc>
        <w:tc>
          <w:tcPr>
            <w:tcW w:w="113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Data quality</w:t>
            </w:r>
          </w:p>
        </w:tc>
        <w:tc>
          <w:tcPr>
            <w:tcW w:w="1842"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A/B/C/D</w:t>
            </w:r>
          </w:p>
        </w:tc>
        <w:tc>
          <w:tcPr>
            <w:tcW w:w="3402" w:type="dxa"/>
            <w:gridSpan w:val="3"/>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A/B/C</w:t>
            </w:r>
          </w:p>
        </w:tc>
      </w:tr>
      <w:tr w:rsidR="0031593F" w:rsidRPr="0031593F" w:rsidTr="0031593F">
        <w:tc>
          <w:tcPr>
            <w:tcW w:w="704" w:type="dxa"/>
          </w:tcPr>
          <w:p w:rsidR="0031593F" w:rsidRPr="0031593F" w:rsidRDefault="0031593F" w:rsidP="0031593F">
            <w:pPr>
              <w:rPr>
                <w:rFonts w:ascii="Times New Roman" w:hAnsi="Times New Roman"/>
                <w:noProof/>
                <w:color w:val="000000"/>
                <w:position w:val="-1"/>
                <w:sz w:val="20"/>
                <w:szCs w:val="20"/>
              </w:rPr>
            </w:pPr>
          </w:p>
        </w:tc>
        <w:tc>
          <w:tcPr>
            <w:tcW w:w="567" w:type="dxa"/>
          </w:tcPr>
          <w:p w:rsidR="0031593F" w:rsidRPr="0031593F" w:rsidRDefault="0031593F" w:rsidP="0031593F">
            <w:pPr>
              <w:rPr>
                <w:rFonts w:ascii="Times New Roman" w:hAnsi="Times New Roman"/>
                <w:noProof/>
                <w:color w:val="000000"/>
                <w:position w:val="-1"/>
                <w:sz w:val="20"/>
                <w:szCs w:val="20"/>
              </w:rPr>
            </w:pPr>
          </w:p>
        </w:tc>
        <w:tc>
          <w:tcPr>
            <w:tcW w:w="567" w:type="dxa"/>
          </w:tcPr>
          <w:p w:rsidR="0031593F" w:rsidRPr="0031593F" w:rsidRDefault="0031593F" w:rsidP="0031593F">
            <w:pPr>
              <w:rPr>
                <w:rFonts w:ascii="Times New Roman" w:hAnsi="Times New Roman"/>
                <w:noProof/>
                <w:color w:val="000000"/>
                <w:position w:val="-1"/>
                <w:sz w:val="20"/>
                <w:szCs w:val="20"/>
              </w:rPr>
            </w:pPr>
          </w:p>
        </w:tc>
        <w:tc>
          <w:tcPr>
            <w:tcW w:w="851" w:type="dxa"/>
          </w:tcPr>
          <w:p w:rsidR="0031593F" w:rsidRPr="0031593F" w:rsidRDefault="0031593F" w:rsidP="0031593F">
            <w:pPr>
              <w:rPr>
                <w:rFonts w:ascii="Times New Roman" w:hAnsi="Times New Roman"/>
                <w:noProof/>
                <w:color w:val="000000"/>
                <w:position w:val="-1"/>
                <w:sz w:val="20"/>
                <w:szCs w:val="20"/>
              </w:rPr>
            </w:pPr>
          </w:p>
        </w:tc>
        <w:tc>
          <w:tcPr>
            <w:tcW w:w="1134" w:type="dxa"/>
          </w:tcPr>
          <w:p w:rsidR="0031593F" w:rsidRPr="0031593F" w:rsidRDefault="0031593F" w:rsidP="0031593F">
            <w:pPr>
              <w:rPr>
                <w:rFonts w:ascii="Times New Roman" w:hAnsi="Times New Roman"/>
                <w:noProof/>
                <w:color w:val="000000"/>
                <w:position w:val="-1"/>
                <w:sz w:val="20"/>
                <w:szCs w:val="20"/>
              </w:rPr>
            </w:pPr>
          </w:p>
        </w:tc>
        <w:tc>
          <w:tcPr>
            <w:tcW w:w="1134" w:type="dxa"/>
          </w:tcPr>
          <w:p w:rsidR="0031593F" w:rsidRPr="0031593F" w:rsidRDefault="0031593F" w:rsidP="0031593F">
            <w:pPr>
              <w:rPr>
                <w:rFonts w:ascii="Times New Roman" w:hAnsi="Times New Roman"/>
                <w:noProof/>
                <w:color w:val="000000"/>
                <w:position w:val="-1"/>
                <w:sz w:val="20"/>
                <w:szCs w:val="20"/>
              </w:rPr>
            </w:pPr>
          </w:p>
        </w:tc>
        <w:tc>
          <w:tcPr>
            <w:tcW w:w="1842"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Representativity</w:t>
            </w:r>
          </w:p>
        </w:tc>
        <w:tc>
          <w:tcPr>
            <w:tcW w:w="993"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Relative Surface</w:t>
            </w:r>
          </w:p>
        </w:tc>
        <w:tc>
          <w:tcPr>
            <w:tcW w:w="1559"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Conservation</w:t>
            </w:r>
          </w:p>
        </w:tc>
        <w:tc>
          <w:tcPr>
            <w:tcW w:w="850"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Global</w:t>
            </w:r>
          </w:p>
        </w:tc>
      </w:tr>
      <w:tr w:rsidR="0031593F" w:rsidRPr="0031593F" w:rsidTr="0031593F">
        <w:tc>
          <w:tcPr>
            <w:tcW w:w="704" w:type="dxa"/>
          </w:tcPr>
          <w:p w:rsidR="0031593F" w:rsidRPr="0031593F" w:rsidRDefault="0031593F" w:rsidP="0031593F">
            <w:pPr>
              <w:rPr>
                <w:rFonts w:ascii="Times New Roman" w:eastAsia="Calibri" w:hAnsi="Times New Roman"/>
                <w:b/>
                <w:sz w:val="20"/>
                <w:szCs w:val="20"/>
              </w:rPr>
            </w:pPr>
            <w:r w:rsidRPr="0031593F">
              <w:rPr>
                <w:rFonts w:ascii="Times New Roman" w:eastAsia="Calibri" w:hAnsi="Times New Roman"/>
                <w:b/>
                <w:sz w:val="20"/>
                <w:szCs w:val="20"/>
              </w:rPr>
              <w:t>3270</w:t>
            </w:r>
          </w:p>
        </w:tc>
        <w:tc>
          <w:tcPr>
            <w:tcW w:w="567" w:type="dxa"/>
          </w:tcPr>
          <w:p w:rsidR="0031593F" w:rsidRPr="0031593F" w:rsidRDefault="0031593F" w:rsidP="0031593F">
            <w:pPr>
              <w:rPr>
                <w:rFonts w:ascii="Times New Roman" w:eastAsia="Calibri" w:hAnsi="Times New Roman"/>
                <w:b/>
                <w:sz w:val="20"/>
                <w:szCs w:val="20"/>
                <w:lang w:val="en-US"/>
              </w:rPr>
            </w:pPr>
          </w:p>
        </w:tc>
        <w:tc>
          <w:tcPr>
            <w:tcW w:w="567" w:type="dxa"/>
          </w:tcPr>
          <w:p w:rsidR="0031593F" w:rsidRPr="0031593F" w:rsidRDefault="0031593F" w:rsidP="0031593F">
            <w:pPr>
              <w:rPr>
                <w:rFonts w:ascii="Times New Roman" w:eastAsia="Calibri" w:hAnsi="Times New Roman"/>
                <w:b/>
                <w:sz w:val="20"/>
                <w:szCs w:val="20"/>
                <w:lang w:val="en-US"/>
              </w:rPr>
            </w:pPr>
          </w:p>
        </w:tc>
        <w:tc>
          <w:tcPr>
            <w:tcW w:w="851" w:type="dxa"/>
          </w:tcPr>
          <w:p w:rsidR="0031593F" w:rsidRPr="0031593F" w:rsidRDefault="0031593F" w:rsidP="0031593F">
            <w:pPr>
              <w:rPr>
                <w:rFonts w:ascii="Times New Roman" w:eastAsia="Calibri" w:hAnsi="Times New Roman"/>
                <w:b/>
                <w:sz w:val="20"/>
                <w:szCs w:val="20"/>
              </w:rPr>
            </w:pPr>
            <w:r w:rsidRPr="0031593F">
              <w:rPr>
                <w:rFonts w:ascii="Times New Roman" w:eastAsia="Calibri" w:hAnsi="Times New Roman"/>
                <w:b/>
                <w:color w:val="FF0000"/>
                <w:sz w:val="20"/>
                <w:szCs w:val="20"/>
              </w:rPr>
              <w:t>2,5</w:t>
            </w:r>
          </w:p>
        </w:tc>
        <w:tc>
          <w:tcPr>
            <w:tcW w:w="1134" w:type="dxa"/>
          </w:tcPr>
          <w:p w:rsidR="0031593F" w:rsidRPr="0031593F" w:rsidRDefault="0031593F" w:rsidP="0031593F">
            <w:pPr>
              <w:rPr>
                <w:rFonts w:ascii="Times New Roman" w:eastAsia="Calibri" w:hAnsi="Times New Roman"/>
                <w:b/>
                <w:sz w:val="20"/>
                <w:szCs w:val="20"/>
                <w:lang w:val="en-US"/>
              </w:rPr>
            </w:pPr>
          </w:p>
        </w:tc>
        <w:tc>
          <w:tcPr>
            <w:tcW w:w="1134"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G</w:t>
            </w:r>
          </w:p>
        </w:tc>
        <w:tc>
          <w:tcPr>
            <w:tcW w:w="1842" w:type="dxa"/>
          </w:tcPr>
          <w:p w:rsidR="0031593F" w:rsidRPr="0031593F" w:rsidRDefault="0031593F" w:rsidP="0031593F">
            <w:pPr>
              <w:rPr>
                <w:rFonts w:ascii="Times New Roman" w:eastAsia="Calibri" w:hAnsi="Times New Roman"/>
                <w:b/>
              </w:rPr>
            </w:pPr>
            <w:r w:rsidRPr="0031593F">
              <w:rPr>
                <w:rFonts w:ascii="Times New Roman" w:eastAsia="Calibri" w:hAnsi="Times New Roman"/>
                <w:b/>
                <w:color w:val="FF0000"/>
              </w:rPr>
              <w:t>В</w:t>
            </w:r>
          </w:p>
        </w:tc>
        <w:tc>
          <w:tcPr>
            <w:tcW w:w="993"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C</w:t>
            </w:r>
          </w:p>
        </w:tc>
        <w:tc>
          <w:tcPr>
            <w:tcW w:w="1559" w:type="dxa"/>
          </w:tcPr>
          <w:p w:rsidR="0031593F" w:rsidRPr="0031593F" w:rsidRDefault="0031593F" w:rsidP="0031593F">
            <w:pPr>
              <w:rPr>
                <w:rFonts w:ascii="Times New Roman" w:eastAsia="Calibri" w:hAnsi="Times New Roman"/>
                <w:b/>
              </w:rPr>
            </w:pPr>
            <w:r w:rsidRPr="0031593F">
              <w:rPr>
                <w:rFonts w:ascii="Times New Roman" w:eastAsia="Calibri" w:hAnsi="Times New Roman"/>
                <w:b/>
                <w:color w:val="FF0000"/>
              </w:rPr>
              <w:t>А</w:t>
            </w:r>
          </w:p>
        </w:tc>
        <w:tc>
          <w:tcPr>
            <w:tcW w:w="850"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B</w:t>
            </w:r>
          </w:p>
        </w:tc>
      </w:tr>
    </w:tbl>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sz w:val="24"/>
          <w:szCs w:val="24"/>
        </w:rPr>
        <w:t>Забележка: промените са отбелязани в червено.</w:t>
      </w:r>
    </w:p>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8. Цитирана литература</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Министерство на околната среда и водите (МОСВ). Информационна система за защитени зони от екологична мрежа Натура 2000. http://natura2000.moew.government.bg/Home/Natura2000ProtectedSites. Последно посетен на 15.1</w:t>
      </w:r>
      <w:r w:rsidRPr="0031593F">
        <w:rPr>
          <w:rFonts w:ascii="Times New Roman" w:eastAsia="Calibri" w:hAnsi="Times New Roman"/>
          <w:sz w:val="24"/>
          <w:szCs w:val="24"/>
          <w:lang w:val="en-US"/>
        </w:rPr>
        <w:t>1</w:t>
      </w:r>
      <w:r w:rsidRPr="0031593F">
        <w:rPr>
          <w:rFonts w:ascii="Times New Roman" w:eastAsia="Calibri" w:hAnsi="Times New Roman"/>
          <w:sz w:val="24"/>
          <w:szCs w:val="24"/>
        </w:rPr>
        <w:t xml:space="preserve">.2021. </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Актуализиран план за управление на поддържан резерват „Сребърна“ (2016-2025 г.). 2014 г. Оперативна програма „Околна среда“ (2007-2013). МОСВ – РИОСВ Русе.</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 xml:space="preserve">Цонев, Р. 2009. 3270 Реки с кални брегове с </w:t>
      </w:r>
      <w:r w:rsidRPr="0031593F">
        <w:rPr>
          <w:rFonts w:ascii="Times New Roman" w:eastAsia="Calibri" w:hAnsi="Times New Roman"/>
          <w:i/>
          <w:sz w:val="24"/>
          <w:szCs w:val="24"/>
        </w:rPr>
        <w:t>Chenopodion rubri</w:t>
      </w:r>
      <w:r w:rsidRPr="0031593F">
        <w:rPr>
          <w:rFonts w:ascii="Times New Roman" w:eastAsia="Calibri" w:hAnsi="Times New Roman"/>
          <w:sz w:val="24"/>
          <w:szCs w:val="24"/>
        </w:rPr>
        <w:t xml:space="preserve"> и </w:t>
      </w:r>
      <w:r w:rsidRPr="0031593F">
        <w:rPr>
          <w:rFonts w:ascii="Times New Roman" w:eastAsia="Calibri" w:hAnsi="Times New Roman"/>
          <w:i/>
          <w:sz w:val="24"/>
          <w:szCs w:val="24"/>
        </w:rPr>
        <w:t xml:space="preserve">Bidention </w:t>
      </w:r>
      <w:r w:rsidRPr="0031593F">
        <w:rPr>
          <w:rFonts w:ascii="Times New Roman" w:eastAsia="Calibri" w:hAnsi="Times New Roman"/>
          <w:sz w:val="24"/>
          <w:szCs w:val="24"/>
        </w:rPr>
        <w:t>p.p.– В: Зингстра, Х., Ковачев, А., Китнаес, К., Цонев, Р., Димова, Д., Цветков, П. (ред.).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93-96.</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Цонев, Р. 2015. 21С3 Кални речни брегове с полурудерални съобщества от високи едногодишни хигрофити. - В: Бисерков В., Гусев Ч., Попов В., Хибаум Г., Русакова, В., Пандурски И., Узунов Й., Димитров М., Цонев Р., Цонева С. (ред.). Червена книга на Република България, Том 3. Природни местообитания”. ИБЕИ–БАН &amp; МОСВ, София, 458 стр..</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 xml:space="preserve">European commission. The State of Nature in the EU – Article 17 reporting. </w:t>
      </w:r>
      <w:hyperlink r:id="rId13" w:history="1">
        <w:r w:rsidRPr="0031593F">
          <w:rPr>
            <w:rFonts w:ascii="Times New Roman" w:eastAsia="Calibri" w:hAnsi="Times New Roman"/>
            <w:color w:val="0563C1"/>
            <w:sz w:val="24"/>
            <w:szCs w:val="24"/>
            <w:u w:val="single"/>
          </w:rPr>
          <w:t>https://ec.europa.eu/environment/nature/knowledge/rep_habitats/index_en.htm. Last visited on 15.1</w:t>
        </w:r>
        <w:r w:rsidRPr="0031593F">
          <w:rPr>
            <w:rFonts w:ascii="Times New Roman" w:eastAsia="Calibri" w:hAnsi="Times New Roman"/>
            <w:color w:val="0563C1"/>
            <w:sz w:val="24"/>
            <w:szCs w:val="24"/>
            <w:u w:val="single"/>
            <w:lang w:val="en-US"/>
          </w:rPr>
          <w:t>1</w:t>
        </w:r>
        <w:r w:rsidRPr="0031593F">
          <w:rPr>
            <w:rFonts w:ascii="Times New Roman" w:eastAsia="Calibri" w:hAnsi="Times New Roman"/>
            <w:color w:val="0563C1"/>
            <w:sz w:val="24"/>
            <w:szCs w:val="24"/>
            <w:u w:val="single"/>
          </w:rPr>
          <w:t>.2021</w:t>
        </w:r>
      </w:hyperlink>
      <w:r w:rsidRPr="0031593F">
        <w:rPr>
          <w:rFonts w:ascii="Times New Roman" w:eastAsia="Calibri" w:hAnsi="Times New Roman"/>
          <w:sz w:val="24"/>
          <w:szCs w:val="24"/>
          <w:lang w:val="en-US"/>
        </w:rPr>
        <w:t>.</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lang w:val="en-US"/>
        </w:rPr>
      </w:pPr>
      <w:r w:rsidRPr="0031593F">
        <w:rPr>
          <w:rFonts w:ascii="Times New Roman" w:eastAsia="Calibri" w:hAnsi="Times New Roman"/>
          <w:i/>
          <w:noProof/>
          <w:sz w:val="24"/>
          <w:szCs w:val="24"/>
          <w:lang w:val="en-US"/>
        </w:rPr>
        <w:t>Автори на текста</w:t>
      </w:r>
      <w:r w:rsidRPr="0031593F">
        <w:rPr>
          <w:rFonts w:ascii="Times New Roman" w:eastAsia="Calibri" w:hAnsi="Times New Roman"/>
          <w:noProof/>
          <w:sz w:val="24"/>
          <w:szCs w:val="24"/>
          <w:lang w:val="en-US"/>
        </w:rPr>
        <w:t>: Росен Цонев, Чавдар Гусев, Валери Георгиев, Соня Цонева</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40" w:lineRule="auto"/>
        <w:jc w:val="center"/>
        <w:outlineLvl w:val="1"/>
        <w:rPr>
          <w:rFonts w:ascii="Times New Roman" w:eastAsia="Calibri" w:hAnsi="Times New Roman"/>
          <w:noProof/>
          <w:color w:val="1F497D"/>
          <w:sz w:val="28"/>
          <w:szCs w:val="28"/>
        </w:rPr>
      </w:pPr>
      <w:bookmarkStart w:id="5" w:name="_Toc98838525"/>
      <w:r w:rsidRPr="0031593F">
        <w:rPr>
          <w:rFonts w:ascii="Times New Roman" w:eastAsia="Calibri" w:hAnsi="Times New Roman"/>
          <w:noProof/>
          <w:color w:val="1F497D"/>
          <w:sz w:val="28"/>
          <w:szCs w:val="28"/>
        </w:rPr>
        <w:lastRenderedPageBreak/>
        <w:t>Природно местообитание 6250 * Панонски льосови степни тревни съобщества</w:t>
      </w:r>
      <w:bookmarkEnd w:id="5"/>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b/>
          <w:sz w:val="24"/>
          <w:szCs w:val="24"/>
        </w:rPr>
        <w:t xml:space="preserve">1. Код и наименование на типа местообитание: </w:t>
      </w:r>
      <w:r w:rsidRPr="0031593F">
        <w:rPr>
          <w:rFonts w:ascii="Times New Roman" w:hAnsi="Times New Roman"/>
          <w:bCs/>
          <w:sz w:val="24"/>
          <w:szCs w:val="24"/>
          <w:lang w:eastAsia="bg-BG"/>
        </w:rPr>
        <w:t>6250 *</w:t>
      </w:r>
      <w:r w:rsidRPr="0031593F">
        <w:rPr>
          <w:rFonts w:ascii="Times New Roman" w:hAnsi="Times New Roman"/>
          <w:bCs/>
          <w:sz w:val="24"/>
          <w:szCs w:val="24"/>
          <w:lang w:val="en-US" w:eastAsia="bg-BG"/>
        </w:rPr>
        <w:t xml:space="preserve"> </w:t>
      </w:r>
      <w:r w:rsidRPr="0031593F">
        <w:rPr>
          <w:rFonts w:ascii="Times New Roman" w:hAnsi="Times New Roman"/>
          <w:bCs/>
          <w:sz w:val="24"/>
          <w:szCs w:val="24"/>
          <w:lang w:eastAsia="bg-BG"/>
        </w:rPr>
        <w:t>Панонски льосови степни тревни съобщества</w:t>
      </w:r>
    </w:p>
    <w:p w:rsidR="0031593F" w:rsidRPr="0031593F" w:rsidRDefault="0031593F" w:rsidP="0031593F">
      <w:pPr>
        <w:spacing w:after="0" w:line="240" w:lineRule="auto"/>
        <w:jc w:val="both"/>
        <w:rPr>
          <w:rFonts w:ascii="Times New Roman" w:eastAsia="Calibri" w:hAnsi="Times New Roman"/>
          <w:sz w:val="24"/>
          <w:szCs w:val="24"/>
          <w:highlight w:val="yellow"/>
        </w:rPr>
      </w:pPr>
    </w:p>
    <w:p w:rsidR="0031593F" w:rsidRPr="0031593F" w:rsidRDefault="0031593F" w:rsidP="0031593F">
      <w:pPr>
        <w:spacing w:after="0" w:line="240" w:lineRule="auto"/>
        <w:rPr>
          <w:rFonts w:ascii="Times New Roman" w:eastAsia="Calibri" w:hAnsi="Times New Roman"/>
          <w:b/>
          <w:sz w:val="24"/>
          <w:szCs w:val="24"/>
        </w:rPr>
      </w:pPr>
      <w:r w:rsidRPr="0031593F">
        <w:rPr>
          <w:rFonts w:ascii="Times New Roman" w:eastAsia="Calibri" w:hAnsi="Times New Roman"/>
          <w:b/>
          <w:sz w:val="24"/>
          <w:szCs w:val="24"/>
        </w:rPr>
        <w:t>2. Кратка характеристика на целевия обект</w:t>
      </w:r>
    </w:p>
    <w:p w:rsidR="0031593F" w:rsidRPr="0031593F" w:rsidRDefault="0031593F" w:rsidP="0031593F">
      <w:pPr>
        <w:spacing w:after="0" w:line="240" w:lineRule="auto"/>
        <w:ind w:firstLine="709"/>
        <w:jc w:val="both"/>
        <w:rPr>
          <w:rFonts w:ascii="Times New Roman" w:eastAsia="Calibri" w:hAnsi="Times New Roman"/>
          <w:sz w:val="24"/>
          <w:szCs w:val="24"/>
          <w:lang w:val="en-US"/>
        </w:rPr>
      </w:pPr>
      <w:r w:rsidRPr="0031593F">
        <w:rPr>
          <w:rFonts w:ascii="Times New Roman" w:eastAsia="Calibri" w:hAnsi="Times New Roman"/>
          <w:sz w:val="24"/>
          <w:szCs w:val="24"/>
          <w:lang w:val="en-US"/>
        </w:rPr>
        <w:t xml:space="preserve">Местообитанието представлява затворени тревни съобщества, които се срещат по възвишенията в северната част на Дунавската равнина, в районите с типичен (прахов) льос. В зависимост от мощността на почвата и степента на ерозия могат да бъдат наблюдавани различни льосови степни ценози, доминирани предимно от житни треви. На най-богатите и слабо ерозирали почви преобладават гъстотуфести и затворени тревни съобщества с основни видове </w:t>
      </w:r>
      <w:r w:rsidRPr="0031593F">
        <w:rPr>
          <w:rFonts w:ascii="Times New Roman" w:eastAsia="Calibri" w:hAnsi="Times New Roman"/>
          <w:i/>
          <w:sz w:val="24"/>
          <w:szCs w:val="24"/>
          <w:lang w:val="en-US"/>
        </w:rPr>
        <w:t xml:space="preserve">Chrysopogon gryllus </w:t>
      </w:r>
      <w:r w:rsidRPr="0031593F">
        <w:rPr>
          <w:rFonts w:ascii="Times New Roman" w:eastAsia="Calibri" w:hAnsi="Times New Roman"/>
          <w:sz w:val="24"/>
          <w:szCs w:val="24"/>
          <w:lang w:val="en-US"/>
        </w:rPr>
        <w:t xml:space="preserve">(асоциация </w:t>
      </w:r>
      <w:r w:rsidRPr="0031593F">
        <w:rPr>
          <w:rFonts w:ascii="Times New Roman" w:eastAsia="Calibri" w:hAnsi="Times New Roman"/>
          <w:i/>
          <w:sz w:val="24"/>
          <w:szCs w:val="24"/>
          <w:lang w:val="en-US"/>
        </w:rPr>
        <w:t>Thymo urumovii–Chrysopogonetum</w:t>
      </w:r>
      <w:r w:rsidRPr="0031593F">
        <w:rPr>
          <w:rFonts w:ascii="Times New Roman" w:eastAsia="Calibri" w:hAnsi="Times New Roman"/>
          <w:sz w:val="24"/>
          <w:szCs w:val="24"/>
          <w:lang w:val="en-US"/>
        </w:rPr>
        <w:t xml:space="preserve">), </w:t>
      </w:r>
      <w:r w:rsidRPr="0031593F">
        <w:rPr>
          <w:rFonts w:ascii="Times New Roman" w:eastAsia="Calibri" w:hAnsi="Times New Roman"/>
          <w:i/>
          <w:sz w:val="24"/>
          <w:szCs w:val="24"/>
          <w:lang w:val="en-US"/>
        </w:rPr>
        <w:t>Festuca valesiaca</w:t>
      </w:r>
      <w:r w:rsidRPr="0031593F">
        <w:rPr>
          <w:rFonts w:ascii="Times New Roman" w:eastAsia="Calibri" w:hAnsi="Times New Roman"/>
          <w:sz w:val="24"/>
          <w:szCs w:val="24"/>
          <w:lang w:val="en-US"/>
        </w:rPr>
        <w:t xml:space="preserve">, </w:t>
      </w:r>
      <w:r w:rsidRPr="0031593F">
        <w:rPr>
          <w:rFonts w:ascii="Times New Roman" w:eastAsia="Calibri" w:hAnsi="Times New Roman"/>
          <w:i/>
          <w:sz w:val="24"/>
          <w:szCs w:val="24"/>
          <w:lang w:val="en-US"/>
        </w:rPr>
        <w:t>F. rupicola</w:t>
      </w:r>
      <w:r w:rsidRPr="0031593F">
        <w:rPr>
          <w:rFonts w:ascii="Times New Roman" w:eastAsia="Calibri" w:hAnsi="Times New Roman"/>
          <w:sz w:val="24"/>
          <w:szCs w:val="24"/>
          <w:lang w:val="en-US"/>
        </w:rPr>
        <w:t xml:space="preserve"> и </w:t>
      </w:r>
      <w:r w:rsidRPr="0031593F">
        <w:rPr>
          <w:rFonts w:ascii="Times New Roman" w:eastAsia="Calibri" w:hAnsi="Times New Roman"/>
          <w:i/>
          <w:sz w:val="24"/>
          <w:szCs w:val="24"/>
          <w:lang w:val="en-US"/>
        </w:rPr>
        <w:t>Stipa pulcherrima</w:t>
      </w:r>
      <w:r w:rsidRPr="0031593F">
        <w:rPr>
          <w:rFonts w:ascii="Times New Roman" w:eastAsia="Calibri" w:hAnsi="Times New Roman"/>
          <w:sz w:val="24"/>
          <w:szCs w:val="24"/>
          <w:lang w:val="en-US"/>
        </w:rPr>
        <w:t xml:space="preserve">. Височината на основния тревен етаж (туфите на </w:t>
      </w:r>
      <w:r w:rsidRPr="0031593F">
        <w:rPr>
          <w:rFonts w:ascii="Times New Roman" w:eastAsia="Calibri" w:hAnsi="Times New Roman"/>
          <w:i/>
          <w:sz w:val="24"/>
          <w:szCs w:val="24"/>
          <w:lang w:val="en-US"/>
        </w:rPr>
        <w:t>Chrysopogon gryllus</w:t>
      </w:r>
      <w:r w:rsidRPr="0031593F">
        <w:rPr>
          <w:rFonts w:ascii="Times New Roman" w:eastAsia="Calibri" w:hAnsi="Times New Roman"/>
          <w:sz w:val="24"/>
          <w:szCs w:val="24"/>
          <w:lang w:val="en-US"/>
        </w:rPr>
        <w:t>) достига до 1,80 m, като има втори етаж от по-ниски житни (</w:t>
      </w:r>
      <w:r w:rsidRPr="0031593F">
        <w:rPr>
          <w:rFonts w:ascii="Times New Roman" w:eastAsia="Calibri" w:hAnsi="Times New Roman"/>
          <w:i/>
          <w:sz w:val="24"/>
          <w:szCs w:val="24"/>
          <w:lang w:val="en-US"/>
        </w:rPr>
        <w:t>Poa</w:t>
      </w:r>
      <w:r w:rsidRPr="0031593F">
        <w:rPr>
          <w:rFonts w:ascii="Times New Roman" w:eastAsia="Calibri" w:hAnsi="Times New Roman"/>
          <w:sz w:val="24"/>
          <w:szCs w:val="24"/>
          <w:lang w:val="en-US"/>
        </w:rPr>
        <w:t xml:space="preserve"> spp., </w:t>
      </w:r>
      <w:r w:rsidRPr="0031593F">
        <w:rPr>
          <w:rFonts w:ascii="Times New Roman" w:eastAsia="Calibri" w:hAnsi="Times New Roman"/>
          <w:i/>
          <w:sz w:val="24"/>
          <w:szCs w:val="24"/>
          <w:lang w:val="en-US"/>
        </w:rPr>
        <w:t>Festuca</w:t>
      </w:r>
      <w:r w:rsidRPr="0031593F">
        <w:rPr>
          <w:rFonts w:ascii="Times New Roman" w:eastAsia="Calibri" w:hAnsi="Times New Roman"/>
          <w:sz w:val="24"/>
          <w:szCs w:val="24"/>
          <w:lang w:val="en-US"/>
        </w:rPr>
        <w:t xml:space="preserve"> spp., </w:t>
      </w:r>
      <w:r w:rsidRPr="0031593F">
        <w:rPr>
          <w:rFonts w:ascii="Times New Roman" w:eastAsia="Calibri" w:hAnsi="Times New Roman"/>
          <w:i/>
          <w:sz w:val="24"/>
          <w:szCs w:val="24"/>
          <w:lang w:val="en-US"/>
        </w:rPr>
        <w:t>Koeleria</w:t>
      </w:r>
      <w:r w:rsidRPr="0031593F">
        <w:rPr>
          <w:rFonts w:ascii="Times New Roman" w:eastAsia="Calibri" w:hAnsi="Times New Roman"/>
          <w:sz w:val="24"/>
          <w:szCs w:val="24"/>
          <w:lang w:val="en-US"/>
        </w:rPr>
        <w:t xml:space="preserve"> spp.). В зависимст от типа и силата на въздействията от човешката дейност (паша, рудерализация, навлизане на инвазивни видове и охрастяване), видовият състав и структурата на тревните съобщества може много силно да варира. На много места навлизането на храсти или рудерализация</w:t>
      </w:r>
      <w:r w:rsidRPr="0031593F">
        <w:rPr>
          <w:rFonts w:ascii="Times New Roman" w:eastAsia="Calibri" w:hAnsi="Times New Roman"/>
          <w:sz w:val="24"/>
          <w:szCs w:val="24"/>
        </w:rPr>
        <w:t>та</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значително</w:t>
      </w:r>
      <w:r w:rsidRPr="0031593F">
        <w:rPr>
          <w:rFonts w:ascii="Times New Roman" w:eastAsia="Calibri" w:hAnsi="Times New Roman"/>
          <w:sz w:val="24"/>
          <w:szCs w:val="24"/>
          <w:lang w:val="en-US"/>
        </w:rPr>
        <w:t xml:space="preserve"> са променили </w:t>
      </w:r>
      <w:r w:rsidRPr="0031593F">
        <w:rPr>
          <w:rFonts w:ascii="Times New Roman" w:eastAsia="Calibri" w:hAnsi="Times New Roman"/>
          <w:sz w:val="24"/>
          <w:szCs w:val="24"/>
        </w:rPr>
        <w:t>физиономията и видовия състав</w:t>
      </w:r>
      <w:r w:rsidRPr="0031593F">
        <w:rPr>
          <w:rFonts w:ascii="Times New Roman" w:eastAsia="Calibri" w:hAnsi="Times New Roman"/>
          <w:sz w:val="24"/>
          <w:szCs w:val="24"/>
          <w:lang w:val="en-US"/>
        </w:rPr>
        <w:t xml:space="preserve"> на </w:t>
      </w:r>
      <w:r w:rsidRPr="0031593F">
        <w:rPr>
          <w:rFonts w:ascii="Times New Roman" w:eastAsia="Calibri" w:hAnsi="Times New Roman"/>
          <w:sz w:val="24"/>
          <w:szCs w:val="24"/>
        </w:rPr>
        <w:t>съобществата</w:t>
      </w:r>
      <w:r w:rsidRPr="0031593F">
        <w:rPr>
          <w:rFonts w:ascii="Times New Roman" w:eastAsia="Calibri" w:hAnsi="Times New Roman"/>
          <w:sz w:val="24"/>
          <w:szCs w:val="24"/>
          <w:lang w:val="en-US"/>
        </w:rPr>
        <w:t>.</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В защитена зона</w:t>
      </w:r>
      <w:r w:rsidRPr="0031593F">
        <w:rPr>
          <w:rFonts w:eastAsia="Calibri"/>
          <w:lang w:val="en-US"/>
        </w:rPr>
        <w:t xml:space="preserve"> </w:t>
      </w:r>
      <w:r w:rsidRPr="0031593F">
        <w:rPr>
          <w:rFonts w:ascii="Times New Roman" w:eastAsia="Calibri" w:hAnsi="Times New Roman"/>
          <w:sz w:val="24"/>
          <w:szCs w:val="24"/>
        </w:rPr>
        <w:t>BG0000241 Сребърна фитоценозите на природното местообитание заемат склоновете с южно и източно изложение на хълма „Коджа Баир“</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 xml:space="preserve">и долината „Домуз Кулак“, заграждащи от западна страна езерото. В миналото тези степни съобщества са заемали много по-големи площи, но в момента представляват фрагменти (поляни) сред горска и храстова расителност предимно от широко разпространени или дори инвазивни видове. Доминанти в тревната покривка са </w:t>
      </w:r>
      <w:r w:rsidRPr="0031593F">
        <w:rPr>
          <w:rFonts w:ascii="Times New Roman" w:eastAsia="Calibri" w:hAnsi="Times New Roman"/>
          <w:i/>
          <w:sz w:val="24"/>
          <w:szCs w:val="24"/>
          <w:lang w:val="en-US"/>
        </w:rPr>
        <w:t>Dichanthium ischaemum, Chrysopogon gryllus, Koeleria macrantha, Medicago falcat</w:t>
      </w:r>
      <w:r w:rsidRPr="0031593F">
        <w:rPr>
          <w:rFonts w:ascii="Times New Roman" w:eastAsia="Calibri" w:hAnsi="Times New Roman"/>
          <w:i/>
          <w:sz w:val="24"/>
          <w:szCs w:val="24"/>
        </w:rPr>
        <w:t xml:space="preserve">а </w:t>
      </w:r>
      <w:r w:rsidRPr="0031593F">
        <w:rPr>
          <w:rFonts w:ascii="Times New Roman" w:eastAsia="Calibri" w:hAnsi="Times New Roman"/>
          <w:sz w:val="24"/>
          <w:szCs w:val="24"/>
        </w:rPr>
        <w:t>и др.</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 xml:space="preserve">В състава на съобществата се срещат още </w:t>
      </w:r>
      <w:r w:rsidRPr="0031593F">
        <w:rPr>
          <w:rFonts w:ascii="Times New Roman" w:eastAsia="Calibri" w:hAnsi="Times New Roman"/>
          <w:i/>
          <w:sz w:val="24"/>
          <w:szCs w:val="24"/>
          <w:lang w:val="en-US"/>
        </w:rPr>
        <w:t>Dianthus pallens, Allium rotundum, Centaurea stereophylla, Salvia nemorosa, Potentilla astracanica, Teucrium chamaedrys, T. pollium</w:t>
      </w:r>
      <w:r w:rsidRPr="0031593F">
        <w:rPr>
          <w:rFonts w:ascii="Times New Roman" w:eastAsia="Calibri" w:hAnsi="Times New Roman"/>
          <w:i/>
          <w:sz w:val="24"/>
          <w:szCs w:val="24"/>
        </w:rPr>
        <w:t xml:space="preserve">, </w:t>
      </w:r>
      <w:r w:rsidRPr="0031593F">
        <w:rPr>
          <w:rFonts w:ascii="Times New Roman" w:eastAsia="Calibri" w:hAnsi="Times New Roman"/>
          <w:i/>
          <w:sz w:val="24"/>
          <w:szCs w:val="24"/>
          <w:lang w:val="en-US"/>
        </w:rPr>
        <w:t>Muscari neglectum</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и др. В разположената северозападно от езерото долина „Домуз кулак“ има данни за доминиране в миналото (до 80</w:t>
      </w:r>
      <w:r w:rsidRPr="0031593F">
        <w:rPr>
          <w:rFonts w:ascii="Times New Roman" w:eastAsia="Calibri" w:hAnsi="Times New Roman"/>
          <w:sz w:val="24"/>
          <w:szCs w:val="24"/>
          <w:lang w:val="en-US"/>
        </w:rPr>
        <w:t>-</w:t>
      </w:r>
      <w:r w:rsidRPr="0031593F">
        <w:rPr>
          <w:rFonts w:ascii="Times New Roman" w:eastAsia="Calibri" w:hAnsi="Times New Roman"/>
          <w:sz w:val="24"/>
          <w:szCs w:val="24"/>
        </w:rPr>
        <w:t xml:space="preserve">те години) на </w:t>
      </w:r>
      <w:r w:rsidRPr="0031593F">
        <w:rPr>
          <w:rFonts w:ascii="Times New Roman" w:eastAsia="Calibri" w:hAnsi="Times New Roman"/>
          <w:i/>
          <w:sz w:val="24"/>
          <w:szCs w:val="24"/>
          <w:lang w:val="en-US"/>
        </w:rPr>
        <w:t>Stipa pennata</w:t>
      </w:r>
      <w:r w:rsidRPr="0031593F">
        <w:rPr>
          <w:rFonts w:ascii="Times New Roman" w:eastAsia="Calibri" w:hAnsi="Times New Roman"/>
          <w:sz w:val="24"/>
          <w:szCs w:val="24"/>
          <w:lang w:val="en-US"/>
        </w:rPr>
        <w:t xml:space="preserve"> agg. (</w:t>
      </w:r>
      <w:r w:rsidRPr="0031593F">
        <w:rPr>
          <w:rFonts w:ascii="Times New Roman" w:eastAsia="Calibri" w:hAnsi="Times New Roman"/>
          <w:sz w:val="24"/>
          <w:szCs w:val="24"/>
        </w:rPr>
        <w:t>вж. Мичев и Илиев 198</w:t>
      </w:r>
      <w:r w:rsidRPr="0031593F">
        <w:rPr>
          <w:rFonts w:ascii="Times New Roman" w:eastAsia="Calibri" w:hAnsi="Times New Roman"/>
          <w:sz w:val="24"/>
          <w:szCs w:val="24"/>
          <w:lang w:val="en-US"/>
        </w:rPr>
        <w:t>2</w:t>
      </w:r>
      <w:r w:rsidRPr="0031593F">
        <w:rPr>
          <w:rFonts w:ascii="Times New Roman" w:eastAsia="Calibri" w:hAnsi="Times New Roman"/>
          <w:sz w:val="24"/>
          <w:szCs w:val="24"/>
        </w:rPr>
        <w:t>), което потвърждава значителното влошаване на условията за степната растителност понастоящем в защитената зона.</w:t>
      </w:r>
    </w:p>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3. Състояние на биогеографско ниво и разпространение в мрежата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В мрежата Натура 2000, природно местообитание с код 6250 е предмет на опазване в 34 защитени зони (</w:t>
      </w:r>
      <w:r w:rsidRPr="0031593F">
        <w:rPr>
          <w:rFonts w:ascii="Times New Roman" w:hAnsi="Times New Roman"/>
          <w:noProof/>
          <w:position w:val="-1"/>
          <w:sz w:val="24"/>
          <w:szCs w:val="24"/>
        </w:rPr>
        <w:t xml:space="preserve">Natura 2000 update April 2019: </w:t>
      </w:r>
      <w:hyperlink r:id="rId14">
        <w:r w:rsidRPr="0031593F">
          <w:rPr>
            <w:rFonts w:ascii="Times New Roman" w:hAnsi="Times New Roman"/>
            <w:noProof/>
            <w:color w:val="0563C1"/>
            <w:position w:val="-1"/>
            <w:sz w:val="24"/>
            <w:szCs w:val="24"/>
            <w:u w:val="single"/>
          </w:rPr>
          <w:t>https://cdr.eionet.europa.eu/bg/eu/n2000</w:t>
        </w:r>
      </w:hyperlink>
      <w:r w:rsidRPr="0031593F">
        <w:rPr>
          <w:rFonts w:ascii="Times New Roman" w:eastAsia="Calibri" w:hAnsi="Times New Roman"/>
          <w:sz w:val="24"/>
          <w:szCs w:val="24"/>
        </w:rPr>
        <w:t xml:space="preserve">) и се намира изцяло в Континенталния биогеографски </w:t>
      </w:r>
      <w:r w:rsidR="00EC3027">
        <w:rPr>
          <w:rFonts w:ascii="Times New Roman" w:eastAsia="Calibri" w:hAnsi="Times New Roman"/>
          <w:sz w:val="24"/>
          <w:szCs w:val="24"/>
        </w:rPr>
        <w:t>регион</w:t>
      </w:r>
      <w:r w:rsidRPr="0031593F">
        <w:rPr>
          <w:rFonts w:ascii="Times New Roman" w:eastAsia="Calibri" w:hAnsi="Times New Roman"/>
          <w:sz w:val="24"/>
          <w:szCs w:val="24"/>
        </w:rPr>
        <w:t>.</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Съгласно докладването по чл. 17 от Директива за местообитанията през 2019 г. (за периода 2013-2018 г.), природното местообитание е в неблагоприятно-незадоволително природозащитно състояние (неизвестно</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 xml:space="preserve">състояние по разпространение, неблагоприятно-незадоволително по площ, неизвестно по структура и функции, неблагоприятно-незадоволително по бъдещи перспективи). При докладването през 2019 г. са посочени заплахи и влияния с висока степен на въздействие – </w:t>
      </w:r>
      <w:r w:rsidRPr="0031593F">
        <w:rPr>
          <w:rFonts w:ascii="Times New Roman" w:hAnsi="Times New Roman"/>
          <w:sz w:val="24"/>
          <w:szCs w:val="24"/>
        </w:rPr>
        <w:t>промяна в НТП на земите (без дрениране и пожари), интензивна паша и преизпасване от селскостопански животни.</w:t>
      </w:r>
      <w:r w:rsidRPr="0031593F">
        <w:rPr>
          <w:rFonts w:ascii="Times New Roman" w:eastAsia="Calibri" w:hAnsi="Times New Roman"/>
          <w:sz w:val="24"/>
          <w:szCs w:val="24"/>
        </w:rPr>
        <w:t xml:space="preserve"> При докладването по чл. 17 през 2013 г. (за периода 2007-2012 г.) местообитанието е с оценка неблагоприятно-незадоволително (благоприятно </w:t>
      </w:r>
      <w:r w:rsidRPr="0031593F">
        <w:rPr>
          <w:rFonts w:ascii="Times New Roman" w:eastAsia="Calibri" w:hAnsi="Times New Roman"/>
          <w:sz w:val="24"/>
          <w:szCs w:val="24"/>
        </w:rPr>
        <w:lastRenderedPageBreak/>
        <w:t>състояние по разпространение и площ, неблагоприятно-незадоволително по структура и функции, и бъдещи перспективи).</w:t>
      </w:r>
    </w:p>
    <w:p w:rsidR="0031593F" w:rsidRPr="0031593F" w:rsidRDefault="0031593F" w:rsidP="0031593F">
      <w:pPr>
        <w:spacing w:after="0" w:line="240" w:lineRule="auto"/>
        <w:jc w:val="both"/>
        <w:rPr>
          <w:rFonts w:ascii="Times New Roman" w:eastAsia="Calibri" w:hAnsi="Times New Roman"/>
        </w:rPr>
      </w:pPr>
    </w:p>
    <w:p w:rsidR="0031593F" w:rsidRPr="0031593F" w:rsidRDefault="0031593F" w:rsidP="0031593F">
      <w:pPr>
        <w:spacing w:after="0" w:line="240" w:lineRule="auto"/>
        <w:rPr>
          <w:rFonts w:ascii="Times New Roman" w:eastAsia="Calibri" w:hAnsi="Times New Roman"/>
          <w:i/>
          <w:sz w:val="24"/>
          <w:szCs w:val="24"/>
        </w:rPr>
      </w:pPr>
      <w:r w:rsidRPr="0031593F">
        <w:rPr>
          <w:rFonts w:ascii="Times New Roman" w:eastAsia="Calibri" w:hAnsi="Times New Roman"/>
          <w:b/>
          <w:sz w:val="24"/>
          <w:szCs w:val="24"/>
        </w:rPr>
        <w:t>4. Състояние на ниво защитена зона</w:t>
      </w:r>
    </w:p>
    <w:p w:rsidR="0031593F" w:rsidRPr="0031593F" w:rsidRDefault="0031593F" w:rsidP="00EC3027">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Според данните в стандартния формуляр, площта на местообитание с код 6250 в ЗЗ „Сребърна“ е 6,81 </w:t>
      </w:r>
      <w:r w:rsidRPr="0031593F">
        <w:rPr>
          <w:rFonts w:ascii="Times New Roman" w:eastAsia="Calibri" w:hAnsi="Times New Roman"/>
          <w:sz w:val="24"/>
          <w:szCs w:val="24"/>
          <w:lang w:val="en-US"/>
        </w:rPr>
        <w:t xml:space="preserve">ha </w:t>
      </w:r>
      <w:r w:rsidRPr="0031593F">
        <w:rPr>
          <w:rFonts w:ascii="Times New Roman" w:eastAsia="Calibri" w:hAnsi="Times New Roman"/>
          <w:sz w:val="24"/>
          <w:szCs w:val="24"/>
        </w:rPr>
        <w:t xml:space="preserve">и попада в Континенталния биогеографски </w:t>
      </w:r>
      <w:r w:rsidR="00EC3027">
        <w:rPr>
          <w:rFonts w:ascii="Times New Roman" w:eastAsia="Calibri" w:hAnsi="Times New Roman"/>
          <w:sz w:val="24"/>
          <w:szCs w:val="24"/>
        </w:rPr>
        <w:t>регион</w:t>
      </w:r>
      <w:r w:rsidRPr="0031593F">
        <w:rPr>
          <w:rFonts w:ascii="Times New Roman" w:eastAsia="Calibri" w:hAnsi="Times New Roman"/>
          <w:sz w:val="24"/>
          <w:szCs w:val="24"/>
        </w:rPr>
        <w:t>. Тази площ е установена по проект „Картиране и определяне на природозащитното състояние на природни местообитания и видове – фаза I“ (т.е. през 2011-2012 г.) и е по-малка от дотогава съществуващата площ в СФ на зоната (54,31</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 xml:space="preserve">ha). Съгласно специфичния доклад, публикуван в „Информационна система за защитени зони от екологичната мрежа Натура 2000 на МОСВ“, местообитанието е оценено в благоприятно състояние по критерий „Площ в границите на зоната“, по критерий „Структура и функции“ – в неблагоприятно-незадоволително и по критерий „Бъдещи перспективи (заплахи и влияния – в благоприятно състояние. Оценките се основават на установена рудерализация и наличие на инвазивни видове </w:t>
      </w:r>
      <w:r w:rsidRPr="0031593F">
        <w:rPr>
          <w:rFonts w:ascii="Times New Roman" w:eastAsia="Calibri" w:hAnsi="Times New Roman"/>
          <w:sz w:val="24"/>
          <w:szCs w:val="24"/>
          <w:lang w:val="en-US"/>
        </w:rPr>
        <w:t>(</w:t>
      </w:r>
      <w:r w:rsidRPr="0031593F">
        <w:rPr>
          <w:rFonts w:ascii="Times New Roman" w:eastAsia="Calibri" w:hAnsi="Times New Roman"/>
          <w:i/>
          <w:sz w:val="24"/>
          <w:szCs w:val="24"/>
        </w:rPr>
        <w:t>Eleagnus angustifolia, Robinia pseud</w:t>
      </w:r>
      <w:r w:rsidRPr="0031593F">
        <w:rPr>
          <w:rFonts w:ascii="Times New Roman" w:eastAsia="Calibri" w:hAnsi="Times New Roman"/>
          <w:i/>
          <w:sz w:val="24"/>
          <w:szCs w:val="24"/>
          <w:lang w:val="en-US"/>
        </w:rPr>
        <w:t>o</w:t>
      </w:r>
      <w:r w:rsidRPr="0031593F">
        <w:rPr>
          <w:rFonts w:ascii="Times New Roman" w:eastAsia="Calibri" w:hAnsi="Times New Roman"/>
          <w:i/>
          <w:sz w:val="24"/>
          <w:szCs w:val="24"/>
        </w:rPr>
        <w:t>acacia и Amorpha fruticosa</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в рамките на местообитанието.</w:t>
      </w:r>
    </w:p>
    <w:p w:rsidR="0031593F" w:rsidRPr="0031593F" w:rsidRDefault="0031593F" w:rsidP="00EC3027">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Според стандартния формуляр, местообитанието в зоната е с оценки за „Представителност“ „</w:t>
      </w:r>
      <w:r w:rsidRPr="0031593F">
        <w:rPr>
          <w:rFonts w:ascii="Times New Roman" w:eastAsia="Calibri" w:hAnsi="Times New Roman"/>
          <w:sz w:val="24"/>
          <w:szCs w:val="24"/>
          <w:lang w:val="en-US"/>
        </w:rPr>
        <w:t>B</w:t>
      </w:r>
      <w:r w:rsidRPr="0031593F">
        <w:rPr>
          <w:rFonts w:ascii="Times New Roman" w:eastAsia="Calibri" w:hAnsi="Times New Roman"/>
          <w:sz w:val="24"/>
          <w:szCs w:val="24"/>
        </w:rPr>
        <w:t>“, за „Относителна площ“ „</w:t>
      </w:r>
      <w:r w:rsidRPr="0031593F">
        <w:rPr>
          <w:rFonts w:ascii="Times New Roman" w:eastAsia="Calibri" w:hAnsi="Times New Roman"/>
          <w:sz w:val="24"/>
          <w:szCs w:val="24"/>
          <w:lang w:val="en-US"/>
        </w:rPr>
        <w:t>C</w:t>
      </w:r>
      <w:r w:rsidRPr="0031593F">
        <w:rPr>
          <w:rFonts w:ascii="Times New Roman" w:eastAsia="Calibri" w:hAnsi="Times New Roman"/>
          <w:sz w:val="24"/>
          <w:szCs w:val="24"/>
        </w:rPr>
        <w:t>“ и за „Степен на опазване“ „</w:t>
      </w:r>
      <w:r w:rsidRPr="0031593F">
        <w:rPr>
          <w:rFonts w:ascii="Times New Roman" w:eastAsia="Calibri" w:hAnsi="Times New Roman"/>
          <w:sz w:val="24"/>
          <w:szCs w:val="24"/>
          <w:lang w:val="en-US"/>
        </w:rPr>
        <w:t>B</w:t>
      </w:r>
      <w:r w:rsidRPr="0031593F">
        <w:rPr>
          <w:rFonts w:ascii="Times New Roman" w:eastAsia="Calibri" w:hAnsi="Times New Roman"/>
          <w:sz w:val="24"/>
          <w:szCs w:val="24"/>
        </w:rPr>
        <w:t>“, като общата оценка на стойността на защитената зона за опазване на природното местообитание е „</w:t>
      </w:r>
      <w:r w:rsidRPr="0031593F">
        <w:rPr>
          <w:rFonts w:ascii="Times New Roman" w:eastAsia="Calibri" w:hAnsi="Times New Roman"/>
          <w:sz w:val="24"/>
          <w:szCs w:val="24"/>
          <w:lang w:val="en-US"/>
        </w:rPr>
        <w:t>C</w:t>
      </w:r>
      <w:r w:rsidRPr="0031593F">
        <w:rPr>
          <w:rFonts w:ascii="Times New Roman" w:eastAsia="Calibri" w:hAnsi="Times New Roman"/>
          <w:sz w:val="24"/>
          <w:szCs w:val="24"/>
        </w:rPr>
        <w:t>“.</w:t>
      </w:r>
    </w:p>
    <w:p w:rsidR="0031593F" w:rsidRPr="0031593F" w:rsidRDefault="0031593F" w:rsidP="0031593F">
      <w:pPr>
        <w:spacing w:after="0" w:line="240" w:lineRule="auto"/>
        <w:jc w:val="both"/>
        <w:rPr>
          <w:rFonts w:ascii="Times New Roman" w:eastAsia="Calibri" w:hAnsi="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1"/>
        <w:gridCol w:w="461"/>
        <w:gridCol w:w="483"/>
        <w:gridCol w:w="908"/>
        <w:gridCol w:w="1028"/>
        <w:gridCol w:w="839"/>
        <w:gridCol w:w="1627"/>
        <w:gridCol w:w="1126"/>
        <w:gridCol w:w="1361"/>
        <w:gridCol w:w="794"/>
      </w:tblGrid>
      <w:tr w:rsidR="0031593F" w:rsidRPr="0031593F" w:rsidTr="0031593F">
        <w:tc>
          <w:tcPr>
            <w:tcW w:w="2385" w:type="pct"/>
            <w:gridSpan w:val="6"/>
            <w:shd w:val="clear" w:color="auto" w:fill="D9D9D9"/>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Annex I Habitat types</w:t>
            </w:r>
          </w:p>
        </w:tc>
        <w:tc>
          <w:tcPr>
            <w:tcW w:w="2615" w:type="pct"/>
            <w:gridSpan w:val="4"/>
            <w:shd w:val="clear" w:color="auto" w:fill="D9D9D9"/>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Site assessment</w:t>
            </w:r>
          </w:p>
        </w:tc>
      </w:tr>
      <w:tr w:rsidR="0031593F" w:rsidRPr="0031593F" w:rsidTr="0031593F">
        <w:tc>
          <w:tcPr>
            <w:tcW w:w="344"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Code</w:t>
            </w:r>
          </w:p>
        </w:tc>
        <w:tc>
          <w:tcPr>
            <w:tcW w:w="240"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PF</w:t>
            </w:r>
          </w:p>
        </w:tc>
        <w:tc>
          <w:tcPr>
            <w:tcW w:w="251"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NP</w:t>
            </w:r>
          </w:p>
        </w:tc>
        <w:tc>
          <w:tcPr>
            <w:tcW w:w="526"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Cover (ha)</w:t>
            </w:r>
          </w:p>
        </w:tc>
        <w:tc>
          <w:tcPr>
            <w:tcW w:w="536"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Cave (number)</w:t>
            </w:r>
          </w:p>
        </w:tc>
        <w:tc>
          <w:tcPr>
            <w:tcW w:w="489"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Data quality</w:t>
            </w:r>
          </w:p>
        </w:tc>
        <w:tc>
          <w:tcPr>
            <w:tcW w:w="848"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A/B/C/D</w:t>
            </w:r>
          </w:p>
        </w:tc>
        <w:tc>
          <w:tcPr>
            <w:tcW w:w="1766" w:type="pct"/>
            <w:gridSpan w:val="3"/>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A/B/C</w:t>
            </w:r>
          </w:p>
        </w:tc>
      </w:tr>
      <w:tr w:rsidR="0031593F" w:rsidRPr="0031593F" w:rsidTr="0031593F">
        <w:trPr>
          <w:trHeight w:val="454"/>
        </w:trPr>
        <w:tc>
          <w:tcPr>
            <w:tcW w:w="344" w:type="pct"/>
          </w:tcPr>
          <w:p w:rsidR="0031593F" w:rsidRPr="0031593F" w:rsidRDefault="0031593F" w:rsidP="0031593F">
            <w:pPr>
              <w:rPr>
                <w:rFonts w:ascii="Times New Roman" w:hAnsi="Times New Roman"/>
                <w:b/>
                <w:color w:val="000000"/>
                <w:position w:val="-1"/>
                <w:sz w:val="20"/>
                <w:szCs w:val="20"/>
              </w:rPr>
            </w:pPr>
          </w:p>
        </w:tc>
        <w:tc>
          <w:tcPr>
            <w:tcW w:w="240" w:type="pct"/>
          </w:tcPr>
          <w:p w:rsidR="0031593F" w:rsidRPr="0031593F" w:rsidRDefault="0031593F" w:rsidP="0031593F">
            <w:pPr>
              <w:rPr>
                <w:rFonts w:ascii="Times New Roman" w:hAnsi="Times New Roman"/>
                <w:b/>
                <w:color w:val="000000"/>
                <w:position w:val="-1"/>
                <w:sz w:val="20"/>
                <w:szCs w:val="20"/>
              </w:rPr>
            </w:pPr>
          </w:p>
        </w:tc>
        <w:tc>
          <w:tcPr>
            <w:tcW w:w="251" w:type="pct"/>
          </w:tcPr>
          <w:p w:rsidR="0031593F" w:rsidRPr="0031593F" w:rsidRDefault="0031593F" w:rsidP="0031593F">
            <w:pPr>
              <w:rPr>
                <w:rFonts w:ascii="Times New Roman" w:hAnsi="Times New Roman"/>
                <w:b/>
                <w:color w:val="000000"/>
                <w:position w:val="-1"/>
                <w:sz w:val="20"/>
                <w:szCs w:val="20"/>
              </w:rPr>
            </w:pPr>
          </w:p>
        </w:tc>
        <w:tc>
          <w:tcPr>
            <w:tcW w:w="526" w:type="pct"/>
          </w:tcPr>
          <w:p w:rsidR="0031593F" w:rsidRPr="0031593F" w:rsidRDefault="0031593F" w:rsidP="0031593F">
            <w:pPr>
              <w:rPr>
                <w:rFonts w:ascii="Times New Roman" w:hAnsi="Times New Roman"/>
                <w:b/>
                <w:color w:val="000000"/>
                <w:position w:val="-1"/>
                <w:sz w:val="20"/>
                <w:szCs w:val="20"/>
              </w:rPr>
            </w:pPr>
          </w:p>
        </w:tc>
        <w:tc>
          <w:tcPr>
            <w:tcW w:w="536" w:type="pct"/>
          </w:tcPr>
          <w:p w:rsidR="0031593F" w:rsidRPr="0031593F" w:rsidRDefault="0031593F" w:rsidP="0031593F">
            <w:pPr>
              <w:rPr>
                <w:rFonts w:ascii="Times New Roman" w:hAnsi="Times New Roman"/>
                <w:b/>
                <w:color w:val="000000"/>
                <w:position w:val="-1"/>
                <w:sz w:val="20"/>
                <w:szCs w:val="20"/>
              </w:rPr>
            </w:pPr>
          </w:p>
        </w:tc>
        <w:tc>
          <w:tcPr>
            <w:tcW w:w="489" w:type="pct"/>
          </w:tcPr>
          <w:p w:rsidR="0031593F" w:rsidRPr="0031593F" w:rsidRDefault="0031593F" w:rsidP="0031593F">
            <w:pPr>
              <w:rPr>
                <w:rFonts w:ascii="Times New Roman" w:hAnsi="Times New Roman"/>
                <w:b/>
                <w:color w:val="000000"/>
                <w:position w:val="-1"/>
                <w:sz w:val="20"/>
                <w:szCs w:val="20"/>
              </w:rPr>
            </w:pPr>
          </w:p>
        </w:tc>
        <w:tc>
          <w:tcPr>
            <w:tcW w:w="848" w:type="pct"/>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Representativity</w:t>
            </w:r>
          </w:p>
        </w:tc>
        <w:tc>
          <w:tcPr>
            <w:tcW w:w="643"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Relative Surface</w:t>
            </w:r>
          </w:p>
        </w:tc>
        <w:tc>
          <w:tcPr>
            <w:tcW w:w="710"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Conservation</w:t>
            </w:r>
          </w:p>
        </w:tc>
        <w:tc>
          <w:tcPr>
            <w:tcW w:w="414"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Global</w:t>
            </w:r>
          </w:p>
        </w:tc>
      </w:tr>
      <w:tr w:rsidR="0031593F" w:rsidRPr="0031593F" w:rsidTr="0031593F">
        <w:trPr>
          <w:trHeight w:hRule="exact" w:val="284"/>
        </w:trPr>
        <w:tc>
          <w:tcPr>
            <w:tcW w:w="344" w:type="pct"/>
            <w:tcBorders>
              <w:top w:val="nil"/>
              <w:left w:val="single" w:sz="4" w:space="0" w:color="auto"/>
              <w:bottom w:val="single" w:sz="4" w:space="0" w:color="auto"/>
              <w:right w:val="single" w:sz="4" w:space="0" w:color="auto"/>
            </w:tcBorders>
            <w:shd w:val="clear" w:color="auto" w:fill="auto"/>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6250</w:t>
            </w:r>
          </w:p>
        </w:tc>
        <w:tc>
          <w:tcPr>
            <w:tcW w:w="240" w:type="pct"/>
          </w:tcPr>
          <w:p w:rsidR="0031593F" w:rsidRPr="0031593F" w:rsidRDefault="0031593F" w:rsidP="0031593F">
            <w:pPr>
              <w:rPr>
                <w:rFonts w:ascii="Times New Roman" w:eastAsia="Calibri" w:hAnsi="Times New Roman"/>
                <w:sz w:val="20"/>
                <w:szCs w:val="20"/>
                <w:lang w:val="en-US"/>
              </w:rPr>
            </w:pPr>
          </w:p>
        </w:tc>
        <w:tc>
          <w:tcPr>
            <w:tcW w:w="251" w:type="pct"/>
          </w:tcPr>
          <w:p w:rsidR="0031593F" w:rsidRPr="0031593F" w:rsidRDefault="0031593F" w:rsidP="0031593F">
            <w:pPr>
              <w:rPr>
                <w:rFonts w:ascii="Times New Roman" w:eastAsia="Calibri" w:hAnsi="Times New Roman"/>
                <w:sz w:val="20"/>
                <w:szCs w:val="20"/>
                <w:lang w:val="en-US"/>
              </w:rPr>
            </w:pPr>
          </w:p>
        </w:tc>
        <w:tc>
          <w:tcPr>
            <w:tcW w:w="526"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6,81</w:t>
            </w:r>
          </w:p>
        </w:tc>
        <w:tc>
          <w:tcPr>
            <w:tcW w:w="536" w:type="pct"/>
          </w:tcPr>
          <w:p w:rsidR="0031593F" w:rsidRPr="0031593F" w:rsidRDefault="0031593F" w:rsidP="0031593F">
            <w:pPr>
              <w:rPr>
                <w:rFonts w:ascii="Times New Roman" w:eastAsia="Calibri" w:hAnsi="Times New Roman"/>
                <w:sz w:val="20"/>
                <w:szCs w:val="20"/>
                <w:lang w:val="en-US"/>
              </w:rPr>
            </w:pPr>
          </w:p>
        </w:tc>
        <w:tc>
          <w:tcPr>
            <w:tcW w:w="489"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G</w:t>
            </w:r>
          </w:p>
        </w:tc>
        <w:tc>
          <w:tcPr>
            <w:tcW w:w="848"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B</w:t>
            </w:r>
          </w:p>
        </w:tc>
        <w:tc>
          <w:tcPr>
            <w:tcW w:w="643"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C</w:t>
            </w:r>
          </w:p>
        </w:tc>
        <w:tc>
          <w:tcPr>
            <w:tcW w:w="710"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B</w:t>
            </w:r>
          </w:p>
        </w:tc>
        <w:tc>
          <w:tcPr>
            <w:tcW w:w="414"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C</w:t>
            </w:r>
          </w:p>
        </w:tc>
      </w:tr>
    </w:tbl>
    <w:p w:rsidR="0031593F" w:rsidRPr="0031593F" w:rsidRDefault="0031593F" w:rsidP="0031593F">
      <w:pPr>
        <w:spacing w:after="0" w:line="240" w:lineRule="auto"/>
        <w:jc w:val="both"/>
        <w:rPr>
          <w:rFonts w:ascii="Times New Roman" w:eastAsia="Calibri" w:hAnsi="Times New Roman"/>
        </w:rPr>
      </w:pPr>
    </w:p>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b/>
          <w:sz w:val="24"/>
          <w:szCs w:val="24"/>
        </w:rPr>
        <w:t>5. Анализ на наличната информация</w:t>
      </w:r>
    </w:p>
    <w:p w:rsidR="0031593F" w:rsidRPr="0031593F" w:rsidRDefault="0031593F" w:rsidP="00EC3027">
      <w:pPr>
        <w:spacing w:after="0" w:line="240" w:lineRule="auto"/>
        <w:ind w:firstLine="709"/>
        <w:jc w:val="both"/>
        <w:rPr>
          <w:rFonts w:eastAsia="Calibri"/>
        </w:rPr>
      </w:pPr>
      <w:r w:rsidRPr="0031593F">
        <w:rPr>
          <w:rFonts w:ascii="Times New Roman" w:eastAsia="Calibri" w:hAnsi="Times New Roman"/>
          <w:sz w:val="24"/>
          <w:szCs w:val="24"/>
          <w:lang w:val="en-US"/>
        </w:rPr>
        <w:t>При определянето на природозащитните цели е използвана информацията за разпространението и състоянието на местообитанието, предоставена в Информационната система за защитени зони от екологична мрежа Натура 2000, Докладванията по член 17 от 2013 г. и 2019 г.</w:t>
      </w:r>
    </w:p>
    <w:p w:rsidR="0031593F" w:rsidRPr="0031593F" w:rsidRDefault="0031593F" w:rsidP="00EC3027">
      <w:pPr>
        <w:spacing w:after="0" w:line="240" w:lineRule="auto"/>
        <w:ind w:firstLine="709"/>
        <w:jc w:val="both"/>
        <w:rPr>
          <w:rFonts w:ascii="Times New Roman" w:hAnsi="Times New Roman"/>
          <w:sz w:val="24"/>
          <w:szCs w:val="24"/>
          <w:lang w:eastAsia="bg-BG"/>
        </w:rPr>
      </w:pPr>
      <w:r w:rsidRPr="0031593F">
        <w:rPr>
          <w:rFonts w:ascii="Times New Roman" w:eastAsia="Calibri" w:hAnsi="Times New Roman"/>
          <w:sz w:val="24"/>
          <w:szCs w:val="24"/>
          <w:lang w:val="en-US"/>
        </w:rPr>
        <w:t>През 2021 г. б</w:t>
      </w:r>
      <w:r w:rsidRPr="0031593F">
        <w:rPr>
          <w:rFonts w:ascii="Times New Roman" w:eastAsia="Calibri" w:hAnsi="Times New Roman"/>
          <w:sz w:val="24"/>
          <w:szCs w:val="24"/>
        </w:rPr>
        <w:t>яха</w:t>
      </w:r>
      <w:r w:rsidRPr="0031593F">
        <w:rPr>
          <w:rFonts w:ascii="Times New Roman" w:eastAsia="Calibri" w:hAnsi="Times New Roman"/>
          <w:sz w:val="24"/>
          <w:szCs w:val="24"/>
          <w:lang w:val="en-US"/>
        </w:rPr>
        <w:t xml:space="preserve"> извършен</w:t>
      </w:r>
      <w:r w:rsidRPr="0031593F">
        <w:rPr>
          <w:rFonts w:ascii="Times New Roman" w:eastAsia="Calibri" w:hAnsi="Times New Roman"/>
          <w:sz w:val="24"/>
          <w:szCs w:val="24"/>
        </w:rPr>
        <w:t>и</w:t>
      </w:r>
      <w:r w:rsidRPr="0031593F">
        <w:rPr>
          <w:rFonts w:ascii="Times New Roman" w:eastAsia="Calibri" w:hAnsi="Times New Roman"/>
          <w:sz w:val="24"/>
          <w:szCs w:val="24"/>
          <w:lang w:val="en-US"/>
        </w:rPr>
        <w:t xml:space="preserve"> теренна проверка </w:t>
      </w:r>
      <w:r w:rsidRPr="0031593F">
        <w:rPr>
          <w:rFonts w:ascii="Times New Roman" w:eastAsia="Calibri" w:hAnsi="Times New Roman"/>
          <w:sz w:val="24"/>
          <w:szCs w:val="24"/>
        </w:rPr>
        <w:t xml:space="preserve">и картиране </w:t>
      </w:r>
      <w:r w:rsidRPr="0031593F">
        <w:rPr>
          <w:rFonts w:ascii="Times New Roman" w:eastAsia="Calibri" w:hAnsi="Times New Roman"/>
          <w:sz w:val="24"/>
          <w:szCs w:val="24"/>
          <w:lang w:val="en-US"/>
        </w:rPr>
        <w:t xml:space="preserve">за актуализация на наличната информация за състоянието на местообитанието в зоната. </w:t>
      </w:r>
      <w:r w:rsidRPr="0031593F">
        <w:rPr>
          <w:rFonts w:ascii="Times New Roman" w:hAnsi="Times New Roman"/>
          <w:sz w:val="24"/>
          <w:szCs w:val="24"/>
          <w:lang w:eastAsia="bg-BG"/>
        </w:rPr>
        <w:t>Направени са корекции на полигони, които излизат извън границите на зоната.</w:t>
      </w:r>
      <w:r w:rsidRPr="0031593F">
        <w:rPr>
          <w:rFonts w:ascii="Times New Roman" w:hAnsi="Times New Roman"/>
          <w:sz w:val="24"/>
          <w:szCs w:val="24"/>
          <w:lang w:val="en-US" w:eastAsia="bg-BG"/>
        </w:rPr>
        <w:t xml:space="preserve"> </w:t>
      </w:r>
      <w:r w:rsidRPr="0031593F">
        <w:rPr>
          <w:rFonts w:ascii="Times New Roman" w:hAnsi="Times New Roman"/>
          <w:sz w:val="24"/>
          <w:szCs w:val="24"/>
          <w:lang w:eastAsia="bg-BG"/>
        </w:rPr>
        <w:t>Установени са и допълнителни полигони</w:t>
      </w:r>
      <w:r w:rsidRPr="0031593F">
        <w:rPr>
          <w:rFonts w:ascii="Times New Roman" w:hAnsi="Times New Roman"/>
          <w:sz w:val="24"/>
          <w:szCs w:val="24"/>
          <w:lang w:val="en-US" w:eastAsia="bg-BG"/>
        </w:rPr>
        <w:t xml:space="preserve"> </w:t>
      </w:r>
      <w:r w:rsidRPr="0031593F">
        <w:rPr>
          <w:rFonts w:ascii="Times New Roman" w:hAnsi="Times New Roman"/>
          <w:sz w:val="24"/>
          <w:szCs w:val="24"/>
          <w:lang w:eastAsia="bg-BG"/>
        </w:rPr>
        <w:t>на м</w:t>
      </w:r>
      <w:r w:rsidRPr="0031593F">
        <w:rPr>
          <w:rFonts w:ascii="Times New Roman" w:hAnsi="Times New Roman"/>
          <w:sz w:val="24"/>
          <w:szCs w:val="24"/>
          <w:lang w:val="en-US" w:eastAsia="bg-BG"/>
        </w:rPr>
        <w:t xml:space="preserve">естообитанието </w:t>
      </w:r>
      <w:r w:rsidRPr="0031593F">
        <w:rPr>
          <w:rFonts w:ascii="Times New Roman" w:hAnsi="Times New Roman"/>
          <w:sz w:val="24"/>
          <w:szCs w:val="24"/>
          <w:lang w:eastAsia="bg-BG"/>
        </w:rPr>
        <w:t xml:space="preserve">и площта е увеличена </w:t>
      </w:r>
      <w:r w:rsidRPr="0031593F">
        <w:rPr>
          <w:rFonts w:ascii="Times New Roman" w:hAnsi="Times New Roman"/>
          <w:sz w:val="24"/>
          <w:szCs w:val="24"/>
          <w:lang w:val="en-US" w:eastAsia="bg-BG"/>
        </w:rPr>
        <w:t>(11,24 ha)</w:t>
      </w:r>
      <w:r w:rsidRPr="0031593F">
        <w:rPr>
          <w:rFonts w:ascii="Times New Roman" w:hAnsi="Times New Roman"/>
          <w:sz w:val="24"/>
          <w:szCs w:val="24"/>
          <w:lang w:eastAsia="bg-BG"/>
        </w:rPr>
        <w:t xml:space="preserve"> в сравнение с картирането през 2011 г.</w:t>
      </w:r>
      <w:r w:rsidRPr="0031593F">
        <w:rPr>
          <w:rFonts w:ascii="Times New Roman" w:hAnsi="Times New Roman"/>
          <w:sz w:val="24"/>
          <w:szCs w:val="24"/>
          <w:lang w:val="en-US" w:eastAsia="bg-BG"/>
        </w:rPr>
        <w:t xml:space="preserve"> Предлагаме тази площ да бъде приета за актуална и записана в СФ</w:t>
      </w:r>
      <w:r w:rsidRPr="0031593F">
        <w:rPr>
          <w:rFonts w:ascii="Times New Roman" w:hAnsi="Times New Roman"/>
          <w:sz w:val="24"/>
          <w:szCs w:val="24"/>
          <w:lang w:eastAsia="bg-BG"/>
        </w:rPr>
        <w:t xml:space="preserve"> на зоната</w:t>
      </w:r>
      <w:r w:rsidRPr="0031593F">
        <w:rPr>
          <w:rFonts w:ascii="Times New Roman" w:hAnsi="Times New Roman"/>
          <w:sz w:val="24"/>
          <w:szCs w:val="24"/>
          <w:lang w:val="en-US" w:eastAsia="bg-BG"/>
        </w:rPr>
        <w:t xml:space="preserve">. </w:t>
      </w:r>
      <w:r w:rsidRPr="0031593F">
        <w:rPr>
          <w:rFonts w:ascii="Times New Roman" w:hAnsi="Times New Roman"/>
          <w:sz w:val="24"/>
          <w:szCs w:val="24"/>
          <w:lang w:eastAsia="bg-BG"/>
        </w:rPr>
        <w:t>Наличен е шейп файл.</w:t>
      </w:r>
    </w:p>
    <w:p w:rsidR="0031593F" w:rsidRPr="0031593F" w:rsidRDefault="0031593F" w:rsidP="00EC3027">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След теренната работа през 2021 г. и анализ на наличната информация са направени следните изводи (основно негативни) за настоящото състояние на местообитанието, които са отразени в целите, представени в този документ:</w:t>
      </w:r>
    </w:p>
    <w:p w:rsidR="0031593F" w:rsidRPr="0031593F" w:rsidRDefault="0031593F" w:rsidP="00635999">
      <w:pPr>
        <w:numPr>
          <w:ilvl w:val="0"/>
          <w:numId w:val="8"/>
        </w:numPr>
        <w:spacing w:after="80" w:line="240" w:lineRule="auto"/>
        <w:contextualSpacing/>
        <w:jc w:val="both"/>
        <w:rPr>
          <w:rFonts w:ascii="Times New Roman" w:eastAsia="Calibri" w:hAnsi="Times New Roman"/>
          <w:sz w:val="24"/>
          <w:szCs w:val="24"/>
        </w:rPr>
      </w:pPr>
      <w:r w:rsidRPr="0031593F">
        <w:rPr>
          <w:rFonts w:ascii="Times New Roman" w:eastAsia="Calibri" w:hAnsi="Times New Roman"/>
          <w:sz w:val="24"/>
          <w:szCs w:val="24"/>
        </w:rPr>
        <w:t xml:space="preserve">В почти всички полигони местообитанието има проективно покритие около </w:t>
      </w:r>
      <w:r w:rsidRPr="0031593F">
        <w:rPr>
          <w:rFonts w:ascii="Times New Roman" w:eastAsia="Calibri" w:hAnsi="Times New Roman"/>
          <w:sz w:val="24"/>
          <w:szCs w:val="24"/>
          <w:lang w:val="en-US"/>
        </w:rPr>
        <w:t>85</w:t>
      </w:r>
      <w:r w:rsidRPr="0031593F">
        <w:rPr>
          <w:rFonts w:ascii="Times New Roman" w:eastAsia="Calibri" w:hAnsi="Times New Roman"/>
          <w:sz w:val="24"/>
          <w:szCs w:val="24"/>
        </w:rPr>
        <w:t>-</w:t>
      </w:r>
      <w:r w:rsidRPr="0031593F">
        <w:rPr>
          <w:rFonts w:ascii="Times New Roman" w:eastAsia="Calibri" w:hAnsi="Times New Roman"/>
          <w:sz w:val="24"/>
          <w:szCs w:val="24"/>
          <w:lang w:val="en-US"/>
        </w:rPr>
        <w:t>95</w:t>
      </w:r>
      <w:r w:rsidRPr="0031593F">
        <w:rPr>
          <w:rFonts w:ascii="Times New Roman" w:eastAsia="Calibri" w:hAnsi="Times New Roman"/>
          <w:sz w:val="24"/>
          <w:szCs w:val="24"/>
        </w:rPr>
        <w:t>%, като доминират житни видове, включително и в местата с по-високо ниво на рудерализация.</w:t>
      </w:r>
    </w:p>
    <w:p w:rsidR="0031593F" w:rsidRPr="0031593F" w:rsidRDefault="0031593F" w:rsidP="00635999">
      <w:pPr>
        <w:numPr>
          <w:ilvl w:val="0"/>
          <w:numId w:val="8"/>
        </w:numPr>
        <w:spacing w:after="80" w:line="240" w:lineRule="auto"/>
        <w:contextualSpacing/>
        <w:jc w:val="both"/>
        <w:rPr>
          <w:rFonts w:ascii="Times New Roman" w:eastAsia="Calibri" w:hAnsi="Times New Roman"/>
          <w:sz w:val="24"/>
          <w:szCs w:val="24"/>
        </w:rPr>
      </w:pPr>
      <w:r w:rsidRPr="0031593F">
        <w:rPr>
          <w:rFonts w:ascii="Times New Roman" w:eastAsia="Calibri" w:hAnsi="Times New Roman"/>
          <w:sz w:val="24"/>
          <w:szCs w:val="24"/>
        </w:rPr>
        <w:t xml:space="preserve">В полигоните са представени типичните видове. Най-често това са </w:t>
      </w:r>
      <w:r w:rsidRPr="0031593F">
        <w:rPr>
          <w:rFonts w:ascii="Times New Roman" w:eastAsia="Calibri" w:hAnsi="Times New Roman"/>
          <w:i/>
          <w:sz w:val="24"/>
          <w:szCs w:val="24"/>
        </w:rPr>
        <w:t xml:space="preserve">Dichanthium ischaemum, </w:t>
      </w:r>
      <w:r w:rsidRPr="0031593F">
        <w:rPr>
          <w:rFonts w:ascii="Times New Roman" w:eastAsia="Calibri" w:hAnsi="Times New Roman"/>
          <w:i/>
          <w:sz w:val="24"/>
          <w:szCs w:val="24"/>
          <w:lang w:val="en-US"/>
        </w:rPr>
        <w:t>Koeleria macrantha,</w:t>
      </w:r>
      <w:r w:rsidRPr="0031593F">
        <w:rPr>
          <w:rFonts w:ascii="Times New Roman" w:eastAsia="Calibri" w:hAnsi="Times New Roman"/>
          <w:i/>
          <w:sz w:val="24"/>
          <w:szCs w:val="24"/>
        </w:rPr>
        <w:t xml:space="preserve"> Festuca </w:t>
      </w:r>
      <w:r w:rsidRPr="0031593F">
        <w:rPr>
          <w:rFonts w:ascii="Times New Roman" w:eastAsia="Calibri" w:hAnsi="Times New Roman"/>
          <w:i/>
          <w:sz w:val="24"/>
          <w:szCs w:val="24"/>
          <w:lang w:val="en-US"/>
        </w:rPr>
        <w:t>valesiaca</w:t>
      </w:r>
      <w:r w:rsidRPr="0031593F">
        <w:rPr>
          <w:rFonts w:ascii="Times New Roman" w:eastAsia="Calibri" w:hAnsi="Times New Roman"/>
          <w:i/>
          <w:sz w:val="24"/>
          <w:szCs w:val="24"/>
        </w:rPr>
        <w:t>,</w:t>
      </w:r>
      <w:r w:rsidRPr="0031593F">
        <w:rPr>
          <w:rFonts w:ascii="Times New Roman" w:eastAsia="Calibri" w:hAnsi="Times New Roman"/>
          <w:i/>
          <w:sz w:val="24"/>
          <w:szCs w:val="24"/>
          <w:lang w:val="en-US"/>
        </w:rPr>
        <w:t xml:space="preserve"> </w:t>
      </w:r>
      <w:r w:rsidRPr="0031593F">
        <w:rPr>
          <w:rFonts w:ascii="Times New Roman" w:eastAsia="Calibri" w:hAnsi="Times New Roman"/>
          <w:i/>
          <w:sz w:val="24"/>
          <w:szCs w:val="24"/>
        </w:rPr>
        <w:t xml:space="preserve">Dianthus pallens, Salvia nemorosa, Euphorbia nicaensis, Teucrium polium, Teucrium </w:t>
      </w:r>
      <w:r w:rsidRPr="0031593F">
        <w:rPr>
          <w:rFonts w:ascii="Times New Roman" w:eastAsia="Calibri" w:hAnsi="Times New Roman"/>
          <w:i/>
          <w:sz w:val="24"/>
          <w:szCs w:val="24"/>
        </w:rPr>
        <w:lastRenderedPageBreak/>
        <w:t>chamaedrys, Asperula cynanchica, Galium verum</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и др. Въпреки това, видовият състав показва тенденция за рудерализация и мезофитизация на съобществата.</w:t>
      </w:r>
    </w:p>
    <w:p w:rsidR="0031593F" w:rsidRPr="0031593F" w:rsidRDefault="0031593F" w:rsidP="00635999">
      <w:pPr>
        <w:numPr>
          <w:ilvl w:val="0"/>
          <w:numId w:val="8"/>
        </w:numPr>
        <w:spacing w:after="80" w:line="240" w:lineRule="auto"/>
        <w:contextualSpacing/>
        <w:jc w:val="both"/>
        <w:rPr>
          <w:rFonts w:ascii="Times New Roman" w:eastAsia="Calibri" w:hAnsi="Times New Roman"/>
          <w:sz w:val="24"/>
          <w:szCs w:val="24"/>
        </w:rPr>
      </w:pPr>
      <w:r w:rsidRPr="0031593F">
        <w:rPr>
          <w:rFonts w:ascii="Times New Roman" w:eastAsia="Calibri" w:hAnsi="Times New Roman"/>
          <w:sz w:val="24"/>
          <w:szCs w:val="24"/>
        </w:rPr>
        <w:t>Във всички полигони има навлизане на инвазивни видове основно</w:t>
      </w:r>
      <w:r w:rsidRPr="0031593F">
        <w:rPr>
          <w:rFonts w:ascii="Times New Roman" w:eastAsia="Calibri" w:hAnsi="Times New Roman"/>
          <w:i/>
          <w:sz w:val="24"/>
          <w:szCs w:val="24"/>
          <w:lang w:val="en-US"/>
        </w:rPr>
        <w:t xml:space="preserve"> Eleagnos angustifolia, Gleditsia triacanthos, Robinia pseudoacacia,</w:t>
      </w:r>
      <w:r w:rsidRPr="0031593F">
        <w:rPr>
          <w:rFonts w:ascii="Times New Roman" w:eastAsia="Calibri" w:hAnsi="Times New Roman"/>
          <w:i/>
          <w:sz w:val="24"/>
          <w:szCs w:val="24"/>
        </w:rPr>
        <w:t xml:space="preserve"> </w:t>
      </w:r>
      <w:r w:rsidRPr="0031593F">
        <w:rPr>
          <w:rFonts w:ascii="Times New Roman" w:eastAsia="Calibri" w:hAnsi="Times New Roman"/>
          <w:sz w:val="24"/>
          <w:szCs w:val="24"/>
        </w:rPr>
        <w:t>като проективното им покритие най-често е много по-голямо от 1%, дори до 20-30%.</w:t>
      </w:r>
    </w:p>
    <w:p w:rsidR="0031593F" w:rsidRPr="0031593F" w:rsidRDefault="0031593F" w:rsidP="00635999">
      <w:pPr>
        <w:numPr>
          <w:ilvl w:val="0"/>
          <w:numId w:val="8"/>
        </w:numPr>
        <w:spacing w:after="80" w:line="240" w:lineRule="auto"/>
        <w:contextualSpacing/>
        <w:jc w:val="both"/>
        <w:rPr>
          <w:rFonts w:ascii="Times New Roman" w:eastAsia="Calibri" w:hAnsi="Times New Roman"/>
          <w:sz w:val="24"/>
          <w:szCs w:val="24"/>
        </w:rPr>
      </w:pPr>
      <w:r w:rsidRPr="0031593F">
        <w:rPr>
          <w:rFonts w:ascii="Times New Roman" w:eastAsia="Calibri" w:hAnsi="Times New Roman"/>
          <w:sz w:val="24"/>
          <w:szCs w:val="24"/>
        </w:rPr>
        <w:t xml:space="preserve">Във всички полигони, заети от местообитанието, има рудерални видове, които са с високо покритие – обикновено над 5%. Най-честите рудерални видове в тях в зоната са: </w:t>
      </w:r>
      <w:r w:rsidRPr="0031593F">
        <w:rPr>
          <w:rFonts w:ascii="Times New Roman" w:eastAsia="Calibri" w:hAnsi="Times New Roman"/>
          <w:i/>
          <w:sz w:val="24"/>
          <w:szCs w:val="24"/>
        </w:rPr>
        <w:t>Achillea millefolium</w:t>
      </w:r>
      <w:r w:rsidRPr="0031593F">
        <w:rPr>
          <w:rFonts w:ascii="Times New Roman" w:eastAsia="Calibri" w:hAnsi="Times New Roman"/>
          <w:sz w:val="24"/>
          <w:szCs w:val="24"/>
        </w:rPr>
        <w:t xml:space="preserve"> gr., </w:t>
      </w:r>
      <w:r w:rsidRPr="0031593F">
        <w:rPr>
          <w:rFonts w:ascii="Times New Roman" w:eastAsia="Calibri" w:hAnsi="Times New Roman"/>
          <w:i/>
          <w:sz w:val="24"/>
          <w:szCs w:val="24"/>
        </w:rPr>
        <w:t>Cichorium inthybus</w:t>
      </w:r>
      <w:r w:rsidRPr="0031593F">
        <w:rPr>
          <w:rFonts w:ascii="Times New Roman" w:eastAsia="Calibri" w:hAnsi="Times New Roman"/>
          <w:sz w:val="24"/>
          <w:szCs w:val="24"/>
        </w:rPr>
        <w:t xml:space="preserve">, </w:t>
      </w:r>
      <w:r w:rsidRPr="0031593F">
        <w:rPr>
          <w:rFonts w:ascii="Times New Roman" w:eastAsia="Calibri" w:hAnsi="Times New Roman"/>
          <w:i/>
          <w:sz w:val="24"/>
          <w:szCs w:val="24"/>
        </w:rPr>
        <w:t>Euphorbia cyparissias</w:t>
      </w:r>
      <w:r w:rsidRPr="0031593F">
        <w:rPr>
          <w:rFonts w:ascii="Times New Roman" w:eastAsia="Calibri" w:hAnsi="Times New Roman"/>
          <w:sz w:val="24"/>
          <w:szCs w:val="24"/>
        </w:rPr>
        <w:t xml:space="preserve">, </w:t>
      </w:r>
      <w:r w:rsidRPr="0031593F">
        <w:rPr>
          <w:rFonts w:ascii="Times New Roman" w:eastAsia="Calibri" w:hAnsi="Times New Roman"/>
          <w:i/>
          <w:sz w:val="24"/>
          <w:szCs w:val="24"/>
        </w:rPr>
        <w:t>Cephalaria tran</w:t>
      </w:r>
      <w:r w:rsidRPr="0031593F">
        <w:rPr>
          <w:rFonts w:ascii="Times New Roman" w:eastAsia="Calibri" w:hAnsi="Times New Roman"/>
          <w:i/>
          <w:sz w:val="24"/>
          <w:szCs w:val="24"/>
          <w:lang w:val="en-US"/>
        </w:rPr>
        <w:t>s</w:t>
      </w:r>
      <w:r w:rsidRPr="0031593F">
        <w:rPr>
          <w:rFonts w:ascii="Times New Roman" w:eastAsia="Calibri" w:hAnsi="Times New Roman"/>
          <w:i/>
          <w:sz w:val="24"/>
          <w:szCs w:val="24"/>
        </w:rPr>
        <w:t>silvanica</w:t>
      </w:r>
      <w:r w:rsidRPr="0031593F">
        <w:rPr>
          <w:rFonts w:ascii="Times New Roman" w:eastAsia="Calibri" w:hAnsi="Times New Roman"/>
          <w:sz w:val="24"/>
          <w:szCs w:val="24"/>
        </w:rPr>
        <w:t xml:space="preserve">, </w:t>
      </w:r>
      <w:r w:rsidRPr="0031593F">
        <w:rPr>
          <w:rFonts w:ascii="Times New Roman" w:eastAsia="Calibri" w:hAnsi="Times New Roman"/>
          <w:i/>
          <w:sz w:val="24"/>
          <w:szCs w:val="24"/>
        </w:rPr>
        <w:t>Daucus carota</w:t>
      </w:r>
      <w:r w:rsidRPr="0031593F">
        <w:rPr>
          <w:rFonts w:ascii="Times New Roman" w:eastAsia="Calibri" w:hAnsi="Times New Roman"/>
          <w:sz w:val="24"/>
          <w:szCs w:val="24"/>
        </w:rPr>
        <w:t xml:space="preserve">, </w:t>
      </w:r>
      <w:r w:rsidRPr="0031593F">
        <w:rPr>
          <w:rFonts w:ascii="Times New Roman" w:eastAsia="Calibri" w:hAnsi="Times New Roman"/>
          <w:i/>
          <w:sz w:val="24"/>
          <w:szCs w:val="24"/>
        </w:rPr>
        <w:t xml:space="preserve">Xeranthemum </w:t>
      </w:r>
      <w:r w:rsidRPr="0031593F">
        <w:rPr>
          <w:rFonts w:ascii="Times New Roman" w:eastAsia="Calibri" w:hAnsi="Times New Roman"/>
          <w:sz w:val="24"/>
          <w:szCs w:val="24"/>
        </w:rPr>
        <w:t xml:space="preserve">spp., </w:t>
      </w:r>
      <w:r w:rsidRPr="0031593F">
        <w:rPr>
          <w:rFonts w:ascii="Times New Roman" w:eastAsia="Calibri" w:hAnsi="Times New Roman"/>
          <w:i/>
          <w:sz w:val="24"/>
          <w:szCs w:val="24"/>
          <w:lang w:val="en-US"/>
        </w:rPr>
        <w:t>Linaria genistifolia</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и др.</w:t>
      </w:r>
    </w:p>
    <w:p w:rsidR="0031593F" w:rsidRPr="0031593F" w:rsidRDefault="0031593F" w:rsidP="00635999">
      <w:pPr>
        <w:numPr>
          <w:ilvl w:val="0"/>
          <w:numId w:val="8"/>
        </w:numPr>
        <w:spacing w:after="80" w:line="240" w:lineRule="auto"/>
        <w:contextualSpacing/>
        <w:jc w:val="both"/>
        <w:rPr>
          <w:rFonts w:ascii="Times New Roman" w:eastAsia="Calibri" w:hAnsi="Times New Roman"/>
          <w:sz w:val="24"/>
          <w:szCs w:val="24"/>
        </w:rPr>
      </w:pPr>
      <w:r w:rsidRPr="0031593F">
        <w:rPr>
          <w:rFonts w:ascii="Times New Roman" w:eastAsia="Calibri" w:hAnsi="Times New Roman"/>
          <w:sz w:val="24"/>
          <w:szCs w:val="24"/>
        </w:rPr>
        <w:t xml:space="preserve">Степента на охрастяване е сравнително висока – над 20%, с тенденция да се увеличава. Най-често от дървесните и храстови видове преобладават </w:t>
      </w:r>
      <w:r w:rsidRPr="0031593F">
        <w:rPr>
          <w:rFonts w:ascii="Times New Roman" w:eastAsia="Calibri" w:hAnsi="Times New Roman"/>
          <w:i/>
          <w:sz w:val="24"/>
          <w:szCs w:val="24"/>
          <w:lang w:val="en-US"/>
        </w:rPr>
        <w:t>Prunus spinosa</w:t>
      </w:r>
      <w:r w:rsidRPr="0031593F">
        <w:rPr>
          <w:rFonts w:ascii="Times New Roman" w:eastAsia="Calibri" w:hAnsi="Times New Roman"/>
          <w:i/>
          <w:sz w:val="24"/>
          <w:szCs w:val="24"/>
        </w:rPr>
        <w:t>,</w:t>
      </w:r>
      <w:r w:rsidRPr="0031593F">
        <w:rPr>
          <w:rFonts w:ascii="Times New Roman" w:eastAsia="Calibri" w:hAnsi="Times New Roman"/>
          <w:i/>
          <w:sz w:val="24"/>
          <w:szCs w:val="24"/>
          <w:lang w:val="en-US"/>
        </w:rPr>
        <w:t xml:space="preserve"> Pyrus communis, Ulmus minor, Paliurus spina-christi, Crataegus monogyna</w:t>
      </w:r>
      <w:r w:rsidRPr="0031593F">
        <w:rPr>
          <w:rFonts w:ascii="Times New Roman" w:eastAsia="Calibri" w:hAnsi="Times New Roman"/>
          <w:i/>
          <w:sz w:val="24"/>
          <w:szCs w:val="24"/>
        </w:rPr>
        <w:t>,</w:t>
      </w:r>
      <w:r w:rsidRPr="0031593F">
        <w:rPr>
          <w:rFonts w:ascii="Times New Roman" w:eastAsia="Calibri" w:hAnsi="Times New Roman"/>
          <w:sz w:val="24"/>
          <w:szCs w:val="24"/>
        </w:rPr>
        <w:t xml:space="preserve"> </w:t>
      </w:r>
      <w:r w:rsidRPr="0031593F">
        <w:rPr>
          <w:rFonts w:ascii="Times New Roman" w:eastAsia="Calibri" w:hAnsi="Times New Roman"/>
          <w:i/>
          <w:sz w:val="24"/>
          <w:szCs w:val="24"/>
          <w:lang w:val="en-US"/>
        </w:rPr>
        <w:t>Rosa canina</w:t>
      </w:r>
      <w:r w:rsidRPr="0031593F">
        <w:rPr>
          <w:rFonts w:ascii="Times New Roman" w:eastAsia="Calibri" w:hAnsi="Times New Roman"/>
          <w:sz w:val="24"/>
          <w:szCs w:val="24"/>
        </w:rPr>
        <w:t xml:space="preserve"> и по-малко други.</w:t>
      </w:r>
    </w:p>
    <w:p w:rsidR="0031593F" w:rsidRPr="0031593F" w:rsidRDefault="0031593F" w:rsidP="00EC3027">
      <w:pPr>
        <w:spacing w:after="8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Следователно за осъществяване на заложените цели за природното местообитание е необходимо да бъдат прилагани специални мерки за контрол на охрастяването, на навлизането на инвазивните видове и особено на миризливата върба, акацията и гледичията, както и за намаляване на рудерализацията.</w:t>
      </w:r>
    </w:p>
    <w:p w:rsidR="0031593F" w:rsidRPr="0031593F" w:rsidRDefault="0031593F" w:rsidP="0031593F">
      <w:pPr>
        <w:spacing w:after="0" w:line="240" w:lineRule="auto"/>
        <w:jc w:val="both"/>
        <w:rPr>
          <w:rFonts w:ascii="Times New Roman" w:eastAsia="Calibri" w:hAnsi="Times New Roman"/>
          <w:sz w:val="24"/>
          <w:szCs w:val="24"/>
          <w:highlight w:val="yellow"/>
        </w:rPr>
      </w:pPr>
    </w:p>
    <w:p w:rsidR="0031593F" w:rsidRPr="0031593F" w:rsidRDefault="0031593F" w:rsidP="0031593F">
      <w:pPr>
        <w:spacing w:after="0" w:line="240" w:lineRule="auto"/>
        <w:jc w:val="both"/>
        <w:rPr>
          <w:rFonts w:ascii="Times New Roman" w:eastAsia="Calibri" w:hAnsi="Times New Roman"/>
          <w:b/>
          <w:i/>
          <w:sz w:val="24"/>
          <w:szCs w:val="24"/>
        </w:rPr>
      </w:pPr>
      <w:r w:rsidRPr="0031593F">
        <w:rPr>
          <w:rFonts w:ascii="Times New Roman" w:eastAsia="Calibri" w:hAnsi="Times New Roman"/>
          <w:b/>
          <w:sz w:val="24"/>
          <w:szCs w:val="24"/>
        </w:rPr>
        <w:t>6. Цели за подобряване/поддържане на природозащитното състояние на местообитанието в зоната</w:t>
      </w:r>
    </w:p>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sz w:val="24"/>
          <w:szCs w:val="24"/>
        </w:rPr>
        <w:t>Специфичните природозащитни цели за защитената зона са формулирани по параметри със съответни мерни единици и целеви стойности в приложената таблица.</w:t>
      </w:r>
    </w:p>
    <w:p w:rsidR="0031593F" w:rsidRPr="0031593F" w:rsidRDefault="0031593F" w:rsidP="0031593F">
      <w:pPr>
        <w:spacing w:after="0" w:line="240" w:lineRule="auto"/>
        <w:rPr>
          <w:rFonts w:ascii="Times New Roman" w:eastAsia="Calibri" w:hAnsi="Times New Roman"/>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413"/>
        <w:gridCol w:w="1981"/>
        <w:gridCol w:w="2553"/>
        <w:gridCol w:w="2410"/>
      </w:tblGrid>
      <w:tr w:rsidR="0031593F" w:rsidRPr="0031593F" w:rsidTr="0031593F">
        <w:trPr>
          <w:tblHeader/>
        </w:trPr>
        <w:tc>
          <w:tcPr>
            <w:tcW w:w="170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jc w:val="center"/>
              <w:rPr>
                <w:rFonts w:ascii="Times New Roman" w:eastAsia="Calibri" w:hAnsi="Times New Roman"/>
                <w:b/>
                <w:bCs/>
                <w:sz w:val="20"/>
                <w:szCs w:val="20"/>
              </w:rPr>
            </w:pPr>
            <w:r w:rsidRPr="0031593F">
              <w:rPr>
                <w:rFonts w:ascii="Times New Roman" w:eastAsia="Calibri" w:hAnsi="Times New Roman"/>
                <w:b/>
                <w:bCs/>
                <w:sz w:val="20"/>
                <w:szCs w:val="20"/>
              </w:rPr>
              <w:t>Параметър</w:t>
            </w:r>
          </w:p>
        </w:tc>
        <w:tc>
          <w:tcPr>
            <w:tcW w:w="141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jc w:val="center"/>
              <w:rPr>
                <w:rFonts w:ascii="Times New Roman" w:eastAsia="Calibri" w:hAnsi="Times New Roman"/>
                <w:b/>
                <w:bCs/>
                <w:sz w:val="20"/>
                <w:szCs w:val="20"/>
              </w:rPr>
            </w:pPr>
            <w:r w:rsidRPr="0031593F">
              <w:rPr>
                <w:rFonts w:ascii="Times New Roman" w:eastAsia="Calibri" w:hAnsi="Times New Roman"/>
                <w:b/>
                <w:bCs/>
                <w:sz w:val="20"/>
                <w:szCs w:val="20"/>
              </w:rPr>
              <w:t>Мерна единица</w:t>
            </w:r>
          </w:p>
        </w:tc>
        <w:tc>
          <w:tcPr>
            <w:tcW w:w="198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jc w:val="center"/>
              <w:rPr>
                <w:rFonts w:ascii="Times New Roman" w:eastAsia="Calibri" w:hAnsi="Times New Roman"/>
                <w:b/>
                <w:bCs/>
                <w:sz w:val="20"/>
                <w:szCs w:val="20"/>
              </w:rPr>
            </w:pPr>
            <w:r w:rsidRPr="0031593F">
              <w:rPr>
                <w:rFonts w:ascii="Times New Roman" w:eastAsia="Calibri" w:hAnsi="Times New Roman"/>
                <w:b/>
                <w:bCs/>
                <w:sz w:val="20"/>
                <w:szCs w:val="20"/>
              </w:rPr>
              <w:t>Целева стойност</w:t>
            </w:r>
          </w:p>
        </w:tc>
        <w:tc>
          <w:tcPr>
            <w:tcW w:w="255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jc w:val="center"/>
              <w:rPr>
                <w:rFonts w:ascii="Times New Roman" w:eastAsia="Calibri" w:hAnsi="Times New Roman"/>
                <w:b/>
                <w:bCs/>
                <w:sz w:val="20"/>
                <w:szCs w:val="20"/>
              </w:rPr>
            </w:pPr>
            <w:r w:rsidRPr="0031593F">
              <w:rPr>
                <w:rFonts w:ascii="Times New Roman" w:eastAsia="Calibri" w:hAnsi="Times New Roman"/>
                <w:b/>
                <w:bCs/>
                <w:sz w:val="20"/>
                <w:szCs w:val="20"/>
              </w:rPr>
              <w:t>Допълнителна информация</w:t>
            </w:r>
          </w:p>
        </w:tc>
        <w:tc>
          <w:tcPr>
            <w:tcW w:w="2410" w:type="dxa"/>
            <w:tcBorders>
              <w:top w:val="single" w:sz="4" w:space="0" w:color="auto"/>
              <w:left w:val="single" w:sz="4" w:space="0" w:color="auto"/>
              <w:bottom w:val="single" w:sz="4" w:space="0" w:color="auto"/>
              <w:right w:val="single" w:sz="4" w:space="0" w:color="auto"/>
            </w:tcBorders>
            <w:shd w:val="clear" w:color="auto" w:fill="DBE5F1"/>
            <w:hideMark/>
          </w:tcPr>
          <w:p w:rsidR="0031593F" w:rsidRPr="0031593F" w:rsidRDefault="0031593F" w:rsidP="0031593F">
            <w:pPr>
              <w:spacing w:after="160" w:line="259" w:lineRule="auto"/>
              <w:jc w:val="center"/>
              <w:rPr>
                <w:rFonts w:ascii="Times New Roman" w:eastAsia="Calibri" w:hAnsi="Times New Roman"/>
                <w:b/>
                <w:bCs/>
                <w:sz w:val="20"/>
                <w:szCs w:val="20"/>
              </w:rPr>
            </w:pPr>
            <w:r w:rsidRPr="0031593F">
              <w:rPr>
                <w:rFonts w:ascii="Times New Roman" w:eastAsia="Calibri" w:hAnsi="Times New Roman"/>
                <w:b/>
                <w:bCs/>
                <w:sz w:val="20"/>
                <w:szCs w:val="20"/>
              </w:rPr>
              <w:t>Специфични природозащитни цели за защитената зона</w:t>
            </w:r>
          </w:p>
        </w:tc>
      </w:tr>
      <w:tr w:rsidR="0031593F" w:rsidRPr="0031593F" w:rsidTr="0031593F">
        <w:tc>
          <w:tcPr>
            <w:tcW w:w="170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sz w:val="20"/>
                <w:szCs w:val="20"/>
              </w:rPr>
            </w:pPr>
            <w:r w:rsidRPr="0031593F">
              <w:rPr>
                <w:rFonts w:ascii="Times New Roman" w:eastAsia="Calibri" w:hAnsi="Times New Roman"/>
                <w:b/>
                <w:sz w:val="20"/>
                <w:szCs w:val="20"/>
              </w:rPr>
              <w:t>Площ</w:t>
            </w:r>
          </w:p>
        </w:tc>
        <w:tc>
          <w:tcPr>
            <w:tcW w:w="141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Хектари</w:t>
            </w:r>
          </w:p>
        </w:tc>
        <w:tc>
          <w:tcPr>
            <w:tcW w:w="198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lang w:val="en-US"/>
              </w:rPr>
            </w:pPr>
            <w:r w:rsidRPr="0031593F">
              <w:rPr>
                <w:rFonts w:ascii="Times New Roman" w:eastAsia="Calibri" w:hAnsi="Times New Roman"/>
                <w:sz w:val="20"/>
                <w:szCs w:val="20"/>
              </w:rPr>
              <w:t xml:space="preserve">Най-малко 11,24 </w:t>
            </w:r>
            <w:r w:rsidRPr="0031593F">
              <w:rPr>
                <w:rFonts w:ascii="Times New Roman" w:eastAsia="Calibri" w:hAnsi="Times New Roman"/>
                <w:sz w:val="20"/>
                <w:szCs w:val="20"/>
                <w:lang w:val="en-US"/>
              </w:rPr>
              <w:t>ha</w:t>
            </w:r>
          </w:p>
        </w:tc>
        <w:tc>
          <w:tcPr>
            <w:tcW w:w="255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before="120" w:after="120" w:line="240" w:lineRule="auto"/>
              <w:rPr>
                <w:rFonts w:ascii="Times New Roman" w:eastAsia="Calibri" w:hAnsi="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lang w:val="en-US"/>
              </w:rPr>
            </w:pPr>
            <w:r w:rsidRPr="0031593F">
              <w:rPr>
                <w:rFonts w:ascii="Times New Roman" w:eastAsia="Calibri" w:hAnsi="Times New Roman"/>
                <w:sz w:val="20"/>
                <w:szCs w:val="20"/>
              </w:rPr>
              <w:t xml:space="preserve">Поддържане на площта – най-малко 11,24 </w:t>
            </w:r>
            <w:r w:rsidRPr="0031593F">
              <w:rPr>
                <w:rFonts w:ascii="Times New Roman" w:eastAsia="Calibri" w:hAnsi="Times New Roman"/>
                <w:sz w:val="20"/>
                <w:szCs w:val="20"/>
                <w:lang w:val="en-US"/>
              </w:rPr>
              <w:t>ha</w:t>
            </w:r>
          </w:p>
        </w:tc>
      </w:tr>
      <w:tr w:rsidR="0031593F" w:rsidRPr="0031593F" w:rsidTr="0031593F">
        <w:tc>
          <w:tcPr>
            <w:tcW w:w="170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sz w:val="20"/>
                <w:szCs w:val="20"/>
              </w:rPr>
            </w:pPr>
            <w:r w:rsidRPr="0031593F">
              <w:rPr>
                <w:rFonts w:ascii="Times New Roman" w:eastAsia="Calibri" w:hAnsi="Times New Roman"/>
                <w:b/>
                <w:sz w:val="20"/>
                <w:szCs w:val="20"/>
              </w:rPr>
              <w:t>Структура и функции: Общо проективно покритие на растителността</w:t>
            </w:r>
          </w:p>
        </w:tc>
        <w:tc>
          <w:tcPr>
            <w:tcW w:w="141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 общо проективно покритие на растител-ността</w:t>
            </w:r>
          </w:p>
        </w:tc>
        <w:tc>
          <w:tcPr>
            <w:tcW w:w="198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Най-малко 80% общо проективно покритие на растителността</w:t>
            </w:r>
          </w:p>
        </w:tc>
        <w:tc>
          <w:tcPr>
            <w:tcW w:w="255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Поддържане на състоянието – общото проективно покритие на растителността следва да е най-малко 80%.</w:t>
            </w:r>
          </w:p>
        </w:tc>
      </w:tr>
      <w:tr w:rsidR="0031593F" w:rsidRPr="0031593F" w:rsidTr="0031593F">
        <w:tc>
          <w:tcPr>
            <w:tcW w:w="170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sz w:val="20"/>
                <w:szCs w:val="20"/>
              </w:rPr>
            </w:pPr>
            <w:r w:rsidRPr="0031593F">
              <w:rPr>
                <w:rFonts w:ascii="Times New Roman" w:eastAsia="Calibri" w:hAnsi="Times New Roman"/>
                <w:b/>
                <w:sz w:val="20"/>
                <w:szCs w:val="20"/>
              </w:rPr>
              <w:t>Структура и функции: Присъствие на типични видове растения</w:t>
            </w:r>
          </w:p>
        </w:tc>
        <w:tc>
          <w:tcPr>
            <w:tcW w:w="141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Брой типични видове</w:t>
            </w:r>
          </w:p>
        </w:tc>
        <w:tc>
          <w:tcPr>
            <w:tcW w:w="198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Най-малко 5 вида</w:t>
            </w:r>
          </w:p>
        </w:tc>
        <w:tc>
          <w:tcPr>
            <w:tcW w:w="255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lang w:val="en-US"/>
              </w:rPr>
            </w:pPr>
            <w:r w:rsidRPr="0031593F">
              <w:rPr>
                <w:rFonts w:ascii="Times New Roman" w:eastAsia="Calibri" w:hAnsi="Times New Roman"/>
                <w:iCs/>
                <w:sz w:val="20"/>
                <w:szCs w:val="20"/>
              </w:rPr>
              <w:t xml:space="preserve">Типични видове са </w:t>
            </w:r>
            <w:r w:rsidRPr="0031593F">
              <w:rPr>
                <w:rFonts w:ascii="Times New Roman" w:eastAsia="Calibri" w:hAnsi="Times New Roman"/>
                <w:i/>
                <w:iCs/>
                <w:sz w:val="20"/>
                <w:szCs w:val="20"/>
              </w:rPr>
              <w:t xml:space="preserve">Chrysopogon gryllus, Poa angustifolia, Dichanthium ischaemum, Festuca spp., Koeleria macrantha, Astragalus onobrychis, Centaurea stereophylla, Dianthus pallens, Salvia nemorosa, Thymus </w:t>
            </w:r>
            <w:r w:rsidRPr="0031593F">
              <w:rPr>
                <w:rFonts w:ascii="Times New Roman" w:eastAsia="Calibri" w:hAnsi="Times New Roman"/>
                <w:i/>
                <w:iCs/>
                <w:sz w:val="20"/>
                <w:szCs w:val="20"/>
                <w:lang w:val="en-US"/>
              </w:rPr>
              <w:t>spp.</w:t>
            </w:r>
            <w:r w:rsidRPr="0031593F">
              <w:rPr>
                <w:rFonts w:ascii="Times New Roman" w:eastAsia="Calibri" w:hAnsi="Times New Roman"/>
                <w:i/>
                <w:iCs/>
                <w:sz w:val="20"/>
                <w:szCs w:val="20"/>
              </w:rPr>
              <w:t>, Euphorbia nicaensis, Teucrium polium, Teucrium chamaedrys, Asperula cynanchica, Galium verum</w:t>
            </w:r>
            <w:r w:rsidRPr="0031593F">
              <w:rPr>
                <w:rFonts w:ascii="Times New Roman" w:eastAsia="Calibri" w:hAnsi="Times New Roman"/>
                <w:i/>
                <w:iCs/>
                <w:sz w:val="20"/>
                <w:szCs w:val="20"/>
                <w:lang w:val="en-US"/>
              </w:rPr>
              <w:t>.</w:t>
            </w:r>
          </w:p>
        </w:tc>
        <w:tc>
          <w:tcPr>
            <w:tcW w:w="2410"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Поддържане на състоянието – присъстват поне 5 от типичните видове.</w:t>
            </w:r>
          </w:p>
        </w:tc>
      </w:tr>
      <w:tr w:rsidR="0031593F" w:rsidRPr="0031593F" w:rsidTr="0031593F">
        <w:tc>
          <w:tcPr>
            <w:tcW w:w="170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sz w:val="20"/>
                <w:szCs w:val="20"/>
              </w:rPr>
            </w:pPr>
            <w:r w:rsidRPr="0031593F">
              <w:rPr>
                <w:rFonts w:ascii="Times New Roman" w:eastAsia="Calibri" w:hAnsi="Times New Roman"/>
                <w:b/>
                <w:sz w:val="20"/>
                <w:szCs w:val="20"/>
              </w:rPr>
              <w:t xml:space="preserve">Структура и функции: </w:t>
            </w:r>
            <w:r w:rsidRPr="0031593F">
              <w:rPr>
                <w:rFonts w:ascii="Times New Roman" w:eastAsia="Calibri" w:hAnsi="Times New Roman"/>
                <w:b/>
                <w:sz w:val="20"/>
                <w:szCs w:val="20"/>
              </w:rPr>
              <w:lastRenderedPageBreak/>
              <w:t>Проективно покритие на типичния доминиращ вид (доминиращи видове)</w:t>
            </w:r>
          </w:p>
        </w:tc>
        <w:tc>
          <w:tcPr>
            <w:tcW w:w="141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lastRenderedPageBreak/>
              <w:t xml:space="preserve">% проективно </w:t>
            </w:r>
            <w:r w:rsidRPr="0031593F">
              <w:rPr>
                <w:rFonts w:ascii="Times New Roman" w:eastAsia="Calibri" w:hAnsi="Times New Roman"/>
                <w:sz w:val="20"/>
                <w:szCs w:val="20"/>
              </w:rPr>
              <w:lastRenderedPageBreak/>
              <w:t>покритие на типичния доминиращ вид (доминиращи видове)</w:t>
            </w:r>
          </w:p>
        </w:tc>
        <w:tc>
          <w:tcPr>
            <w:tcW w:w="198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lang w:val="en-US"/>
              </w:rPr>
            </w:pPr>
            <w:r w:rsidRPr="0031593F">
              <w:rPr>
                <w:rFonts w:ascii="Times New Roman" w:eastAsia="Calibri" w:hAnsi="Times New Roman"/>
                <w:sz w:val="20"/>
                <w:szCs w:val="20"/>
              </w:rPr>
              <w:lastRenderedPageBreak/>
              <w:t xml:space="preserve">Най-малко 60% проективно </w:t>
            </w:r>
            <w:r w:rsidRPr="0031593F">
              <w:rPr>
                <w:rFonts w:ascii="Times New Roman" w:eastAsia="Calibri" w:hAnsi="Times New Roman"/>
                <w:sz w:val="20"/>
                <w:szCs w:val="20"/>
              </w:rPr>
              <w:lastRenderedPageBreak/>
              <w:t xml:space="preserve">покритие на типичния доминиращ вид </w:t>
            </w:r>
            <w:r w:rsidRPr="0031593F">
              <w:rPr>
                <w:rFonts w:ascii="Times New Roman" w:eastAsia="Calibri" w:hAnsi="Times New Roman"/>
                <w:sz w:val="20"/>
                <w:szCs w:val="20"/>
                <w:lang w:val="en-US"/>
              </w:rPr>
              <w:t>(</w:t>
            </w:r>
            <w:r w:rsidRPr="0031593F">
              <w:rPr>
                <w:rFonts w:ascii="Times New Roman" w:eastAsia="Calibri" w:hAnsi="Times New Roman"/>
                <w:sz w:val="20"/>
                <w:szCs w:val="20"/>
              </w:rPr>
              <w:t>доминиращи видове</w:t>
            </w:r>
            <w:r w:rsidRPr="0031593F">
              <w:rPr>
                <w:rFonts w:ascii="Times New Roman" w:eastAsia="Calibri" w:hAnsi="Times New Roman"/>
                <w:sz w:val="20"/>
                <w:szCs w:val="20"/>
                <w:lang w:val="en-US"/>
              </w:rPr>
              <w:t>)</w:t>
            </w:r>
          </w:p>
        </w:tc>
        <w:tc>
          <w:tcPr>
            <w:tcW w:w="255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lastRenderedPageBreak/>
              <w:t xml:space="preserve">Доминират </w:t>
            </w:r>
            <w:r w:rsidRPr="0031593F">
              <w:rPr>
                <w:rFonts w:ascii="Times New Roman" w:eastAsia="Calibri" w:hAnsi="Times New Roman"/>
                <w:i/>
                <w:iCs/>
                <w:sz w:val="20"/>
                <w:szCs w:val="20"/>
              </w:rPr>
              <w:t xml:space="preserve">Chrysopogon gryllus, Dichanthium </w:t>
            </w:r>
            <w:r w:rsidRPr="0031593F">
              <w:rPr>
                <w:rFonts w:ascii="Times New Roman" w:eastAsia="Calibri" w:hAnsi="Times New Roman"/>
                <w:i/>
                <w:iCs/>
                <w:sz w:val="20"/>
                <w:szCs w:val="20"/>
              </w:rPr>
              <w:lastRenderedPageBreak/>
              <w:t>ischaemum, Festuca valesiaca</w:t>
            </w:r>
            <w:r w:rsidRPr="0031593F">
              <w:rPr>
                <w:rFonts w:ascii="Times New Roman" w:eastAsia="Calibri" w:hAnsi="Times New Roman"/>
                <w:sz w:val="20"/>
                <w:szCs w:val="20"/>
              </w:rPr>
              <w:t xml:space="preserve"> и/или </w:t>
            </w:r>
            <w:r w:rsidRPr="0031593F">
              <w:rPr>
                <w:rFonts w:ascii="Times New Roman" w:eastAsia="Calibri" w:hAnsi="Times New Roman"/>
                <w:i/>
                <w:iCs/>
                <w:sz w:val="20"/>
                <w:szCs w:val="20"/>
              </w:rPr>
              <w:t>Stipa</w:t>
            </w:r>
            <w:r w:rsidRPr="0031593F">
              <w:rPr>
                <w:rFonts w:ascii="Times New Roman" w:eastAsia="Calibri" w:hAnsi="Times New Roman"/>
                <w:sz w:val="20"/>
                <w:szCs w:val="20"/>
              </w:rPr>
              <w:t xml:space="preserve"> spp.</w:t>
            </w:r>
          </w:p>
        </w:tc>
        <w:tc>
          <w:tcPr>
            <w:tcW w:w="2410"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lastRenderedPageBreak/>
              <w:t xml:space="preserve">Подобряване на състоянието – минимум </w:t>
            </w:r>
            <w:r w:rsidRPr="0031593F">
              <w:rPr>
                <w:rFonts w:ascii="Times New Roman" w:eastAsia="Calibri" w:hAnsi="Times New Roman"/>
                <w:sz w:val="20"/>
                <w:szCs w:val="20"/>
                <w:lang w:val="en-US"/>
              </w:rPr>
              <w:lastRenderedPageBreak/>
              <w:t>6</w:t>
            </w:r>
            <w:r w:rsidRPr="0031593F">
              <w:rPr>
                <w:rFonts w:ascii="Times New Roman" w:eastAsia="Calibri" w:hAnsi="Times New Roman"/>
                <w:sz w:val="20"/>
                <w:szCs w:val="20"/>
              </w:rPr>
              <w:t>0% проективно покритие на типичните доминиращи видове</w:t>
            </w:r>
            <w:r w:rsidRPr="0031593F">
              <w:rPr>
                <w:rFonts w:ascii="Times New Roman" w:eastAsia="Calibri" w:hAnsi="Times New Roman"/>
                <w:sz w:val="20"/>
                <w:szCs w:val="20"/>
                <w:lang w:val="en-US"/>
              </w:rPr>
              <w:t>.</w:t>
            </w:r>
          </w:p>
        </w:tc>
      </w:tr>
      <w:tr w:rsidR="0031593F" w:rsidRPr="0031593F" w:rsidTr="0031593F">
        <w:tc>
          <w:tcPr>
            <w:tcW w:w="170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sz w:val="20"/>
                <w:szCs w:val="20"/>
              </w:rPr>
            </w:pPr>
            <w:r w:rsidRPr="0031593F">
              <w:rPr>
                <w:rFonts w:ascii="Times New Roman" w:eastAsia="Calibri" w:hAnsi="Times New Roman"/>
                <w:b/>
                <w:sz w:val="20"/>
                <w:szCs w:val="20"/>
              </w:rPr>
              <w:lastRenderedPageBreak/>
              <w:t>Структура и функции: Наличие на инвазивни чужди видове</w:t>
            </w:r>
          </w:p>
        </w:tc>
        <w:tc>
          <w:tcPr>
            <w:tcW w:w="141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 проективно покритие на инвазивни чужди видове</w:t>
            </w:r>
          </w:p>
        </w:tc>
        <w:tc>
          <w:tcPr>
            <w:tcW w:w="198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Не повече от 1% проективно покритие на инвазивни чужди видове растения</w:t>
            </w:r>
          </w:p>
        </w:tc>
        <w:tc>
          <w:tcPr>
            <w:tcW w:w="255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За референтен източник се използва " Списък с инвазивни чужди видове растения" на интернет страницата на ИАОС, а за идентифициране се използва Атлас на инвазивните чужди видове растения в България (вж. Петрова и др. 2012).</w:t>
            </w:r>
          </w:p>
        </w:tc>
        <w:tc>
          <w:tcPr>
            <w:tcW w:w="2410"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Подобряване на състоянието – присъствието на ИЧВ следва да е под 1%.</w:t>
            </w:r>
          </w:p>
        </w:tc>
      </w:tr>
      <w:tr w:rsidR="0031593F" w:rsidRPr="0031593F" w:rsidTr="0031593F">
        <w:trPr>
          <w:trHeight w:val="575"/>
        </w:trPr>
        <w:tc>
          <w:tcPr>
            <w:tcW w:w="170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sz w:val="20"/>
                <w:szCs w:val="20"/>
              </w:rPr>
            </w:pPr>
            <w:r w:rsidRPr="0031593F">
              <w:rPr>
                <w:rFonts w:ascii="Times New Roman" w:eastAsia="Calibri" w:hAnsi="Times New Roman"/>
                <w:b/>
                <w:sz w:val="20"/>
                <w:szCs w:val="20"/>
              </w:rPr>
              <w:t>Структура и функции: Присъствие на рудерални видове</w:t>
            </w:r>
          </w:p>
        </w:tc>
        <w:tc>
          <w:tcPr>
            <w:tcW w:w="141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 от площта на местообита-нието</w:t>
            </w:r>
          </w:p>
        </w:tc>
        <w:tc>
          <w:tcPr>
            <w:tcW w:w="198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Най-много 5%</w:t>
            </w:r>
          </w:p>
        </w:tc>
        <w:tc>
          <w:tcPr>
            <w:tcW w:w="255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Природното местообитание е в благоприятно състояние, когато не присъстват рудерални видове (в един идеален вариант) или тяхното присъствие е спорадично и общото им проективно покритие не надхвърля 5%.</w:t>
            </w:r>
          </w:p>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 xml:space="preserve">Видов състав на рудералните видове растения, които могат да се срещат във фитоценозата, но не трябва да формират самостоятелни ценози (над </w:t>
            </w:r>
            <w:r w:rsidRPr="0031593F">
              <w:rPr>
                <w:rFonts w:ascii="Times New Roman" w:eastAsia="Calibri" w:hAnsi="Times New Roman"/>
                <w:sz w:val="20"/>
                <w:szCs w:val="20"/>
                <w:lang w:val="en-US"/>
              </w:rPr>
              <w:t>5</w:t>
            </w:r>
            <w:r w:rsidRPr="0031593F">
              <w:rPr>
                <w:rFonts w:ascii="Times New Roman" w:eastAsia="Calibri" w:hAnsi="Times New Roman"/>
                <w:sz w:val="20"/>
                <w:szCs w:val="20"/>
              </w:rPr>
              <w:t xml:space="preserve">%): </w:t>
            </w:r>
            <w:r w:rsidRPr="0031593F">
              <w:rPr>
                <w:rFonts w:ascii="Times New Roman" w:eastAsia="Calibri" w:hAnsi="Times New Roman"/>
                <w:i/>
                <w:sz w:val="20"/>
                <w:szCs w:val="20"/>
              </w:rPr>
              <w:t>Achillea millefolium</w:t>
            </w:r>
            <w:r w:rsidRPr="0031593F">
              <w:rPr>
                <w:rFonts w:ascii="Times New Roman" w:eastAsia="Calibri" w:hAnsi="Times New Roman"/>
                <w:sz w:val="20"/>
                <w:szCs w:val="20"/>
              </w:rPr>
              <w:t xml:space="preserve"> gr., </w:t>
            </w:r>
            <w:r w:rsidRPr="0031593F">
              <w:rPr>
                <w:rFonts w:ascii="Times New Roman" w:eastAsia="Calibri" w:hAnsi="Times New Roman"/>
                <w:i/>
                <w:iCs/>
                <w:sz w:val="20"/>
                <w:szCs w:val="20"/>
              </w:rPr>
              <w:t>Cichorium inthybus</w:t>
            </w:r>
            <w:r w:rsidRPr="0031593F">
              <w:rPr>
                <w:rFonts w:ascii="Times New Roman" w:eastAsia="Calibri" w:hAnsi="Times New Roman"/>
                <w:i/>
                <w:iCs/>
                <w:sz w:val="20"/>
                <w:szCs w:val="20"/>
                <w:lang w:val="en-US"/>
              </w:rPr>
              <w:t>,</w:t>
            </w:r>
            <w:r w:rsidRPr="0031593F">
              <w:rPr>
                <w:rFonts w:ascii="Times New Roman" w:eastAsia="Calibri" w:hAnsi="Times New Roman"/>
                <w:i/>
                <w:iCs/>
                <w:sz w:val="20"/>
                <w:szCs w:val="20"/>
              </w:rPr>
              <w:t xml:space="preserve"> Euphorbia cyparissias, Cephalaria tran</w:t>
            </w:r>
            <w:r w:rsidRPr="0031593F">
              <w:rPr>
                <w:rFonts w:ascii="Times New Roman" w:eastAsia="Calibri" w:hAnsi="Times New Roman"/>
                <w:i/>
                <w:iCs/>
                <w:sz w:val="20"/>
                <w:szCs w:val="20"/>
                <w:lang w:val="en-US"/>
              </w:rPr>
              <w:t>s</w:t>
            </w:r>
            <w:r w:rsidRPr="0031593F">
              <w:rPr>
                <w:rFonts w:ascii="Times New Roman" w:eastAsia="Calibri" w:hAnsi="Times New Roman"/>
                <w:i/>
                <w:iCs/>
                <w:sz w:val="20"/>
                <w:szCs w:val="20"/>
              </w:rPr>
              <w:t>silvanica, Daucus carota, Xeranthemum</w:t>
            </w:r>
            <w:r w:rsidRPr="0031593F">
              <w:rPr>
                <w:rFonts w:ascii="Times New Roman" w:eastAsia="Calibri" w:hAnsi="Times New Roman"/>
                <w:sz w:val="20"/>
                <w:szCs w:val="20"/>
              </w:rPr>
              <w:t xml:space="preserve"> spp., </w:t>
            </w:r>
            <w:r w:rsidRPr="0031593F">
              <w:rPr>
                <w:rFonts w:ascii="Times New Roman" w:eastAsia="Calibri" w:hAnsi="Times New Roman"/>
                <w:i/>
                <w:sz w:val="20"/>
                <w:szCs w:val="20"/>
                <w:lang w:val="en-US"/>
              </w:rPr>
              <w:t>Linaria genistifolia</w:t>
            </w:r>
            <w:r w:rsidRPr="0031593F">
              <w:rPr>
                <w:rFonts w:ascii="Times New Roman" w:eastAsia="Calibri" w:hAnsi="Times New Roman"/>
                <w:sz w:val="20"/>
                <w:szCs w:val="20"/>
                <w:lang w:val="en-US"/>
              </w:rPr>
              <w:t xml:space="preserve">. </w:t>
            </w:r>
            <w:r w:rsidRPr="0031593F">
              <w:rPr>
                <w:rFonts w:ascii="Times New Roman" w:eastAsia="Calibri" w:hAnsi="Times New Roman"/>
                <w:sz w:val="20"/>
                <w:szCs w:val="20"/>
              </w:rPr>
              <w:t xml:space="preserve"> При увеличена рудерализация, при управлението да се предвиждат мерки за нейното намаляване чрез намаляване интензитета на пашата, възстановяване на нормалната видова структура на доминиращите житни треви, ограничаване на източниците на битово замърсяване и др.</w:t>
            </w:r>
          </w:p>
        </w:tc>
        <w:tc>
          <w:tcPr>
            <w:tcW w:w="2410"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Подобряване на състоянието – присъствието на рудерални видове следва да е под 5%.</w:t>
            </w:r>
          </w:p>
        </w:tc>
      </w:tr>
      <w:tr w:rsidR="0031593F" w:rsidRPr="0031593F" w:rsidTr="0031593F">
        <w:trPr>
          <w:trHeight w:val="4823"/>
        </w:trPr>
        <w:tc>
          <w:tcPr>
            <w:tcW w:w="170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sz w:val="20"/>
                <w:szCs w:val="20"/>
              </w:rPr>
            </w:pPr>
            <w:r w:rsidRPr="0031593F">
              <w:rPr>
                <w:rFonts w:ascii="Times New Roman" w:eastAsia="Calibri" w:hAnsi="Times New Roman"/>
                <w:b/>
                <w:sz w:val="20"/>
                <w:szCs w:val="20"/>
              </w:rPr>
              <w:lastRenderedPageBreak/>
              <w:t>Структура и функции: Присъствие на нетипични храстови и дървесни видове и орлова папрат</w:t>
            </w:r>
          </w:p>
        </w:tc>
        <w:tc>
          <w:tcPr>
            <w:tcW w:w="141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 от площта на местообита-нието с покритие на с храстова и дървесна растителност, и орлова папрат</w:t>
            </w:r>
          </w:p>
        </w:tc>
        <w:tc>
          <w:tcPr>
            <w:tcW w:w="198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Най-много 20%</w:t>
            </w:r>
          </w:p>
        </w:tc>
        <w:tc>
          <w:tcPr>
            <w:tcW w:w="255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 xml:space="preserve">Охрастяването може да бъде свързано с мезофитизация, вкл. след изоставяне на пашата и е свързано с навлизане на храстови и дървесни видове, главно </w:t>
            </w:r>
            <w:r w:rsidRPr="0031593F">
              <w:rPr>
                <w:rFonts w:ascii="Times New Roman" w:eastAsia="Calibri" w:hAnsi="Times New Roman"/>
                <w:i/>
                <w:iCs/>
                <w:sz w:val="20"/>
                <w:szCs w:val="20"/>
              </w:rPr>
              <w:t xml:space="preserve">Crataegus monogyna, Prunus spinosa, Rosa spp., </w:t>
            </w:r>
            <w:r w:rsidRPr="0031593F">
              <w:rPr>
                <w:rFonts w:ascii="Times New Roman" w:eastAsia="Calibri" w:hAnsi="Times New Roman"/>
                <w:i/>
                <w:iCs/>
                <w:sz w:val="20"/>
                <w:szCs w:val="20"/>
                <w:lang w:val="en-US"/>
              </w:rPr>
              <w:t>Ulmus minor, Paliurus spina-christi, Pyrus communis</w:t>
            </w:r>
            <w:r w:rsidRPr="0031593F">
              <w:rPr>
                <w:rFonts w:ascii="Times New Roman" w:eastAsia="Calibri" w:hAnsi="Times New Roman"/>
                <w:i/>
                <w:iCs/>
                <w:sz w:val="20"/>
                <w:szCs w:val="20"/>
              </w:rPr>
              <w:t xml:space="preserve"> </w:t>
            </w:r>
            <w:r w:rsidRPr="0031593F">
              <w:rPr>
                <w:rFonts w:ascii="Times New Roman" w:eastAsia="Calibri" w:hAnsi="Times New Roman"/>
                <w:sz w:val="20"/>
                <w:szCs w:val="20"/>
              </w:rPr>
              <w:t>и др. При увеличаване на площта на храстовите и дървесни видове на над 20% от площта на полигона, зает от местообитанието, да бъдат отчетени причините за това, и да бъдат набелязани мерки за неговото предотвратяване.</w:t>
            </w:r>
          </w:p>
        </w:tc>
        <w:tc>
          <w:tcPr>
            <w:tcW w:w="2410"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Подобряване на състоянието – проективното покритие на нетипични храстови и дървесни видове, и обраствания с орлова папрат следва да е под 20%.</w:t>
            </w:r>
          </w:p>
        </w:tc>
      </w:tr>
    </w:tbl>
    <w:p w:rsidR="0031593F" w:rsidRPr="0031593F" w:rsidRDefault="0031593F" w:rsidP="0031593F">
      <w:pPr>
        <w:spacing w:after="0" w:line="240" w:lineRule="auto"/>
        <w:jc w:val="both"/>
        <w:rPr>
          <w:rFonts w:ascii="Times New Roman" w:eastAsia="Calibri" w:hAnsi="Times New Roman"/>
          <w:sz w:val="24"/>
          <w:szCs w:val="24"/>
          <w:highlight w:val="yellow"/>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7. Необходимост от актуализация на СФ на защитената зона</w:t>
      </w:r>
    </w:p>
    <w:p w:rsidR="0031593F" w:rsidRPr="0031593F" w:rsidRDefault="0031593F" w:rsidP="00EC3027">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Въз основа на събраната информация е необходима промян</w:t>
      </w:r>
      <w:r w:rsidRPr="0031593F">
        <w:rPr>
          <w:rFonts w:ascii="Times New Roman" w:eastAsia="Calibri" w:hAnsi="Times New Roman"/>
          <w:sz w:val="24"/>
          <w:szCs w:val="24"/>
          <w:lang w:val="en-US"/>
        </w:rPr>
        <w:t>a</w:t>
      </w:r>
      <w:r w:rsidRPr="0031593F">
        <w:rPr>
          <w:rFonts w:ascii="Times New Roman" w:eastAsia="Calibri" w:hAnsi="Times New Roman"/>
          <w:sz w:val="24"/>
          <w:szCs w:val="24"/>
        </w:rPr>
        <w:t xml:space="preserve"> само на площта в стандартния формуляр на защитената зона.</w:t>
      </w:r>
    </w:p>
    <w:p w:rsidR="0031593F" w:rsidRPr="0031593F" w:rsidRDefault="0031593F" w:rsidP="0031593F">
      <w:pPr>
        <w:spacing w:after="0" w:line="240" w:lineRule="auto"/>
        <w:jc w:val="both"/>
        <w:rPr>
          <w:rFonts w:ascii="Times New Roman" w:eastAsia="Calibri" w:hAnsi="Times New Roman"/>
          <w:sz w:val="24"/>
          <w:szCs w:val="24"/>
          <w:lang w:val="en-US"/>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567"/>
        <w:gridCol w:w="567"/>
        <w:gridCol w:w="851"/>
        <w:gridCol w:w="1134"/>
        <w:gridCol w:w="1134"/>
        <w:gridCol w:w="1842"/>
        <w:gridCol w:w="993"/>
        <w:gridCol w:w="1559"/>
        <w:gridCol w:w="850"/>
      </w:tblGrid>
      <w:tr w:rsidR="0031593F" w:rsidRPr="0031593F" w:rsidTr="0031593F">
        <w:tc>
          <w:tcPr>
            <w:tcW w:w="4957" w:type="dxa"/>
            <w:gridSpan w:val="6"/>
            <w:shd w:val="clear" w:color="auto" w:fill="D9D9D9"/>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Annex I Habitat types</w:t>
            </w:r>
          </w:p>
        </w:tc>
        <w:tc>
          <w:tcPr>
            <w:tcW w:w="5244" w:type="dxa"/>
            <w:gridSpan w:val="4"/>
            <w:shd w:val="clear" w:color="auto" w:fill="D9D9D9"/>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Site assessment</w:t>
            </w:r>
          </w:p>
        </w:tc>
      </w:tr>
      <w:tr w:rsidR="0031593F" w:rsidRPr="0031593F" w:rsidTr="0031593F">
        <w:tc>
          <w:tcPr>
            <w:tcW w:w="70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Code</w:t>
            </w:r>
          </w:p>
        </w:tc>
        <w:tc>
          <w:tcPr>
            <w:tcW w:w="567"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PF</w:t>
            </w:r>
          </w:p>
        </w:tc>
        <w:tc>
          <w:tcPr>
            <w:tcW w:w="567"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NP</w:t>
            </w:r>
          </w:p>
        </w:tc>
        <w:tc>
          <w:tcPr>
            <w:tcW w:w="851"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Cover (ha)</w:t>
            </w:r>
          </w:p>
        </w:tc>
        <w:tc>
          <w:tcPr>
            <w:tcW w:w="113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Cave (number)</w:t>
            </w:r>
          </w:p>
        </w:tc>
        <w:tc>
          <w:tcPr>
            <w:tcW w:w="113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Data quality</w:t>
            </w:r>
          </w:p>
        </w:tc>
        <w:tc>
          <w:tcPr>
            <w:tcW w:w="1842"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A/B/C/D</w:t>
            </w:r>
          </w:p>
        </w:tc>
        <w:tc>
          <w:tcPr>
            <w:tcW w:w="3402" w:type="dxa"/>
            <w:gridSpan w:val="3"/>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A/B/C</w:t>
            </w:r>
          </w:p>
        </w:tc>
      </w:tr>
      <w:tr w:rsidR="0031593F" w:rsidRPr="0031593F" w:rsidTr="0031593F">
        <w:tc>
          <w:tcPr>
            <w:tcW w:w="704" w:type="dxa"/>
          </w:tcPr>
          <w:p w:rsidR="0031593F" w:rsidRPr="0031593F" w:rsidRDefault="0031593F" w:rsidP="0031593F">
            <w:pPr>
              <w:rPr>
                <w:rFonts w:ascii="Times New Roman" w:hAnsi="Times New Roman"/>
                <w:noProof/>
                <w:color w:val="000000"/>
                <w:position w:val="-1"/>
                <w:sz w:val="20"/>
                <w:szCs w:val="20"/>
              </w:rPr>
            </w:pPr>
          </w:p>
        </w:tc>
        <w:tc>
          <w:tcPr>
            <w:tcW w:w="567" w:type="dxa"/>
          </w:tcPr>
          <w:p w:rsidR="0031593F" w:rsidRPr="0031593F" w:rsidRDefault="0031593F" w:rsidP="0031593F">
            <w:pPr>
              <w:rPr>
                <w:rFonts w:ascii="Times New Roman" w:hAnsi="Times New Roman"/>
                <w:noProof/>
                <w:color w:val="000000"/>
                <w:position w:val="-1"/>
                <w:sz w:val="20"/>
                <w:szCs w:val="20"/>
              </w:rPr>
            </w:pPr>
          </w:p>
        </w:tc>
        <w:tc>
          <w:tcPr>
            <w:tcW w:w="567" w:type="dxa"/>
          </w:tcPr>
          <w:p w:rsidR="0031593F" w:rsidRPr="0031593F" w:rsidRDefault="0031593F" w:rsidP="0031593F">
            <w:pPr>
              <w:rPr>
                <w:rFonts w:ascii="Times New Roman" w:hAnsi="Times New Roman"/>
                <w:noProof/>
                <w:color w:val="000000"/>
                <w:position w:val="-1"/>
                <w:sz w:val="20"/>
                <w:szCs w:val="20"/>
              </w:rPr>
            </w:pPr>
          </w:p>
        </w:tc>
        <w:tc>
          <w:tcPr>
            <w:tcW w:w="851" w:type="dxa"/>
          </w:tcPr>
          <w:p w:rsidR="0031593F" w:rsidRPr="0031593F" w:rsidRDefault="0031593F" w:rsidP="0031593F">
            <w:pPr>
              <w:rPr>
                <w:rFonts w:ascii="Times New Roman" w:hAnsi="Times New Roman"/>
                <w:noProof/>
                <w:color w:val="000000"/>
                <w:position w:val="-1"/>
                <w:sz w:val="20"/>
                <w:szCs w:val="20"/>
              </w:rPr>
            </w:pPr>
          </w:p>
        </w:tc>
        <w:tc>
          <w:tcPr>
            <w:tcW w:w="1134" w:type="dxa"/>
          </w:tcPr>
          <w:p w:rsidR="0031593F" w:rsidRPr="0031593F" w:rsidRDefault="0031593F" w:rsidP="0031593F">
            <w:pPr>
              <w:rPr>
                <w:rFonts w:ascii="Times New Roman" w:hAnsi="Times New Roman"/>
                <w:noProof/>
                <w:color w:val="000000"/>
                <w:position w:val="-1"/>
                <w:sz w:val="20"/>
                <w:szCs w:val="20"/>
              </w:rPr>
            </w:pPr>
          </w:p>
        </w:tc>
        <w:tc>
          <w:tcPr>
            <w:tcW w:w="1134" w:type="dxa"/>
          </w:tcPr>
          <w:p w:rsidR="0031593F" w:rsidRPr="0031593F" w:rsidRDefault="0031593F" w:rsidP="0031593F">
            <w:pPr>
              <w:rPr>
                <w:rFonts w:ascii="Times New Roman" w:hAnsi="Times New Roman"/>
                <w:noProof/>
                <w:color w:val="000000"/>
                <w:position w:val="-1"/>
                <w:sz w:val="20"/>
                <w:szCs w:val="20"/>
              </w:rPr>
            </w:pPr>
          </w:p>
        </w:tc>
        <w:tc>
          <w:tcPr>
            <w:tcW w:w="1842"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Representativity</w:t>
            </w:r>
          </w:p>
        </w:tc>
        <w:tc>
          <w:tcPr>
            <w:tcW w:w="993"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Relative Surface</w:t>
            </w:r>
          </w:p>
        </w:tc>
        <w:tc>
          <w:tcPr>
            <w:tcW w:w="1559"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Conservation</w:t>
            </w:r>
          </w:p>
        </w:tc>
        <w:tc>
          <w:tcPr>
            <w:tcW w:w="850"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Global</w:t>
            </w:r>
          </w:p>
        </w:tc>
      </w:tr>
      <w:tr w:rsidR="0031593F" w:rsidRPr="0031593F" w:rsidTr="0031593F">
        <w:tc>
          <w:tcPr>
            <w:tcW w:w="704" w:type="dxa"/>
          </w:tcPr>
          <w:p w:rsidR="0031593F" w:rsidRPr="0031593F" w:rsidRDefault="0031593F" w:rsidP="0031593F">
            <w:pPr>
              <w:rPr>
                <w:rFonts w:ascii="Times New Roman" w:eastAsia="Calibri" w:hAnsi="Times New Roman"/>
                <w:b/>
                <w:sz w:val="20"/>
                <w:szCs w:val="20"/>
                <w:lang w:val="en-US"/>
              </w:rPr>
            </w:pPr>
            <w:r w:rsidRPr="0031593F">
              <w:rPr>
                <w:rFonts w:ascii="Times New Roman" w:eastAsia="Calibri" w:hAnsi="Times New Roman"/>
                <w:b/>
                <w:sz w:val="20"/>
                <w:szCs w:val="20"/>
                <w:lang w:val="en-US"/>
              </w:rPr>
              <w:t>6250</w:t>
            </w:r>
          </w:p>
        </w:tc>
        <w:tc>
          <w:tcPr>
            <w:tcW w:w="567" w:type="dxa"/>
          </w:tcPr>
          <w:p w:rsidR="0031593F" w:rsidRPr="0031593F" w:rsidRDefault="0031593F" w:rsidP="0031593F">
            <w:pPr>
              <w:rPr>
                <w:rFonts w:ascii="Times New Roman" w:eastAsia="Calibri" w:hAnsi="Times New Roman"/>
                <w:b/>
                <w:sz w:val="20"/>
                <w:szCs w:val="20"/>
              </w:rPr>
            </w:pPr>
            <w:r w:rsidRPr="0031593F">
              <w:rPr>
                <w:rFonts w:ascii="Times New Roman" w:eastAsia="Calibri" w:hAnsi="Times New Roman"/>
                <w:b/>
                <w:sz w:val="20"/>
                <w:szCs w:val="20"/>
              </w:rPr>
              <w:t>*</w:t>
            </w:r>
          </w:p>
        </w:tc>
        <w:tc>
          <w:tcPr>
            <w:tcW w:w="567" w:type="dxa"/>
          </w:tcPr>
          <w:p w:rsidR="0031593F" w:rsidRPr="0031593F" w:rsidRDefault="0031593F" w:rsidP="0031593F">
            <w:pPr>
              <w:rPr>
                <w:rFonts w:ascii="Times New Roman" w:eastAsia="Calibri" w:hAnsi="Times New Roman"/>
                <w:b/>
                <w:sz w:val="20"/>
                <w:szCs w:val="20"/>
                <w:lang w:val="en-US"/>
              </w:rPr>
            </w:pPr>
          </w:p>
        </w:tc>
        <w:tc>
          <w:tcPr>
            <w:tcW w:w="851" w:type="dxa"/>
          </w:tcPr>
          <w:p w:rsidR="0031593F" w:rsidRPr="0031593F" w:rsidRDefault="0031593F" w:rsidP="0031593F">
            <w:pPr>
              <w:rPr>
                <w:rFonts w:ascii="Times New Roman" w:eastAsia="Calibri" w:hAnsi="Times New Roman"/>
                <w:b/>
                <w:sz w:val="20"/>
                <w:szCs w:val="20"/>
              </w:rPr>
            </w:pPr>
            <w:r w:rsidRPr="0031593F">
              <w:rPr>
                <w:rFonts w:ascii="Times New Roman" w:eastAsia="Calibri" w:hAnsi="Times New Roman"/>
                <w:b/>
                <w:color w:val="FF0000"/>
                <w:sz w:val="20"/>
                <w:szCs w:val="20"/>
              </w:rPr>
              <w:t>11,24</w:t>
            </w:r>
          </w:p>
        </w:tc>
        <w:tc>
          <w:tcPr>
            <w:tcW w:w="1134" w:type="dxa"/>
          </w:tcPr>
          <w:p w:rsidR="0031593F" w:rsidRPr="0031593F" w:rsidRDefault="0031593F" w:rsidP="0031593F">
            <w:pPr>
              <w:rPr>
                <w:rFonts w:ascii="Times New Roman" w:eastAsia="Calibri" w:hAnsi="Times New Roman"/>
                <w:b/>
                <w:sz w:val="20"/>
                <w:szCs w:val="20"/>
                <w:lang w:val="en-US"/>
              </w:rPr>
            </w:pPr>
          </w:p>
        </w:tc>
        <w:tc>
          <w:tcPr>
            <w:tcW w:w="1134"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G</w:t>
            </w:r>
          </w:p>
        </w:tc>
        <w:tc>
          <w:tcPr>
            <w:tcW w:w="1842"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B</w:t>
            </w:r>
          </w:p>
        </w:tc>
        <w:tc>
          <w:tcPr>
            <w:tcW w:w="993"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C</w:t>
            </w:r>
          </w:p>
        </w:tc>
        <w:tc>
          <w:tcPr>
            <w:tcW w:w="1559"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B</w:t>
            </w:r>
          </w:p>
        </w:tc>
        <w:tc>
          <w:tcPr>
            <w:tcW w:w="850"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C</w:t>
            </w:r>
          </w:p>
        </w:tc>
      </w:tr>
    </w:tbl>
    <w:p w:rsidR="0031593F" w:rsidRPr="0031593F" w:rsidRDefault="0031593F" w:rsidP="0031593F">
      <w:pPr>
        <w:spacing w:after="0" w:line="240" w:lineRule="auto"/>
        <w:jc w:val="both"/>
        <w:rPr>
          <w:rFonts w:ascii="Times New Roman" w:eastAsia="Calibri" w:hAnsi="Times New Roman"/>
        </w:rPr>
      </w:pPr>
      <w:r w:rsidRPr="0031593F">
        <w:rPr>
          <w:rFonts w:ascii="Times New Roman" w:eastAsia="Calibri" w:hAnsi="Times New Roman"/>
        </w:rPr>
        <w:t>Забележка: промените са отбелязани в червено.</w:t>
      </w:r>
    </w:p>
    <w:p w:rsidR="0031593F" w:rsidRPr="0031593F" w:rsidRDefault="0031593F" w:rsidP="0031593F">
      <w:pPr>
        <w:spacing w:after="0" w:line="240" w:lineRule="auto"/>
        <w:jc w:val="both"/>
        <w:rPr>
          <w:rFonts w:ascii="Times New Roman" w:eastAsia="Calibri" w:hAnsi="Times New Roman"/>
        </w:rPr>
      </w:pPr>
    </w:p>
    <w:p w:rsidR="0031593F" w:rsidRPr="0031593F" w:rsidRDefault="0031593F" w:rsidP="0031593F">
      <w:pPr>
        <w:spacing w:after="0" w:line="240" w:lineRule="auto"/>
        <w:jc w:val="both"/>
        <w:rPr>
          <w:rFonts w:ascii="Times New Roman" w:eastAsia="Calibri" w:hAnsi="Times New Roman"/>
          <w:b/>
          <w:sz w:val="24"/>
          <w:szCs w:val="24"/>
          <w:lang w:val="en-US"/>
        </w:rPr>
      </w:pPr>
      <w:r w:rsidRPr="0031593F">
        <w:rPr>
          <w:rFonts w:ascii="Times New Roman" w:eastAsia="Calibri" w:hAnsi="Times New Roman"/>
          <w:b/>
          <w:sz w:val="24"/>
          <w:szCs w:val="24"/>
        </w:rPr>
        <w:t>8. Цитирана литература</w:t>
      </w:r>
    </w:p>
    <w:p w:rsidR="0031593F" w:rsidRPr="0031593F" w:rsidRDefault="0031593F" w:rsidP="00482F18">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Актуализиран план за управление на поддържан резерват „Сребърна“ (2016-2025 г.). 2014 г. Оперативна програма „Околна среда“ (2007-2013). МОСВ – РИОСВ Русе.</w:t>
      </w:r>
    </w:p>
    <w:p w:rsidR="0031593F" w:rsidRPr="0031593F" w:rsidRDefault="0031593F" w:rsidP="00EC3027">
      <w:pPr>
        <w:spacing w:after="0" w:line="240" w:lineRule="auto"/>
        <w:ind w:left="709" w:hanging="709"/>
        <w:jc w:val="both"/>
        <w:rPr>
          <w:rFonts w:ascii="Times New Roman" w:eastAsia="Calibri" w:hAnsi="Times New Roman"/>
          <w:sz w:val="24"/>
          <w:szCs w:val="24"/>
          <w:lang w:val="en-US"/>
        </w:rPr>
      </w:pPr>
      <w:r w:rsidRPr="0031593F">
        <w:rPr>
          <w:rFonts w:ascii="Times New Roman" w:eastAsia="Calibri" w:hAnsi="Times New Roman"/>
          <w:sz w:val="24"/>
          <w:szCs w:val="24"/>
        </w:rPr>
        <w:t xml:space="preserve">Министерство на околната среда и водите (МОСВ). Информационна система за защитени зони от екологична мрежа Натура 2000. </w:t>
      </w:r>
      <w:hyperlink r:id="rId15" w:history="1">
        <w:r w:rsidRPr="0031593F">
          <w:rPr>
            <w:rFonts w:ascii="Times New Roman" w:eastAsia="Calibri" w:hAnsi="Times New Roman"/>
            <w:color w:val="0563C1"/>
            <w:sz w:val="24"/>
            <w:szCs w:val="24"/>
            <w:u w:val="single"/>
          </w:rPr>
          <w:t>http://natura2000.moew.government.bg/Home/Natura2000ProtectedSites. Последно посетен на 15.10.2021</w:t>
        </w:r>
      </w:hyperlink>
      <w:r w:rsidRPr="0031593F">
        <w:rPr>
          <w:rFonts w:ascii="Times New Roman" w:eastAsia="Calibri" w:hAnsi="Times New Roman"/>
          <w:sz w:val="24"/>
          <w:szCs w:val="24"/>
          <w:lang w:val="en-US"/>
        </w:rPr>
        <w:t xml:space="preserve">. </w:t>
      </w:r>
    </w:p>
    <w:p w:rsidR="0031593F" w:rsidRPr="0031593F" w:rsidRDefault="0031593F" w:rsidP="00EC3027">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 xml:space="preserve">Мичев, Т. и Илиев, Р. 1982. Пеликани, тръстики, хора (Резерватът Сребърна: очерк). Изд. „Земиздат“, София. </w:t>
      </w:r>
    </w:p>
    <w:p w:rsidR="0031593F" w:rsidRPr="0031593F" w:rsidRDefault="0031593F" w:rsidP="00EC3027">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Цонев, Р. 2009. 6250 *Панонски льосови степни тревни съобщества. – В: Зингстра, Х., Ковачев, А., Китнаес, К., Цонев, Р., Димова, Д., Цветков, П. (ред.)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20</w:t>
      </w:r>
      <w:r w:rsidRPr="0031593F">
        <w:rPr>
          <w:rFonts w:ascii="Times New Roman" w:eastAsia="Calibri" w:hAnsi="Times New Roman"/>
          <w:sz w:val="24"/>
          <w:szCs w:val="24"/>
          <w:lang w:val="en-US"/>
        </w:rPr>
        <w:t>5</w:t>
      </w:r>
      <w:r w:rsidRPr="0031593F">
        <w:rPr>
          <w:rFonts w:ascii="Times New Roman" w:eastAsia="Calibri" w:hAnsi="Times New Roman"/>
          <w:sz w:val="24"/>
          <w:szCs w:val="24"/>
        </w:rPr>
        <w:t>-2</w:t>
      </w:r>
      <w:r w:rsidRPr="0031593F">
        <w:rPr>
          <w:rFonts w:ascii="Times New Roman" w:eastAsia="Calibri" w:hAnsi="Times New Roman"/>
          <w:sz w:val="24"/>
          <w:szCs w:val="24"/>
          <w:lang w:val="en-US"/>
        </w:rPr>
        <w:t>12</w:t>
      </w:r>
      <w:r w:rsidRPr="0031593F">
        <w:rPr>
          <w:rFonts w:ascii="Times New Roman" w:eastAsia="Calibri" w:hAnsi="Times New Roman"/>
          <w:sz w:val="24"/>
          <w:szCs w:val="24"/>
        </w:rPr>
        <w:t>.</w:t>
      </w:r>
    </w:p>
    <w:p w:rsidR="0031593F" w:rsidRPr="0031593F" w:rsidRDefault="0031593F" w:rsidP="00EC3027">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lastRenderedPageBreak/>
        <w:t>Цонев, Р. 2015. 0</w:t>
      </w:r>
      <w:r w:rsidRPr="0031593F">
        <w:rPr>
          <w:rFonts w:ascii="Times New Roman" w:eastAsia="Calibri" w:hAnsi="Times New Roman"/>
          <w:sz w:val="24"/>
          <w:szCs w:val="24"/>
          <w:lang w:val="en-US"/>
        </w:rPr>
        <w:t>7</w:t>
      </w:r>
      <w:r w:rsidRPr="0031593F">
        <w:rPr>
          <w:rFonts w:ascii="Times New Roman" w:eastAsia="Calibri" w:hAnsi="Times New Roman"/>
          <w:sz w:val="24"/>
          <w:szCs w:val="24"/>
        </w:rPr>
        <w:t>Е1 Дунавски льосови степи. – В: Бисерков В., Гусев Ч., Попов В., Хибаум Г., Русакова, В., Пандурски И., Узунов Й., Димитров М., Цонев Р., Цонева С.  (ред.). Червена книга на Република България. Том 3. Природни местообитания. ИБЕИ–БАН &amp; МОСВ, 468 стр.</w:t>
      </w:r>
    </w:p>
    <w:p w:rsidR="0031593F" w:rsidRPr="0031593F" w:rsidRDefault="0031593F" w:rsidP="00EC3027">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 xml:space="preserve">European commission. The State of Nature in the EU – Article 17 reporting. </w:t>
      </w:r>
      <w:hyperlink r:id="rId16" w:history="1">
        <w:r w:rsidRPr="0031593F">
          <w:rPr>
            <w:rFonts w:ascii="Times New Roman" w:eastAsia="Calibri" w:hAnsi="Times New Roman"/>
            <w:color w:val="0563C1"/>
            <w:sz w:val="24"/>
            <w:szCs w:val="24"/>
            <w:u w:val="single"/>
          </w:rPr>
          <w:t>https://ec.europa.eu/environment/nature/knowledge/rep_habitats/index_en.htm. Last visited on 15.10.2021</w:t>
        </w:r>
      </w:hyperlink>
      <w:r w:rsidRPr="0031593F">
        <w:rPr>
          <w:rFonts w:ascii="Times New Roman" w:eastAsia="Calibri" w:hAnsi="Times New Roman"/>
          <w:sz w:val="24"/>
          <w:szCs w:val="24"/>
        </w:rPr>
        <w:t>.</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lang w:val="en-US"/>
        </w:rPr>
      </w:pPr>
      <w:r w:rsidRPr="0031593F">
        <w:rPr>
          <w:rFonts w:ascii="Times New Roman" w:eastAsia="Calibri" w:hAnsi="Times New Roman"/>
          <w:i/>
          <w:noProof/>
          <w:sz w:val="24"/>
          <w:szCs w:val="24"/>
          <w:lang w:val="en-US"/>
        </w:rPr>
        <w:t>Автори на текста</w:t>
      </w:r>
      <w:r w:rsidRPr="0031593F">
        <w:rPr>
          <w:rFonts w:ascii="Times New Roman" w:eastAsia="Calibri" w:hAnsi="Times New Roman"/>
          <w:noProof/>
          <w:sz w:val="24"/>
          <w:szCs w:val="24"/>
          <w:lang w:val="en-US"/>
        </w:rPr>
        <w:t>: Росен Цонев, Чавдар Гусев, Валери Георгиев, Соня Цонева</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EC3027">
      <w:pPr>
        <w:spacing w:after="0" w:line="240" w:lineRule="auto"/>
        <w:jc w:val="center"/>
        <w:outlineLvl w:val="1"/>
        <w:rPr>
          <w:rFonts w:ascii="Times New Roman" w:eastAsia="Calibri" w:hAnsi="Times New Roman"/>
          <w:noProof/>
          <w:color w:val="1F497D"/>
          <w:sz w:val="28"/>
          <w:szCs w:val="28"/>
        </w:rPr>
      </w:pPr>
      <w:bookmarkStart w:id="6" w:name="_Toc98838526"/>
      <w:r w:rsidRPr="0031593F">
        <w:rPr>
          <w:rFonts w:ascii="Times New Roman" w:eastAsia="Calibri" w:hAnsi="Times New Roman"/>
          <w:noProof/>
          <w:color w:val="1F497D"/>
          <w:sz w:val="28"/>
          <w:szCs w:val="28"/>
        </w:rPr>
        <w:t>Природно местообитание 6430 Хидрофилни съобщества от високи треви в равнините и в планинския до алпийския пояс</w:t>
      </w:r>
      <w:bookmarkEnd w:id="6"/>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40" w:lineRule="auto"/>
        <w:jc w:val="both"/>
        <w:rPr>
          <w:rFonts w:ascii="Times New Roman" w:eastAsia="Calibri" w:hAnsi="Times New Roman"/>
          <w:noProof/>
          <w:sz w:val="24"/>
          <w:szCs w:val="24"/>
        </w:rPr>
      </w:pPr>
      <w:r w:rsidRPr="0031593F">
        <w:rPr>
          <w:rFonts w:ascii="Times New Roman" w:eastAsia="Calibri" w:hAnsi="Times New Roman"/>
          <w:b/>
          <w:noProof/>
          <w:sz w:val="24"/>
          <w:szCs w:val="24"/>
        </w:rPr>
        <w:t>1. Код и наименование на типа местообитание:</w:t>
      </w:r>
      <w:r w:rsidRPr="0031593F">
        <w:rPr>
          <w:rFonts w:ascii="Times New Roman" w:eastAsia="Calibri" w:hAnsi="Times New Roman"/>
          <w:noProof/>
          <w:sz w:val="24"/>
          <w:szCs w:val="24"/>
        </w:rPr>
        <w:t xml:space="preserve"> </w:t>
      </w:r>
      <w:r w:rsidRPr="0031593F">
        <w:rPr>
          <w:rFonts w:ascii="Times New Roman" w:hAnsi="Times New Roman"/>
          <w:bCs/>
          <w:noProof/>
          <w:sz w:val="24"/>
          <w:szCs w:val="24"/>
          <w:lang w:eastAsia="bg-BG"/>
        </w:rPr>
        <w:t>6430 Хидрофилни съобщества от високи треви в равнините и в планинския до алпийския пояс</w:t>
      </w:r>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40" w:lineRule="auto"/>
        <w:rPr>
          <w:rFonts w:ascii="Times New Roman" w:eastAsia="Calibri" w:hAnsi="Times New Roman"/>
          <w:b/>
          <w:noProof/>
          <w:sz w:val="24"/>
          <w:szCs w:val="24"/>
        </w:rPr>
      </w:pPr>
      <w:r w:rsidRPr="0031593F">
        <w:rPr>
          <w:rFonts w:ascii="Times New Roman" w:eastAsia="Calibri" w:hAnsi="Times New Roman"/>
          <w:b/>
          <w:noProof/>
          <w:sz w:val="24"/>
          <w:szCs w:val="24"/>
        </w:rPr>
        <w:t>2. Кратка характеристика на целевия обект</w:t>
      </w:r>
    </w:p>
    <w:p w:rsidR="0031593F" w:rsidRPr="0031593F" w:rsidRDefault="0031593F" w:rsidP="00EC3027">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Растителните съобщества, наричани „високотревие” или „алтохербоза” представляват смесени фитоценози с височина на тревите от 1 m до 1,5 и дори 2 m. Обикновено заемат тесни ивици (до 2–3 m, често и по-тесни) край течащите води и по влажните брегове. Видовият им състав е много разнообразен и зависи както от надморската височина и осветлението, така и от околните съобщества. В крайдунавските низини се срещат като крайречни ивици, а също така по поляните в алувиалните върбово-тополови гори, в периферията на блатата. Често пъти има вторичен произход – появяват се на нарушени терени след унищожаване на горската расителност, като в състава им влизат и много рудерали и неофити. Характерно е и различно по продължителност заливане.</w:t>
      </w:r>
    </w:p>
    <w:p w:rsidR="0031593F" w:rsidRPr="0031593F" w:rsidRDefault="0031593F" w:rsidP="00EC3027">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 xml:space="preserve">В защитена зона BG0000241 Сребърна съобществата от това местообитание са разпространени между р. Дунав и езерото, в близост до канала, от който влиза вода от реката в резервата. Тези съобщества се отличават с наличието на високи тревисти видове – </w:t>
      </w:r>
      <w:r w:rsidRPr="0031593F">
        <w:rPr>
          <w:rFonts w:ascii="Times New Roman" w:eastAsia="Calibri" w:hAnsi="Times New Roman"/>
          <w:i/>
          <w:noProof/>
          <w:sz w:val="24"/>
          <w:szCs w:val="24"/>
        </w:rPr>
        <w:t xml:space="preserve">Glycyrrhiza echinata, Lythrum salicaria, L. virgatum, Lysimachia vulgaris </w:t>
      </w:r>
      <w:r w:rsidRPr="0031593F">
        <w:rPr>
          <w:rFonts w:ascii="Times New Roman" w:eastAsia="Calibri" w:hAnsi="Times New Roman"/>
          <w:noProof/>
          <w:sz w:val="24"/>
          <w:szCs w:val="24"/>
        </w:rPr>
        <w:t xml:space="preserve">и др. Увеличават се инвазивните видове, като </w:t>
      </w:r>
      <w:r w:rsidRPr="0031593F">
        <w:rPr>
          <w:rFonts w:ascii="Times New Roman" w:eastAsia="Calibri" w:hAnsi="Times New Roman"/>
          <w:i/>
          <w:noProof/>
          <w:sz w:val="24"/>
          <w:szCs w:val="24"/>
          <w:lang w:val="en-US"/>
        </w:rPr>
        <w:t>Amorpha fruticosa, Erigeron annuus</w:t>
      </w:r>
      <w:r w:rsidRPr="0031593F">
        <w:rPr>
          <w:rFonts w:ascii="Times New Roman" w:eastAsia="Calibri" w:hAnsi="Times New Roman"/>
          <w:noProof/>
          <w:sz w:val="24"/>
          <w:szCs w:val="24"/>
          <w:lang w:val="en-US"/>
        </w:rPr>
        <w:t xml:space="preserve">, </w:t>
      </w:r>
      <w:r w:rsidRPr="0031593F">
        <w:rPr>
          <w:rFonts w:ascii="Times New Roman" w:eastAsia="Calibri" w:hAnsi="Times New Roman"/>
          <w:noProof/>
          <w:sz w:val="24"/>
          <w:szCs w:val="24"/>
        </w:rPr>
        <w:t>които негативно променят екологичната и флористичната структура на местообитанието.</w:t>
      </w:r>
    </w:p>
    <w:p w:rsidR="0031593F" w:rsidRPr="0031593F" w:rsidRDefault="0031593F" w:rsidP="0031593F">
      <w:pPr>
        <w:spacing w:after="0" w:line="240" w:lineRule="auto"/>
        <w:jc w:val="both"/>
        <w:rPr>
          <w:rFonts w:ascii="Times New Roman" w:eastAsia="Calibri" w:hAnsi="Times New Roman"/>
          <w:b/>
          <w:noProof/>
          <w:sz w:val="24"/>
          <w:szCs w:val="24"/>
          <w:lang w:val="en-US"/>
        </w:rPr>
      </w:pPr>
    </w:p>
    <w:p w:rsidR="0031593F" w:rsidRPr="0031593F" w:rsidRDefault="0031593F" w:rsidP="0031593F">
      <w:pPr>
        <w:spacing w:after="0" w:line="240" w:lineRule="auto"/>
        <w:jc w:val="both"/>
        <w:rPr>
          <w:rFonts w:ascii="Times New Roman" w:eastAsia="Calibri" w:hAnsi="Times New Roman"/>
          <w:b/>
          <w:noProof/>
          <w:sz w:val="24"/>
          <w:szCs w:val="24"/>
        </w:rPr>
      </w:pPr>
      <w:r w:rsidRPr="0031593F">
        <w:rPr>
          <w:rFonts w:ascii="Times New Roman" w:eastAsia="Calibri" w:hAnsi="Times New Roman"/>
          <w:b/>
          <w:noProof/>
          <w:sz w:val="24"/>
          <w:szCs w:val="24"/>
        </w:rPr>
        <w:t>3. Състояние на биогеографско ниво и разпространение в мрежата</w:t>
      </w:r>
    </w:p>
    <w:p w:rsidR="0031593F" w:rsidRPr="0031593F" w:rsidRDefault="0031593F" w:rsidP="00EC3027">
      <w:pPr>
        <w:shd w:val="clear" w:color="auto" w:fill="FFFFFF"/>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В мрежата Натура 2000, природно местообитание с код 6430 е предмет на опазване в 100 защитени зони (</w:t>
      </w:r>
      <w:r w:rsidRPr="0031593F">
        <w:rPr>
          <w:rFonts w:ascii="Times New Roman" w:hAnsi="Times New Roman"/>
          <w:noProof/>
          <w:position w:val="-1"/>
          <w:sz w:val="24"/>
          <w:szCs w:val="24"/>
        </w:rPr>
        <w:t xml:space="preserve">Natura 2000 update April 2019: </w:t>
      </w:r>
      <w:hyperlink r:id="rId17">
        <w:r w:rsidRPr="0031593F">
          <w:rPr>
            <w:rFonts w:ascii="Times New Roman" w:hAnsi="Times New Roman"/>
            <w:noProof/>
            <w:color w:val="0563C1"/>
            <w:position w:val="-1"/>
            <w:sz w:val="24"/>
            <w:szCs w:val="24"/>
            <w:u w:val="single"/>
          </w:rPr>
          <w:t>https://cdr.eionet.europa.eu/bg/eu/n2000</w:t>
        </w:r>
      </w:hyperlink>
      <w:r w:rsidRPr="0031593F">
        <w:rPr>
          <w:rFonts w:ascii="Times New Roman" w:eastAsia="Calibri" w:hAnsi="Times New Roman"/>
          <w:noProof/>
          <w:sz w:val="24"/>
          <w:szCs w:val="24"/>
        </w:rPr>
        <w:t xml:space="preserve">). Разпространено е в три биогеографски </w:t>
      </w:r>
      <w:r w:rsidR="00EC3027">
        <w:rPr>
          <w:rFonts w:ascii="Times New Roman" w:eastAsia="Calibri" w:hAnsi="Times New Roman"/>
          <w:noProof/>
          <w:sz w:val="24"/>
          <w:szCs w:val="24"/>
        </w:rPr>
        <w:t>региона</w:t>
      </w:r>
      <w:r w:rsidRPr="0031593F">
        <w:rPr>
          <w:rFonts w:ascii="Times New Roman" w:eastAsia="Calibri" w:hAnsi="Times New Roman"/>
          <w:noProof/>
          <w:sz w:val="24"/>
          <w:szCs w:val="24"/>
        </w:rPr>
        <w:t xml:space="preserve"> – Алпийски, Континентален и Черноморски, като най-голяма площ заема в Континенталния </w:t>
      </w:r>
      <w:r w:rsidR="00EC3027">
        <w:rPr>
          <w:rFonts w:ascii="Times New Roman" w:eastAsia="Calibri" w:hAnsi="Times New Roman"/>
          <w:noProof/>
          <w:sz w:val="24"/>
          <w:szCs w:val="24"/>
        </w:rPr>
        <w:t>регион</w:t>
      </w:r>
      <w:r w:rsidRPr="0031593F">
        <w:rPr>
          <w:rFonts w:ascii="Times New Roman" w:eastAsia="Calibri" w:hAnsi="Times New Roman"/>
          <w:noProof/>
          <w:sz w:val="24"/>
          <w:szCs w:val="24"/>
        </w:rPr>
        <w:t>.</w:t>
      </w:r>
    </w:p>
    <w:p w:rsidR="0031593F" w:rsidRPr="0031593F" w:rsidRDefault="0031593F" w:rsidP="00EC3027">
      <w:pPr>
        <w:spacing w:after="0" w:line="240" w:lineRule="auto"/>
        <w:ind w:firstLine="709"/>
        <w:jc w:val="both"/>
        <w:rPr>
          <w:rFonts w:ascii="Times New Roman" w:hAnsi="Times New Roman"/>
          <w:noProof/>
          <w:sz w:val="24"/>
          <w:szCs w:val="24"/>
        </w:rPr>
      </w:pPr>
      <w:r w:rsidRPr="0031593F">
        <w:rPr>
          <w:rFonts w:ascii="Times New Roman" w:eastAsia="Calibri" w:hAnsi="Times New Roman"/>
          <w:noProof/>
          <w:sz w:val="24"/>
          <w:szCs w:val="24"/>
        </w:rPr>
        <w:t xml:space="preserve">Съгласно докладването по чл. 17 от Директива за местообитанията през 2019 г. (за периода 2013-2018 г.), природното местообитание е в неизвестно природозащитно състояние за Алпийския биогеографски </w:t>
      </w:r>
      <w:r w:rsidR="00EC3027">
        <w:rPr>
          <w:rFonts w:ascii="Times New Roman" w:eastAsia="Calibri" w:hAnsi="Times New Roman"/>
          <w:noProof/>
          <w:sz w:val="24"/>
          <w:szCs w:val="24"/>
        </w:rPr>
        <w:t>регион</w:t>
      </w:r>
      <w:r w:rsidRPr="0031593F">
        <w:rPr>
          <w:rFonts w:ascii="Times New Roman" w:eastAsia="Calibri" w:hAnsi="Times New Roman"/>
          <w:noProof/>
          <w:sz w:val="24"/>
          <w:szCs w:val="24"/>
        </w:rPr>
        <w:t xml:space="preserve"> и в неблагоприятно-лошо състояние за Черноморския и Континенталния биогеографски </w:t>
      </w:r>
      <w:r w:rsidR="00EC3027">
        <w:rPr>
          <w:rFonts w:ascii="Times New Roman" w:eastAsia="Calibri" w:hAnsi="Times New Roman"/>
          <w:noProof/>
          <w:sz w:val="24"/>
          <w:szCs w:val="24"/>
        </w:rPr>
        <w:t>региони</w:t>
      </w:r>
      <w:r w:rsidRPr="0031593F">
        <w:rPr>
          <w:rFonts w:ascii="Times New Roman" w:eastAsia="Calibri" w:hAnsi="Times New Roman"/>
          <w:noProof/>
          <w:sz w:val="24"/>
          <w:szCs w:val="24"/>
        </w:rPr>
        <w:t xml:space="preserve">. В двата </w:t>
      </w:r>
      <w:r w:rsidR="00EC3027">
        <w:rPr>
          <w:rFonts w:ascii="Times New Roman" w:eastAsia="Calibri" w:hAnsi="Times New Roman"/>
          <w:noProof/>
          <w:sz w:val="24"/>
          <w:szCs w:val="24"/>
        </w:rPr>
        <w:t>региона</w:t>
      </w:r>
      <w:r w:rsidRPr="0031593F">
        <w:rPr>
          <w:rFonts w:ascii="Times New Roman" w:eastAsia="Calibri" w:hAnsi="Times New Roman"/>
          <w:noProof/>
          <w:sz w:val="24"/>
          <w:szCs w:val="24"/>
        </w:rPr>
        <w:t xml:space="preserve"> състоянието на местообитанието е оценено като неизвестно по заемана площ, структура и функции и като неблагоприятно-лошо по бъдещи перспективи. </w:t>
      </w:r>
      <w:r w:rsidRPr="0031593F">
        <w:rPr>
          <w:rFonts w:ascii="Times New Roman" w:hAnsi="Times New Roman"/>
          <w:noProof/>
          <w:sz w:val="24"/>
          <w:szCs w:val="24"/>
        </w:rPr>
        <w:t xml:space="preserve">За тези два района, всички изброени заплахи и влияния са с оценени с висока степен на влияние – абиотични естествени процеси (ерозия, затлачване, осушаване и др.), водохващания на подземни и повърхностни води, дренажи, земеделски дейности, изоставяне на управлението на </w:t>
      </w:r>
      <w:r w:rsidRPr="0031593F">
        <w:rPr>
          <w:rFonts w:ascii="Times New Roman" w:hAnsi="Times New Roman"/>
          <w:noProof/>
          <w:sz w:val="24"/>
          <w:szCs w:val="24"/>
        </w:rPr>
        <w:lastRenderedPageBreak/>
        <w:t xml:space="preserve">пасища (напр. прекратяване на пашата или косене). </w:t>
      </w:r>
      <w:r w:rsidRPr="0031593F">
        <w:rPr>
          <w:rFonts w:ascii="Times New Roman" w:eastAsia="Calibri" w:hAnsi="Times New Roman"/>
          <w:noProof/>
          <w:sz w:val="24"/>
          <w:szCs w:val="24"/>
        </w:rPr>
        <w:t xml:space="preserve">При докладването по чл. 17 през 2013 г. (за периода 2007-2012 г.) местообитанието е с оценка неблагоприятно-незадоволително състояние за всички биогеографски </w:t>
      </w:r>
      <w:r w:rsidR="00EC3027">
        <w:rPr>
          <w:rFonts w:ascii="Times New Roman" w:eastAsia="Calibri" w:hAnsi="Times New Roman"/>
          <w:noProof/>
          <w:sz w:val="24"/>
          <w:szCs w:val="24"/>
        </w:rPr>
        <w:t>региони</w:t>
      </w:r>
      <w:r w:rsidRPr="0031593F">
        <w:rPr>
          <w:rFonts w:ascii="Times New Roman" w:eastAsia="Calibri" w:hAnsi="Times New Roman"/>
          <w:noProof/>
          <w:sz w:val="24"/>
          <w:szCs w:val="24"/>
        </w:rPr>
        <w:t xml:space="preserve"> (благоприятно по разпространение и площ, неблагоприятно-незадоволително по структура и функции, и бъдещи перспективи).</w:t>
      </w:r>
    </w:p>
    <w:p w:rsidR="0031593F" w:rsidRPr="0031593F" w:rsidRDefault="0031593F" w:rsidP="0031593F">
      <w:pPr>
        <w:spacing w:after="0" w:line="240" w:lineRule="auto"/>
        <w:jc w:val="both"/>
        <w:rPr>
          <w:rFonts w:ascii="Times New Roman" w:eastAsia="Calibri" w:hAnsi="Times New Roman"/>
          <w:noProof/>
          <w:highlight w:val="yellow"/>
        </w:rPr>
      </w:pPr>
    </w:p>
    <w:p w:rsidR="0031593F" w:rsidRPr="0031593F" w:rsidRDefault="0031593F" w:rsidP="0031593F">
      <w:pPr>
        <w:spacing w:after="0" w:line="240" w:lineRule="auto"/>
        <w:rPr>
          <w:rFonts w:ascii="Times New Roman" w:eastAsia="Calibri" w:hAnsi="Times New Roman"/>
          <w:i/>
          <w:noProof/>
        </w:rPr>
      </w:pPr>
      <w:r w:rsidRPr="0031593F">
        <w:rPr>
          <w:rFonts w:ascii="Times New Roman" w:eastAsia="Calibri" w:hAnsi="Times New Roman"/>
          <w:b/>
          <w:noProof/>
        </w:rPr>
        <w:t>4. Състояние на ниво защитена зона</w:t>
      </w:r>
    </w:p>
    <w:p w:rsidR="0031593F" w:rsidRPr="0031593F" w:rsidRDefault="0031593F" w:rsidP="00EC3027">
      <w:pPr>
        <w:spacing w:after="0" w:line="240" w:lineRule="auto"/>
        <w:ind w:firstLine="709"/>
        <w:jc w:val="both"/>
        <w:rPr>
          <w:rFonts w:ascii="Times New Roman" w:eastAsia="Calibri" w:hAnsi="Times New Roman"/>
          <w:noProof/>
          <w:sz w:val="24"/>
          <w:szCs w:val="24"/>
          <w:lang w:val="en-US"/>
        </w:rPr>
      </w:pPr>
      <w:r w:rsidRPr="0031593F">
        <w:rPr>
          <w:rFonts w:ascii="Times New Roman" w:eastAsia="Calibri" w:hAnsi="Times New Roman"/>
          <w:noProof/>
          <w:sz w:val="24"/>
          <w:szCs w:val="24"/>
        </w:rPr>
        <w:t xml:space="preserve">Според данните в стандартния формуляр, площта на местообитание с код 6430 в ЗЗ „Сребърна“ е 14,81 </w:t>
      </w:r>
      <w:r w:rsidRPr="0031593F">
        <w:rPr>
          <w:rFonts w:ascii="Times New Roman" w:eastAsia="Calibri" w:hAnsi="Times New Roman"/>
          <w:noProof/>
          <w:sz w:val="24"/>
          <w:szCs w:val="24"/>
          <w:lang w:val="en-US"/>
        </w:rPr>
        <w:t>ha</w:t>
      </w:r>
      <w:r w:rsidRPr="0031593F">
        <w:rPr>
          <w:rFonts w:ascii="Times New Roman" w:eastAsia="Calibri" w:hAnsi="Times New Roman"/>
          <w:noProof/>
          <w:sz w:val="24"/>
          <w:szCs w:val="24"/>
        </w:rPr>
        <w:t xml:space="preserve"> и попада в Континенталния биогеографски </w:t>
      </w:r>
      <w:r w:rsidR="00EC3027">
        <w:rPr>
          <w:rFonts w:ascii="Times New Roman" w:eastAsia="Calibri" w:hAnsi="Times New Roman"/>
          <w:noProof/>
          <w:sz w:val="24"/>
          <w:szCs w:val="24"/>
        </w:rPr>
        <w:t>регион</w:t>
      </w:r>
      <w:r w:rsidRPr="0031593F">
        <w:rPr>
          <w:rFonts w:ascii="Times New Roman" w:eastAsia="Calibri" w:hAnsi="Times New Roman"/>
          <w:noProof/>
          <w:sz w:val="24"/>
          <w:szCs w:val="24"/>
        </w:rPr>
        <w:t>.</w:t>
      </w:r>
      <w:r w:rsidRPr="0031593F">
        <w:rPr>
          <w:rFonts w:ascii="Times New Roman" w:eastAsia="Calibri" w:hAnsi="Times New Roman"/>
          <w:noProof/>
          <w:sz w:val="24"/>
          <w:szCs w:val="24"/>
          <w:lang w:val="en-US"/>
        </w:rPr>
        <w:t xml:space="preserve"> Тази площ е установена по проект „Картиране и определяне на природозащитното състояние на природни местообитания и видове - фаза I“ (т.е. през 2011-2012 г.) и е по-малка от дотогава съществуваща площ в СФ </w:t>
      </w:r>
      <w:r w:rsidRPr="0031593F">
        <w:rPr>
          <w:rFonts w:ascii="Times New Roman" w:eastAsia="Calibri" w:hAnsi="Times New Roman"/>
          <w:noProof/>
          <w:sz w:val="24"/>
          <w:szCs w:val="24"/>
        </w:rPr>
        <w:t xml:space="preserve">на зоната </w:t>
      </w:r>
      <w:r w:rsidRPr="0031593F">
        <w:rPr>
          <w:rFonts w:ascii="Times New Roman" w:eastAsia="Calibri" w:hAnsi="Times New Roman"/>
          <w:noProof/>
          <w:sz w:val="24"/>
          <w:szCs w:val="24"/>
          <w:lang w:val="en-US"/>
        </w:rPr>
        <w:t>(40</w:t>
      </w:r>
      <w:r w:rsidRPr="0031593F">
        <w:rPr>
          <w:rFonts w:ascii="Times New Roman" w:eastAsia="Calibri" w:hAnsi="Times New Roman"/>
          <w:noProof/>
          <w:sz w:val="24"/>
          <w:szCs w:val="24"/>
        </w:rPr>
        <w:t>,</w:t>
      </w:r>
      <w:r w:rsidRPr="0031593F">
        <w:rPr>
          <w:rFonts w:ascii="Times New Roman" w:eastAsia="Calibri" w:hAnsi="Times New Roman"/>
          <w:noProof/>
          <w:sz w:val="24"/>
          <w:szCs w:val="24"/>
          <w:lang w:val="en-US"/>
        </w:rPr>
        <w:t>69 ha).</w:t>
      </w:r>
    </w:p>
    <w:p w:rsidR="0031593F" w:rsidRPr="0031593F" w:rsidRDefault="0031593F" w:rsidP="00EC3027">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Съгласно специфичният доклад, публикуван в „Информационна система за защитени зони от екологичната мрежа Натура 2000 на МОСВ“, местообитанието е оценено в благоприятно състояние по критерий „Площ в границите на зоната“, по критерий „Структура и функции“ – в неблагоприятно-незадоволително състояние, а по критерий „Бъдещи перспективи (заплахи и влияния)“ – в благоприятно състояние. Оценките се основават на наличие на рудерални и инвазивни видове (</w:t>
      </w:r>
      <w:r w:rsidRPr="0031593F">
        <w:rPr>
          <w:rFonts w:ascii="Times New Roman" w:eastAsia="Calibri" w:hAnsi="Times New Roman"/>
          <w:i/>
          <w:noProof/>
          <w:sz w:val="24"/>
          <w:szCs w:val="24"/>
        </w:rPr>
        <w:t>Amorpha fruticosa, Erigeron annuus и Bidens forndosus</w:t>
      </w:r>
      <w:r w:rsidRPr="0031593F">
        <w:rPr>
          <w:rFonts w:ascii="Times New Roman" w:eastAsia="Calibri" w:hAnsi="Times New Roman"/>
          <w:noProof/>
          <w:sz w:val="24"/>
          <w:szCs w:val="24"/>
        </w:rPr>
        <w:t>) в границите на местообитанието, както и на нарушена структура на местообитанието по отношение на типичните видове (</w:t>
      </w:r>
      <w:r w:rsidRPr="0031593F">
        <w:rPr>
          <w:rFonts w:ascii="Times New Roman" w:eastAsia="SPTimeML-Roman" w:hAnsi="Times New Roman"/>
          <w:i/>
          <w:iCs/>
          <w:sz w:val="24"/>
          <w:szCs w:val="24"/>
        </w:rPr>
        <w:t>Glycyrrhiza</w:t>
      </w:r>
      <w:r w:rsidRPr="0031593F">
        <w:rPr>
          <w:rFonts w:ascii="Times New Roman" w:eastAsia="SPTimeML-Roman" w:hAnsi="Times New Roman"/>
          <w:sz w:val="24"/>
          <w:szCs w:val="24"/>
        </w:rPr>
        <w:t xml:space="preserve"> </w:t>
      </w:r>
      <w:r w:rsidRPr="0031593F">
        <w:rPr>
          <w:rFonts w:ascii="Times New Roman" w:eastAsia="SPTimeML-Roman" w:hAnsi="Times New Roman"/>
          <w:i/>
          <w:iCs/>
          <w:sz w:val="24"/>
          <w:szCs w:val="24"/>
        </w:rPr>
        <w:t>echinata</w:t>
      </w:r>
      <w:r w:rsidRPr="0031593F">
        <w:rPr>
          <w:rFonts w:ascii="Times New Roman" w:eastAsia="SPTimeML-Roman" w:hAnsi="Times New Roman"/>
          <w:i/>
          <w:sz w:val="24"/>
          <w:szCs w:val="24"/>
        </w:rPr>
        <w:t>, Lythrum salicaria, Lysimachia vulgaris</w:t>
      </w:r>
      <w:r w:rsidRPr="0031593F">
        <w:rPr>
          <w:rFonts w:ascii="Times New Roman" w:eastAsia="Calibri" w:hAnsi="Times New Roman"/>
          <w:noProof/>
          <w:sz w:val="24"/>
          <w:szCs w:val="24"/>
        </w:rPr>
        <w:t>).</w:t>
      </w:r>
    </w:p>
    <w:p w:rsidR="0031593F" w:rsidRPr="0031593F" w:rsidRDefault="0031593F" w:rsidP="00EC3027">
      <w:pPr>
        <w:spacing w:after="0" w:line="240" w:lineRule="auto"/>
        <w:ind w:firstLine="709"/>
        <w:jc w:val="both"/>
        <w:rPr>
          <w:rFonts w:ascii="Times New Roman" w:eastAsia="Calibri" w:hAnsi="Times New Roman"/>
          <w:noProof/>
          <w:sz w:val="24"/>
          <w:szCs w:val="24"/>
          <w:lang w:val="en-US"/>
        </w:rPr>
      </w:pPr>
      <w:r w:rsidRPr="0031593F">
        <w:rPr>
          <w:rFonts w:ascii="Times New Roman" w:eastAsia="Calibri" w:hAnsi="Times New Roman"/>
          <w:noProof/>
          <w:sz w:val="24"/>
          <w:szCs w:val="24"/>
        </w:rPr>
        <w:t>Според стандартния формуляр, местообитанието в зоната е с оценки за „Представителност“ „</w:t>
      </w:r>
      <w:r w:rsidRPr="0031593F">
        <w:rPr>
          <w:rFonts w:ascii="Times New Roman" w:eastAsia="Calibri" w:hAnsi="Times New Roman"/>
          <w:noProof/>
          <w:sz w:val="24"/>
          <w:szCs w:val="24"/>
          <w:lang w:val="en-US"/>
        </w:rPr>
        <w:t>C</w:t>
      </w:r>
      <w:r w:rsidRPr="0031593F">
        <w:rPr>
          <w:rFonts w:ascii="Times New Roman" w:eastAsia="Calibri" w:hAnsi="Times New Roman"/>
          <w:noProof/>
          <w:sz w:val="24"/>
          <w:szCs w:val="24"/>
        </w:rPr>
        <w:t>“, за „Относителна площ“ „</w:t>
      </w:r>
      <w:r w:rsidRPr="0031593F">
        <w:rPr>
          <w:rFonts w:ascii="Times New Roman" w:eastAsia="Calibri" w:hAnsi="Times New Roman"/>
          <w:noProof/>
          <w:sz w:val="24"/>
          <w:szCs w:val="24"/>
          <w:lang w:val="en-US"/>
        </w:rPr>
        <w:t>C</w:t>
      </w:r>
      <w:r w:rsidRPr="0031593F">
        <w:rPr>
          <w:rFonts w:ascii="Times New Roman" w:eastAsia="Calibri" w:hAnsi="Times New Roman"/>
          <w:noProof/>
          <w:sz w:val="24"/>
          <w:szCs w:val="24"/>
        </w:rPr>
        <w:t>“ и за „Степен на опазване“ „B“, като общата оценка на стойността на защитената зона за опазване на природното местообитание е „</w:t>
      </w:r>
      <w:r w:rsidRPr="0031593F">
        <w:rPr>
          <w:rFonts w:ascii="Times New Roman" w:eastAsia="Calibri" w:hAnsi="Times New Roman"/>
          <w:noProof/>
          <w:sz w:val="24"/>
          <w:szCs w:val="24"/>
          <w:lang w:val="en-US"/>
        </w:rPr>
        <w:t>C</w:t>
      </w:r>
      <w:r w:rsidRPr="0031593F">
        <w:rPr>
          <w:rFonts w:ascii="Times New Roman" w:eastAsia="Calibri" w:hAnsi="Times New Roman"/>
          <w:noProof/>
          <w:sz w:val="24"/>
          <w:szCs w:val="24"/>
        </w:rPr>
        <w:t>“.</w:t>
      </w:r>
    </w:p>
    <w:p w:rsidR="0031593F" w:rsidRPr="0031593F" w:rsidRDefault="0031593F" w:rsidP="0031593F">
      <w:pPr>
        <w:spacing w:after="0" w:line="240" w:lineRule="auto"/>
        <w:jc w:val="both"/>
        <w:rPr>
          <w:rFonts w:ascii="Times New Roman" w:eastAsia="Calibri" w:hAnsi="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1"/>
        <w:gridCol w:w="461"/>
        <w:gridCol w:w="483"/>
        <w:gridCol w:w="908"/>
        <w:gridCol w:w="1028"/>
        <w:gridCol w:w="839"/>
        <w:gridCol w:w="1627"/>
        <w:gridCol w:w="1126"/>
        <w:gridCol w:w="1361"/>
        <w:gridCol w:w="794"/>
      </w:tblGrid>
      <w:tr w:rsidR="0031593F" w:rsidRPr="0031593F" w:rsidTr="0031593F">
        <w:tc>
          <w:tcPr>
            <w:tcW w:w="2385" w:type="pct"/>
            <w:gridSpan w:val="6"/>
            <w:shd w:val="clear" w:color="auto" w:fill="D9D9D9"/>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Annex I Habitat types</w:t>
            </w:r>
          </w:p>
        </w:tc>
        <w:tc>
          <w:tcPr>
            <w:tcW w:w="2615" w:type="pct"/>
            <w:gridSpan w:val="4"/>
            <w:shd w:val="clear" w:color="auto" w:fill="D9D9D9"/>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Site assessment</w:t>
            </w:r>
          </w:p>
        </w:tc>
      </w:tr>
      <w:tr w:rsidR="0031593F" w:rsidRPr="0031593F" w:rsidTr="0031593F">
        <w:tc>
          <w:tcPr>
            <w:tcW w:w="344" w:type="pct"/>
            <w:shd w:val="clear" w:color="auto" w:fill="D9D9D9"/>
            <w:vAlign w:val="center"/>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Code</w:t>
            </w:r>
          </w:p>
        </w:tc>
        <w:tc>
          <w:tcPr>
            <w:tcW w:w="240" w:type="pct"/>
            <w:shd w:val="clear" w:color="auto" w:fill="D9D9D9"/>
            <w:vAlign w:val="center"/>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PF</w:t>
            </w:r>
          </w:p>
        </w:tc>
        <w:tc>
          <w:tcPr>
            <w:tcW w:w="251" w:type="pct"/>
            <w:shd w:val="clear" w:color="auto" w:fill="D9D9D9"/>
            <w:vAlign w:val="center"/>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NP</w:t>
            </w:r>
          </w:p>
        </w:tc>
        <w:tc>
          <w:tcPr>
            <w:tcW w:w="526" w:type="pct"/>
            <w:shd w:val="clear" w:color="auto" w:fill="D9D9D9"/>
            <w:vAlign w:val="center"/>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Cover (ha)</w:t>
            </w:r>
          </w:p>
        </w:tc>
        <w:tc>
          <w:tcPr>
            <w:tcW w:w="536" w:type="pct"/>
            <w:shd w:val="clear" w:color="auto" w:fill="D9D9D9"/>
            <w:vAlign w:val="center"/>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Cave (number)</w:t>
            </w:r>
          </w:p>
        </w:tc>
        <w:tc>
          <w:tcPr>
            <w:tcW w:w="489" w:type="pct"/>
            <w:shd w:val="clear" w:color="auto" w:fill="D9D9D9"/>
            <w:vAlign w:val="center"/>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Data quality</w:t>
            </w:r>
          </w:p>
        </w:tc>
        <w:tc>
          <w:tcPr>
            <w:tcW w:w="848" w:type="pct"/>
            <w:shd w:val="clear" w:color="auto" w:fill="D9D9D9"/>
            <w:vAlign w:val="center"/>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A/B/C/D</w:t>
            </w:r>
          </w:p>
        </w:tc>
        <w:tc>
          <w:tcPr>
            <w:tcW w:w="1766" w:type="pct"/>
            <w:gridSpan w:val="3"/>
            <w:shd w:val="clear" w:color="auto" w:fill="D9D9D9"/>
            <w:vAlign w:val="center"/>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A/B/C</w:t>
            </w:r>
          </w:p>
        </w:tc>
      </w:tr>
      <w:tr w:rsidR="0031593F" w:rsidRPr="0031593F" w:rsidTr="0031593F">
        <w:trPr>
          <w:trHeight w:val="454"/>
        </w:trPr>
        <w:tc>
          <w:tcPr>
            <w:tcW w:w="344" w:type="pct"/>
          </w:tcPr>
          <w:p w:rsidR="0031593F" w:rsidRPr="0031593F" w:rsidRDefault="0031593F" w:rsidP="0031593F">
            <w:pPr>
              <w:rPr>
                <w:rFonts w:ascii="Times New Roman" w:hAnsi="Times New Roman"/>
                <w:b/>
                <w:noProof/>
                <w:color w:val="000000"/>
                <w:position w:val="-1"/>
                <w:sz w:val="20"/>
                <w:szCs w:val="20"/>
              </w:rPr>
            </w:pPr>
          </w:p>
        </w:tc>
        <w:tc>
          <w:tcPr>
            <w:tcW w:w="240" w:type="pct"/>
          </w:tcPr>
          <w:p w:rsidR="0031593F" w:rsidRPr="0031593F" w:rsidRDefault="0031593F" w:rsidP="0031593F">
            <w:pPr>
              <w:rPr>
                <w:rFonts w:ascii="Times New Roman" w:hAnsi="Times New Roman"/>
                <w:b/>
                <w:noProof/>
                <w:color w:val="000000"/>
                <w:position w:val="-1"/>
                <w:sz w:val="20"/>
                <w:szCs w:val="20"/>
              </w:rPr>
            </w:pPr>
          </w:p>
        </w:tc>
        <w:tc>
          <w:tcPr>
            <w:tcW w:w="251" w:type="pct"/>
          </w:tcPr>
          <w:p w:rsidR="0031593F" w:rsidRPr="0031593F" w:rsidRDefault="0031593F" w:rsidP="0031593F">
            <w:pPr>
              <w:rPr>
                <w:rFonts w:ascii="Times New Roman" w:hAnsi="Times New Roman"/>
                <w:b/>
                <w:noProof/>
                <w:color w:val="000000"/>
                <w:position w:val="-1"/>
                <w:sz w:val="20"/>
                <w:szCs w:val="20"/>
              </w:rPr>
            </w:pPr>
          </w:p>
        </w:tc>
        <w:tc>
          <w:tcPr>
            <w:tcW w:w="526" w:type="pct"/>
          </w:tcPr>
          <w:p w:rsidR="0031593F" w:rsidRPr="0031593F" w:rsidRDefault="0031593F" w:rsidP="0031593F">
            <w:pPr>
              <w:rPr>
                <w:rFonts w:ascii="Times New Roman" w:hAnsi="Times New Roman"/>
                <w:b/>
                <w:noProof/>
                <w:color w:val="000000"/>
                <w:position w:val="-1"/>
                <w:sz w:val="20"/>
                <w:szCs w:val="20"/>
              </w:rPr>
            </w:pPr>
          </w:p>
        </w:tc>
        <w:tc>
          <w:tcPr>
            <w:tcW w:w="536" w:type="pct"/>
          </w:tcPr>
          <w:p w:rsidR="0031593F" w:rsidRPr="0031593F" w:rsidRDefault="0031593F" w:rsidP="0031593F">
            <w:pPr>
              <w:rPr>
                <w:rFonts w:ascii="Times New Roman" w:hAnsi="Times New Roman"/>
                <w:b/>
                <w:noProof/>
                <w:color w:val="000000"/>
                <w:position w:val="-1"/>
                <w:sz w:val="20"/>
                <w:szCs w:val="20"/>
              </w:rPr>
            </w:pPr>
          </w:p>
        </w:tc>
        <w:tc>
          <w:tcPr>
            <w:tcW w:w="489" w:type="pct"/>
          </w:tcPr>
          <w:p w:rsidR="0031593F" w:rsidRPr="0031593F" w:rsidRDefault="0031593F" w:rsidP="0031593F">
            <w:pPr>
              <w:rPr>
                <w:rFonts w:ascii="Times New Roman" w:hAnsi="Times New Roman"/>
                <w:b/>
                <w:noProof/>
                <w:color w:val="000000"/>
                <w:position w:val="-1"/>
                <w:sz w:val="20"/>
                <w:szCs w:val="20"/>
              </w:rPr>
            </w:pPr>
          </w:p>
        </w:tc>
        <w:tc>
          <w:tcPr>
            <w:tcW w:w="848" w:type="pct"/>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Representativity</w:t>
            </w:r>
          </w:p>
        </w:tc>
        <w:tc>
          <w:tcPr>
            <w:tcW w:w="643" w:type="pct"/>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Relative Surface</w:t>
            </w:r>
          </w:p>
        </w:tc>
        <w:tc>
          <w:tcPr>
            <w:tcW w:w="710" w:type="pct"/>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Conservation</w:t>
            </w:r>
          </w:p>
        </w:tc>
        <w:tc>
          <w:tcPr>
            <w:tcW w:w="414" w:type="pct"/>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Global</w:t>
            </w:r>
          </w:p>
        </w:tc>
      </w:tr>
      <w:tr w:rsidR="0031593F" w:rsidRPr="0031593F" w:rsidTr="0031593F">
        <w:trPr>
          <w:trHeight w:hRule="exact" w:val="284"/>
        </w:trPr>
        <w:tc>
          <w:tcPr>
            <w:tcW w:w="344" w:type="pct"/>
            <w:tcBorders>
              <w:top w:val="nil"/>
              <w:left w:val="single" w:sz="4" w:space="0" w:color="auto"/>
              <w:bottom w:val="single" w:sz="4" w:space="0" w:color="auto"/>
              <w:right w:val="single" w:sz="4" w:space="0" w:color="auto"/>
            </w:tcBorders>
            <w:shd w:val="clear" w:color="auto" w:fill="auto"/>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6430</w:t>
            </w:r>
          </w:p>
        </w:tc>
        <w:tc>
          <w:tcPr>
            <w:tcW w:w="240" w:type="pct"/>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0</w:t>
            </w:r>
          </w:p>
        </w:tc>
        <w:tc>
          <w:tcPr>
            <w:tcW w:w="251" w:type="pct"/>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0</w:t>
            </w:r>
          </w:p>
        </w:tc>
        <w:tc>
          <w:tcPr>
            <w:tcW w:w="526" w:type="pct"/>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14,81</w:t>
            </w:r>
          </w:p>
        </w:tc>
        <w:tc>
          <w:tcPr>
            <w:tcW w:w="536" w:type="pct"/>
          </w:tcPr>
          <w:p w:rsidR="0031593F" w:rsidRPr="0031593F" w:rsidRDefault="0031593F" w:rsidP="0031593F">
            <w:pPr>
              <w:rPr>
                <w:rFonts w:ascii="Times New Roman" w:eastAsia="Calibri" w:hAnsi="Times New Roman"/>
                <w:sz w:val="18"/>
                <w:szCs w:val="18"/>
                <w:lang w:val="en-US"/>
              </w:rPr>
            </w:pPr>
          </w:p>
        </w:tc>
        <w:tc>
          <w:tcPr>
            <w:tcW w:w="489" w:type="pct"/>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G</w:t>
            </w:r>
          </w:p>
        </w:tc>
        <w:tc>
          <w:tcPr>
            <w:tcW w:w="848" w:type="pct"/>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C</w:t>
            </w:r>
          </w:p>
        </w:tc>
        <w:tc>
          <w:tcPr>
            <w:tcW w:w="643" w:type="pct"/>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C</w:t>
            </w:r>
          </w:p>
        </w:tc>
        <w:tc>
          <w:tcPr>
            <w:tcW w:w="710" w:type="pct"/>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B</w:t>
            </w:r>
          </w:p>
        </w:tc>
        <w:tc>
          <w:tcPr>
            <w:tcW w:w="414" w:type="pct"/>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C</w:t>
            </w:r>
          </w:p>
        </w:tc>
      </w:tr>
    </w:tbl>
    <w:p w:rsidR="0031593F" w:rsidRPr="0031593F" w:rsidRDefault="0031593F" w:rsidP="0031593F">
      <w:pPr>
        <w:spacing w:after="0" w:line="240" w:lineRule="auto"/>
        <w:jc w:val="both"/>
        <w:rPr>
          <w:rFonts w:ascii="Times New Roman" w:eastAsia="Calibri" w:hAnsi="Times New Roman"/>
          <w:b/>
          <w:noProof/>
          <w:highlight w:val="yellow"/>
        </w:rPr>
      </w:pPr>
    </w:p>
    <w:p w:rsidR="0031593F" w:rsidRPr="0031593F" w:rsidRDefault="0031593F" w:rsidP="0031593F">
      <w:pPr>
        <w:spacing w:after="0" w:line="240" w:lineRule="auto"/>
        <w:jc w:val="both"/>
        <w:rPr>
          <w:rFonts w:ascii="Times New Roman" w:eastAsia="Calibri" w:hAnsi="Times New Roman"/>
          <w:noProof/>
          <w:sz w:val="24"/>
          <w:szCs w:val="24"/>
        </w:rPr>
      </w:pPr>
      <w:r w:rsidRPr="0031593F">
        <w:rPr>
          <w:rFonts w:ascii="Times New Roman" w:eastAsia="Calibri" w:hAnsi="Times New Roman"/>
          <w:b/>
          <w:noProof/>
          <w:sz w:val="24"/>
          <w:szCs w:val="24"/>
        </w:rPr>
        <w:t>5. Анализ на наличната информация</w:t>
      </w:r>
    </w:p>
    <w:p w:rsidR="0031593F" w:rsidRPr="0031593F" w:rsidRDefault="0031593F" w:rsidP="00EC3027">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При определянето на природозащитните цели е използвана информацията за разпространението и състоянието на местообитанието, предоставена в Информационната система за защитени зони от екологична мрежа Натура 2000, Докладванията по член 17 от 2013 г. и 2019 г.</w:t>
      </w:r>
    </w:p>
    <w:p w:rsidR="0031593F" w:rsidRPr="0031593F" w:rsidRDefault="0031593F" w:rsidP="00EC3027">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През 2021 г. беше извършена теренна проверка за актуализация на наличната информация за състоянието на местообитанието в зоната. Считаме, че не трбява да се прави корекция на картирането от 2011 г. и промяна в площта, въпреки устнановените негативни промени в местообитанието.</w:t>
      </w:r>
    </w:p>
    <w:p w:rsidR="0031593F" w:rsidRPr="0031593F" w:rsidRDefault="0031593F" w:rsidP="00EC3027">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При теренната работа през 2021 г. са направени следните изводи за настоящото състояние на местообитанието, които са отразени в целите, представени в този документ:</w:t>
      </w:r>
    </w:p>
    <w:p w:rsidR="0031593F" w:rsidRPr="0031593F" w:rsidRDefault="0031593F" w:rsidP="00635999">
      <w:pPr>
        <w:numPr>
          <w:ilvl w:val="0"/>
          <w:numId w:val="8"/>
        </w:numPr>
        <w:spacing w:after="80" w:line="240" w:lineRule="auto"/>
        <w:contextualSpacing/>
        <w:jc w:val="both"/>
        <w:rPr>
          <w:rFonts w:ascii="Times New Roman" w:eastAsia="Calibri" w:hAnsi="Times New Roman"/>
          <w:noProof/>
          <w:sz w:val="24"/>
          <w:szCs w:val="24"/>
        </w:rPr>
      </w:pPr>
      <w:r w:rsidRPr="0031593F">
        <w:rPr>
          <w:rFonts w:ascii="Times New Roman" w:eastAsia="Calibri" w:hAnsi="Times New Roman"/>
          <w:noProof/>
          <w:sz w:val="24"/>
          <w:szCs w:val="24"/>
        </w:rPr>
        <w:t xml:space="preserve">В по-голяма част от територията, заета от природното местообитание има повече от три типични вида високи треви, най-често </w:t>
      </w:r>
      <w:r w:rsidRPr="0031593F">
        <w:rPr>
          <w:rFonts w:ascii="Times New Roman" w:eastAsia="Calibri" w:hAnsi="Times New Roman"/>
          <w:i/>
          <w:noProof/>
          <w:sz w:val="24"/>
          <w:szCs w:val="24"/>
        </w:rPr>
        <w:t xml:space="preserve">Glycyrrhiza echinata, Lythrum salicaria, Rubus caesius </w:t>
      </w:r>
      <w:r w:rsidRPr="0031593F">
        <w:rPr>
          <w:rFonts w:ascii="Times New Roman" w:eastAsia="Calibri" w:hAnsi="Times New Roman"/>
          <w:noProof/>
          <w:sz w:val="24"/>
          <w:szCs w:val="24"/>
        </w:rPr>
        <w:t>и др.</w:t>
      </w:r>
    </w:p>
    <w:p w:rsidR="0031593F" w:rsidRPr="0031593F" w:rsidRDefault="0031593F" w:rsidP="00635999">
      <w:pPr>
        <w:numPr>
          <w:ilvl w:val="0"/>
          <w:numId w:val="8"/>
        </w:numPr>
        <w:spacing w:after="80" w:line="240" w:lineRule="auto"/>
        <w:contextualSpacing/>
        <w:jc w:val="both"/>
        <w:rPr>
          <w:rFonts w:ascii="Times New Roman" w:eastAsia="Calibri" w:hAnsi="Times New Roman"/>
          <w:noProof/>
          <w:sz w:val="24"/>
          <w:szCs w:val="24"/>
        </w:rPr>
      </w:pPr>
      <w:r w:rsidRPr="0031593F">
        <w:rPr>
          <w:rFonts w:ascii="Times New Roman" w:eastAsia="Calibri" w:hAnsi="Times New Roman"/>
          <w:noProof/>
          <w:sz w:val="24"/>
          <w:szCs w:val="24"/>
        </w:rPr>
        <w:lastRenderedPageBreak/>
        <w:t xml:space="preserve">Инвазивните видове в повечето полигони превишават 1%., всъщност реално са повече от 30% и сериозно променят екологичната и флористична структура на ценозите на местообитанието. Основно такива видове са </w:t>
      </w:r>
      <w:r w:rsidRPr="0031593F">
        <w:rPr>
          <w:rFonts w:ascii="Times New Roman" w:eastAsia="Calibri" w:hAnsi="Times New Roman"/>
          <w:i/>
          <w:noProof/>
          <w:sz w:val="24"/>
          <w:szCs w:val="24"/>
        </w:rPr>
        <w:t>Amorpha fruticosa, Erigeron annuus, Bidens frondosa</w:t>
      </w:r>
      <w:r w:rsidRPr="0031593F">
        <w:rPr>
          <w:rFonts w:ascii="Times New Roman" w:eastAsia="Calibri" w:hAnsi="Times New Roman"/>
          <w:noProof/>
          <w:sz w:val="24"/>
          <w:szCs w:val="24"/>
        </w:rPr>
        <w:t xml:space="preserve"> и др.</w:t>
      </w:r>
    </w:p>
    <w:p w:rsidR="0031593F" w:rsidRPr="0031593F" w:rsidRDefault="0031593F" w:rsidP="00635999">
      <w:pPr>
        <w:numPr>
          <w:ilvl w:val="0"/>
          <w:numId w:val="8"/>
        </w:numPr>
        <w:spacing w:after="80" w:line="240" w:lineRule="auto"/>
        <w:contextualSpacing/>
        <w:jc w:val="both"/>
        <w:rPr>
          <w:rFonts w:ascii="Times New Roman" w:eastAsia="Calibri" w:hAnsi="Times New Roman"/>
          <w:noProof/>
          <w:sz w:val="24"/>
          <w:szCs w:val="24"/>
        </w:rPr>
      </w:pPr>
      <w:r w:rsidRPr="0031593F">
        <w:rPr>
          <w:rFonts w:ascii="Times New Roman" w:eastAsia="Calibri" w:hAnsi="Times New Roman"/>
          <w:noProof/>
          <w:sz w:val="24"/>
          <w:szCs w:val="24"/>
        </w:rPr>
        <w:t>Заетите от природното местообитание територии се намират в район на възстановителни дейности на водния режим на езерото и като цяло са на нарушени от изкопни дейности в миналото терени.</w:t>
      </w:r>
    </w:p>
    <w:p w:rsidR="0031593F" w:rsidRPr="0031593F" w:rsidRDefault="0031593F" w:rsidP="00EC3027">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Следователно, за осъществяване на заложените цели е необходимо да бъдат прилагани специални мерки основно за контрол на инвазивните видове и недопускане на нови дейности водещи до промяна на водния режим в тази част на резервата.</w:t>
      </w:r>
    </w:p>
    <w:p w:rsidR="0031593F" w:rsidRPr="0031593F" w:rsidRDefault="0031593F" w:rsidP="0031593F">
      <w:pPr>
        <w:spacing w:after="80" w:line="240" w:lineRule="auto"/>
        <w:jc w:val="both"/>
        <w:rPr>
          <w:rFonts w:ascii="Times New Roman" w:eastAsia="Calibri" w:hAnsi="Times New Roman"/>
          <w:noProof/>
          <w:sz w:val="24"/>
          <w:szCs w:val="24"/>
        </w:rPr>
      </w:pPr>
    </w:p>
    <w:p w:rsidR="0031593F" w:rsidRPr="0031593F" w:rsidRDefault="0031593F" w:rsidP="0031593F">
      <w:pPr>
        <w:spacing w:after="0" w:line="240" w:lineRule="auto"/>
        <w:jc w:val="both"/>
        <w:rPr>
          <w:rFonts w:ascii="Times New Roman" w:eastAsia="Calibri" w:hAnsi="Times New Roman"/>
          <w:b/>
          <w:i/>
          <w:noProof/>
          <w:sz w:val="24"/>
          <w:szCs w:val="24"/>
        </w:rPr>
      </w:pPr>
      <w:r w:rsidRPr="0031593F">
        <w:rPr>
          <w:rFonts w:ascii="Times New Roman" w:eastAsia="Calibri" w:hAnsi="Times New Roman"/>
          <w:b/>
          <w:noProof/>
          <w:sz w:val="24"/>
          <w:szCs w:val="24"/>
        </w:rPr>
        <w:t>6. Цели за подобряване/поддържане на природозащитното състояние на местообитанието в зоната</w:t>
      </w:r>
    </w:p>
    <w:p w:rsidR="0031593F" w:rsidRPr="0031593F" w:rsidRDefault="0031593F" w:rsidP="00EC3027">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Специфичните природозащитни цели за защитената зона са формулирани по параметри със съответни мерни единици и целеви стойности в приложената таблица.</w:t>
      </w:r>
    </w:p>
    <w:p w:rsidR="0031593F" w:rsidRPr="0031593F" w:rsidRDefault="0031593F" w:rsidP="0031593F">
      <w:pPr>
        <w:spacing w:after="0" w:line="240" w:lineRule="auto"/>
        <w:rPr>
          <w:rFonts w:ascii="Times New Roman" w:eastAsia="Calibri" w:hAnsi="Times New Roman"/>
          <w:noProof/>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2"/>
        <w:gridCol w:w="1983"/>
        <w:gridCol w:w="2553"/>
        <w:gridCol w:w="2411"/>
      </w:tblGrid>
      <w:tr w:rsidR="0031593F" w:rsidRPr="0031593F" w:rsidTr="0031593F">
        <w:trPr>
          <w:tblHeader/>
        </w:trPr>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rPr>
                <w:rFonts w:ascii="Times New Roman" w:eastAsia="Calibri" w:hAnsi="Times New Roman"/>
                <w:b/>
                <w:bCs/>
                <w:noProof/>
                <w:sz w:val="20"/>
                <w:szCs w:val="20"/>
              </w:rPr>
            </w:pPr>
            <w:r w:rsidRPr="0031593F">
              <w:rPr>
                <w:rFonts w:ascii="Times New Roman" w:eastAsia="Calibri" w:hAnsi="Times New Roman"/>
                <w:b/>
                <w:bCs/>
                <w:noProof/>
                <w:sz w:val="20"/>
                <w:szCs w:val="20"/>
              </w:rPr>
              <w:t>Параметър</w:t>
            </w:r>
          </w:p>
        </w:tc>
        <w:tc>
          <w:tcPr>
            <w:tcW w:w="141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rPr>
                <w:rFonts w:ascii="Times New Roman" w:eastAsia="Calibri" w:hAnsi="Times New Roman"/>
                <w:b/>
                <w:bCs/>
                <w:noProof/>
                <w:sz w:val="20"/>
                <w:szCs w:val="20"/>
              </w:rPr>
            </w:pPr>
            <w:r w:rsidRPr="0031593F">
              <w:rPr>
                <w:rFonts w:ascii="Times New Roman" w:eastAsia="Calibri" w:hAnsi="Times New Roman"/>
                <w:b/>
                <w:bCs/>
                <w:noProof/>
                <w:sz w:val="20"/>
                <w:szCs w:val="20"/>
              </w:rPr>
              <w:t>Мерна единица</w:t>
            </w:r>
          </w:p>
        </w:tc>
        <w:tc>
          <w:tcPr>
            <w:tcW w:w="198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rPr>
                <w:rFonts w:ascii="Times New Roman" w:eastAsia="Calibri" w:hAnsi="Times New Roman"/>
                <w:b/>
                <w:bCs/>
                <w:noProof/>
                <w:sz w:val="20"/>
                <w:szCs w:val="20"/>
              </w:rPr>
            </w:pPr>
            <w:r w:rsidRPr="0031593F">
              <w:rPr>
                <w:rFonts w:ascii="Times New Roman" w:eastAsia="Calibri" w:hAnsi="Times New Roman"/>
                <w:b/>
                <w:bCs/>
                <w:noProof/>
                <w:sz w:val="20"/>
                <w:szCs w:val="20"/>
              </w:rPr>
              <w:t>Целева стойност</w:t>
            </w:r>
          </w:p>
        </w:tc>
        <w:tc>
          <w:tcPr>
            <w:tcW w:w="255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rPr>
                <w:rFonts w:ascii="Times New Roman" w:eastAsia="Calibri" w:hAnsi="Times New Roman"/>
                <w:b/>
                <w:bCs/>
                <w:noProof/>
                <w:sz w:val="20"/>
                <w:szCs w:val="20"/>
              </w:rPr>
            </w:pPr>
            <w:r w:rsidRPr="0031593F">
              <w:rPr>
                <w:rFonts w:ascii="Times New Roman" w:eastAsia="Calibri" w:hAnsi="Times New Roman"/>
                <w:b/>
                <w:bCs/>
                <w:noProof/>
                <w:sz w:val="20"/>
                <w:szCs w:val="20"/>
              </w:rPr>
              <w:t>Допълнителна информация</w:t>
            </w:r>
          </w:p>
        </w:tc>
        <w:tc>
          <w:tcPr>
            <w:tcW w:w="2411" w:type="dxa"/>
            <w:tcBorders>
              <w:top w:val="single" w:sz="4" w:space="0" w:color="auto"/>
              <w:left w:val="single" w:sz="4" w:space="0" w:color="auto"/>
              <w:bottom w:val="single" w:sz="4" w:space="0" w:color="auto"/>
              <w:right w:val="single" w:sz="4" w:space="0" w:color="auto"/>
            </w:tcBorders>
            <w:shd w:val="clear" w:color="auto" w:fill="DBE5F1"/>
            <w:hideMark/>
          </w:tcPr>
          <w:p w:rsidR="0031593F" w:rsidRPr="0031593F" w:rsidRDefault="0031593F" w:rsidP="0031593F">
            <w:pPr>
              <w:spacing w:after="160" w:line="259" w:lineRule="auto"/>
              <w:rPr>
                <w:rFonts w:ascii="Times New Roman" w:eastAsia="Calibri" w:hAnsi="Times New Roman"/>
                <w:b/>
                <w:bCs/>
                <w:noProof/>
                <w:sz w:val="20"/>
                <w:szCs w:val="20"/>
              </w:rPr>
            </w:pPr>
            <w:r w:rsidRPr="0031593F">
              <w:rPr>
                <w:rFonts w:ascii="Times New Roman" w:eastAsia="Calibri" w:hAnsi="Times New Roman"/>
                <w:b/>
                <w:bCs/>
                <w:noProof/>
                <w:sz w:val="20"/>
                <w:szCs w:val="20"/>
              </w:rPr>
              <w:t>Специфични природозащитни цели за защитената зона</w:t>
            </w:r>
          </w:p>
        </w:tc>
      </w:tr>
      <w:tr w:rsidR="0031593F" w:rsidRPr="0031593F" w:rsidTr="0031593F">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noProof/>
                <w:sz w:val="20"/>
                <w:szCs w:val="20"/>
              </w:rPr>
            </w:pPr>
            <w:r w:rsidRPr="0031593F">
              <w:rPr>
                <w:rFonts w:ascii="Times New Roman" w:eastAsia="Calibri" w:hAnsi="Times New Roman"/>
                <w:b/>
                <w:noProof/>
                <w:sz w:val="20"/>
                <w:szCs w:val="20"/>
              </w:rPr>
              <w:t>Площ</w:t>
            </w:r>
          </w:p>
        </w:tc>
        <w:tc>
          <w:tcPr>
            <w:tcW w:w="1412"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rPr>
            </w:pPr>
            <w:r w:rsidRPr="0031593F">
              <w:rPr>
                <w:rFonts w:ascii="Times New Roman" w:eastAsia="Calibri" w:hAnsi="Times New Roman"/>
                <w:noProof/>
                <w:sz w:val="20"/>
                <w:szCs w:val="20"/>
              </w:rPr>
              <w:t>Хектари</w:t>
            </w:r>
          </w:p>
        </w:tc>
        <w:tc>
          <w:tcPr>
            <w:tcW w:w="198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lang w:val="en-US"/>
              </w:rPr>
            </w:pPr>
            <w:r w:rsidRPr="0031593F">
              <w:rPr>
                <w:rFonts w:ascii="Times New Roman" w:eastAsia="Calibri" w:hAnsi="Times New Roman"/>
                <w:noProof/>
                <w:sz w:val="20"/>
                <w:szCs w:val="20"/>
              </w:rPr>
              <w:t xml:space="preserve">Най-малко 14,81 </w:t>
            </w:r>
            <w:r w:rsidRPr="0031593F">
              <w:rPr>
                <w:rFonts w:ascii="Times New Roman" w:eastAsia="Calibri" w:hAnsi="Times New Roman"/>
                <w:noProof/>
                <w:sz w:val="20"/>
                <w:szCs w:val="20"/>
                <w:lang w:val="en-US"/>
              </w:rPr>
              <w:t>ha</w:t>
            </w:r>
          </w:p>
        </w:tc>
        <w:tc>
          <w:tcPr>
            <w:tcW w:w="255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before="120" w:after="120" w:line="240" w:lineRule="auto"/>
              <w:rPr>
                <w:rFonts w:ascii="Times New Roman" w:eastAsia="Calibri" w:hAnsi="Times New Roman"/>
                <w:noProof/>
                <w:sz w:val="20"/>
                <w:szCs w:val="20"/>
              </w:rPr>
            </w:pPr>
          </w:p>
        </w:tc>
        <w:tc>
          <w:tcPr>
            <w:tcW w:w="241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lang w:val="en-US"/>
              </w:rPr>
            </w:pPr>
            <w:r w:rsidRPr="0031593F">
              <w:rPr>
                <w:rFonts w:ascii="Times New Roman" w:eastAsia="Calibri" w:hAnsi="Times New Roman"/>
                <w:noProof/>
                <w:sz w:val="20"/>
                <w:szCs w:val="20"/>
              </w:rPr>
              <w:t xml:space="preserve">Поддържане на площта – най-малко 14,81 </w:t>
            </w:r>
            <w:r w:rsidRPr="0031593F">
              <w:rPr>
                <w:rFonts w:ascii="Times New Roman" w:eastAsia="Calibri" w:hAnsi="Times New Roman"/>
                <w:noProof/>
                <w:sz w:val="20"/>
                <w:szCs w:val="20"/>
                <w:lang w:val="en-US"/>
              </w:rPr>
              <w:t>ha</w:t>
            </w:r>
          </w:p>
        </w:tc>
      </w:tr>
      <w:tr w:rsidR="0031593F" w:rsidRPr="0031593F" w:rsidTr="0031593F">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noProof/>
                <w:sz w:val="20"/>
                <w:szCs w:val="20"/>
              </w:rPr>
            </w:pPr>
            <w:r w:rsidRPr="0031593F">
              <w:rPr>
                <w:rFonts w:ascii="Times New Roman" w:eastAsia="Calibri" w:hAnsi="Times New Roman"/>
                <w:b/>
                <w:noProof/>
                <w:sz w:val="20"/>
                <w:szCs w:val="20"/>
              </w:rPr>
              <w:t>Структура и функции: Присъствие на типични видове растения</w:t>
            </w:r>
          </w:p>
        </w:tc>
        <w:tc>
          <w:tcPr>
            <w:tcW w:w="1412"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rPr>
            </w:pPr>
            <w:r w:rsidRPr="0031593F">
              <w:rPr>
                <w:rFonts w:ascii="Times New Roman" w:eastAsia="Calibri" w:hAnsi="Times New Roman"/>
                <w:noProof/>
                <w:sz w:val="20"/>
                <w:szCs w:val="20"/>
              </w:rPr>
              <w:t>Брой типични видове</w:t>
            </w:r>
          </w:p>
        </w:tc>
        <w:tc>
          <w:tcPr>
            <w:tcW w:w="198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before="120" w:after="120" w:line="240" w:lineRule="auto"/>
              <w:rPr>
                <w:rFonts w:ascii="Times New Roman" w:eastAsia="Calibri" w:hAnsi="Times New Roman"/>
                <w:noProof/>
                <w:sz w:val="20"/>
                <w:szCs w:val="20"/>
              </w:rPr>
            </w:pPr>
            <w:r w:rsidRPr="0031593F">
              <w:rPr>
                <w:rFonts w:ascii="Times New Roman" w:eastAsia="Calibri" w:hAnsi="Times New Roman"/>
                <w:noProof/>
                <w:sz w:val="20"/>
                <w:szCs w:val="20"/>
              </w:rPr>
              <w:t xml:space="preserve">Най-малко 3 вида </w:t>
            </w:r>
          </w:p>
        </w:tc>
        <w:tc>
          <w:tcPr>
            <w:tcW w:w="255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rPr>
            </w:pPr>
            <w:r w:rsidRPr="0031593F">
              <w:rPr>
                <w:rFonts w:ascii="Times New Roman" w:eastAsia="Calibri" w:hAnsi="Times New Roman"/>
                <w:noProof/>
                <w:sz w:val="20"/>
                <w:szCs w:val="20"/>
              </w:rPr>
              <w:t xml:space="preserve">Типични видове: </w:t>
            </w:r>
            <w:r w:rsidRPr="0031593F">
              <w:rPr>
                <w:rFonts w:ascii="Times New Roman" w:eastAsia="Calibri" w:hAnsi="Times New Roman"/>
                <w:i/>
                <w:iCs/>
                <w:noProof/>
                <w:sz w:val="20"/>
                <w:szCs w:val="20"/>
              </w:rPr>
              <w:t>Lysimachia vulgaris, Lythrum virgatum, Lythrum salicaria, Rubus caesius, Glycyrr</w:t>
            </w:r>
            <w:r w:rsidRPr="0031593F">
              <w:rPr>
                <w:rFonts w:ascii="Times New Roman" w:eastAsia="Calibri" w:hAnsi="Times New Roman"/>
                <w:i/>
                <w:iCs/>
                <w:noProof/>
                <w:sz w:val="20"/>
                <w:szCs w:val="20"/>
                <w:lang w:val="en-US"/>
              </w:rPr>
              <w:t>h</w:t>
            </w:r>
            <w:r w:rsidRPr="0031593F">
              <w:rPr>
                <w:rFonts w:ascii="Times New Roman" w:eastAsia="Calibri" w:hAnsi="Times New Roman"/>
                <w:i/>
                <w:iCs/>
                <w:noProof/>
                <w:sz w:val="20"/>
                <w:szCs w:val="20"/>
              </w:rPr>
              <w:t>iza echinata, Iris pseudacorus, Stachys palustris, Tanacetum vulgare, Urtica dioica, Senecio paludosus, Agrostis verticillata, Elymus repens Calamagrostis epigejos, Phalaris arundinacea</w:t>
            </w:r>
          </w:p>
        </w:tc>
        <w:tc>
          <w:tcPr>
            <w:tcW w:w="241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before="120" w:after="120" w:line="240" w:lineRule="auto"/>
              <w:rPr>
                <w:rFonts w:ascii="Times New Roman" w:eastAsia="Calibri" w:hAnsi="Times New Roman"/>
                <w:bCs/>
                <w:noProof/>
                <w:sz w:val="20"/>
                <w:szCs w:val="20"/>
              </w:rPr>
            </w:pPr>
            <w:r w:rsidRPr="0031593F">
              <w:rPr>
                <w:rFonts w:ascii="Times New Roman" w:eastAsia="Calibri" w:hAnsi="Times New Roman"/>
                <w:bCs/>
                <w:noProof/>
                <w:sz w:val="20"/>
                <w:szCs w:val="20"/>
              </w:rPr>
              <w:t>Поддържане на състоянието – присъстват поне 3 от типичните видове.</w:t>
            </w:r>
          </w:p>
        </w:tc>
      </w:tr>
      <w:tr w:rsidR="0031593F" w:rsidRPr="0031593F" w:rsidTr="0031593F">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noProof/>
                <w:sz w:val="20"/>
                <w:szCs w:val="20"/>
                <w:highlight w:val="yellow"/>
              </w:rPr>
            </w:pPr>
            <w:r w:rsidRPr="0031593F">
              <w:rPr>
                <w:rFonts w:ascii="Times New Roman" w:eastAsia="Calibri" w:hAnsi="Times New Roman"/>
                <w:b/>
                <w:noProof/>
                <w:sz w:val="20"/>
                <w:szCs w:val="20"/>
              </w:rPr>
              <w:t>Структура и функции: Наличие на инвазивни чужди видове</w:t>
            </w:r>
          </w:p>
        </w:tc>
        <w:tc>
          <w:tcPr>
            <w:tcW w:w="1412"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highlight w:val="yellow"/>
              </w:rPr>
            </w:pPr>
            <w:r w:rsidRPr="0031593F">
              <w:rPr>
                <w:rFonts w:ascii="Times New Roman" w:eastAsia="Calibri" w:hAnsi="Times New Roman"/>
                <w:noProof/>
                <w:sz w:val="20"/>
                <w:szCs w:val="20"/>
              </w:rPr>
              <w:t>% проективно покритие на инвазивни чужди видове</w:t>
            </w:r>
          </w:p>
        </w:tc>
        <w:tc>
          <w:tcPr>
            <w:tcW w:w="198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highlight w:val="yellow"/>
              </w:rPr>
            </w:pPr>
            <w:r w:rsidRPr="0031593F">
              <w:rPr>
                <w:rFonts w:ascii="Times New Roman" w:eastAsia="Calibri" w:hAnsi="Times New Roman"/>
                <w:noProof/>
                <w:sz w:val="20"/>
                <w:szCs w:val="20"/>
              </w:rPr>
              <w:t>Не повече от 50% проективно покритие на инвазивни чужди видове растения</w:t>
            </w:r>
          </w:p>
        </w:tc>
        <w:tc>
          <w:tcPr>
            <w:tcW w:w="255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rPr>
            </w:pPr>
            <w:r w:rsidRPr="0031593F">
              <w:rPr>
                <w:rFonts w:ascii="Times New Roman" w:eastAsia="Calibri" w:hAnsi="Times New Roman"/>
                <w:noProof/>
                <w:sz w:val="20"/>
                <w:szCs w:val="20"/>
              </w:rPr>
              <w:t>За референтен източник се използва " Списък с инвазивни чужди видове растения" на интернет страницата на ИАОС, а за идентифициране се използва Атлас на инвазивните чужди видове растения в България (вж. Петрова и др. 2012).</w:t>
            </w:r>
          </w:p>
        </w:tc>
        <w:tc>
          <w:tcPr>
            <w:tcW w:w="241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rPr>
            </w:pPr>
            <w:r w:rsidRPr="0031593F">
              <w:rPr>
                <w:rFonts w:ascii="Times New Roman" w:eastAsia="Calibri" w:hAnsi="Times New Roman"/>
                <w:noProof/>
                <w:sz w:val="20"/>
                <w:szCs w:val="20"/>
              </w:rPr>
              <w:t>Подобряване на състоянието по този параметър – присъствието на ИЧВ следва да е под 50%.</w:t>
            </w:r>
          </w:p>
        </w:tc>
      </w:tr>
      <w:tr w:rsidR="0031593F" w:rsidRPr="0031593F" w:rsidTr="0031593F">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b/>
                <w:noProof/>
                <w:sz w:val="20"/>
                <w:szCs w:val="20"/>
              </w:rPr>
            </w:pPr>
            <w:r w:rsidRPr="0031593F">
              <w:rPr>
                <w:rFonts w:ascii="Times New Roman" w:eastAsia="Calibri" w:hAnsi="Times New Roman"/>
                <w:b/>
                <w:noProof/>
                <w:sz w:val="20"/>
                <w:szCs w:val="20"/>
              </w:rPr>
              <w:t>Структура и функции: Промени в хидрологичния режим свързани с отводняване и водоползване</w:t>
            </w:r>
          </w:p>
        </w:tc>
        <w:tc>
          <w:tcPr>
            <w:tcW w:w="1412"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noProof/>
                <w:sz w:val="20"/>
                <w:szCs w:val="20"/>
              </w:rPr>
            </w:pPr>
            <w:r w:rsidRPr="0031593F">
              <w:rPr>
                <w:rFonts w:ascii="Times New Roman" w:eastAsia="Calibri" w:hAnsi="Times New Roman"/>
                <w:noProof/>
                <w:sz w:val="20"/>
                <w:szCs w:val="20"/>
              </w:rPr>
              <w:t>Наличие/ липса на отводнителни съоръжения и водоползвания</w:t>
            </w:r>
          </w:p>
        </w:tc>
        <w:tc>
          <w:tcPr>
            <w:tcW w:w="198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noProof/>
                <w:sz w:val="20"/>
                <w:szCs w:val="20"/>
              </w:rPr>
            </w:pPr>
            <w:r w:rsidRPr="0031593F">
              <w:rPr>
                <w:rFonts w:ascii="Times New Roman" w:eastAsia="Calibri" w:hAnsi="Times New Roman"/>
                <w:noProof/>
                <w:sz w:val="20"/>
                <w:szCs w:val="20"/>
              </w:rPr>
              <w:t>Няма нови отводнителни съоръжения и водоползвания</w:t>
            </w:r>
          </w:p>
        </w:tc>
        <w:tc>
          <w:tcPr>
            <w:tcW w:w="255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noProof/>
                <w:sz w:val="20"/>
                <w:szCs w:val="20"/>
              </w:rPr>
            </w:pPr>
            <w:r w:rsidRPr="0031593F">
              <w:rPr>
                <w:rFonts w:ascii="Times New Roman" w:eastAsia="Calibri" w:hAnsi="Times New Roman"/>
                <w:noProof/>
                <w:sz w:val="20"/>
                <w:szCs w:val="20"/>
              </w:rPr>
              <w:t>Често подобни съобщества се развиват в изкуствени водоеми – язовири, рибарници и др. и там този параметър не би трябвало да се отчита</w:t>
            </w:r>
          </w:p>
        </w:tc>
        <w:tc>
          <w:tcPr>
            <w:tcW w:w="241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noProof/>
                <w:sz w:val="20"/>
                <w:szCs w:val="20"/>
              </w:rPr>
            </w:pPr>
            <w:r w:rsidRPr="0031593F">
              <w:rPr>
                <w:rFonts w:ascii="Times New Roman" w:eastAsia="Calibri" w:hAnsi="Times New Roman"/>
                <w:noProof/>
                <w:sz w:val="20"/>
                <w:szCs w:val="20"/>
              </w:rPr>
              <w:t>Поддържане на състоянието – липса на нови дейности, свързани с негативни промени на хидрологичния режим.</w:t>
            </w:r>
          </w:p>
        </w:tc>
      </w:tr>
    </w:tbl>
    <w:p w:rsidR="0031593F" w:rsidRPr="0031593F" w:rsidRDefault="0031593F" w:rsidP="0031593F">
      <w:pPr>
        <w:spacing w:after="0" w:line="240" w:lineRule="auto"/>
        <w:jc w:val="both"/>
        <w:rPr>
          <w:rFonts w:ascii="Times New Roman" w:eastAsia="Calibri" w:hAnsi="Times New Roman"/>
          <w:noProof/>
          <w:sz w:val="24"/>
          <w:szCs w:val="24"/>
          <w:highlight w:val="yellow"/>
        </w:rPr>
      </w:pPr>
    </w:p>
    <w:p w:rsidR="0031593F" w:rsidRPr="0031593F" w:rsidRDefault="0031593F" w:rsidP="0031593F">
      <w:pPr>
        <w:spacing w:after="0" w:line="240" w:lineRule="auto"/>
        <w:jc w:val="both"/>
        <w:rPr>
          <w:rFonts w:ascii="Times New Roman" w:eastAsia="Calibri" w:hAnsi="Times New Roman"/>
          <w:b/>
          <w:noProof/>
          <w:sz w:val="24"/>
          <w:szCs w:val="24"/>
        </w:rPr>
      </w:pPr>
      <w:r w:rsidRPr="0031593F">
        <w:rPr>
          <w:rFonts w:ascii="Times New Roman" w:eastAsia="Calibri" w:hAnsi="Times New Roman"/>
          <w:b/>
          <w:noProof/>
          <w:sz w:val="24"/>
          <w:szCs w:val="24"/>
        </w:rPr>
        <w:lastRenderedPageBreak/>
        <w:t>7. Необходимост от актуализация на СФ на защитената зона</w:t>
      </w:r>
    </w:p>
    <w:p w:rsidR="0031593F" w:rsidRPr="0031593F" w:rsidRDefault="0031593F" w:rsidP="00EC3027">
      <w:pPr>
        <w:spacing w:after="0" w:line="240" w:lineRule="auto"/>
        <w:ind w:firstLine="709"/>
        <w:jc w:val="both"/>
        <w:rPr>
          <w:rFonts w:ascii="Times New Roman" w:eastAsia="Calibri" w:hAnsi="Times New Roman"/>
          <w:bCs/>
          <w:noProof/>
          <w:sz w:val="24"/>
          <w:szCs w:val="24"/>
          <w:lang w:eastAsia="bg-BG"/>
        </w:rPr>
      </w:pPr>
      <w:r w:rsidRPr="0031593F">
        <w:rPr>
          <w:rFonts w:ascii="Times New Roman" w:eastAsia="Calibri" w:hAnsi="Times New Roman"/>
          <w:bCs/>
          <w:noProof/>
          <w:sz w:val="24"/>
          <w:szCs w:val="24"/>
          <w:lang w:eastAsia="bg-BG"/>
        </w:rPr>
        <w:t xml:space="preserve">Въз </w:t>
      </w:r>
      <w:r w:rsidRPr="00EC3027">
        <w:rPr>
          <w:rFonts w:ascii="Times New Roman" w:eastAsia="Calibri" w:hAnsi="Times New Roman"/>
          <w:noProof/>
          <w:sz w:val="24"/>
          <w:szCs w:val="24"/>
        </w:rPr>
        <w:t>основа</w:t>
      </w:r>
      <w:r w:rsidRPr="0031593F">
        <w:rPr>
          <w:rFonts w:ascii="Times New Roman" w:eastAsia="Calibri" w:hAnsi="Times New Roman"/>
          <w:bCs/>
          <w:noProof/>
          <w:sz w:val="24"/>
          <w:szCs w:val="24"/>
          <w:lang w:eastAsia="bg-BG"/>
        </w:rPr>
        <w:t xml:space="preserve"> на събраната информация на този момент не е необходима промянa в стандартния формуляр на защитената зона.</w:t>
      </w:r>
    </w:p>
    <w:p w:rsidR="0031593F" w:rsidRPr="0031593F" w:rsidRDefault="0031593F" w:rsidP="0031593F">
      <w:pPr>
        <w:spacing w:after="0" w:line="240" w:lineRule="auto"/>
        <w:jc w:val="both"/>
        <w:rPr>
          <w:rFonts w:ascii="Times New Roman" w:eastAsia="Calibri" w:hAnsi="Times New Roman"/>
          <w:bCs/>
          <w:noProof/>
          <w:sz w:val="24"/>
          <w:szCs w:val="24"/>
          <w:lang w:eastAsia="bg-BG"/>
        </w:rPr>
      </w:pPr>
    </w:p>
    <w:p w:rsidR="0031593F" w:rsidRPr="0031593F" w:rsidRDefault="0031593F" w:rsidP="0031593F">
      <w:pPr>
        <w:spacing w:after="0" w:line="240" w:lineRule="auto"/>
        <w:jc w:val="both"/>
        <w:rPr>
          <w:rFonts w:ascii="Times New Roman" w:eastAsia="Calibri" w:hAnsi="Times New Roman"/>
          <w:b/>
          <w:noProof/>
          <w:sz w:val="24"/>
          <w:szCs w:val="24"/>
        </w:rPr>
      </w:pPr>
      <w:r w:rsidRPr="0031593F">
        <w:rPr>
          <w:rFonts w:ascii="Times New Roman" w:eastAsia="Calibri" w:hAnsi="Times New Roman"/>
          <w:b/>
          <w:noProof/>
          <w:sz w:val="24"/>
          <w:szCs w:val="24"/>
        </w:rPr>
        <w:t>8. Цитирана литература</w:t>
      </w:r>
    </w:p>
    <w:p w:rsidR="0031593F" w:rsidRPr="0031593F" w:rsidRDefault="0031593F" w:rsidP="00EC3027">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Актуализиран план за управление на поддържан резерват „Сребърна“ (2016-2025 г.). 2014 г. Оперативна програма „Околна среда“ (2007-2013). МОСВ – РИОСВ Русе.</w:t>
      </w:r>
    </w:p>
    <w:p w:rsidR="0031593F" w:rsidRPr="0031593F" w:rsidRDefault="0031593F" w:rsidP="00EC3027">
      <w:pPr>
        <w:spacing w:after="0" w:line="240" w:lineRule="auto"/>
        <w:ind w:left="709" w:hanging="709"/>
        <w:jc w:val="both"/>
        <w:rPr>
          <w:rFonts w:ascii="Times New Roman" w:eastAsia="Calibri" w:hAnsi="Times New Roman"/>
          <w:noProof/>
          <w:sz w:val="24"/>
          <w:szCs w:val="24"/>
        </w:rPr>
      </w:pPr>
      <w:r w:rsidRPr="0031593F">
        <w:rPr>
          <w:rFonts w:ascii="Times New Roman" w:eastAsia="Calibri" w:hAnsi="Times New Roman"/>
          <w:noProof/>
          <w:sz w:val="24"/>
          <w:szCs w:val="24"/>
        </w:rPr>
        <w:t>Вълчев, В., Георгиев, В. и Цонев, Р. 2015. 28Е5 Крайречни високотревни съобщества в равнините. - В: Бисерков В., Гусев Ч., Попов В., Хибаум Г., Русакова, В., Пандурски И., Узунов Й., Димитров М., Цонев Р., Цонева С.  (ред.). Червена книга на Република България. Том 3. Природни местообитания. ИБЕИ–БАН &amp; МОСВ.</w:t>
      </w:r>
    </w:p>
    <w:p w:rsidR="0031593F" w:rsidRPr="0031593F" w:rsidRDefault="0031593F" w:rsidP="00EC3027">
      <w:pPr>
        <w:spacing w:after="0" w:line="240" w:lineRule="auto"/>
        <w:ind w:left="709" w:hanging="709"/>
        <w:rPr>
          <w:rFonts w:ascii="Times New Roman" w:eastAsia="Calibri" w:hAnsi="Times New Roman"/>
          <w:noProof/>
          <w:sz w:val="24"/>
          <w:szCs w:val="24"/>
        </w:rPr>
      </w:pPr>
      <w:r w:rsidRPr="0031593F">
        <w:rPr>
          <w:rFonts w:ascii="Times New Roman" w:eastAsia="Calibri" w:hAnsi="Times New Roman"/>
          <w:noProof/>
          <w:sz w:val="24"/>
          <w:szCs w:val="24"/>
        </w:rPr>
        <w:t xml:space="preserve">Министерство на околната среда и водите (МОСВ). Информационна система за защитени зони от екологична мрежа Натура 2000. </w:t>
      </w:r>
      <w:r w:rsidRPr="0031593F">
        <w:rPr>
          <w:rFonts w:ascii="Times New Roman" w:eastAsia="Calibri" w:hAnsi="Times New Roman"/>
          <w:noProof/>
          <w:sz w:val="24"/>
          <w:szCs w:val="24"/>
        </w:rPr>
        <w:br/>
        <w:t>http://natura2000.moew.government.bg/Home/Natura2000ProtectedSites. Последно посетен на 15.10.2021</w:t>
      </w:r>
    </w:p>
    <w:p w:rsidR="0031593F" w:rsidRPr="0031593F" w:rsidRDefault="0031593F" w:rsidP="00EC3027">
      <w:pPr>
        <w:spacing w:after="0" w:line="240" w:lineRule="auto"/>
        <w:ind w:left="709" w:hanging="709"/>
        <w:jc w:val="both"/>
        <w:rPr>
          <w:rFonts w:ascii="Times New Roman" w:eastAsia="Calibri" w:hAnsi="Times New Roman"/>
          <w:noProof/>
          <w:sz w:val="24"/>
          <w:szCs w:val="24"/>
        </w:rPr>
      </w:pPr>
      <w:r w:rsidRPr="0031593F">
        <w:rPr>
          <w:rFonts w:ascii="Times New Roman" w:eastAsia="Calibri" w:hAnsi="Times New Roman"/>
          <w:noProof/>
          <w:sz w:val="24"/>
          <w:szCs w:val="24"/>
        </w:rPr>
        <w:t>Цонев, Р. 2009. 6430 Хидрофилни съобщества от високи треви в равнините и в планинския до алпийския пояс. – В: Зингстра, Х., Ковачев, А., Китнаес, К., Цонев, Р., Димова, Д., Цветков, П. (ред.)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255-259.</w:t>
      </w:r>
    </w:p>
    <w:p w:rsidR="0031593F" w:rsidRPr="0031593F" w:rsidRDefault="0031593F" w:rsidP="00EC3027">
      <w:pPr>
        <w:spacing w:after="0" w:line="240" w:lineRule="auto"/>
        <w:ind w:left="709" w:hanging="709"/>
        <w:jc w:val="both"/>
        <w:rPr>
          <w:rFonts w:ascii="Times New Roman" w:eastAsia="Calibri" w:hAnsi="Times New Roman"/>
          <w:noProof/>
          <w:sz w:val="24"/>
          <w:szCs w:val="24"/>
        </w:rPr>
      </w:pPr>
      <w:r w:rsidRPr="0031593F">
        <w:rPr>
          <w:rFonts w:ascii="Times New Roman" w:eastAsia="Calibri" w:hAnsi="Times New Roman"/>
          <w:noProof/>
          <w:sz w:val="24"/>
          <w:szCs w:val="24"/>
        </w:rPr>
        <w:t xml:space="preserve">European commission. The State of Nature in the EU – Article 17 reporting. </w:t>
      </w:r>
      <w:hyperlink r:id="rId18" w:history="1">
        <w:r w:rsidRPr="0031593F">
          <w:rPr>
            <w:rFonts w:ascii="Times New Roman" w:eastAsia="Calibri" w:hAnsi="Times New Roman"/>
            <w:noProof/>
            <w:color w:val="0563C1"/>
            <w:sz w:val="24"/>
            <w:szCs w:val="24"/>
            <w:u w:val="single"/>
          </w:rPr>
          <w:t>https://ec.europa.eu/environment/nature/knowledge/rep_habitats/index_en.htm. Last visited on 15.10.2021</w:t>
        </w:r>
      </w:hyperlink>
      <w:r w:rsidRPr="0031593F">
        <w:rPr>
          <w:rFonts w:ascii="Times New Roman" w:eastAsia="Calibri" w:hAnsi="Times New Roman"/>
          <w:noProof/>
          <w:sz w:val="24"/>
          <w:szCs w:val="24"/>
        </w:rPr>
        <w:t>.</w:t>
      </w:r>
    </w:p>
    <w:p w:rsidR="0031593F" w:rsidRPr="0031593F" w:rsidRDefault="0031593F" w:rsidP="00EC3027">
      <w:pPr>
        <w:spacing w:after="0" w:line="240" w:lineRule="auto"/>
        <w:ind w:left="709" w:hanging="709"/>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lang w:val="en-US"/>
        </w:rPr>
      </w:pPr>
      <w:r w:rsidRPr="0031593F">
        <w:rPr>
          <w:rFonts w:ascii="Times New Roman" w:eastAsia="Calibri" w:hAnsi="Times New Roman"/>
          <w:i/>
          <w:noProof/>
          <w:sz w:val="24"/>
          <w:szCs w:val="24"/>
          <w:lang w:val="en-US"/>
        </w:rPr>
        <w:t>Автори на текста</w:t>
      </w:r>
      <w:r w:rsidRPr="0031593F">
        <w:rPr>
          <w:rFonts w:ascii="Times New Roman" w:eastAsia="Calibri" w:hAnsi="Times New Roman"/>
          <w:noProof/>
          <w:sz w:val="24"/>
          <w:szCs w:val="24"/>
          <w:lang w:val="en-US"/>
        </w:rPr>
        <w:t>: Росен Цонев, Чавдар Гусев, Валери Георгиев, Соня Цонева</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sz w:val="24"/>
          <w:szCs w:val="24"/>
        </w:rPr>
      </w:pPr>
    </w:p>
    <w:p w:rsidR="0070678B" w:rsidRPr="00EC3027" w:rsidRDefault="00E8367B" w:rsidP="00EC3027">
      <w:pPr>
        <w:outlineLvl w:val="1"/>
        <w:rPr>
          <w:rFonts w:ascii="Times New Roman" w:hAnsi="Times New Roman"/>
          <w:color w:val="1F497D" w:themeColor="text2"/>
          <w:sz w:val="28"/>
          <w:szCs w:val="28"/>
        </w:rPr>
      </w:pPr>
      <w:bookmarkStart w:id="7" w:name="_Toc98838527"/>
      <w:r w:rsidRPr="00EC3027">
        <w:rPr>
          <w:rFonts w:ascii="Times New Roman" w:hAnsi="Times New Roman"/>
          <w:color w:val="1F497D" w:themeColor="text2"/>
          <w:sz w:val="28"/>
          <w:szCs w:val="28"/>
        </w:rPr>
        <w:t>Природно местообитание</w:t>
      </w:r>
      <w:r w:rsidR="00D77A67" w:rsidRPr="00EC3027">
        <w:rPr>
          <w:rFonts w:ascii="Times New Roman" w:hAnsi="Times New Roman"/>
          <w:color w:val="1F497D" w:themeColor="text2"/>
          <w:sz w:val="28"/>
          <w:szCs w:val="28"/>
        </w:rPr>
        <w:t xml:space="preserve"> </w:t>
      </w:r>
      <w:r w:rsidR="0070678B" w:rsidRPr="00EC3027">
        <w:rPr>
          <w:rFonts w:ascii="Times New Roman" w:hAnsi="Times New Roman"/>
          <w:color w:val="1F497D" w:themeColor="text2"/>
          <w:sz w:val="28"/>
          <w:szCs w:val="28"/>
        </w:rPr>
        <w:t>91Е0</w:t>
      </w:r>
      <w:r w:rsidRPr="00EC3027">
        <w:rPr>
          <w:rFonts w:ascii="Times New Roman" w:hAnsi="Times New Roman"/>
          <w:color w:val="1F497D" w:themeColor="text2"/>
          <w:sz w:val="28"/>
          <w:szCs w:val="28"/>
        </w:rPr>
        <w:t xml:space="preserve"> *Алувиални гори с </w:t>
      </w:r>
      <w:r w:rsidRPr="00EC3027">
        <w:rPr>
          <w:rFonts w:ascii="Times New Roman" w:hAnsi="Times New Roman"/>
          <w:i/>
          <w:color w:val="1F497D" w:themeColor="text2"/>
          <w:sz w:val="28"/>
          <w:szCs w:val="28"/>
        </w:rPr>
        <w:t>Alnus glutinosa</w:t>
      </w:r>
      <w:r w:rsidRPr="00EC3027">
        <w:rPr>
          <w:rFonts w:ascii="Times New Roman" w:hAnsi="Times New Roman"/>
          <w:color w:val="1F497D" w:themeColor="text2"/>
          <w:sz w:val="28"/>
          <w:szCs w:val="28"/>
        </w:rPr>
        <w:t xml:space="preserve"> и </w:t>
      </w:r>
      <w:r w:rsidRPr="00EC3027">
        <w:rPr>
          <w:rFonts w:ascii="Times New Roman" w:hAnsi="Times New Roman"/>
          <w:i/>
          <w:color w:val="1F497D" w:themeColor="text2"/>
          <w:sz w:val="28"/>
          <w:szCs w:val="28"/>
        </w:rPr>
        <w:t>Fraxinus excelsior</w:t>
      </w:r>
      <w:r w:rsidRPr="00EC3027">
        <w:rPr>
          <w:rFonts w:ascii="Times New Roman" w:hAnsi="Times New Roman"/>
          <w:color w:val="1F497D" w:themeColor="text2"/>
          <w:sz w:val="28"/>
          <w:szCs w:val="28"/>
        </w:rPr>
        <w:t xml:space="preserve"> (Alno-Padion, Alnion incanae, Salicion albae)</w:t>
      </w:r>
      <w:bookmarkEnd w:id="7"/>
    </w:p>
    <w:p w:rsidR="00E8367B" w:rsidRPr="00E8367B" w:rsidRDefault="00E8367B" w:rsidP="00077290">
      <w:pPr>
        <w:rPr>
          <w:rFonts w:ascii="Times New Roman" w:hAnsi="Times New Roman"/>
          <w:bCs/>
          <w:sz w:val="24"/>
          <w:szCs w:val="24"/>
          <w:lang w:eastAsia="bg-BG"/>
        </w:rPr>
      </w:pPr>
      <w:r w:rsidRPr="00E8367B">
        <w:rPr>
          <w:rFonts w:ascii="Times New Roman" w:hAnsi="Times New Roman"/>
          <w:b/>
          <w:bCs/>
          <w:sz w:val="24"/>
          <w:szCs w:val="24"/>
          <w:lang w:eastAsia="bg-BG"/>
        </w:rPr>
        <w:t>1. Код и наименование на типа местообитание:</w:t>
      </w:r>
      <w:r w:rsidRPr="00E8367B">
        <w:rPr>
          <w:rFonts w:ascii="Times New Roman" w:hAnsi="Times New Roman"/>
          <w:bCs/>
          <w:sz w:val="24"/>
          <w:szCs w:val="24"/>
          <w:lang w:eastAsia="bg-BG"/>
        </w:rPr>
        <w:t xml:space="preserve"> 91E0</w:t>
      </w:r>
      <w:r>
        <w:rPr>
          <w:rFonts w:ascii="Times New Roman" w:hAnsi="Times New Roman"/>
          <w:bCs/>
          <w:sz w:val="24"/>
          <w:szCs w:val="24"/>
          <w:lang w:eastAsia="bg-BG"/>
        </w:rPr>
        <w:t xml:space="preserve"> </w:t>
      </w:r>
      <w:r w:rsidRPr="00E8367B">
        <w:rPr>
          <w:rFonts w:ascii="Times New Roman" w:hAnsi="Times New Roman"/>
          <w:bCs/>
          <w:sz w:val="24"/>
          <w:szCs w:val="24"/>
          <w:lang w:eastAsia="bg-BG"/>
        </w:rPr>
        <w:t xml:space="preserve">*Алувиални гори с </w:t>
      </w:r>
      <w:r w:rsidRPr="00E8367B">
        <w:rPr>
          <w:rFonts w:ascii="Times New Roman" w:hAnsi="Times New Roman"/>
          <w:bCs/>
          <w:i/>
          <w:sz w:val="24"/>
          <w:szCs w:val="24"/>
          <w:lang w:eastAsia="bg-BG"/>
        </w:rPr>
        <w:t>Alnus glutinosa и Fraxinus excelsior (Alno-Padion, Alnion incanae, Salicion albae)</w:t>
      </w:r>
    </w:p>
    <w:p w:rsidR="00E8367B" w:rsidRPr="00E8367B" w:rsidRDefault="00E8367B" w:rsidP="00077290">
      <w:pPr>
        <w:spacing w:before="120" w:after="0" w:line="240" w:lineRule="auto"/>
        <w:rPr>
          <w:rFonts w:ascii="Times New Roman" w:hAnsi="Times New Roman"/>
          <w:bCs/>
          <w:sz w:val="24"/>
          <w:szCs w:val="24"/>
          <w:lang w:eastAsia="bg-BG"/>
        </w:rPr>
      </w:pPr>
      <w:r w:rsidRPr="00E8367B">
        <w:rPr>
          <w:rFonts w:ascii="Times New Roman" w:hAnsi="Times New Roman"/>
          <w:b/>
          <w:bCs/>
          <w:sz w:val="24"/>
          <w:szCs w:val="24"/>
          <w:lang w:eastAsia="bg-BG"/>
        </w:rPr>
        <w:t>2. Кратка характеристика на целевия обект</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В това местообитание се включват крайречни гори, с участие поне 4 десети на видове от род </w:t>
      </w:r>
      <w:r w:rsidRPr="00E8367B">
        <w:rPr>
          <w:rFonts w:ascii="Times New Roman" w:hAnsi="Times New Roman"/>
          <w:bCs/>
          <w:i/>
          <w:sz w:val="24"/>
          <w:szCs w:val="24"/>
          <w:lang w:val="en-US" w:eastAsia="bg-BG"/>
        </w:rPr>
        <w:t>Alnus</w:t>
      </w:r>
      <w:r w:rsidRPr="00E8367B">
        <w:rPr>
          <w:rFonts w:ascii="Times New Roman" w:hAnsi="Times New Roman"/>
          <w:bCs/>
          <w:sz w:val="24"/>
          <w:szCs w:val="24"/>
          <w:lang w:val="ru-RU" w:eastAsia="bg-BG"/>
        </w:rPr>
        <w:t>,</w:t>
      </w:r>
      <w:r w:rsidRPr="00E8367B">
        <w:rPr>
          <w:rFonts w:ascii="Times New Roman" w:hAnsi="Times New Roman"/>
          <w:bCs/>
          <w:i/>
          <w:sz w:val="24"/>
          <w:szCs w:val="24"/>
          <w:lang w:val="ru-RU" w:eastAsia="bg-BG"/>
        </w:rPr>
        <w:t xml:space="preserve"> </w:t>
      </w:r>
      <w:r w:rsidRPr="00E8367B">
        <w:rPr>
          <w:rFonts w:ascii="Times New Roman" w:hAnsi="Times New Roman"/>
          <w:bCs/>
          <w:i/>
          <w:sz w:val="24"/>
          <w:szCs w:val="24"/>
          <w:lang w:eastAsia="bg-BG"/>
        </w:rPr>
        <w:t>Populus</w:t>
      </w:r>
      <w:r w:rsidRPr="00E8367B">
        <w:rPr>
          <w:rFonts w:ascii="Times New Roman" w:hAnsi="Times New Roman"/>
          <w:bCs/>
          <w:sz w:val="24"/>
          <w:szCs w:val="24"/>
          <w:lang w:eastAsia="bg-BG"/>
        </w:rPr>
        <w:t>,</w:t>
      </w:r>
      <w:r w:rsidRPr="00E8367B">
        <w:rPr>
          <w:rFonts w:ascii="Times New Roman" w:hAnsi="Times New Roman"/>
          <w:bCs/>
          <w:i/>
          <w:sz w:val="24"/>
          <w:szCs w:val="24"/>
          <w:lang w:eastAsia="bg-BG"/>
        </w:rPr>
        <w:t xml:space="preserve"> Salix </w:t>
      </w:r>
      <w:r w:rsidRPr="00E8367B">
        <w:rPr>
          <w:rFonts w:ascii="Times New Roman" w:hAnsi="Times New Roman"/>
          <w:bCs/>
          <w:iCs/>
          <w:sz w:val="24"/>
          <w:szCs w:val="24"/>
          <w:lang w:eastAsia="bg-BG"/>
        </w:rPr>
        <w:t>и</w:t>
      </w:r>
      <w:r w:rsidRPr="00E8367B">
        <w:rPr>
          <w:rFonts w:ascii="Times New Roman" w:hAnsi="Times New Roman"/>
          <w:bCs/>
          <w:i/>
          <w:sz w:val="24"/>
          <w:szCs w:val="24"/>
          <w:lang w:eastAsia="bg-BG"/>
        </w:rPr>
        <w:t xml:space="preserve"> Fraxinus</w:t>
      </w:r>
      <w:r w:rsidRPr="00E8367B">
        <w:rPr>
          <w:rFonts w:ascii="Times New Roman" w:hAnsi="Times New Roman"/>
          <w:bCs/>
          <w:sz w:val="24"/>
          <w:szCs w:val="24"/>
          <w:lang w:eastAsia="bg-BG"/>
        </w:rPr>
        <w:t xml:space="preserve">. Промишлените горски култури от хибридни тополи не се включват в местообитанието. Насажденията се развиват на богати почви, периодично заливани от реките. Разграничават се три подтипа: Монодоминантни гори на </w:t>
      </w:r>
      <w:r w:rsidRPr="00E8367B">
        <w:rPr>
          <w:rFonts w:ascii="Times New Roman" w:hAnsi="Times New Roman"/>
          <w:bCs/>
          <w:i/>
          <w:sz w:val="24"/>
          <w:szCs w:val="24"/>
          <w:lang w:eastAsia="bg-BG"/>
        </w:rPr>
        <w:t>Alnus glutinosa</w:t>
      </w:r>
      <w:r w:rsidRPr="00E8367B">
        <w:rPr>
          <w:rFonts w:ascii="Times New Roman" w:hAnsi="Times New Roman"/>
          <w:bCs/>
          <w:sz w:val="24"/>
          <w:szCs w:val="24"/>
          <w:lang w:eastAsia="bg-BG"/>
        </w:rPr>
        <w:t xml:space="preserve"> с единично участие на </w:t>
      </w:r>
      <w:r w:rsidRPr="00E8367B">
        <w:rPr>
          <w:rFonts w:ascii="Times New Roman" w:hAnsi="Times New Roman"/>
          <w:bCs/>
          <w:i/>
          <w:sz w:val="24"/>
          <w:szCs w:val="24"/>
          <w:lang w:eastAsia="bg-BG"/>
        </w:rPr>
        <w:t xml:space="preserve">Fraxinus </w:t>
      </w:r>
      <w:r w:rsidRPr="00E8367B">
        <w:rPr>
          <w:rFonts w:ascii="Times New Roman" w:hAnsi="Times New Roman"/>
          <w:bCs/>
          <w:i/>
          <w:sz w:val="24"/>
          <w:szCs w:val="24"/>
          <w:lang w:val="en-US" w:eastAsia="bg-BG"/>
        </w:rPr>
        <w:t>excelsior</w:t>
      </w:r>
      <w:r w:rsidRPr="00E8367B">
        <w:rPr>
          <w:rFonts w:ascii="Times New Roman" w:hAnsi="Times New Roman"/>
          <w:bCs/>
          <w:sz w:val="24"/>
          <w:szCs w:val="24"/>
          <w:lang w:eastAsia="bg-BG"/>
        </w:rPr>
        <w:t xml:space="preserve"> (съюз </w:t>
      </w:r>
      <w:r w:rsidRPr="00E8367B">
        <w:rPr>
          <w:rFonts w:ascii="Times New Roman" w:hAnsi="Times New Roman"/>
          <w:bCs/>
          <w:i/>
          <w:sz w:val="24"/>
          <w:szCs w:val="24"/>
          <w:lang w:eastAsia="bg-BG"/>
        </w:rPr>
        <w:t>Alno-Padion</w:t>
      </w:r>
      <w:r w:rsidRPr="00E8367B">
        <w:rPr>
          <w:rFonts w:ascii="Times New Roman" w:hAnsi="Times New Roman"/>
          <w:bCs/>
          <w:sz w:val="24"/>
          <w:szCs w:val="24"/>
          <w:lang w:eastAsia="bg-BG"/>
        </w:rPr>
        <w:t xml:space="preserve">) в долните течения на реките; Крайречни съобщества на </w:t>
      </w:r>
      <w:r w:rsidRPr="00E8367B">
        <w:rPr>
          <w:rFonts w:ascii="Times New Roman" w:hAnsi="Times New Roman"/>
          <w:bCs/>
          <w:i/>
          <w:sz w:val="24"/>
          <w:szCs w:val="24"/>
          <w:lang w:eastAsia="bg-BG"/>
        </w:rPr>
        <w:t>Alnus glutinosa</w:t>
      </w:r>
      <w:r w:rsidRPr="00E8367B">
        <w:rPr>
          <w:rFonts w:ascii="Times New Roman" w:hAnsi="Times New Roman"/>
          <w:bCs/>
          <w:sz w:val="24"/>
          <w:szCs w:val="24"/>
          <w:lang w:eastAsia="bg-BG"/>
        </w:rPr>
        <w:t xml:space="preserve"> и/или </w:t>
      </w:r>
      <w:r w:rsidRPr="00E8367B">
        <w:rPr>
          <w:rFonts w:ascii="Times New Roman" w:hAnsi="Times New Roman"/>
          <w:bCs/>
          <w:i/>
          <w:sz w:val="24"/>
          <w:szCs w:val="24"/>
          <w:lang w:eastAsia="bg-BG"/>
        </w:rPr>
        <w:t>Alnus incana</w:t>
      </w:r>
      <w:r w:rsidRPr="00E8367B">
        <w:rPr>
          <w:rFonts w:ascii="Times New Roman" w:hAnsi="Times New Roman"/>
          <w:bCs/>
          <w:sz w:val="24"/>
          <w:szCs w:val="24"/>
          <w:lang w:eastAsia="bg-BG"/>
        </w:rPr>
        <w:t xml:space="preserve"> в горните и средните течения на реките (</w:t>
      </w:r>
      <w:r w:rsidRPr="00E8367B">
        <w:rPr>
          <w:rFonts w:ascii="Times New Roman" w:hAnsi="Times New Roman"/>
          <w:bCs/>
          <w:i/>
          <w:sz w:val="24"/>
          <w:szCs w:val="24"/>
          <w:lang w:eastAsia="bg-BG"/>
        </w:rPr>
        <w:t>Alnion incanae</w:t>
      </w:r>
      <w:r w:rsidRPr="00E8367B">
        <w:rPr>
          <w:rFonts w:ascii="Times New Roman" w:hAnsi="Times New Roman"/>
          <w:bCs/>
          <w:sz w:val="24"/>
          <w:szCs w:val="24"/>
          <w:lang w:eastAsia="bg-BG"/>
        </w:rPr>
        <w:t xml:space="preserve">) и Крайречни, заливни гори или галерии, доминирани основно от </w:t>
      </w:r>
      <w:r w:rsidRPr="00E8367B">
        <w:rPr>
          <w:rFonts w:ascii="Times New Roman" w:hAnsi="Times New Roman"/>
          <w:bCs/>
          <w:i/>
          <w:sz w:val="24"/>
          <w:szCs w:val="24"/>
          <w:lang w:eastAsia="bg-BG"/>
        </w:rPr>
        <w:t>Salix alba, Populus alba</w:t>
      </w:r>
      <w:r w:rsidRPr="00E8367B">
        <w:rPr>
          <w:rFonts w:ascii="Times New Roman" w:hAnsi="Times New Roman"/>
          <w:bCs/>
          <w:sz w:val="24"/>
          <w:szCs w:val="24"/>
          <w:lang w:eastAsia="bg-BG"/>
        </w:rPr>
        <w:t xml:space="preserve"> и </w:t>
      </w:r>
      <w:r w:rsidRPr="00E8367B">
        <w:rPr>
          <w:rFonts w:ascii="Times New Roman" w:hAnsi="Times New Roman"/>
          <w:bCs/>
          <w:i/>
          <w:sz w:val="24"/>
          <w:szCs w:val="24"/>
          <w:lang w:eastAsia="bg-BG"/>
        </w:rPr>
        <w:t>Populus nigra</w:t>
      </w:r>
      <w:r w:rsidRPr="00E8367B">
        <w:rPr>
          <w:rFonts w:ascii="Times New Roman" w:hAnsi="Times New Roman"/>
          <w:bCs/>
          <w:sz w:val="24"/>
          <w:szCs w:val="24"/>
          <w:lang w:eastAsia="bg-BG"/>
        </w:rPr>
        <w:t xml:space="preserve"> (</w:t>
      </w:r>
      <w:r w:rsidRPr="00E8367B">
        <w:rPr>
          <w:rFonts w:ascii="Times New Roman" w:hAnsi="Times New Roman"/>
          <w:bCs/>
          <w:i/>
          <w:sz w:val="24"/>
          <w:szCs w:val="24"/>
          <w:lang w:eastAsia="bg-BG"/>
        </w:rPr>
        <w:t>Salicion albae</w:t>
      </w:r>
      <w:r w:rsidRPr="00E8367B">
        <w:rPr>
          <w:rFonts w:ascii="Times New Roman" w:hAnsi="Times New Roman"/>
          <w:bCs/>
          <w:sz w:val="24"/>
          <w:szCs w:val="24"/>
          <w:lang w:eastAsia="bg-BG"/>
        </w:rPr>
        <w:t>). В защитената зона е разпространен последният подтип. Видовият състав е богат, като включва както влаголюбиви крайречни растения, така и видове, характерни за зоналната растителност, в която са разположени съобществата. Местообитанието е приоритетно за опазване, съгласно Директивата за местообитанията.</w:t>
      </w:r>
    </w:p>
    <w:p w:rsidR="00E8367B" w:rsidRPr="00077290" w:rsidRDefault="00E8367B" w:rsidP="00077290">
      <w:pPr>
        <w:spacing w:before="120"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lastRenderedPageBreak/>
        <w:t>3. Състояние на биогеографско н</w:t>
      </w:r>
      <w:r>
        <w:rPr>
          <w:rFonts w:ascii="Times New Roman" w:hAnsi="Times New Roman"/>
          <w:b/>
          <w:bCs/>
          <w:sz w:val="24"/>
          <w:szCs w:val="24"/>
          <w:lang w:eastAsia="bg-BG"/>
        </w:rPr>
        <w:t>иво и разпространение в мрежата</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Съгласно картирането извършено през периода 2011–2013 година, местообитание 91Е0 е разпространено в Алпийския, Черноморския и Континенталния биогеографски </w:t>
      </w:r>
      <w:r w:rsidR="00EC3027">
        <w:rPr>
          <w:rFonts w:ascii="Times New Roman" w:hAnsi="Times New Roman"/>
          <w:bCs/>
          <w:sz w:val="24"/>
          <w:szCs w:val="24"/>
          <w:lang w:eastAsia="bg-BG"/>
        </w:rPr>
        <w:t>региони</w:t>
      </w:r>
      <w:r w:rsidRPr="00E8367B">
        <w:rPr>
          <w:rFonts w:ascii="Times New Roman" w:hAnsi="Times New Roman"/>
          <w:bCs/>
          <w:sz w:val="24"/>
          <w:szCs w:val="24"/>
          <w:lang w:eastAsia="bg-BG"/>
        </w:rPr>
        <w:t>. При до</w:t>
      </w:r>
      <w:r w:rsidRPr="00077290">
        <w:rPr>
          <w:rFonts w:ascii="Times New Roman" w:hAnsi="Times New Roman"/>
          <w:bCs/>
          <w:i/>
          <w:sz w:val="24"/>
          <w:szCs w:val="24"/>
          <w:lang w:eastAsia="bg-BG"/>
        </w:rPr>
        <w:t>к</w:t>
      </w:r>
      <w:r w:rsidRPr="00E8367B">
        <w:rPr>
          <w:rFonts w:ascii="Times New Roman" w:hAnsi="Times New Roman"/>
          <w:bCs/>
          <w:sz w:val="24"/>
          <w:szCs w:val="24"/>
          <w:lang w:eastAsia="bg-BG"/>
        </w:rPr>
        <w:t xml:space="preserve">ладването, съгласно чл. 17 от Директивата за местообитанията през 2019 г., природното местообитание е посочено в благоприятно състояние по отношение на Площ на разпространение, Площ, покрита от местообитанието и Структура и функции в Континенталния и Черноморския биогеографски </w:t>
      </w:r>
      <w:r w:rsidR="00EC3027">
        <w:rPr>
          <w:rFonts w:ascii="Times New Roman" w:hAnsi="Times New Roman"/>
          <w:bCs/>
          <w:sz w:val="24"/>
          <w:szCs w:val="24"/>
          <w:lang w:eastAsia="bg-BG"/>
        </w:rPr>
        <w:t>региони</w:t>
      </w:r>
      <w:r w:rsidRPr="00E8367B">
        <w:rPr>
          <w:rFonts w:ascii="Times New Roman" w:hAnsi="Times New Roman"/>
          <w:bCs/>
          <w:sz w:val="24"/>
          <w:szCs w:val="24"/>
          <w:lang w:eastAsia="bg-BG"/>
        </w:rPr>
        <w:t xml:space="preserve">. По отношение на Алпийския биогеографски </w:t>
      </w:r>
      <w:r>
        <w:rPr>
          <w:rFonts w:ascii="Times New Roman" w:hAnsi="Times New Roman"/>
          <w:bCs/>
          <w:sz w:val="24"/>
          <w:szCs w:val="24"/>
          <w:lang w:eastAsia="bg-BG"/>
        </w:rPr>
        <w:t>регион</w:t>
      </w:r>
      <w:r w:rsidRPr="00E8367B">
        <w:rPr>
          <w:rFonts w:ascii="Times New Roman" w:hAnsi="Times New Roman"/>
          <w:bCs/>
          <w:sz w:val="24"/>
          <w:szCs w:val="24"/>
          <w:lang w:eastAsia="bg-BG"/>
        </w:rPr>
        <w:t xml:space="preserve"> е посочено благоприятно състояние по отношение на Площ на разпространение и Структура и функции, като за Площ, покрита от местообитанието е посочено, че липсва информация. Тъй като при докладването през 2019 година са посочени някои влияния и заплахи, които оказват съществено влияние върху структурата и функциите на местообитанието в Алпийския, Черноморския и Континенталния биогеографски </w:t>
      </w:r>
      <w:r>
        <w:rPr>
          <w:rFonts w:ascii="Times New Roman" w:hAnsi="Times New Roman"/>
          <w:bCs/>
          <w:sz w:val="24"/>
          <w:szCs w:val="24"/>
          <w:lang w:eastAsia="bg-BG"/>
        </w:rPr>
        <w:t>региони</w:t>
      </w:r>
      <w:r w:rsidRPr="00E8367B">
        <w:rPr>
          <w:rFonts w:ascii="Times New Roman" w:hAnsi="Times New Roman"/>
          <w:bCs/>
          <w:sz w:val="24"/>
          <w:szCs w:val="24"/>
          <w:lang w:eastAsia="bg-BG"/>
        </w:rPr>
        <w:t>, то има достатъчно основания, неблагоприятно-незадоволителната оценката на състоянието по критерий „Структура и функции“ от 2013 година да се счита все още за валидна. Най-значителните влияния и заплахи са „Почистване на речните корита“ и „Промяна на водния режим“. Други влияния и заплахи, които са от значение са „Залесяване с екзоти, неместни видове и хибриди“, „Естествени сукцесионни изменения“ и „Присъствие на инвазивни видове“.</w:t>
      </w:r>
    </w:p>
    <w:p w:rsidR="00E8367B" w:rsidRPr="00E8367B" w:rsidRDefault="00E8367B" w:rsidP="00077290">
      <w:pPr>
        <w:spacing w:before="120"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4. С</w:t>
      </w:r>
      <w:r w:rsidR="00077290">
        <w:rPr>
          <w:rFonts w:ascii="Times New Roman" w:hAnsi="Times New Roman"/>
          <w:b/>
          <w:bCs/>
          <w:sz w:val="24"/>
          <w:szCs w:val="24"/>
          <w:lang w:eastAsia="bg-BG"/>
        </w:rPr>
        <w:t>ъстояние на ниво защитена зона</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Съгласно Стандартния формуляр (последно актуализиран през Декември 2018), състоянието на местообитанието в защитената зона е както следва:</w:t>
      </w:r>
    </w:p>
    <w:p w:rsidR="00E8367B" w:rsidRPr="00E8367B" w:rsidRDefault="00E8367B" w:rsidP="00077290">
      <w:pPr>
        <w:rPr>
          <w:rFonts w:ascii="Times New Roman" w:hAnsi="Times New Roman"/>
          <w:bCs/>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785"/>
        <w:gridCol w:w="834"/>
        <w:gridCol w:w="1097"/>
        <w:gridCol w:w="1905"/>
        <w:gridCol w:w="763"/>
        <w:gridCol w:w="1295"/>
        <w:gridCol w:w="869"/>
      </w:tblGrid>
      <w:tr w:rsidR="00E8367B" w:rsidRPr="00482F18" w:rsidTr="00E8367B">
        <w:trPr>
          <w:cantSplit/>
          <w:trHeight w:val="823"/>
          <w:tblHeader/>
          <w:jc w:val="center"/>
        </w:trPr>
        <w:tc>
          <w:tcPr>
            <w:tcW w:w="12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Код</w:t>
            </w:r>
          </w:p>
        </w:tc>
        <w:tc>
          <w:tcPr>
            <w:tcW w:w="33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Местообитание</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Площ</w:t>
            </w:r>
          </w:p>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(ха)</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val="en-US" w:eastAsia="bg-BG"/>
              </w:rPr>
            </w:pPr>
            <w:r w:rsidRPr="00482F18">
              <w:rPr>
                <w:rFonts w:ascii="Times New Roman" w:hAnsi="Times New Roman"/>
                <w:b/>
                <w:bCs/>
                <w:sz w:val="20"/>
                <w:szCs w:val="20"/>
                <w:lang w:eastAsia="bg-BG"/>
              </w:rPr>
              <w:t>Качество на данните</w:t>
            </w:r>
          </w:p>
        </w:tc>
        <w:tc>
          <w:tcPr>
            <w:tcW w:w="208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val="en-US" w:eastAsia="bg-BG"/>
              </w:rPr>
            </w:pPr>
            <w:r w:rsidRPr="00482F18">
              <w:rPr>
                <w:rFonts w:ascii="Times New Roman" w:hAnsi="Times New Roman"/>
                <w:b/>
                <w:bCs/>
                <w:sz w:val="20"/>
                <w:szCs w:val="20"/>
                <w:lang w:eastAsia="bg-BG"/>
              </w:rPr>
              <w:t>Представителност</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val="en-US" w:eastAsia="bg-BG"/>
              </w:rPr>
            </w:pPr>
            <w:r w:rsidRPr="00482F18">
              <w:rPr>
                <w:rFonts w:ascii="Times New Roman" w:hAnsi="Times New Roman"/>
                <w:b/>
                <w:bCs/>
                <w:sz w:val="20"/>
                <w:szCs w:val="20"/>
                <w:lang w:eastAsia="bg-BG"/>
              </w:rPr>
              <w:t>Площ</w:t>
            </w:r>
          </w:p>
        </w:tc>
        <w:tc>
          <w:tcPr>
            <w:tcW w:w="16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val="en-US" w:eastAsia="bg-BG"/>
              </w:rPr>
            </w:pPr>
            <w:r w:rsidRPr="00482F18">
              <w:rPr>
                <w:rFonts w:ascii="Times New Roman" w:hAnsi="Times New Roman"/>
                <w:b/>
                <w:bCs/>
                <w:sz w:val="20"/>
                <w:szCs w:val="20"/>
                <w:lang w:eastAsia="bg-BG"/>
              </w:rPr>
              <w:t>Степен на съхранение</w:t>
            </w:r>
          </w:p>
        </w:tc>
        <w:tc>
          <w:tcPr>
            <w:tcW w:w="10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val="en-US" w:eastAsia="bg-BG"/>
              </w:rPr>
            </w:pPr>
            <w:r w:rsidRPr="00482F18">
              <w:rPr>
                <w:rFonts w:ascii="Times New Roman" w:hAnsi="Times New Roman"/>
                <w:b/>
                <w:bCs/>
                <w:sz w:val="20"/>
                <w:szCs w:val="20"/>
                <w:lang w:eastAsia="bg-BG"/>
              </w:rPr>
              <w:t>Обща оценка</w:t>
            </w:r>
          </w:p>
        </w:tc>
      </w:tr>
      <w:tr w:rsidR="00E8367B" w:rsidRPr="00E8367B" w:rsidTr="00E8367B">
        <w:trPr>
          <w:jc w:val="center"/>
        </w:trPr>
        <w:tc>
          <w:tcPr>
            <w:tcW w:w="1270"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91Е0</w:t>
            </w:r>
          </w:p>
        </w:tc>
        <w:tc>
          <w:tcPr>
            <w:tcW w:w="3340" w:type="dxa"/>
            <w:tcBorders>
              <w:top w:val="single" w:sz="4" w:space="0" w:color="auto"/>
              <w:left w:val="single" w:sz="4" w:space="0" w:color="auto"/>
              <w:bottom w:val="single" w:sz="4" w:space="0" w:color="auto"/>
              <w:right w:val="single" w:sz="4" w:space="0" w:color="auto"/>
            </w:tcBorders>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Алувиални гори с </w:t>
            </w:r>
            <w:r w:rsidRPr="00E8367B">
              <w:rPr>
                <w:rFonts w:ascii="Times New Roman" w:hAnsi="Times New Roman"/>
                <w:bCs/>
                <w:i/>
                <w:lang w:eastAsia="bg-BG"/>
              </w:rPr>
              <w:t>Alnus glutinosa</w:t>
            </w:r>
            <w:r w:rsidRPr="00E8367B">
              <w:rPr>
                <w:rFonts w:ascii="Times New Roman" w:hAnsi="Times New Roman"/>
                <w:bCs/>
                <w:lang w:eastAsia="bg-BG"/>
              </w:rPr>
              <w:t xml:space="preserve"> и </w:t>
            </w:r>
            <w:r w:rsidRPr="00E8367B">
              <w:rPr>
                <w:rFonts w:ascii="Times New Roman" w:hAnsi="Times New Roman"/>
                <w:bCs/>
                <w:i/>
                <w:lang w:eastAsia="bg-BG"/>
              </w:rPr>
              <w:t>Fraxinus excelsior</w:t>
            </w:r>
            <w:r w:rsidRPr="00E8367B">
              <w:rPr>
                <w:rFonts w:ascii="Times New Roman" w:hAnsi="Times New Roman"/>
                <w:bCs/>
                <w:lang w:eastAsia="bg-BG"/>
              </w:rPr>
              <w:t xml:space="preserve"> (</w:t>
            </w:r>
            <w:r w:rsidRPr="00E8367B">
              <w:rPr>
                <w:rFonts w:ascii="Times New Roman" w:hAnsi="Times New Roman"/>
                <w:bCs/>
                <w:i/>
                <w:lang w:eastAsia="bg-BG"/>
              </w:rPr>
              <w:t>Alno-Padion</w:t>
            </w:r>
            <w:r w:rsidRPr="00E8367B">
              <w:rPr>
                <w:rFonts w:ascii="Times New Roman" w:hAnsi="Times New Roman"/>
                <w:bCs/>
                <w:lang w:eastAsia="bg-BG"/>
              </w:rPr>
              <w:t xml:space="preserve">, </w:t>
            </w:r>
            <w:r w:rsidRPr="00E8367B">
              <w:rPr>
                <w:rFonts w:ascii="Times New Roman" w:hAnsi="Times New Roman"/>
                <w:bCs/>
                <w:i/>
                <w:lang w:eastAsia="bg-BG"/>
              </w:rPr>
              <w:t>Alnion incanae</w:t>
            </w:r>
            <w:r w:rsidRPr="00E8367B">
              <w:rPr>
                <w:rFonts w:ascii="Times New Roman" w:hAnsi="Times New Roman"/>
                <w:bCs/>
                <w:lang w:eastAsia="bg-BG"/>
              </w:rPr>
              <w:t xml:space="preserve">, </w:t>
            </w:r>
            <w:r w:rsidRPr="00E8367B">
              <w:rPr>
                <w:rFonts w:ascii="Times New Roman" w:hAnsi="Times New Roman"/>
                <w:bCs/>
                <w:i/>
                <w:lang w:eastAsia="bg-BG"/>
              </w:rPr>
              <w:t>Salicion albae</w:t>
            </w:r>
            <w:r w:rsidRPr="00E8367B">
              <w:rPr>
                <w:rFonts w:ascii="Times New Roman" w:hAnsi="Times New Roman"/>
                <w:bCs/>
                <w:lang w:eastAsia="bg-BG"/>
              </w:rPr>
              <w:t>)</w:t>
            </w:r>
          </w:p>
        </w:tc>
        <w:tc>
          <w:tcPr>
            <w:tcW w:w="1454"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44.48 </w:t>
            </w:r>
          </w:p>
        </w:tc>
        <w:tc>
          <w:tcPr>
            <w:tcW w:w="1454"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М</w:t>
            </w:r>
          </w:p>
        </w:tc>
        <w:tc>
          <w:tcPr>
            <w:tcW w:w="2089"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c>
          <w:tcPr>
            <w:tcW w:w="851"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w:t>
            </w:r>
          </w:p>
        </w:tc>
        <w:tc>
          <w:tcPr>
            <w:tcW w:w="1654"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c>
          <w:tcPr>
            <w:tcW w:w="1028"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r>
    </w:tbl>
    <w:p w:rsidR="00E8367B" w:rsidRPr="00E8367B" w:rsidRDefault="00E8367B" w:rsidP="00077290">
      <w:pPr>
        <w:rPr>
          <w:rFonts w:ascii="Times New Roman" w:hAnsi="Times New Roman"/>
          <w:bCs/>
          <w:sz w:val="24"/>
          <w:szCs w:val="24"/>
          <w:lang w:eastAsia="bg-BG"/>
        </w:rPr>
      </w:pP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Качеството на данните е оценено като </w:t>
      </w:r>
      <w:r w:rsidRPr="00E8367B">
        <w:rPr>
          <w:rFonts w:ascii="Times New Roman" w:hAnsi="Times New Roman"/>
          <w:bCs/>
          <w:sz w:val="24"/>
          <w:szCs w:val="24"/>
          <w:lang w:val="en-US" w:eastAsia="bg-BG"/>
        </w:rPr>
        <w:t>M</w:t>
      </w:r>
      <w:r w:rsidRPr="00E8367B">
        <w:rPr>
          <w:rFonts w:ascii="Times New Roman" w:hAnsi="Times New Roman"/>
          <w:bCs/>
          <w:sz w:val="24"/>
          <w:szCs w:val="24"/>
          <w:lang w:eastAsia="bg-BG"/>
        </w:rPr>
        <w:t xml:space="preserve"> или средно, което означава че определянето на състоянието на местообитанието се основава на частични данни с някои екстраполации. Представителността е </w:t>
      </w:r>
      <w:r w:rsidRPr="00E8367B">
        <w:rPr>
          <w:rFonts w:ascii="Times New Roman" w:hAnsi="Times New Roman"/>
          <w:bCs/>
          <w:sz w:val="24"/>
          <w:szCs w:val="24"/>
          <w:lang w:val="en-US" w:eastAsia="bg-BG"/>
        </w:rPr>
        <w:t>B</w:t>
      </w:r>
      <w:r w:rsidRPr="00E8367B">
        <w:rPr>
          <w:rFonts w:ascii="Times New Roman" w:hAnsi="Times New Roman"/>
          <w:bCs/>
          <w:sz w:val="24"/>
          <w:szCs w:val="24"/>
          <w:lang w:eastAsia="bg-BG"/>
        </w:rPr>
        <w:t xml:space="preserve"> или добра, като местообитанието е типично за защитената зона и неговото опазване е важно при нейното управление. Оценката за площ е </w:t>
      </w:r>
      <w:r w:rsidRPr="00E8367B">
        <w:rPr>
          <w:rFonts w:ascii="Times New Roman" w:hAnsi="Times New Roman"/>
          <w:bCs/>
          <w:sz w:val="24"/>
          <w:szCs w:val="24"/>
          <w:lang w:val="en-US" w:eastAsia="bg-BG"/>
        </w:rPr>
        <w:t>C</w:t>
      </w:r>
      <w:r w:rsidRPr="00E8367B">
        <w:rPr>
          <w:rFonts w:ascii="Times New Roman" w:hAnsi="Times New Roman"/>
          <w:bCs/>
          <w:sz w:val="24"/>
          <w:szCs w:val="24"/>
          <w:lang w:eastAsia="bg-BG"/>
        </w:rPr>
        <w:t xml:space="preserve">, като процентното съотношение (p) на площта на местообитанието в зоната, спрямо площта му в национален мащаб е 2% ≥ p &gt; 0%. Степента на съхранение е </w:t>
      </w:r>
      <w:r w:rsidRPr="00E8367B">
        <w:rPr>
          <w:rFonts w:ascii="Times New Roman" w:hAnsi="Times New Roman"/>
          <w:bCs/>
          <w:sz w:val="24"/>
          <w:szCs w:val="24"/>
          <w:lang w:val="en-US" w:eastAsia="bg-BG"/>
        </w:rPr>
        <w:t>B</w:t>
      </w:r>
      <w:r w:rsidRPr="00E8367B">
        <w:rPr>
          <w:rFonts w:ascii="Times New Roman" w:hAnsi="Times New Roman"/>
          <w:bCs/>
          <w:sz w:val="24"/>
          <w:szCs w:val="24"/>
          <w:lang w:eastAsia="bg-BG"/>
        </w:rPr>
        <w:t xml:space="preserve">, което определя местообитанието като такова с добро съхранение. Общата оценка е </w:t>
      </w:r>
      <w:r w:rsidRPr="00E8367B">
        <w:rPr>
          <w:rFonts w:ascii="Times New Roman" w:hAnsi="Times New Roman"/>
          <w:bCs/>
          <w:sz w:val="24"/>
          <w:szCs w:val="24"/>
          <w:lang w:val="en-US" w:eastAsia="bg-BG"/>
        </w:rPr>
        <w:t>B</w:t>
      </w:r>
      <w:r w:rsidRPr="00E8367B">
        <w:rPr>
          <w:rFonts w:ascii="Times New Roman" w:hAnsi="Times New Roman"/>
          <w:bCs/>
          <w:sz w:val="24"/>
          <w:szCs w:val="24"/>
          <w:lang w:eastAsia="bg-BG"/>
        </w:rPr>
        <w:t>.</w:t>
      </w:r>
    </w:p>
    <w:p w:rsidR="00E8367B" w:rsidRPr="00E8367B" w:rsidRDefault="00E8367B" w:rsidP="00077290">
      <w:pPr>
        <w:spacing w:before="120" w:after="0" w:line="240" w:lineRule="auto"/>
        <w:rPr>
          <w:rFonts w:ascii="Times New Roman" w:hAnsi="Times New Roman"/>
          <w:b/>
          <w:bCs/>
          <w:sz w:val="24"/>
          <w:szCs w:val="24"/>
          <w:lang w:eastAsia="bg-BG"/>
        </w:rPr>
      </w:pPr>
      <w:r>
        <w:rPr>
          <w:rFonts w:ascii="Times New Roman" w:hAnsi="Times New Roman"/>
          <w:b/>
          <w:bCs/>
          <w:sz w:val="24"/>
          <w:szCs w:val="24"/>
          <w:lang w:eastAsia="bg-BG"/>
        </w:rPr>
        <w:t xml:space="preserve">5. </w:t>
      </w:r>
      <w:r w:rsidRPr="00E8367B">
        <w:rPr>
          <w:rFonts w:ascii="Times New Roman" w:hAnsi="Times New Roman"/>
          <w:b/>
          <w:bCs/>
          <w:sz w:val="24"/>
          <w:szCs w:val="24"/>
          <w:lang w:eastAsia="bg-BG"/>
        </w:rPr>
        <w:t xml:space="preserve">Анализ на наличната информация  </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При изработката на настоящия документ е използвана информацията за разпространението и състоянието на местообитанието, предоставена в Информационната система за защитени зони от екологична мрежа Натура 2000, </w:t>
      </w:r>
      <w:r w:rsidRPr="00E8367B">
        <w:rPr>
          <w:rFonts w:ascii="Times New Roman" w:hAnsi="Times New Roman"/>
          <w:bCs/>
          <w:sz w:val="24"/>
          <w:szCs w:val="24"/>
          <w:lang w:eastAsia="bg-BG"/>
        </w:rPr>
        <w:lastRenderedPageBreak/>
        <w:t xml:space="preserve">Горската инвентаризация и Докладванията по член 17 от 2013 г. и 2019 г. Необходимо е да се отбележи, че полигоните на местообитанието не съвпадат пространствено с подотделите на горската инвентаризация. Поради тази причина, показателите на състоянието на местообитанието, налични в горската база данни не може да се използват директно, а само експертно, едновременно с оглед на ортофото изображения и след теренни проучвания. През 2021 година, беше извършено теренно проучване за актуализация на наличната информация на състоянието на местообитанието в зоната. Въз основа на анализ на данните от горската инвентаризация и на ортофото изображения, бяха избрани места за верификация на присъствие на местообитанието, както в полигони, където то вече е регистрирано, така и на потенциално нови места. Местата за верификация представляват кръг с радиус около 10 м. Наред с верификациите за присъствие беше извършена и експертна оценка, по протежение на обследваните полигони на показатели, които липсват в данните от горската инвентаризация, такива като Количество мъртва дървесина и Наличие на големи/биотопни дървета. </w:t>
      </w:r>
    </w:p>
    <w:p w:rsidR="00E8367B" w:rsidRPr="00E8367B" w:rsidRDefault="00E8367B" w:rsidP="00077290">
      <w:pPr>
        <w:spacing w:before="120" w:after="0" w:line="240" w:lineRule="auto"/>
        <w:rPr>
          <w:rFonts w:ascii="Times New Roman" w:hAnsi="Times New Roman"/>
          <w:bCs/>
          <w:sz w:val="24"/>
          <w:szCs w:val="24"/>
          <w:lang w:eastAsia="bg-BG"/>
        </w:rPr>
      </w:pPr>
      <w:r w:rsidRPr="00E8367B">
        <w:rPr>
          <w:rFonts w:ascii="Times New Roman" w:hAnsi="Times New Roman"/>
          <w:b/>
          <w:bCs/>
          <w:sz w:val="24"/>
          <w:szCs w:val="24"/>
          <w:lang w:eastAsia="bg-BG"/>
        </w:rPr>
        <w:t>6. Цели за подобряване/поддържане на природозащитното състояние на местообитанието в зоната</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Специфичните природозащитни цели за защитената зона са формулирани по показатели, в приложената таблица. Целевите стойности са съгласно Ръководството за оценка на благоприятно природозащитно състояние за типове природни местообитания и видове в Натура 2000 в България. Не може да се счита, че има подобряване на природозащитното състояние на местообитанието, при увеличаване на стойностите на показателите на структура и функции - важно е те да бъдат в посочения диапазон. </w:t>
      </w:r>
    </w:p>
    <w:p w:rsidR="00E8367B" w:rsidRPr="00E8367B" w:rsidRDefault="00E8367B" w:rsidP="00077290">
      <w:pPr>
        <w:rPr>
          <w:rFonts w:ascii="Times New Roman" w:hAnsi="Times New Roman"/>
          <w:bCs/>
          <w:sz w:val="24"/>
          <w:szCs w:val="24"/>
          <w:lang w:eastAsia="bg-BG"/>
        </w:rPr>
      </w:pPr>
    </w:p>
    <w:tbl>
      <w:tblPr>
        <w:tblW w:w="10307" w:type="dxa"/>
        <w:jc w:val="center"/>
        <w:tblInd w:w="1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7"/>
        <w:gridCol w:w="1276"/>
        <w:gridCol w:w="1317"/>
        <w:gridCol w:w="3686"/>
        <w:gridCol w:w="2551"/>
      </w:tblGrid>
      <w:tr w:rsidR="00E8367B" w:rsidRPr="00E8367B" w:rsidTr="00E8367B">
        <w:trPr>
          <w:tblHeader/>
          <w:jc w:val="center"/>
        </w:trPr>
        <w:tc>
          <w:tcPr>
            <w:tcW w:w="1477" w:type="dxa"/>
            <w:shd w:val="clear" w:color="auto" w:fill="DBE5F1" w:themeFill="accent1" w:themeFillTint="33"/>
            <w:vAlign w:val="center"/>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Показател</w:t>
            </w:r>
          </w:p>
        </w:tc>
        <w:tc>
          <w:tcPr>
            <w:tcW w:w="1276" w:type="dxa"/>
            <w:shd w:val="clear" w:color="auto" w:fill="DBE5F1" w:themeFill="accent1" w:themeFillTint="33"/>
            <w:vAlign w:val="center"/>
          </w:tcPr>
          <w:p w:rsidR="00E8367B" w:rsidRPr="00E8367B" w:rsidRDefault="00E8367B" w:rsidP="0031593F">
            <w:pPr>
              <w:rPr>
                <w:rFonts w:ascii="Times New Roman" w:hAnsi="Times New Roman"/>
                <w:b/>
                <w:bCs/>
                <w:lang w:eastAsia="bg-BG"/>
              </w:rPr>
            </w:pPr>
            <w:r w:rsidRPr="00E8367B">
              <w:rPr>
                <w:rFonts w:ascii="Times New Roman" w:hAnsi="Times New Roman"/>
                <w:b/>
                <w:bCs/>
                <w:lang w:eastAsia="bg-BG"/>
              </w:rPr>
              <w:t>Мерна единица</w:t>
            </w:r>
          </w:p>
        </w:tc>
        <w:tc>
          <w:tcPr>
            <w:tcW w:w="1317" w:type="dxa"/>
            <w:shd w:val="clear" w:color="auto" w:fill="DBE5F1" w:themeFill="accent1" w:themeFillTint="33"/>
            <w:vAlign w:val="center"/>
          </w:tcPr>
          <w:p w:rsidR="00E8367B" w:rsidRPr="00E8367B" w:rsidRDefault="00E8367B" w:rsidP="0031593F">
            <w:pPr>
              <w:rPr>
                <w:rFonts w:ascii="Times New Roman" w:hAnsi="Times New Roman"/>
                <w:b/>
                <w:bCs/>
                <w:lang w:eastAsia="bg-BG"/>
              </w:rPr>
            </w:pPr>
            <w:r w:rsidRPr="00E8367B">
              <w:rPr>
                <w:rFonts w:ascii="Times New Roman" w:hAnsi="Times New Roman"/>
                <w:b/>
                <w:bCs/>
                <w:lang w:eastAsia="bg-BG"/>
              </w:rPr>
              <w:t>Целева стойност</w:t>
            </w:r>
          </w:p>
        </w:tc>
        <w:tc>
          <w:tcPr>
            <w:tcW w:w="3686" w:type="dxa"/>
            <w:shd w:val="clear" w:color="auto" w:fill="DBE5F1" w:themeFill="accent1" w:themeFillTint="33"/>
            <w:vAlign w:val="center"/>
          </w:tcPr>
          <w:p w:rsidR="00E8367B" w:rsidRPr="00E8367B" w:rsidRDefault="00E8367B" w:rsidP="0031593F">
            <w:pPr>
              <w:rPr>
                <w:rFonts w:ascii="Times New Roman" w:hAnsi="Times New Roman"/>
                <w:b/>
                <w:bCs/>
                <w:lang w:eastAsia="bg-BG"/>
              </w:rPr>
            </w:pPr>
            <w:r w:rsidRPr="00E8367B">
              <w:rPr>
                <w:rFonts w:ascii="Times New Roman" w:hAnsi="Times New Roman"/>
                <w:b/>
                <w:bCs/>
                <w:lang w:eastAsia="bg-BG"/>
              </w:rPr>
              <w:t>Допълнителна информация</w:t>
            </w:r>
          </w:p>
        </w:tc>
        <w:tc>
          <w:tcPr>
            <w:tcW w:w="2551" w:type="dxa"/>
            <w:shd w:val="clear" w:color="auto" w:fill="DBE5F1" w:themeFill="accent1" w:themeFillTint="33"/>
          </w:tcPr>
          <w:p w:rsidR="00E8367B" w:rsidRPr="00E8367B" w:rsidRDefault="00E8367B" w:rsidP="0031593F">
            <w:pPr>
              <w:rPr>
                <w:rFonts w:ascii="Times New Roman" w:hAnsi="Times New Roman"/>
                <w:b/>
                <w:bCs/>
                <w:lang w:eastAsia="bg-BG"/>
              </w:rPr>
            </w:pPr>
            <w:r w:rsidRPr="00E8367B">
              <w:rPr>
                <w:rFonts w:ascii="Times New Roman" w:hAnsi="Times New Roman"/>
                <w:b/>
                <w:bCs/>
                <w:lang w:eastAsia="bg-BG"/>
              </w:rPr>
              <w:t>Специфични природозащитни цели за защитената зона</w:t>
            </w:r>
          </w:p>
        </w:tc>
      </w:tr>
      <w:tr w:rsidR="00E8367B" w:rsidRPr="00E8367B" w:rsidTr="00E8367B">
        <w:trPr>
          <w:jc w:val="center"/>
        </w:trPr>
        <w:tc>
          <w:tcPr>
            <w:tcW w:w="1477"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 xml:space="preserve">Площ </w:t>
            </w:r>
          </w:p>
        </w:tc>
        <w:tc>
          <w:tcPr>
            <w:tcW w:w="1276"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317"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Не може да се определи</w:t>
            </w:r>
          </w:p>
        </w:tc>
        <w:tc>
          <w:tcPr>
            <w:tcW w:w="3686"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Съгласно проект "Картиране и определяне на природозащитно състояние на природни местообитания и видове - фаза I", от 2013 г., площта на местообитанието в зоната е 44.48 ха. Същата площ е посочена и в актуалния стандартен формуляр. Площта, като показател, е подложена на естествени процеси, които е възможно да доведат до постепенна подмяна на местообитание 91Е0 с 91</w:t>
            </w:r>
            <w:r w:rsidRPr="00E8367B">
              <w:rPr>
                <w:rFonts w:ascii="Times New Roman" w:hAnsi="Times New Roman"/>
                <w:bCs/>
                <w:lang w:val="en-US" w:eastAsia="bg-BG"/>
              </w:rPr>
              <w:t>F</w:t>
            </w:r>
            <w:r w:rsidRPr="00E8367B">
              <w:rPr>
                <w:rFonts w:ascii="Times New Roman" w:hAnsi="Times New Roman"/>
                <w:bCs/>
                <w:lang w:val="ru-RU" w:eastAsia="bg-BG"/>
              </w:rPr>
              <w:t>0</w:t>
            </w:r>
            <w:r w:rsidRPr="00E8367B">
              <w:rPr>
                <w:rFonts w:ascii="Times New Roman" w:hAnsi="Times New Roman"/>
                <w:bCs/>
                <w:lang w:eastAsia="bg-BG"/>
              </w:rPr>
              <w:t>. При теренната работа в зоната през 2021 г., местообитанието се потвърди в повечето верифицирани полигони, където то е посочено като налично, според картирането от 2013 г. В 11 нови места на терен е установено наличие на местообитание 91Е</w:t>
            </w:r>
            <w:r w:rsidRPr="00E8367B">
              <w:rPr>
                <w:rFonts w:ascii="Times New Roman" w:hAnsi="Times New Roman"/>
                <w:bCs/>
                <w:lang w:val="ru-RU" w:eastAsia="bg-BG"/>
              </w:rPr>
              <w:t>0</w:t>
            </w:r>
            <w:r w:rsidRPr="00E8367B">
              <w:rPr>
                <w:rFonts w:ascii="Times New Roman" w:hAnsi="Times New Roman"/>
                <w:bCs/>
                <w:lang w:eastAsia="bg-BG"/>
              </w:rPr>
              <w:t xml:space="preserve">. Считаме, че реалната площ на местообитанието в зоната е по-голяма, от тази посочена в стандартния формуляр. </w:t>
            </w:r>
            <w:r w:rsidRPr="00E8367B">
              <w:rPr>
                <w:rFonts w:ascii="Times New Roman" w:hAnsi="Times New Roman"/>
                <w:bCs/>
                <w:lang w:eastAsia="bg-BG"/>
              </w:rPr>
              <w:lastRenderedPageBreak/>
              <w:t xml:space="preserve">Това не ни позволява да посочим конкретна целева стойност на показателя Площ, преди да бъде извършено ново, по-детайлно картиране на площите заети от местообитанието. </w:t>
            </w:r>
          </w:p>
        </w:tc>
        <w:tc>
          <w:tcPr>
            <w:tcW w:w="2551"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lastRenderedPageBreak/>
              <w:t xml:space="preserve">Междинни цели: да се разработи единна бъдеща схема за мониторинг на параметъра до 2025 година; да се осъществи картиране на местообитанието в защитената зона за прецизиране на площта му до 2025 г. </w:t>
            </w:r>
          </w:p>
          <w:p w:rsidR="00E8367B" w:rsidRPr="00E8367B" w:rsidRDefault="00E8367B" w:rsidP="00EC3027">
            <w:pPr>
              <w:spacing w:after="0" w:line="240" w:lineRule="auto"/>
              <w:rPr>
                <w:rFonts w:ascii="Times New Roman" w:hAnsi="Times New Roman"/>
                <w:bCs/>
                <w:lang w:eastAsia="bg-BG"/>
              </w:rPr>
            </w:pPr>
          </w:p>
        </w:tc>
      </w:tr>
      <w:tr w:rsidR="00E8367B" w:rsidRPr="00E8367B" w:rsidTr="00E8367B">
        <w:trPr>
          <w:jc w:val="center"/>
        </w:trPr>
        <w:tc>
          <w:tcPr>
            <w:tcW w:w="1477"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Пълнота на първия дървесен етаж (средно претеглена)</w:t>
            </w:r>
          </w:p>
        </w:tc>
        <w:tc>
          <w:tcPr>
            <w:tcW w:w="1276"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Части от единицата</w:t>
            </w:r>
          </w:p>
        </w:tc>
        <w:tc>
          <w:tcPr>
            <w:tcW w:w="1317"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От 0.6 до 1</w:t>
            </w:r>
          </w:p>
        </w:tc>
        <w:tc>
          <w:tcPr>
            <w:tcW w:w="3686"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Този показател представя степента на насищане с дървета и се изразява като съотношение на кръговата площ на наличния дървостой към кръговата площ на еталонно (нормално) насаждение. Окончателната стойност на показателя се получава като средно претеглена, според площите на отделните полигони. Стойността на показателя е динамична и пряко зависи от провежданите лесовъдски мероприятия и естествени природни нарушения водещи до отпадане на дървета.</w:t>
            </w:r>
          </w:p>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 xml:space="preserve">Според анализа на наличната информация, съобразно подхода, описан в т. 5 на настоящия документ, средно претеглената пълнота на първия дървесен етаж в полигоните на местообитанието е 0.6. </w:t>
            </w:r>
          </w:p>
        </w:tc>
        <w:tc>
          <w:tcPr>
            <w:tcW w:w="2551"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Целта е поддържане на пълнота на първия дървесен етаж (средно претеглена) от 0.6 до 1.</w:t>
            </w:r>
          </w:p>
        </w:tc>
      </w:tr>
      <w:tr w:rsidR="00E8367B" w:rsidRPr="00E8367B" w:rsidTr="00E8367B">
        <w:trPr>
          <w:jc w:val="center"/>
        </w:trPr>
        <w:tc>
          <w:tcPr>
            <w:tcW w:w="1477"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Структура и функции. Състав на първия дървесен етаж (средно претеглен)</w:t>
            </w:r>
          </w:p>
        </w:tc>
        <w:tc>
          <w:tcPr>
            <w:tcW w:w="1276"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Части от десетицата</w:t>
            </w:r>
          </w:p>
        </w:tc>
        <w:tc>
          <w:tcPr>
            <w:tcW w:w="1317"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От 6 до 10 за различните видовете от род </w:t>
            </w:r>
            <w:r w:rsidRPr="00E8367B">
              <w:rPr>
                <w:rFonts w:ascii="Times New Roman" w:hAnsi="Times New Roman"/>
                <w:bCs/>
                <w:i/>
                <w:lang w:eastAsia="bg-BG"/>
              </w:rPr>
              <w:t>Salix</w:t>
            </w:r>
            <w:r w:rsidRPr="00E8367B">
              <w:rPr>
                <w:rFonts w:ascii="Times New Roman" w:hAnsi="Times New Roman"/>
                <w:bCs/>
                <w:lang w:eastAsia="bg-BG"/>
              </w:rPr>
              <w:t xml:space="preserve"> и </w:t>
            </w:r>
            <w:r w:rsidRPr="00E8367B">
              <w:rPr>
                <w:rFonts w:ascii="Times New Roman" w:hAnsi="Times New Roman"/>
                <w:bCs/>
                <w:i/>
                <w:lang w:eastAsia="bg-BG"/>
              </w:rPr>
              <w:t>Populus</w:t>
            </w:r>
          </w:p>
        </w:tc>
        <w:tc>
          <w:tcPr>
            <w:tcW w:w="3686"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Съставът на първия етаж изразява относителното участие на съответните дървесни видове в насаждението, като окончателната стойност на показателя се получава като средно претеглена, според площите на отделните полигони.</w:t>
            </w:r>
          </w:p>
          <w:p w:rsidR="00E8367B" w:rsidRPr="00E8367B" w:rsidRDefault="00E8367B" w:rsidP="00EC3027">
            <w:pPr>
              <w:spacing w:after="0" w:line="240" w:lineRule="auto"/>
              <w:rPr>
                <w:rFonts w:ascii="Times New Roman" w:hAnsi="Times New Roman"/>
                <w:bCs/>
                <w:lang w:val="ru-RU" w:eastAsia="bg-BG"/>
              </w:rPr>
            </w:pPr>
            <w:r w:rsidRPr="00E8367B">
              <w:rPr>
                <w:rFonts w:ascii="Times New Roman" w:hAnsi="Times New Roman"/>
                <w:bCs/>
                <w:lang w:eastAsia="bg-BG"/>
              </w:rPr>
              <w:t xml:space="preserve">Според анализа на наличната информация, съобразно подхода, описан в т. 5 на настоящия документ, средно претегленото участие на видовете от род </w:t>
            </w:r>
            <w:r w:rsidRPr="00E8367B">
              <w:rPr>
                <w:rFonts w:ascii="Times New Roman" w:hAnsi="Times New Roman"/>
                <w:bCs/>
                <w:i/>
                <w:lang w:eastAsia="bg-BG"/>
              </w:rPr>
              <w:t>Populus</w:t>
            </w:r>
            <w:r w:rsidRPr="00E8367B">
              <w:rPr>
                <w:rFonts w:ascii="Times New Roman" w:hAnsi="Times New Roman"/>
                <w:bCs/>
                <w:lang w:eastAsia="bg-BG"/>
              </w:rPr>
              <w:t xml:space="preserve"> и </w:t>
            </w:r>
            <w:r w:rsidRPr="00E8367B">
              <w:rPr>
                <w:rFonts w:ascii="Times New Roman" w:hAnsi="Times New Roman"/>
                <w:bCs/>
                <w:i/>
                <w:lang w:eastAsia="bg-BG"/>
              </w:rPr>
              <w:t>Salix</w:t>
            </w:r>
            <w:r w:rsidRPr="00E8367B">
              <w:rPr>
                <w:rFonts w:ascii="Times New Roman" w:hAnsi="Times New Roman"/>
                <w:bCs/>
                <w:lang w:eastAsia="bg-BG"/>
              </w:rPr>
              <w:t xml:space="preserve"> в състава на първия дървесен етаж е около 7 десети. Горите от това местообитание в зоната не са обект на стопанска дейност и промените в състава могат да бъдат в резултат на естествени процеси, изразяващи се в преход към местообитание 91</w:t>
            </w:r>
            <w:r w:rsidRPr="00E8367B">
              <w:rPr>
                <w:rFonts w:ascii="Times New Roman" w:hAnsi="Times New Roman"/>
                <w:bCs/>
                <w:lang w:val="en-US" w:eastAsia="bg-BG"/>
              </w:rPr>
              <w:t>F</w:t>
            </w:r>
            <w:r w:rsidRPr="00E8367B">
              <w:rPr>
                <w:rFonts w:ascii="Times New Roman" w:hAnsi="Times New Roman"/>
                <w:bCs/>
                <w:lang w:val="ru-RU" w:eastAsia="bg-BG"/>
              </w:rPr>
              <w:t>0</w:t>
            </w:r>
            <w:r w:rsidRPr="00E8367B">
              <w:rPr>
                <w:rFonts w:ascii="Times New Roman" w:hAnsi="Times New Roman"/>
                <w:bCs/>
                <w:lang w:eastAsia="bg-BG"/>
              </w:rPr>
              <w:t xml:space="preserve">, както и настаняването на инвазивните видове </w:t>
            </w:r>
            <w:r w:rsidRPr="00E8367B">
              <w:rPr>
                <w:rFonts w:ascii="Times New Roman" w:hAnsi="Times New Roman"/>
                <w:bCs/>
                <w:i/>
                <w:lang w:val="en-US" w:eastAsia="bg-BG"/>
              </w:rPr>
              <w:t>Fraxinus</w:t>
            </w:r>
            <w:r w:rsidRPr="00E8367B">
              <w:rPr>
                <w:rFonts w:ascii="Times New Roman" w:hAnsi="Times New Roman"/>
                <w:bCs/>
                <w:i/>
                <w:lang w:val="ru-RU" w:eastAsia="bg-BG"/>
              </w:rPr>
              <w:t xml:space="preserve"> </w:t>
            </w:r>
            <w:r w:rsidRPr="00E8367B">
              <w:rPr>
                <w:rFonts w:ascii="Times New Roman" w:hAnsi="Times New Roman"/>
                <w:bCs/>
                <w:i/>
                <w:lang w:val="en-US" w:eastAsia="bg-BG"/>
              </w:rPr>
              <w:t>americana</w:t>
            </w:r>
            <w:r w:rsidRPr="00E8367B">
              <w:rPr>
                <w:rFonts w:ascii="Times New Roman" w:hAnsi="Times New Roman"/>
                <w:bCs/>
                <w:lang w:eastAsia="bg-BG"/>
              </w:rPr>
              <w:t>,</w:t>
            </w:r>
            <w:r w:rsidRPr="00E8367B">
              <w:rPr>
                <w:rFonts w:ascii="Times New Roman" w:hAnsi="Times New Roman"/>
                <w:bCs/>
                <w:lang w:val="ru-RU" w:eastAsia="bg-BG"/>
              </w:rPr>
              <w:t xml:space="preserve"> </w:t>
            </w:r>
            <w:r w:rsidRPr="00E8367B">
              <w:rPr>
                <w:rFonts w:ascii="Times New Roman" w:hAnsi="Times New Roman"/>
                <w:bCs/>
                <w:i/>
                <w:lang w:val="en-US" w:eastAsia="bg-BG"/>
              </w:rPr>
              <w:t>Acer</w:t>
            </w:r>
            <w:r w:rsidRPr="00E8367B">
              <w:rPr>
                <w:rFonts w:ascii="Times New Roman" w:hAnsi="Times New Roman"/>
                <w:bCs/>
                <w:i/>
                <w:lang w:val="ru-RU" w:eastAsia="bg-BG"/>
              </w:rPr>
              <w:t xml:space="preserve"> </w:t>
            </w:r>
            <w:r w:rsidRPr="00E8367B">
              <w:rPr>
                <w:rFonts w:ascii="Times New Roman" w:hAnsi="Times New Roman"/>
                <w:bCs/>
                <w:i/>
                <w:lang w:val="en-US" w:eastAsia="bg-BG"/>
              </w:rPr>
              <w:lastRenderedPageBreak/>
              <w:t>negundo</w:t>
            </w:r>
            <w:r w:rsidRPr="00E8367B">
              <w:rPr>
                <w:rFonts w:ascii="Times New Roman" w:hAnsi="Times New Roman"/>
                <w:bCs/>
                <w:i/>
                <w:lang w:eastAsia="bg-BG"/>
              </w:rPr>
              <w:t xml:space="preserve"> и </w:t>
            </w:r>
            <w:r w:rsidRPr="00E8367B">
              <w:rPr>
                <w:rFonts w:ascii="Times New Roman" w:hAnsi="Times New Roman"/>
                <w:bCs/>
                <w:i/>
                <w:lang w:val="en-US" w:eastAsia="bg-BG"/>
              </w:rPr>
              <w:t>Gleditsia</w:t>
            </w:r>
            <w:r w:rsidRPr="00E8367B">
              <w:rPr>
                <w:rFonts w:ascii="Times New Roman" w:hAnsi="Times New Roman"/>
                <w:bCs/>
                <w:i/>
                <w:lang w:val="ru-RU" w:eastAsia="bg-BG"/>
              </w:rPr>
              <w:t xml:space="preserve"> </w:t>
            </w:r>
            <w:r w:rsidRPr="00E8367B">
              <w:rPr>
                <w:rFonts w:ascii="Times New Roman" w:hAnsi="Times New Roman"/>
                <w:bCs/>
                <w:i/>
                <w:lang w:val="en-US" w:eastAsia="bg-BG"/>
              </w:rPr>
              <w:t>triacanthos</w:t>
            </w:r>
            <w:r w:rsidRPr="00E8367B">
              <w:rPr>
                <w:rFonts w:ascii="Times New Roman" w:hAnsi="Times New Roman"/>
                <w:bCs/>
                <w:i/>
                <w:lang w:val="ru-RU" w:eastAsia="bg-BG"/>
              </w:rPr>
              <w:t>.</w:t>
            </w:r>
          </w:p>
        </w:tc>
        <w:tc>
          <w:tcPr>
            <w:tcW w:w="2551"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lastRenderedPageBreak/>
              <w:t>Целта е поддържане на състав на първия дървесен етаж (средно претеглен)</w:t>
            </w:r>
            <w:r w:rsidRPr="00E8367B">
              <w:rPr>
                <w:rFonts w:ascii="Times New Roman" w:hAnsi="Times New Roman"/>
              </w:rPr>
              <w:t xml:space="preserve"> </w:t>
            </w:r>
            <w:r w:rsidRPr="00E8367B">
              <w:rPr>
                <w:rFonts w:ascii="Times New Roman" w:hAnsi="Times New Roman"/>
                <w:bCs/>
                <w:lang w:eastAsia="bg-BG"/>
              </w:rPr>
              <w:t xml:space="preserve">от 6 до 10 за различните видовете от род </w:t>
            </w:r>
            <w:r w:rsidRPr="00E8367B">
              <w:rPr>
                <w:rFonts w:ascii="Times New Roman" w:hAnsi="Times New Roman"/>
                <w:bCs/>
                <w:i/>
                <w:lang w:eastAsia="bg-BG"/>
              </w:rPr>
              <w:t>Salix</w:t>
            </w:r>
            <w:r w:rsidRPr="00E8367B">
              <w:rPr>
                <w:rFonts w:ascii="Times New Roman" w:hAnsi="Times New Roman"/>
                <w:bCs/>
                <w:lang w:eastAsia="bg-BG"/>
              </w:rPr>
              <w:t xml:space="preserve"> и </w:t>
            </w:r>
            <w:r w:rsidRPr="00E8367B">
              <w:rPr>
                <w:rFonts w:ascii="Times New Roman" w:hAnsi="Times New Roman"/>
                <w:bCs/>
                <w:i/>
                <w:lang w:eastAsia="bg-BG"/>
              </w:rPr>
              <w:t>Populus</w:t>
            </w:r>
            <w:r w:rsidRPr="00E8367B">
              <w:rPr>
                <w:rFonts w:ascii="Times New Roman" w:hAnsi="Times New Roman"/>
                <w:bCs/>
                <w:lang w:eastAsia="bg-BG"/>
              </w:rPr>
              <w:t>.</w:t>
            </w:r>
          </w:p>
        </w:tc>
      </w:tr>
      <w:tr w:rsidR="00E8367B" w:rsidRPr="00E8367B" w:rsidTr="00E8367B">
        <w:trPr>
          <w:jc w:val="center"/>
        </w:trPr>
        <w:tc>
          <w:tcPr>
            <w:tcW w:w="1477"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Средна възраст на първия дървесен етаж (средно претеглена)</w:t>
            </w:r>
          </w:p>
        </w:tc>
        <w:tc>
          <w:tcPr>
            <w:tcW w:w="1276"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Години</w:t>
            </w:r>
          </w:p>
          <w:p w:rsidR="00E8367B" w:rsidRPr="00E8367B" w:rsidRDefault="00E8367B" w:rsidP="0031593F">
            <w:pPr>
              <w:rPr>
                <w:rFonts w:ascii="Times New Roman" w:hAnsi="Times New Roman"/>
                <w:bCs/>
                <w:lang w:eastAsia="bg-BG"/>
              </w:rPr>
            </w:pPr>
          </w:p>
        </w:tc>
        <w:tc>
          <w:tcPr>
            <w:tcW w:w="1317"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Над 6</w:t>
            </w:r>
            <w:r w:rsidRPr="00E8367B">
              <w:rPr>
                <w:rFonts w:ascii="Times New Roman" w:hAnsi="Times New Roman"/>
                <w:bCs/>
                <w:lang w:val="ru-RU" w:eastAsia="bg-BG"/>
              </w:rPr>
              <w:t>0</w:t>
            </w:r>
            <w:r w:rsidRPr="00E8367B">
              <w:rPr>
                <w:rFonts w:ascii="Times New Roman" w:hAnsi="Times New Roman"/>
                <w:bCs/>
                <w:lang w:eastAsia="bg-BG"/>
              </w:rPr>
              <w:t>, не намалява, а се</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увеличава</w:t>
            </w:r>
          </w:p>
        </w:tc>
        <w:tc>
          <w:tcPr>
            <w:tcW w:w="3686"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Стойността на показателя се получава като средно претеглена, според площите на отделните полигони.</w:t>
            </w:r>
          </w:p>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 xml:space="preserve">Според анализа на наличната информация, съобразно подхода, описан в т. 5 на настоящия документ, средно претеглената възраст на първия дървесен етаж е около </w:t>
            </w:r>
            <w:r w:rsidRPr="00E8367B">
              <w:rPr>
                <w:rFonts w:ascii="Times New Roman" w:hAnsi="Times New Roman"/>
                <w:bCs/>
                <w:lang w:val="ru-RU" w:eastAsia="bg-BG"/>
              </w:rPr>
              <w:t>5</w:t>
            </w:r>
            <w:r w:rsidRPr="00E8367B">
              <w:rPr>
                <w:rFonts w:ascii="Times New Roman" w:hAnsi="Times New Roman"/>
                <w:bCs/>
                <w:lang w:eastAsia="bg-BG"/>
              </w:rPr>
              <w:t xml:space="preserve">0 години. </w:t>
            </w:r>
          </w:p>
        </w:tc>
        <w:tc>
          <w:tcPr>
            <w:tcW w:w="2551"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Целта е подобряване на състоянието по този показател, така че да се достигне средна възраст (средно претеглена) на първия дървесен етаж над 6</w:t>
            </w:r>
            <w:r w:rsidRPr="00E8367B">
              <w:rPr>
                <w:rFonts w:ascii="Times New Roman" w:hAnsi="Times New Roman"/>
                <w:bCs/>
                <w:lang w:val="ru-RU" w:eastAsia="bg-BG"/>
              </w:rPr>
              <w:t>0</w:t>
            </w:r>
            <w:r w:rsidRPr="00E8367B">
              <w:rPr>
                <w:rFonts w:ascii="Times New Roman" w:hAnsi="Times New Roman"/>
                <w:bCs/>
                <w:lang w:eastAsia="bg-BG"/>
              </w:rPr>
              <w:t xml:space="preserve"> години до 20</w:t>
            </w:r>
            <w:r w:rsidRPr="00E8367B">
              <w:rPr>
                <w:rFonts w:ascii="Times New Roman" w:hAnsi="Times New Roman"/>
                <w:bCs/>
                <w:lang w:val="ru-RU" w:eastAsia="bg-BG"/>
              </w:rPr>
              <w:t>3</w:t>
            </w:r>
            <w:r w:rsidRPr="00E8367B">
              <w:rPr>
                <w:rFonts w:ascii="Times New Roman" w:hAnsi="Times New Roman"/>
                <w:bCs/>
                <w:lang w:eastAsia="bg-BG"/>
              </w:rPr>
              <w:t>0 година.</w:t>
            </w:r>
          </w:p>
        </w:tc>
      </w:tr>
      <w:tr w:rsidR="00E8367B" w:rsidRPr="00E8367B" w:rsidTr="00E8367B">
        <w:trPr>
          <w:jc w:val="center"/>
        </w:trPr>
        <w:tc>
          <w:tcPr>
            <w:tcW w:w="1477"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Структура и функции. Площ на горите във фаза на старост</w:t>
            </w:r>
          </w:p>
        </w:tc>
        <w:tc>
          <w:tcPr>
            <w:tcW w:w="1276"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317"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10% от общата площ на местообитанието</w:t>
            </w:r>
          </w:p>
        </w:tc>
        <w:tc>
          <w:tcPr>
            <w:tcW w:w="3686"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Съгласно Наредба № 8 от 05.08.2011 г. за сечите в горите, обновена от 29.09.2020 г., „Гора във фаза на старост" е гора в последната фаза на естествена динамика на горското насаждение, без значими интервенции - не е съществено повлияна от едроплощни природни нарушения и антропогенни въздействия, като по този начин притежава екосистемни характеристики на предклимаксно съобщество.</w:t>
            </w:r>
          </w:p>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 xml:space="preserve">В зоната, в Поддържан резерват „Сребърна“ има гори във фаза на старост, които са над 10% от общата площ на местообитанието. </w:t>
            </w:r>
          </w:p>
        </w:tc>
        <w:tc>
          <w:tcPr>
            <w:tcW w:w="2551"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 xml:space="preserve">Целта е поддържане състоянието по този показател, така че поне 10% от общата площ на местообитанието в зоната да е обособена като гори във фаза на старост. </w:t>
            </w:r>
          </w:p>
        </w:tc>
      </w:tr>
      <w:tr w:rsidR="00E8367B" w:rsidRPr="00E8367B" w:rsidTr="00E8367B">
        <w:trPr>
          <w:jc w:val="center"/>
        </w:trPr>
        <w:tc>
          <w:tcPr>
            <w:tcW w:w="1477"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 xml:space="preserve">Структура и функции. Количество мъртва дървесина   </w:t>
            </w:r>
          </w:p>
        </w:tc>
        <w:tc>
          <w:tcPr>
            <w:tcW w:w="1276"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или м</w:t>
            </w:r>
            <w:r w:rsidRPr="00E8367B">
              <w:rPr>
                <w:rFonts w:ascii="Times New Roman" w:hAnsi="Times New Roman"/>
                <w:bCs/>
                <w:vertAlign w:val="superscript"/>
                <w:lang w:eastAsia="bg-BG"/>
              </w:rPr>
              <w:t>3</w:t>
            </w:r>
            <w:r w:rsidRPr="00E8367B">
              <w:rPr>
                <w:rFonts w:ascii="Times New Roman" w:hAnsi="Times New Roman"/>
                <w:bCs/>
                <w:lang w:eastAsia="bg-BG"/>
              </w:rPr>
              <w:t>/ха</w:t>
            </w:r>
          </w:p>
        </w:tc>
        <w:tc>
          <w:tcPr>
            <w:tcW w:w="1317"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60% от площта на местообитанието се характеризира с общо количество мъртва дървесина от поне 10% от запаса, но не по-малко от 20 м</w:t>
            </w:r>
            <w:r w:rsidRPr="00E8367B">
              <w:rPr>
                <w:rFonts w:ascii="Times New Roman" w:hAnsi="Times New Roman"/>
                <w:bCs/>
                <w:vertAlign w:val="superscript"/>
                <w:lang w:eastAsia="bg-BG"/>
              </w:rPr>
              <w:t>3</w:t>
            </w:r>
            <w:r w:rsidRPr="00E8367B">
              <w:rPr>
                <w:rFonts w:ascii="Times New Roman" w:hAnsi="Times New Roman"/>
                <w:bCs/>
                <w:lang w:eastAsia="bg-BG"/>
              </w:rPr>
              <w:t>/ха, също както и с не по-</w:t>
            </w:r>
            <w:r w:rsidRPr="00E8367B">
              <w:rPr>
                <w:rFonts w:ascii="Times New Roman" w:hAnsi="Times New Roman"/>
                <w:bCs/>
                <w:lang w:eastAsia="bg-BG"/>
              </w:rPr>
              <w:lastRenderedPageBreak/>
              <w:t xml:space="preserve">малко от 10 стоящи мъртви дървета </w:t>
            </w:r>
          </w:p>
        </w:tc>
        <w:tc>
          <w:tcPr>
            <w:tcW w:w="3686" w:type="dxa"/>
            <w:shd w:val="clear" w:color="auto" w:fill="auto"/>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lastRenderedPageBreak/>
              <w:t xml:space="preserve">Мъртвата дървесина може да бъде стояща и лежаща. Минималният диаметър на лежащата мъртва дървесина е 8 cм, а на стоящата – 16 см. </w:t>
            </w:r>
          </w:p>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 xml:space="preserve">Според анализа на наличната информация, съобразно подхода, описан в т. 5 на настоящия документ, количеството мъртва дървесина отговаря на целевата стойност. </w:t>
            </w:r>
          </w:p>
        </w:tc>
        <w:tc>
          <w:tcPr>
            <w:tcW w:w="2551" w:type="dxa"/>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Целта е поддържане на състоянието по този показател.</w:t>
            </w:r>
          </w:p>
        </w:tc>
      </w:tr>
      <w:tr w:rsidR="00E8367B" w:rsidRPr="00E8367B" w:rsidTr="00E8367B">
        <w:trPr>
          <w:jc w:val="center"/>
        </w:trPr>
        <w:tc>
          <w:tcPr>
            <w:tcW w:w="1477"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Наличие на големи/биотопни дървета</w:t>
            </w:r>
          </w:p>
        </w:tc>
        <w:tc>
          <w:tcPr>
            <w:tcW w:w="1276"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Брой на ха</w:t>
            </w:r>
          </w:p>
        </w:tc>
        <w:tc>
          <w:tcPr>
            <w:tcW w:w="1317"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Поне 60% от площта на местообитанието се характеризира с наличието на най-малко 10 големи/ биотопни дървета на ха </w:t>
            </w:r>
          </w:p>
        </w:tc>
        <w:tc>
          <w:tcPr>
            <w:tcW w:w="3686" w:type="dxa"/>
            <w:shd w:val="clear" w:color="auto" w:fill="auto"/>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 xml:space="preserve">Най-подходящо е биотопните дървета да са разположени на групи, а не като единични дървета. </w:t>
            </w:r>
          </w:p>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броят биотопни дървета отговаря на целевата стойност.</w:t>
            </w:r>
          </w:p>
        </w:tc>
        <w:tc>
          <w:tcPr>
            <w:tcW w:w="2551" w:type="dxa"/>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Целта е поддържане на състоянието по този показател.</w:t>
            </w:r>
          </w:p>
        </w:tc>
      </w:tr>
    </w:tbl>
    <w:p w:rsidR="00E8367B" w:rsidRPr="00E8367B" w:rsidRDefault="00E8367B" w:rsidP="00077290">
      <w:pPr>
        <w:rPr>
          <w:rFonts w:ascii="Times New Roman" w:hAnsi="Times New Roman"/>
          <w:bCs/>
          <w:sz w:val="24"/>
          <w:szCs w:val="24"/>
          <w:lang w:eastAsia="bg-BG"/>
        </w:rPr>
      </w:pPr>
    </w:p>
    <w:p w:rsidR="00E8367B" w:rsidRPr="00E8367B" w:rsidRDefault="00E8367B" w:rsidP="00077290">
      <w:pPr>
        <w:rPr>
          <w:rFonts w:ascii="Times New Roman" w:hAnsi="Times New Roman"/>
          <w:b/>
          <w:bCs/>
          <w:sz w:val="24"/>
          <w:szCs w:val="24"/>
          <w:lang w:eastAsia="bg-BG"/>
        </w:rPr>
      </w:pPr>
      <w:r w:rsidRPr="00E8367B">
        <w:rPr>
          <w:rFonts w:ascii="Times New Roman" w:hAnsi="Times New Roman"/>
          <w:b/>
          <w:bCs/>
          <w:sz w:val="24"/>
          <w:szCs w:val="24"/>
          <w:lang w:val="ru-RU" w:eastAsia="bg-BG"/>
        </w:rPr>
        <w:t xml:space="preserve">7. </w:t>
      </w:r>
      <w:r w:rsidRPr="00E8367B">
        <w:rPr>
          <w:rFonts w:ascii="Times New Roman" w:hAnsi="Times New Roman"/>
          <w:b/>
          <w:bCs/>
          <w:sz w:val="24"/>
          <w:szCs w:val="24"/>
          <w:lang w:eastAsia="bg-BG"/>
        </w:rPr>
        <w:t>Необходимост от актуализация на СФ на защитената зона</w:t>
      </w:r>
    </w:p>
    <w:p w:rsidR="00E8367B" w:rsidRPr="00E8367B" w:rsidRDefault="00E8367B" w:rsidP="00482F18">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Има идентифицирани причини, за да се предложи промяна на стандартния формуляр на местообитанието в зоната</w:t>
      </w:r>
      <w:r w:rsidR="00482F18">
        <w:rPr>
          <w:rFonts w:ascii="Times New Roman" w:hAnsi="Times New Roman"/>
          <w:bCs/>
          <w:sz w:val="24"/>
          <w:szCs w:val="24"/>
          <w:lang w:eastAsia="bg-BG"/>
        </w:rPr>
        <w:t>, но п</w:t>
      </w:r>
      <w:r w:rsidRPr="00E8367B">
        <w:rPr>
          <w:rFonts w:ascii="Times New Roman" w:hAnsi="Times New Roman"/>
          <w:bCs/>
          <w:sz w:val="24"/>
          <w:szCs w:val="24"/>
          <w:lang w:eastAsia="bg-BG"/>
        </w:rPr>
        <w:t>оради липсата на достатъчно информация, на този етап не е възможно да бъде предложена конкретна стойност по показателя площ. Промяната е маркирана в червено.</w:t>
      </w:r>
    </w:p>
    <w:p w:rsidR="00E8367B" w:rsidRPr="00E8367B" w:rsidRDefault="00E8367B" w:rsidP="00077290">
      <w:pPr>
        <w:rPr>
          <w:rFonts w:ascii="Times New Roman" w:hAnsi="Times New Roman"/>
          <w:bCs/>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773"/>
        <w:gridCol w:w="804"/>
        <w:gridCol w:w="1098"/>
        <w:gridCol w:w="1942"/>
        <w:gridCol w:w="770"/>
        <w:gridCol w:w="1314"/>
        <w:gridCol w:w="873"/>
      </w:tblGrid>
      <w:tr w:rsidR="00E8367B" w:rsidRPr="00E8367B" w:rsidTr="00E8367B">
        <w:trPr>
          <w:cantSplit/>
          <w:trHeight w:val="823"/>
          <w:tblHeader/>
          <w:jc w:val="center"/>
        </w:trPr>
        <w:tc>
          <w:tcPr>
            <w:tcW w:w="71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Код</w:t>
            </w:r>
          </w:p>
        </w:tc>
        <w:tc>
          <w:tcPr>
            <w:tcW w:w="17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Местообитание</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Площ</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0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Качество на данните</w:t>
            </w:r>
          </w:p>
        </w:tc>
        <w:tc>
          <w:tcPr>
            <w:tcW w:w="19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Представителност</w:t>
            </w:r>
          </w:p>
        </w:tc>
        <w:tc>
          <w:tcPr>
            <w:tcW w:w="7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Площ</w:t>
            </w:r>
          </w:p>
        </w:tc>
        <w:tc>
          <w:tcPr>
            <w:tcW w:w="131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Степен на съхранение</w:t>
            </w:r>
          </w:p>
        </w:tc>
        <w:tc>
          <w:tcPr>
            <w:tcW w:w="8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Обща оценка</w:t>
            </w:r>
          </w:p>
        </w:tc>
      </w:tr>
      <w:tr w:rsidR="00E8367B" w:rsidRPr="00E8367B" w:rsidTr="00E8367B">
        <w:trPr>
          <w:jc w:val="center"/>
        </w:trPr>
        <w:tc>
          <w:tcPr>
            <w:tcW w:w="714"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91Е0</w:t>
            </w:r>
          </w:p>
        </w:tc>
        <w:tc>
          <w:tcPr>
            <w:tcW w:w="1773" w:type="dxa"/>
            <w:tcBorders>
              <w:top w:val="single" w:sz="4" w:space="0" w:color="auto"/>
              <w:left w:val="single" w:sz="4" w:space="0" w:color="auto"/>
              <w:bottom w:val="single" w:sz="4" w:space="0" w:color="auto"/>
              <w:right w:val="single" w:sz="4" w:space="0" w:color="auto"/>
            </w:tcBorders>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Алувиални гори с </w:t>
            </w:r>
            <w:r w:rsidRPr="00E8367B">
              <w:rPr>
                <w:rFonts w:ascii="Times New Roman" w:hAnsi="Times New Roman"/>
                <w:bCs/>
                <w:i/>
                <w:lang w:eastAsia="bg-BG"/>
              </w:rPr>
              <w:t>Alnus glutinosa</w:t>
            </w:r>
            <w:r w:rsidRPr="00E8367B">
              <w:rPr>
                <w:rFonts w:ascii="Times New Roman" w:hAnsi="Times New Roman"/>
                <w:bCs/>
                <w:lang w:eastAsia="bg-BG"/>
              </w:rPr>
              <w:t xml:space="preserve"> и </w:t>
            </w:r>
            <w:r w:rsidRPr="00E8367B">
              <w:rPr>
                <w:rFonts w:ascii="Times New Roman" w:hAnsi="Times New Roman"/>
                <w:bCs/>
                <w:i/>
                <w:lang w:eastAsia="bg-BG"/>
              </w:rPr>
              <w:t>Fraxinus excelsior</w:t>
            </w:r>
            <w:r w:rsidRPr="00E8367B">
              <w:rPr>
                <w:rFonts w:ascii="Times New Roman" w:hAnsi="Times New Roman"/>
                <w:bCs/>
                <w:lang w:eastAsia="bg-BG"/>
              </w:rPr>
              <w:t xml:space="preserve"> (</w:t>
            </w:r>
            <w:r w:rsidRPr="00E8367B">
              <w:rPr>
                <w:rFonts w:ascii="Times New Roman" w:hAnsi="Times New Roman"/>
                <w:bCs/>
                <w:i/>
                <w:lang w:eastAsia="bg-BG"/>
              </w:rPr>
              <w:t>Alno-Padion</w:t>
            </w:r>
            <w:r w:rsidRPr="00E8367B">
              <w:rPr>
                <w:rFonts w:ascii="Times New Roman" w:hAnsi="Times New Roman"/>
                <w:bCs/>
                <w:lang w:eastAsia="bg-BG"/>
              </w:rPr>
              <w:t xml:space="preserve">, </w:t>
            </w:r>
            <w:r w:rsidRPr="00E8367B">
              <w:rPr>
                <w:rFonts w:ascii="Times New Roman" w:hAnsi="Times New Roman"/>
                <w:bCs/>
                <w:i/>
                <w:lang w:eastAsia="bg-BG"/>
              </w:rPr>
              <w:t>Alnion incanae</w:t>
            </w:r>
            <w:r w:rsidRPr="00E8367B">
              <w:rPr>
                <w:rFonts w:ascii="Times New Roman" w:hAnsi="Times New Roman"/>
                <w:bCs/>
                <w:lang w:eastAsia="bg-BG"/>
              </w:rPr>
              <w:t xml:space="preserve">, </w:t>
            </w:r>
            <w:r w:rsidRPr="00E8367B">
              <w:rPr>
                <w:rFonts w:ascii="Times New Roman" w:hAnsi="Times New Roman"/>
                <w:bCs/>
                <w:i/>
                <w:lang w:eastAsia="bg-BG"/>
              </w:rPr>
              <w:t>Salicion albae</w:t>
            </w:r>
            <w:r w:rsidRPr="00E8367B">
              <w:rPr>
                <w:rFonts w:ascii="Times New Roman" w:hAnsi="Times New Roman"/>
                <w:bCs/>
                <w:lang w:eastAsia="bg-BG"/>
              </w:rPr>
              <w:t>)</w:t>
            </w:r>
          </w:p>
        </w:tc>
        <w:tc>
          <w:tcPr>
            <w:tcW w:w="804"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
                <w:color w:val="FF0000"/>
                <w:lang w:eastAsia="bg-BG"/>
              </w:rPr>
            </w:pPr>
            <w:r w:rsidRPr="00E8367B">
              <w:rPr>
                <w:rFonts w:ascii="Times New Roman" w:hAnsi="Times New Roman"/>
                <w:b/>
                <w:color w:val="FF0000"/>
                <w:lang w:eastAsia="bg-BG"/>
              </w:rPr>
              <w:t>–</w:t>
            </w:r>
          </w:p>
        </w:tc>
        <w:tc>
          <w:tcPr>
            <w:tcW w:w="1098"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М</w:t>
            </w:r>
          </w:p>
        </w:tc>
        <w:tc>
          <w:tcPr>
            <w:tcW w:w="1942"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val="en-US" w:eastAsia="bg-BG"/>
              </w:rPr>
              <w:t>B</w:t>
            </w:r>
          </w:p>
        </w:tc>
        <w:tc>
          <w:tcPr>
            <w:tcW w:w="770"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w:t>
            </w:r>
          </w:p>
        </w:tc>
        <w:tc>
          <w:tcPr>
            <w:tcW w:w="1314"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c>
          <w:tcPr>
            <w:tcW w:w="873"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r>
    </w:tbl>
    <w:p w:rsidR="00E8367B" w:rsidRPr="00E8367B" w:rsidRDefault="00E8367B" w:rsidP="00077290">
      <w:pPr>
        <w:rPr>
          <w:rFonts w:ascii="Times New Roman" w:hAnsi="Times New Roman"/>
          <w:bCs/>
          <w:sz w:val="24"/>
          <w:szCs w:val="24"/>
          <w:lang w:eastAsia="bg-BG"/>
        </w:rPr>
      </w:pPr>
    </w:p>
    <w:p w:rsidR="00E8367B" w:rsidRPr="00E8367B" w:rsidRDefault="00E8367B" w:rsidP="00EC3027">
      <w:pPr>
        <w:spacing w:after="0" w:line="240" w:lineRule="auto"/>
        <w:rPr>
          <w:rFonts w:ascii="Times New Roman" w:hAnsi="Times New Roman"/>
          <w:b/>
          <w:bCs/>
          <w:sz w:val="24"/>
          <w:szCs w:val="24"/>
          <w:lang w:eastAsia="bg-BG"/>
        </w:rPr>
      </w:pPr>
      <w:r w:rsidRPr="00E8367B">
        <w:rPr>
          <w:rFonts w:ascii="Times New Roman" w:hAnsi="Times New Roman"/>
          <w:b/>
          <w:bCs/>
          <w:sz w:val="24"/>
          <w:szCs w:val="24"/>
          <w:lang w:val="en-US" w:eastAsia="bg-BG"/>
        </w:rPr>
        <w:t>8</w:t>
      </w:r>
      <w:r w:rsidRPr="00E8367B">
        <w:rPr>
          <w:rFonts w:ascii="Times New Roman" w:hAnsi="Times New Roman"/>
          <w:b/>
          <w:bCs/>
          <w:sz w:val="24"/>
          <w:szCs w:val="24"/>
          <w:lang w:eastAsia="bg-BG"/>
        </w:rPr>
        <w:t>. Използвана литература</w:t>
      </w:r>
    </w:p>
    <w:p w:rsidR="00E8367B" w:rsidRPr="00E8367B" w:rsidRDefault="00E8367B" w:rsidP="00077290">
      <w:pPr>
        <w:spacing w:after="0" w:line="240" w:lineRule="auto"/>
        <w:ind w:left="709" w:hanging="709"/>
        <w:jc w:val="both"/>
        <w:rPr>
          <w:rFonts w:ascii="Times New Roman" w:hAnsi="Times New Roman"/>
          <w:b/>
          <w:bCs/>
          <w:sz w:val="24"/>
          <w:szCs w:val="24"/>
          <w:lang w:eastAsia="bg-BG"/>
        </w:rPr>
      </w:pPr>
      <w:r w:rsidRPr="00E8367B">
        <w:rPr>
          <w:rFonts w:ascii="Times New Roman" w:hAnsi="Times New Roman"/>
          <w:bCs/>
          <w:sz w:val="24"/>
          <w:szCs w:val="24"/>
          <w:lang w:eastAsia="bg-BG"/>
        </w:rPr>
        <w:lastRenderedPageBreak/>
        <w:t>Бисерков</w:t>
      </w:r>
      <w:r>
        <w:rPr>
          <w:rFonts w:ascii="Times New Roman" w:hAnsi="Times New Roman"/>
          <w:bCs/>
          <w:sz w:val="24"/>
          <w:szCs w:val="24"/>
          <w:lang w:eastAsia="bg-BG"/>
        </w:rPr>
        <w:t>,</w:t>
      </w:r>
      <w:r w:rsidRPr="00E8367B">
        <w:rPr>
          <w:rFonts w:ascii="Times New Roman" w:hAnsi="Times New Roman"/>
          <w:bCs/>
          <w:sz w:val="24"/>
          <w:szCs w:val="24"/>
          <w:lang w:eastAsia="bg-BG"/>
        </w:rPr>
        <w:t xml:space="preserve"> В</w:t>
      </w:r>
      <w:r>
        <w:rPr>
          <w:rFonts w:ascii="Times New Roman" w:hAnsi="Times New Roman"/>
          <w:bCs/>
          <w:sz w:val="24"/>
          <w:szCs w:val="24"/>
          <w:lang w:eastAsia="bg-BG"/>
        </w:rPr>
        <w:t>.</w:t>
      </w:r>
      <w:r w:rsidRPr="00E8367B">
        <w:rPr>
          <w:rFonts w:ascii="Times New Roman" w:hAnsi="Times New Roman"/>
          <w:bCs/>
          <w:sz w:val="24"/>
          <w:szCs w:val="24"/>
          <w:lang w:eastAsia="bg-BG"/>
        </w:rPr>
        <w:t xml:space="preserve"> (гл</w:t>
      </w:r>
      <w:r>
        <w:rPr>
          <w:rFonts w:ascii="Times New Roman" w:hAnsi="Times New Roman"/>
          <w:bCs/>
          <w:sz w:val="24"/>
          <w:szCs w:val="24"/>
          <w:lang w:eastAsia="bg-BG"/>
        </w:rPr>
        <w:t>.</w:t>
      </w:r>
      <w:r w:rsidRPr="00E8367B">
        <w:rPr>
          <w:rFonts w:ascii="Times New Roman" w:hAnsi="Times New Roman"/>
          <w:bCs/>
          <w:sz w:val="24"/>
          <w:szCs w:val="24"/>
          <w:lang w:eastAsia="bg-BG"/>
        </w:rPr>
        <w:t xml:space="preserve"> ред</w:t>
      </w:r>
      <w:r w:rsidR="00077290">
        <w:rPr>
          <w:rFonts w:ascii="Times New Roman" w:hAnsi="Times New Roman"/>
          <w:bCs/>
          <w:sz w:val="24"/>
          <w:szCs w:val="24"/>
          <w:lang w:eastAsia="bg-BG"/>
        </w:rPr>
        <w:t>.</w:t>
      </w:r>
      <w:r w:rsidRPr="00E8367B">
        <w:rPr>
          <w:rFonts w:ascii="Times New Roman" w:hAnsi="Times New Roman"/>
          <w:bCs/>
          <w:sz w:val="24"/>
          <w:szCs w:val="24"/>
          <w:lang w:eastAsia="bg-BG"/>
        </w:rPr>
        <w:t xml:space="preserve">). Червена книга на Република България, Том III - Природни местообитания. </w:t>
      </w:r>
      <w:hyperlink r:id="rId19" w:history="1">
        <w:r w:rsidRPr="00E8367B">
          <w:rPr>
            <w:rFonts w:ascii="Times New Roman" w:hAnsi="Times New Roman"/>
            <w:bCs/>
            <w:sz w:val="24"/>
            <w:szCs w:val="24"/>
            <w:u w:val="single"/>
            <w:lang w:eastAsia="bg-BG"/>
          </w:rPr>
          <w:t>http://e-ecodb.bas.bg/rdb/bg/vol3/</w:t>
        </w:r>
      </w:hyperlink>
      <w:r w:rsidRPr="00E8367B">
        <w:rPr>
          <w:rFonts w:ascii="Times New Roman" w:hAnsi="Times New Roman"/>
          <w:bCs/>
          <w:sz w:val="24"/>
          <w:szCs w:val="24"/>
          <w:lang w:eastAsia="bg-BG"/>
        </w:rPr>
        <w:t>. Последно посетен на 18.09.2021 г.</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Министерство на околната среда и водите (МОСВ). Информационна система за защитени зони от екологична мрежа Натура 2000. </w:t>
      </w:r>
      <w:hyperlink r:id="rId20" w:history="1">
        <w:r w:rsidRPr="00E8367B">
          <w:rPr>
            <w:rFonts w:ascii="Times New Roman" w:hAnsi="Times New Roman"/>
            <w:bCs/>
            <w:sz w:val="24"/>
            <w:szCs w:val="24"/>
            <w:u w:val="single"/>
            <w:lang w:eastAsia="bg-BG"/>
          </w:rPr>
          <w:t>http://natura2000.moew.government.bg/Home/Natura2000ProtectedSites</w:t>
        </w:r>
      </w:hyperlink>
      <w:r w:rsidRPr="00E8367B">
        <w:rPr>
          <w:rFonts w:ascii="Times New Roman" w:hAnsi="Times New Roman"/>
          <w:bCs/>
          <w:sz w:val="24"/>
          <w:szCs w:val="24"/>
          <w:lang w:eastAsia="bg-BG"/>
        </w:rPr>
        <w:t xml:space="preserve">. Последно посетен на 28.10.2021 г. </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Изпълнителна агенция по горите (ИАГ). Лесоустройствени проекти.  </w:t>
      </w:r>
      <w:hyperlink r:id="rId21" w:history="1">
        <w:r w:rsidRPr="00E8367B">
          <w:rPr>
            <w:rFonts w:ascii="Times New Roman" w:hAnsi="Times New Roman"/>
            <w:bCs/>
            <w:sz w:val="24"/>
            <w:szCs w:val="24"/>
            <w:u w:val="single"/>
            <w:lang w:eastAsia="bg-BG"/>
          </w:rPr>
          <w:t>http://www.procurement.iag.bg:8080/cgi-bin/lup.cgi</w:t>
        </w:r>
      </w:hyperlink>
      <w:r w:rsidRPr="00E8367B">
        <w:rPr>
          <w:rFonts w:ascii="Times New Roman" w:hAnsi="Times New Roman"/>
          <w:bCs/>
          <w:sz w:val="24"/>
          <w:szCs w:val="24"/>
          <w:lang w:eastAsia="bg-BG"/>
        </w:rPr>
        <w:t>. Последно посетен на 28.10.2021 г.</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Зингстра</w:t>
      </w:r>
      <w:r>
        <w:rPr>
          <w:rFonts w:ascii="Times New Roman" w:hAnsi="Times New Roman"/>
          <w:bCs/>
          <w:sz w:val="24"/>
          <w:szCs w:val="24"/>
          <w:lang w:eastAsia="bg-BG"/>
        </w:rPr>
        <w:t>,</w:t>
      </w:r>
      <w:r w:rsidRPr="00E8367B">
        <w:rPr>
          <w:rFonts w:ascii="Times New Roman" w:hAnsi="Times New Roman"/>
          <w:bCs/>
          <w:sz w:val="24"/>
          <w:szCs w:val="24"/>
          <w:lang w:eastAsia="bg-BG"/>
        </w:rPr>
        <w:t xml:space="preserve"> Х</w:t>
      </w:r>
      <w:r>
        <w:rPr>
          <w:rFonts w:ascii="Times New Roman" w:hAnsi="Times New Roman"/>
          <w:bCs/>
          <w:sz w:val="24"/>
          <w:szCs w:val="24"/>
          <w:lang w:eastAsia="bg-BG"/>
        </w:rPr>
        <w:t>.</w:t>
      </w:r>
      <w:r w:rsidRPr="00E8367B">
        <w:rPr>
          <w:rFonts w:ascii="Times New Roman" w:hAnsi="Times New Roman"/>
          <w:bCs/>
          <w:sz w:val="24"/>
          <w:szCs w:val="24"/>
          <w:lang w:eastAsia="bg-BG"/>
        </w:rPr>
        <w:t>, А</w:t>
      </w:r>
      <w:r>
        <w:rPr>
          <w:rFonts w:ascii="Times New Roman" w:hAnsi="Times New Roman"/>
          <w:bCs/>
          <w:sz w:val="24"/>
          <w:szCs w:val="24"/>
          <w:lang w:eastAsia="bg-BG"/>
        </w:rPr>
        <w:t>.</w:t>
      </w:r>
      <w:r w:rsidRPr="00E8367B">
        <w:rPr>
          <w:rFonts w:ascii="Times New Roman" w:hAnsi="Times New Roman"/>
          <w:bCs/>
          <w:sz w:val="24"/>
          <w:szCs w:val="24"/>
          <w:lang w:eastAsia="bg-BG"/>
        </w:rPr>
        <w:t xml:space="preserve"> Ковачев, К</w:t>
      </w:r>
      <w:r>
        <w:rPr>
          <w:rFonts w:ascii="Times New Roman" w:hAnsi="Times New Roman"/>
          <w:bCs/>
          <w:sz w:val="24"/>
          <w:szCs w:val="24"/>
          <w:lang w:eastAsia="bg-BG"/>
        </w:rPr>
        <w:t>.</w:t>
      </w:r>
      <w:r w:rsidRPr="00E8367B">
        <w:rPr>
          <w:rFonts w:ascii="Times New Roman" w:hAnsi="Times New Roman"/>
          <w:bCs/>
          <w:sz w:val="24"/>
          <w:szCs w:val="24"/>
          <w:lang w:eastAsia="bg-BG"/>
        </w:rPr>
        <w:t xml:space="preserve"> Китнаес, Р</w:t>
      </w:r>
      <w:r>
        <w:rPr>
          <w:rFonts w:ascii="Times New Roman" w:hAnsi="Times New Roman"/>
          <w:bCs/>
          <w:sz w:val="24"/>
          <w:szCs w:val="24"/>
          <w:lang w:eastAsia="bg-BG"/>
        </w:rPr>
        <w:t>.</w:t>
      </w:r>
      <w:r w:rsidRPr="00E8367B">
        <w:rPr>
          <w:rFonts w:ascii="Times New Roman" w:hAnsi="Times New Roman"/>
          <w:bCs/>
          <w:sz w:val="24"/>
          <w:szCs w:val="24"/>
          <w:lang w:eastAsia="bg-BG"/>
        </w:rPr>
        <w:t xml:space="preserve"> Цонев, Д</w:t>
      </w:r>
      <w:r>
        <w:rPr>
          <w:rFonts w:ascii="Times New Roman" w:hAnsi="Times New Roman"/>
          <w:bCs/>
          <w:sz w:val="24"/>
          <w:szCs w:val="24"/>
          <w:lang w:eastAsia="bg-BG"/>
        </w:rPr>
        <w:t>.</w:t>
      </w:r>
      <w:r w:rsidRPr="00E8367B">
        <w:rPr>
          <w:rFonts w:ascii="Times New Roman" w:hAnsi="Times New Roman"/>
          <w:bCs/>
          <w:sz w:val="24"/>
          <w:szCs w:val="24"/>
          <w:lang w:eastAsia="bg-BG"/>
        </w:rPr>
        <w:t xml:space="preserve"> Димова, П</w:t>
      </w:r>
      <w:r>
        <w:rPr>
          <w:rFonts w:ascii="Times New Roman" w:hAnsi="Times New Roman"/>
          <w:bCs/>
          <w:sz w:val="24"/>
          <w:szCs w:val="24"/>
          <w:lang w:eastAsia="bg-BG"/>
        </w:rPr>
        <w:t>.</w:t>
      </w:r>
      <w:r w:rsidRPr="00E8367B">
        <w:rPr>
          <w:rFonts w:ascii="Times New Roman" w:hAnsi="Times New Roman"/>
          <w:bCs/>
          <w:sz w:val="24"/>
          <w:szCs w:val="24"/>
          <w:lang w:eastAsia="bg-BG"/>
        </w:rPr>
        <w:t xml:space="preserve"> Цветков (ред.) 2009.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630 стр.</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Официален вестник на Европейския съюз. 2011. Решение за изпълнение на Европейската комисия от 11 юли 2011 година, относно тълкование на формуляра за представяне на информация за зони по Натура 2000 (нотифицирано под номер C(2011) 4892) (2011/484/ЕС). L 198/39. </w:t>
      </w:r>
      <w:hyperlink r:id="rId22" w:history="1">
        <w:r w:rsidRPr="00E8367B">
          <w:rPr>
            <w:rFonts w:ascii="Times New Roman" w:hAnsi="Times New Roman"/>
            <w:bCs/>
            <w:sz w:val="24"/>
            <w:szCs w:val="24"/>
            <w:u w:val="single"/>
            <w:lang w:eastAsia="bg-BG"/>
          </w:rPr>
          <w:t>https://eur-lex.europa.eu/legal-content/BG/TXT/?uri=CELEX:32011D0484</w:t>
        </w:r>
      </w:hyperlink>
      <w:r w:rsidRPr="00E8367B">
        <w:rPr>
          <w:rFonts w:ascii="Times New Roman" w:hAnsi="Times New Roman"/>
          <w:bCs/>
          <w:sz w:val="24"/>
          <w:szCs w:val="24"/>
          <w:lang w:eastAsia="bg-BG"/>
        </w:rPr>
        <w:t>. Последно посетен на 30.09.2021 г.</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План за управление на Поддържан резерват „Сребърна“. </w:t>
      </w:r>
      <w:r w:rsidRPr="00E8367B">
        <w:rPr>
          <w:rFonts w:ascii="Times New Roman" w:hAnsi="Times New Roman"/>
          <w:bCs/>
          <w:sz w:val="24"/>
          <w:szCs w:val="24"/>
          <w:lang w:val="en-US" w:eastAsia="bg-BG"/>
        </w:rPr>
        <w:t xml:space="preserve">2016. </w:t>
      </w:r>
      <w:r w:rsidRPr="00E8367B">
        <w:rPr>
          <w:rFonts w:ascii="Times New Roman" w:hAnsi="Times New Roman"/>
          <w:bCs/>
          <w:sz w:val="24"/>
          <w:szCs w:val="24"/>
          <w:lang w:eastAsia="bg-BG"/>
        </w:rPr>
        <w:t>ОП „Околна среда 2007-2013</w:t>
      </w:r>
      <w:r w:rsidRPr="00E8367B">
        <w:rPr>
          <w:rFonts w:ascii="Times New Roman" w:hAnsi="Times New Roman"/>
          <w:bCs/>
          <w:sz w:val="24"/>
          <w:szCs w:val="24"/>
          <w:lang w:val="en-US" w:eastAsia="bg-BG"/>
        </w:rPr>
        <w:t>”</w:t>
      </w:r>
      <w:r w:rsidRPr="00E8367B">
        <w:rPr>
          <w:rFonts w:ascii="Times New Roman" w:hAnsi="Times New Roman"/>
          <w:bCs/>
          <w:sz w:val="24"/>
          <w:szCs w:val="24"/>
          <w:lang w:eastAsia="bg-BG"/>
        </w:rPr>
        <w:t>. МОСВ.</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План за управление на Защитена местност „Пеликаните“. </w:t>
      </w:r>
      <w:r w:rsidRPr="00E8367B">
        <w:rPr>
          <w:rFonts w:ascii="Times New Roman" w:hAnsi="Times New Roman"/>
          <w:bCs/>
          <w:sz w:val="24"/>
          <w:szCs w:val="24"/>
          <w:lang w:val="en-US" w:eastAsia="bg-BG"/>
        </w:rPr>
        <w:t xml:space="preserve">2016. </w:t>
      </w:r>
      <w:r w:rsidRPr="00E8367B">
        <w:rPr>
          <w:rFonts w:ascii="Times New Roman" w:hAnsi="Times New Roman"/>
          <w:bCs/>
          <w:sz w:val="24"/>
          <w:szCs w:val="24"/>
          <w:lang w:eastAsia="bg-BG"/>
        </w:rPr>
        <w:t>ОП „Околна среда 2007-2013</w:t>
      </w:r>
      <w:r w:rsidRPr="00E8367B">
        <w:rPr>
          <w:rFonts w:ascii="Times New Roman" w:hAnsi="Times New Roman"/>
          <w:bCs/>
          <w:sz w:val="24"/>
          <w:szCs w:val="24"/>
          <w:lang w:val="en-US" w:eastAsia="bg-BG"/>
        </w:rPr>
        <w:t>”</w:t>
      </w:r>
      <w:r w:rsidRPr="00E8367B">
        <w:rPr>
          <w:rFonts w:ascii="Times New Roman" w:hAnsi="Times New Roman"/>
          <w:bCs/>
          <w:sz w:val="24"/>
          <w:szCs w:val="24"/>
          <w:lang w:eastAsia="bg-BG"/>
        </w:rPr>
        <w:t>. МОСВ.</w:t>
      </w:r>
    </w:p>
    <w:p w:rsidR="00E8367B" w:rsidRPr="00E8367B" w:rsidRDefault="00E8367B" w:rsidP="00077290">
      <w:pPr>
        <w:spacing w:after="0" w:line="240" w:lineRule="auto"/>
        <w:ind w:left="709" w:hanging="709"/>
        <w:jc w:val="both"/>
        <w:rPr>
          <w:rFonts w:ascii="Times New Roman" w:hAnsi="Times New Roman"/>
          <w:bCs/>
          <w:sz w:val="24"/>
          <w:szCs w:val="24"/>
          <w:lang w:val="en-GB" w:eastAsia="bg-BG"/>
        </w:rPr>
      </w:pPr>
      <w:r w:rsidRPr="00E8367B">
        <w:rPr>
          <w:rFonts w:ascii="Times New Roman" w:hAnsi="Times New Roman"/>
          <w:bCs/>
          <w:sz w:val="24"/>
          <w:szCs w:val="24"/>
          <w:lang w:val="en-GB" w:eastAsia="bg-BG"/>
        </w:rPr>
        <w:t xml:space="preserve">European commission. The State of Nature in the EU – Article 17 reporting. </w:t>
      </w:r>
      <w:hyperlink r:id="rId23" w:history="1">
        <w:r w:rsidRPr="00E8367B">
          <w:rPr>
            <w:rFonts w:ascii="Times New Roman" w:hAnsi="Times New Roman"/>
            <w:bCs/>
            <w:sz w:val="24"/>
            <w:szCs w:val="24"/>
            <w:u w:val="single"/>
            <w:lang w:val="en-GB" w:eastAsia="bg-BG"/>
          </w:rPr>
          <w:t>https://ec.europa.eu/environment/nature/knowledge/rep_habitats/index_en.htm</w:t>
        </w:r>
      </w:hyperlink>
      <w:r w:rsidRPr="00E8367B">
        <w:rPr>
          <w:rFonts w:ascii="Times New Roman" w:hAnsi="Times New Roman"/>
          <w:bCs/>
          <w:sz w:val="24"/>
          <w:szCs w:val="24"/>
          <w:lang w:val="en-GB" w:eastAsia="bg-BG"/>
        </w:rPr>
        <w:t xml:space="preserve">. Last visited on </w:t>
      </w:r>
      <w:r w:rsidRPr="00E8367B">
        <w:rPr>
          <w:rFonts w:ascii="Times New Roman" w:hAnsi="Times New Roman"/>
          <w:bCs/>
          <w:sz w:val="24"/>
          <w:szCs w:val="24"/>
          <w:lang w:eastAsia="bg-BG"/>
        </w:rPr>
        <w:t xml:space="preserve">18.09.2021. </w:t>
      </w:r>
    </w:p>
    <w:p w:rsidR="00E8367B" w:rsidRDefault="00E8367B" w:rsidP="00E8367B">
      <w:pPr>
        <w:spacing w:before="240" w:after="0" w:line="240" w:lineRule="auto"/>
        <w:contextualSpacing/>
        <w:jc w:val="both"/>
        <w:rPr>
          <w:rFonts w:ascii="Times New Roman" w:hAnsi="Times New Roman"/>
          <w:bCs/>
          <w:i/>
          <w:sz w:val="24"/>
          <w:szCs w:val="24"/>
          <w:lang w:eastAsia="bg-BG"/>
        </w:rPr>
      </w:pPr>
    </w:p>
    <w:p w:rsidR="00E8367B" w:rsidRPr="00E8367B" w:rsidRDefault="00E8367B" w:rsidP="00E8367B">
      <w:pPr>
        <w:spacing w:before="240" w:after="0" w:line="240" w:lineRule="auto"/>
        <w:contextualSpacing/>
        <w:jc w:val="both"/>
        <w:rPr>
          <w:rFonts w:ascii="Times New Roman" w:hAnsi="Times New Roman"/>
          <w:bCs/>
          <w:sz w:val="24"/>
          <w:szCs w:val="24"/>
          <w:lang w:eastAsia="bg-BG"/>
        </w:rPr>
      </w:pPr>
      <w:r w:rsidRPr="00E8367B">
        <w:rPr>
          <w:rFonts w:ascii="Times New Roman" w:hAnsi="Times New Roman"/>
          <w:bCs/>
          <w:i/>
          <w:sz w:val="24"/>
          <w:szCs w:val="24"/>
          <w:lang w:eastAsia="bg-BG"/>
        </w:rPr>
        <w:t>Автори</w:t>
      </w:r>
      <w:r>
        <w:rPr>
          <w:rFonts w:ascii="Times New Roman" w:hAnsi="Times New Roman"/>
          <w:bCs/>
          <w:sz w:val="24"/>
          <w:szCs w:val="24"/>
          <w:lang w:eastAsia="bg-BG"/>
        </w:rPr>
        <w:t>: Цветан Златанов, Георги Хинков, Георги Гогушев, Магдалена Златанова</w:t>
      </w:r>
    </w:p>
    <w:p w:rsidR="00E8367B" w:rsidRDefault="00E8367B">
      <w:pPr>
        <w:rPr>
          <w:rFonts w:ascii="Times New Roman" w:hAnsi="Times New Roman"/>
          <w:b/>
          <w:color w:val="1F497D" w:themeColor="text2"/>
          <w:sz w:val="28"/>
          <w:szCs w:val="28"/>
        </w:rPr>
      </w:pPr>
    </w:p>
    <w:p w:rsidR="0070678B" w:rsidRPr="00E8367B" w:rsidRDefault="00E8367B" w:rsidP="00EC3027">
      <w:pPr>
        <w:outlineLvl w:val="1"/>
        <w:rPr>
          <w:rFonts w:ascii="Times New Roman" w:hAnsi="Times New Roman"/>
          <w:color w:val="1F497D" w:themeColor="text2"/>
          <w:sz w:val="28"/>
          <w:szCs w:val="28"/>
        </w:rPr>
      </w:pPr>
      <w:bookmarkStart w:id="8" w:name="_Toc98838528"/>
      <w:r w:rsidRPr="00E8367B">
        <w:rPr>
          <w:rFonts w:ascii="Times New Roman" w:hAnsi="Times New Roman"/>
          <w:color w:val="1F497D" w:themeColor="text2"/>
          <w:sz w:val="28"/>
          <w:szCs w:val="28"/>
        </w:rPr>
        <w:t xml:space="preserve">Природно местообитание </w:t>
      </w:r>
      <w:r w:rsidR="0070678B" w:rsidRPr="00E8367B">
        <w:rPr>
          <w:rFonts w:ascii="Times New Roman" w:hAnsi="Times New Roman"/>
          <w:color w:val="1F497D" w:themeColor="text2"/>
          <w:sz w:val="28"/>
          <w:szCs w:val="28"/>
        </w:rPr>
        <w:t>91</w:t>
      </w:r>
      <w:r w:rsidR="0070678B" w:rsidRPr="00E8367B">
        <w:rPr>
          <w:rFonts w:ascii="Times New Roman" w:hAnsi="Times New Roman"/>
          <w:color w:val="1F497D" w:themeColor="text2"/>
          <w:sz w:val="28"/>
          <w:szCs w:val="28"/>
          <w:lang w:val="en-US"/>
        </w:rPr>
        <w:t>F0</w:t>
      </w:r>
      <w:r w:rsidRPr="00E8367B">
        <w:rPr>
          <w:rFonts w:ascii="Times New Roman" w:hAnsi="Times New Roman"/>
          <w:color w:val="1F497D" w:themeColor="text2"/>
          <w:sz w:val="28"/>
          <w:szCs w:val="28"/>
        </w:rPr>
        <w:t xml:space="preserve"> Крайречни смесени гори от </w:t>
      </w:r>
      <w:r w:rsidRPr="00E8367B">
        <w:rPr>
          <w:rFonts w:ascii="Times New Roman" w:hAnsi="Times New Roman"/>
          <w:i/>
          <w:color w:val="1F497D" w:themeColor="text2"/>
          <w:sz w:val="28"/>
          <w:szCs w:val="28"/>
        </w:rPr>
        <w:t>Quercus</w:t>
      </w:r>
      <w:r w:rsidRPr="00E8367B">
        <w:rPr>
          <w:rFonts w:ascii="Times New Roman" w:hAnsi="Times New Roman"/>
          <w:color w:val="1F497D" w:themeColor="text2"/>
          <w:sz w:val="28"/>
          <w:szCs w:val="28"/>
        </w:rPr>
        <w:t xml:space="preserve"> </w:t>
      </w:r>
      <w:r w:rsidRPr="00E8367B">
        <w:rPr>
          <w:rFonts w:ascii="Times New Roman" w:hAnsi="Times New Roman"/>
          <w:i/>
          <w:color w:val="1F497D" w:themeColor="text2"/>
          <w:sz w:val="28"/>
          <w:szCs w:val="28"/>
        </w:rPr>
        <w:t>robur, Ulmus laevis</w:t>
      </w:r>
      <w:r w:rsidRPr="00E8367B">
        <w:rPr>
          <w:rFonts w:ascii="Times New Roman" w:hAnsi="Times New Roman"/>
          <w:color w:val="1F497D" w:themeColor="text2"/>
          <w:sz w:val="28"/>
          <w:szCs w:val="28"/>
        </w:rPr>
        <w:t xml:space="preserve"> и </w:t>
      </w:r>
      <w:r w:rsidRPr="00E8367B">
        <w:rPr>
          <w:rFonts w:ascii="Times New Roman" w:hAnsi="Times New Roman"/>
          <w:i/>
          <w:color w:val="1F497D" w:themeColor="text2"/>
          <w:sz w:val="28"/>
          <w:szCs w:val="28"/>
        </w:rPr>
        <w:t>Fraxinus ex</w:t>
      </w:r>
      <w:r w:rsidRPr="00E8367B">
        <w:rPr>
          <w:rFonts w:ascii="Times New Roman" w:hAnsi="Times New Roman"/>
          <w:color w:val="1F497D" w:themeColor="text2"/>
          <w:sz w:val="28"/>
          <w:szCs w:val="28"/>
        </w:rPr>
        <w:t xml:space="preserve">celsior или </w:t>
      </w:r>
      <w:r w:rsidRPr="00E8367B">
        <w:rPr>
          <w:rFonts w:ascii="Times New Roman" w:hAnsi="Times New Roman"/>
          <w:i/>
          <w:color w:val="1F497D" w:themeColor="text2"/>
          <w:sz w:val="28"/>
          <w:szCs w:val="28"/>
        </w:rPr>
        <w:t>Fraxinus ang</w:t>
      </w:r>
      <w:r w:rsidRPr="00E8367B">
        <w:rPr>
          <w:rFonts w:ascii="Times New Roman" w:hAnsi="Times New Roman"/>
          <w:color w:val="1F497D" w:themeColor="text2"/>
          <w:sz w:val="28"/>
          <w:szCs w:val="28"/>
        </w:rPr>
        <w:t>ustifolia покрай големи реки (Ulmenion minoris)</w:t>
      </w:r>
      <w:bookmarkEnd w:id="8"/>
    </w:p>
    <w:p w:rsidR="00E8367B" w:rsidRPr="00E8367B" w:rsidRDefault="00E8367B" w:rsidP="00077290">
      <w:pPr>
        <w:rPr>
          <w:rFonts w:ascii="Times New Roman" w:hAnsi="Times New Roman"/>
          <w:bCs/>
          <w:sz w:val="24"/>
          <w:szCs w:val="24"/>
          <w:lang w:eastAsia="bg-BG"/>
        </w:rPr>
      </w:pPr>
      <w:r w:rsidRPr="00E8367B">
        <w:rPr>
          <w:rFonts w:ascii="Times New Roman" w:hAnsi="Times New Roman"/>
          <w:b/>
          <w:bCs/>
          <w:sz w:val="24"/>
          <w:szCs w:val="24"/>
          <w:lang w:eastAsia="bg-BG"/>
        </w:rPr>
        <w:t>1. Код и наименование на типа местообитание:</w:t>
      </w:r>
      <w:r w:rsidRPr="00E8367B">
        <w:rPr>
          <w:rFonts w:ascii="Times New Roman" w:hAnsi="Times New Roman"/>
          <w:bCs/>
          <w:sz w:val="24"/>
          <w:szCs w:val="24"/>
          <w:lang w:eastAsia="bg-BG"/>
        </w:rPr>
        <w:t xml:space="preserve"> 91F0</w:t>
      </w:r>
      <w:r>
        <w:rPr>
          <w:rFonts w:ascii="Times New Roman" w:hAnsi="Times New Roman"/>
          <w:bCs/>
          <w:sz w:val="24"/>
          <w:szCs w:val="24"/>
          <w:lang w:eastAsia="bg-BG"/>
        </w:rPr>
        <w:t xml:space="preserve"> </w:t>
      </w:r>
      <w:r w:rsidRPr="00E8367B">
        <w:rPr>
          <w:rFonts w:ascii="Times New Roman" w:hAnsi="Times New Roman"/>
          <w:bCs/>
          <w:sz w:val="24"/>
          <w:szCs w:val="24"/>
          <w:lang w:eastAsia="bg-BG"/>
        </w:rPr>
        <w:t xml:space="preserve">Крайречни смесени гори от </w:t>
      </w:r>
      <w:r w:rsidRPr="00E8367B">
        <w:rPr>
          <w:rFonts w:ascii="Times New Roman" w:hAnsi="Times New Roman"/>
          <w:bCs/>
          <w:i/>
          <w:sz w:val="24"/>
          <w:szCs w:val="24"/>
          <w:lang w:eastAsia="bg-BG"/>
        </w:rPr>
        <w:t>Quercus robur</w:t>
      </w:r>
      <w:r w:rsidRPr="00E8367B">
        <w:rPr>
          <w:rFonts w:ascii="Times New Roman" w:hAnsi="Times New Roman"/>
          <w:bCs/>
          <w:sz w:val="24"/>
          <w:szCs w:val="24"/>
          <w:lang w:eastAsia="bg-BG"/>
        </w:rPr>
        <w:t xml:space="preserve">, </w:t>
      </w:r>
      <w:r w:rsidRPr="00E8367B">
        <w:rPr>
          <w:rFonts w:ascii="Times New Roman" w:hAnsi="Times New Roman"/>
          <w:bCs/>
          <w:i/>
          <w:sz w:val="24"/>
          <w:szCs w:val="24"/>
          <w:lang w:eastAsia="bg-BG"/>
        </w:rPr>
        <w:t>Ulmus laevis</w:t>
      </w:r>
      <w:r w:rsidRPr="00E8367B">
        <w:rPr>
          <w:rFonts w:ascii="Times New Roman" w:hAnsi="Times New Roman"/>
          <w:bCs/>
          <w:sz w:val="24"/>
          <w:szCs w:val="24"/>
          <w:lang w:eastAsia="bg-BG"/>
        </w:rPr>
        <w:t xml:space="preserve"> и </w:t>
      </w:r>
      <w:r w:rsidRPr="00E8367B">
        <w:rPr>
          <w:rFonts w:ascii="Times New Roman" w:hAnsi="Times New Roman"/>
          <w:bCs/>
          <w:i/>
          <w:sz w:val="24"/>
          <w:szCs w:val="24"/>
          <w:lang w:eastAsia="bg-BG"/>
        </w:rPr>
        <w:t>Fraxinus excelsior</w:t>
      </w:r>
      <w:r w:rsidRPr="00E8367B">
        <w:rPr>
          <w:rFonts w:ascii="Times New Roman" w:hAnsi="Times New Roman"/>
          <w:bCs/>
          <w:sz w:val="24"/>
          <w:szCs w:val="24"/>
          <w:lang w:eastAsia="bg-BG"/>
        </w:rPr>
        <w:t xml:space="preserve"> или </w:t>
      </w:r>
      <w:r w:rsidRPr="00E8367B">
        <w:rPr>
          <w:rFonts w:ascii="Times New Roman" w:hAnsi="Times New Roman"/>
          <w:bCs/>
          <w:i/>
          <w:sz w:val="24"/>
          <w:szCs w:val="24"/>
          <w:lang w:eastAsia="bg-BG"/>
        </w:rPr>
        <w:t>Fraxinus angusti</w:t>
      </w:r>
      <w:r w:rsidRPr="00E8367B">
        <w:rPr>
          <w:rFonts w:ascii="Times New Roman" w:hAnsi="Times New Roman"/>
          <w:bCs/>
          <w:i/>
          <w:sz w:val="24"/>
          <w:szCs w:val="24"/>
          <w:lang w:val="en-US" w:eastAsia="bg-BG"/>
        </w:rPr>
        <w:t>f</w:t>
      </w:r>
      <w:r w:rsidRPr="00E8367B">
        <w:rPr>
          <w:rFonts w:ascii="Times New Roman" w:hAnsi="Times New Roman"/>
          <w:bCs/>
          <w:i/>
          <w:sz w:val="24"/>
          <w:szCs w:val="24"/>
          <w:lang w:eastAsia="bg-BG"/>
        </w:rPr>
        <w:t>olia</w:t>
      </w:r>
      <w:r w:rsidRPr="00E8367B">
        <w:rPr>
          <w:rFonts w:ascii="Times New Roman" w:hAnsi="Times New Roman"/>
          <w:bCs/>
          <w:sz w:val="24"/>
          <w:szCs w:val="24"/>
          <w:lang w:eastAsia="bg-BG"/>
        </w:rPr>
        <w:t xml:space="preserve"> покрай големи реки (</w:t>
      </w:r>
      <w:r w:rsidRPr="00E8367B">
        <w:rPr>
          <w:rFonts w:ascii="Times New Roman" w:hAnsi="Times New Roman"/>
          <w:bCs/>
          <w:i/>
          <w:sz w:val="24"/>
          <w:szCs w:val="24"/>
          <w:lang w:eastAsia="bg-BG"/>
        </w:rPr>
        <w:t>Ulmenion minoris</w:t>
      </w:r>
      <w:r w:rsidRPr="00E8367B">
        <w:rPr>
          <w:rFonts w:ascii="Times New Roman" w:hAnsi="Times New Roman"/>
          <w:bCs/>
          <w:sz w:val="24"/>
          <w:szCs w:val="24"/>
          <w:lang w:eastAsia="bg-BG"/>
        </w:rPr>
        <w:t>)</w:t>
      </w:r>
    </w:p>
    <w:p w:rsidR="00E8367B" w:rsidRPr="00E8367B" w:rsidRDefault="00E8367B" w:rsidP="00077290">
      <w:pPr>
        <w:spacing w:before="120" w:after="0" w:line="240" w:lineRule="auto"/>
        <w:rPr>
          <w:rFonts w:ascii="Times New Roman" w:hAnsi="Times New Roman"/>
          <w:bCs/>
          <w:sz w:val="24"/>
          <w:szCs w:val="24"/>
          <w:lang w:eastAsia="bg-BG"/>
        </w:rPr>
      </w:pPr>
      <w:r w:rsidRPr="00E8367B">
        <w:rPr>
          <w:rFonts w:ascii="Times New Roman" w:hAnsi="Times New Roman"/>
          <w:b/>
          <w:bCs/>
          <w:sz w:val="24"/>
          <w:szCs w:val="24"/>
          <w:lang w:eastAsia="bg-BG"/>
        </w:rPr>
        <w:t>2. Кратка характеристика на целевия обект</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В това местообитание се включват периодично заливани крайречни смесени широколистни гори, с участие равно на или по-голямо от 3 десети на видовете от род </w:t>
      </w:r>
      <w:r w:rsidRPr="00E8367B">
        <w:rPr>
          <w:rFonts w:ascii="Times New Roman" w:hAnsi="Times New Roman"/>
          <w:bCs/>
          <w:i/>
          <w:sz w:val="24"/>
          <w:szCs w:val="24"/>
          <w:lang w:eastAsia="bg-BG"/>
        </w:rPr>
        <w:t>Quercus</w:t>
      </w:r>
      <w:r w:rsidRPr="00E8367B">
        <w:rPr>
          <w:rFonts w:ascii="Times New Roman" w:hAnsi="Times New Roman"/>
          <w:bCs/>
          <w:sz w:val="24"/>
          <w:szCs w:val="24"/>
          <w:lang w:eastAsia="bg-BG"/>
        </w:rPr>
        <w:t xml:space="preserve"> (</w:t>
      </w:r>
      <w:r w:rsidRPr="00E8367B">
        <w:rPr>
          <w:rFonts w:ascii="Times New Roman" w:hAnsi="Times New Roman"/>
          <w:bCs/>
          <w:i/>
          <w:sz w:val="24"/>
          <w:szCs w:val="24"/>
          <w:lang w:eastAsia="bg-BG"/>
        </w:rPr>
        <w:t>Q</w:t>
      </w:r>
      <w:r w:rsidRPr="00E8367B">
        <w:rPr>
          <w:rFonts w:ascii="Times New Roman" w:hAnsi="Times New Roman"/>
          <w:bCs/>
          <w:sz w:val="24"/>
          <w:szCs w:val="24"/>
          <w:lang w:eastAsia="bg-BG"/>
        </w:rPr>
        <w:t xml:space="preserve">. </w:t>
      </w:r>
      <w:r w:rsidRPr="00E8367B">
        <w:rPr>
          <w:rFonts w:ascii="Times New Roman" w:hAnsi="Times New Roman"/>
          <w:bCs/>
          <w:i/>
          <w:sz w:val="24"/>
          <w:szCs w:val="24"/>
          <w:lang w:eastAsia="bg-BG"/>
        </w:rPr>
        <w:t>robur</w:t>
      </w:r>
      <w:r w:rsidRPr="00E8367B">
        <w:rPr>
          <w:rFonts w:ascii="Times New Roman" w:hAnsi="Times New Roman"/>
          <w:bCs/>
          <w:sz w:val="24"/>
          <w:szCs w:val="24"/>
          <w:lang w:eastAsia="bg-BG"/>
        </w:rPr>
        <w:t xml:space="preserve"> и </w:t>
      </w:r>
      <w:r w:rsidRPr="00E8367B">
        <w:rPr>
          <w:rFonts w:ascii="Times New Roman" w:hAnsi="Times New Roman"/>
          <w:bCs/>
          <w:i/>
          <w:sz w:val="24"/>
          <w:szCs w:val="24"/>
          <w:lang w:eastAsia="bg-BG"/>
        </w:rPr>
        <w:t>Q</w:t>
      </w:r>
      <w:r w:rsidRPr="00E8367B">
        <w:rPr>
          <w:rFonts w:ascii="Times New Roman" w:hAnsi="Times New Roman"/>
          <w:bCs/>
          <w:sz w:val="24"/>
          <w:szCs w:val="24"/>
          <w:lang w:eastAsia="bg-BG"/>
        </w:rPr>
        <w:t xml:space="preserve">. </w:t>
      </w:r>
      <w:r w:rsidRPr="00E8367B">
        <w:rPr>
          <w:rFonts w:ascii="Times New Roman" w:hAnsi="Times New Roman"/>
          <w:bCs/>
          <w:i/>
          <w:sz w:val="24"/>
          <w:szCs w:val="24"/>
          <w:lang w:eastAsia="bg-BG"/>
        </w:rPr>
        <w:t>pedunculiflora</w:t>
      </w:r>
      <w:r w:rsidRPr="00E8367B">
        <w:rPr>
          <w:rFonts w:ascii="Times New Roman" w:hAnsi="Times New Roman"/>
          <w:bCs/>
          <w:sz w:val="24"/>
          <w:szCs w:val="24"/>
          <w:lang w:eastAsia="bg-BG"/>
        </w:rPr>
        <w:t xml:space="preserve">), </w:t>
      </w:r>
      <w:r w:rsidRPr="00E8367B">
        <w:rPr>
          <w:rFonts w:ascii="Times New Roman" w:hAnsi="Times New Roman"/>
          <w:bCs/>
          <w:i/>
          <w:sz w:val="24"/>
          <w:szCs w:val="24"/>
          <w:lang w:eastAsia="bg-BG"/>
        </w:rPr>
        <w:t>Ulmus</w:t>
      </w:r>
      <w:r w:rsidRPr="00E8367B">
        <w:rPr>
          <w:rFonts w:ascii="Times New Roman" w:hAnsi="Times New Roman"/>
          <w:bCs/>
          <w:sz w:val="24"/>
          <w:szCs w:val="24"/>
          <w:lang w:eastAsia="bg-BG"/>
        </w:rPr>
        <w:t xml:space="preserve"> и </w:t>
      </w:r>
      <w:r w:rsidRPr="00E8367B">
        <w:rPr>
          <w:rFonts w:ascii="Times New Roman" w:hAnsi="Times New Roman"/>
          <w:bCs/>
          <w:i/>
          <w:sz w:val="24"/>
          <w:szCs w:val="24"/>
          <w:lang w:eastAsia="bg-BG"/>
        </w:rPr>
        <w:t>Fraxinus</w:t>
      </w:r>
      <w:r w:rsidRPr="00E8367B">
        <w:rPr>
          <w:rFonts w:ascii="Times New Roman" w:hAnsi="Times New Roman"/>
          <w:bCs/>
          <w:sz w:val="24"/>
          <w:szCs w:val="24"/>
          <w:lang w:eastAsia="bg-BG"/>
        </w:rPr>
        <w:t>. Почвата може добре да изсъхва между заливанията или да остава преовлажнена. Тези гори са се развили на по-нови алувиални наслаги. Разграничават се три подтипа:</w:t>
      </w:r>
      <w:r w:rsidRPr="00E8367B">
        <w:rPr>
          <w:rFonts w:ascii="Times New Roman" w:hAnsi="Times New Roman"/>
          <w:sz w:val="24"/>
          <w:szCs w:val="24"/>
        </w:rPr>
        <w:t xml:space="preserve"> </w:t>
      </w:r>
      <w:r w:rsidRPr="00E8367B">
        <w:rPr>
          <w:rFonts w:ascii="Times New Roman" w:hAnsi="Times New Roman"/>
          <w:bCs/>
          <w:sz w:val="24"/>
          <w:szCs w:val="24"/>
          <w:lang w:eastAsia="bg-BG"/>
        </w:rPr>
        <w:t xml:space="preserve">Лонгозни гори (асоциация </w:t>
      </w:r>
      <w:r w:rsidRPr="00E8367B">
        <w:rPr>
          <w:rFonts w:ascii="Times New Roman" w:hAnsi="Times New Roman"/>
          <w:bCs/>
          <w:i/>
          <w:sz w:val="24"/>
          <w:szCs w:val="24"/>
          <w:lang w:eastAsia="bg-BG"/>
        </w:rPr>
        <w:t>Smilaco excelsae</w:t>
      </w:r>
      <w:r w:rsidRPr="00E8367B">
        <w:rPr>
          <w:rFonts w:ascii="Times New Roman" w:hAnsi="Times New Roman"/>
          <w:bCs/>
          <w:sz w:val="24"/>
          <w:szCs w:val="24"/>
          <w:lang w:eastAsia="bg-BG"/>
        </w:rPr>
        <w:t>-</w:t>
      </w:r>
      <w:r w:rsidRPr="00E8367B">
        <w:rPr>
          <w:rFonts w:ascii="Times New Roman" w:hAnsi="Times New Roman"/>
          <w:bCs/>
          <w:i/>
          <w:sz w:val="24"/>
          <w:szCs w:val="24"/>
          <w:lang w:eastAsia="bg-BG"/>
        </w:rPr>
        <w:t>Fraxinetum oxycarpae</w:t>
      </w:r>
      <w:r w:rsidRPr="00E8367B">
        <w:rPr>
          <w:rFonts w:ascii="Times New Roman" w:hAnsi="Times New Roman"/>
          <w:bCs/>
          <w:sz w:val="24"/>
          <w:szCs w:val="24"/>
          <w:lang w:eastAsia="bg-BG"/>
        </w:rPr>
        <w:t xml:space="preserve">). Това са заливни гори, с участие на </w:t>
      </w:r>
      <w:r w:rsidRPr="00E8367B">
        <w:rPr>
          <w:rFonts w:ascii="Times New Roman" w:hAnsi="Times New Roman"/>
          <w:bCs/>
          <w:i/>
          <w:sz w:val="24"/>
          <w:szCs w:val="24"/>
          <w:lang w:eastAsia="bg-BG"/>
        </w:rPr>
        <w:t>Quercus robur</w:t>
      </w:r>
      <w:r w:rsidRPr="00E8367B">
        <w:rPr>
          <w:rFonts w:ascii="Times New Roman" w:hAnsi="Times New Roman"/>
          <w:bCs/>
          <w:sz w:val="24"/>
          <w:szCs w:val="24"/>
          <w:lang w:eastAsia="bg-BG"/>
        </w:rPr>
        <w:t xml:space="preserve">, </w:t>
      </w:r>
      <w:r w:rsidRPr="00E8367B">
        <w:rPr>
          <w:rFonts w:ascii="Times New Roman" w:hAnsi="Times New Roman"/>
          <w:bCs/>
          <w:i/>
          <w:sz w:val="24"/>
          <w:szCs w:val="24"/>
          <w:lang w:eastAsia="bg-BG"/>
        </w:rPr>
        <w:t>Fraxinus oxycarpa</w:t>
      </w:r>
      <w:r w:rsidRPr="00E8367B">
        <w:rPr>
          <w:rFonts w:ascii="Times New Roman" w:hAnsi="Times New Roman"/>
          <w:bCs/>
          <w:sz w:val="24"/>
          <w:szCs w:val="24"/>
          <w:lang w:eastAsia="bg-BG"/>
        </w:rPr>
        <w:t xml:space="preserve"> и </w:t>
      </w:r>
      <w:r w:rsidRPr="00E8367B">
        <w:rPr>
          <w:rFonts w:ascii="Times New Roman" w:hAnsi="Times New Roman"/>
          <w:bCs/>
          <w:i/>
          <w:sz w:val="24"/>
          <w:szCs w:val="24"/>
          <w:lang w:eastAsia="bg-BG"/>
        </w:rPr>
        <w:t>Ulmus minor</w:t>
      </w:r>
      <w:r w:rsidRPr="00E8367B">
        <w:rPr>
          <w:rFonts w:ascii="Times New Roman" w:hAnsi="Times New Roman"/>
          <w:bCs/>
          <w:sz w:val="24"/>
          <w:szCs w:val="24"/>
          <w:lang w:eastAsia="bg-BG"/>
        </w:rPr>
        <w:t xml:space="preserve">, и наличие на лиани; Влажни низинни дъбови гори - асоциация </w:t>
      </w:r>
      <w:r w:rsidRPr="00E8367B">
        <w:rPr>
          <w:rFonts w:ascii="Times New Roman" w:hAnsi="Times New Roman"/>
          <w:bCs/>
          <w:i/>
          <w:sz w:val="24"/>
          <w:szCs w:val="24"/>
          <w:lang w:eastAsia="bg-BG"/>
        </w:rPr>
        <w:t>Scutellaria altissimae</w:t>
      </w:r>
      <w:r w:rsidRPr="00E8367B">
        <w:rPr>
          <w:rFonts w:ascii="Times New Roman" w:hAnsi="Times New Roman"/>
          <w:bCs/>
          <w:sz w:val="24"/>
          <w:szCs w:val="24"/>
          <w:lang w:eastAsia="bg-BG"/>
        </w:rPr>
        <w:t>-</w:t>
      </w:r>
      <w:r w:rsidRPr="00E8367B">
        <w:rPr>
          <w:rFonts w:ascii="Times New Roman" w:hAnsi="Times New Roman"/>
          <w:bCs/>
          <w:i/>
          <w:sz w:val="24"/>
          <w:szCs w:val="24"/>
          <w:lang w:eastAsia="bg-BG"/>
        </w:rPr>
        <w:t>Quercetum roboris</w:t>
      </w:r>
      <w:r w:rsidRPr="00E8367B">
        <w:rPr>
          <w:rFonts w:ascii="Times New Roman" w:hAnsi="Times New Roman"/>
          <w:bCs/>
          <w:sz w:val="24"/>
          <w:szCs w:val="24"/>
          <w:lang w:eastAsia="bg-BG"/>
        </w:rPr>
        <w:t xml:space="preserve">. Включват високи многоетажни гори, доминирани от </w:t>
      </w:r>
      <w:r w:rsidRPr="00E8367B">
        <w:rPr>
          <w:rFonts w:ascii="Times New Roman" w:hAnsi="Times New Roman"/>
          <w:bCs/>
          <w:i/>
          <w:sz w:val="24"/>
          <w:szCs w:val="24"/>
          <w:lang w:eastAsia="bg-BG"/>
        </w:rPr>
        <w:t>Quercus robur</w:t>
      </w:r>
      <w:r w:rsidRPr="00E8367B">
        <w:rPr>
          <w:rFonts w:ascii="Times New Roman" w:hAnsi="Times New Roman"/>
          <w:bCs/>
          <w:sz w:val="24"/>
          <w:szCs w:val="24"/>
          <w:lang w:eastAsia="bg-BG"/>
        </w:rPr>
        <w:t xml:space="preserve"> или </w:t>
      </w:r>
      <w:r w:rsidRPr="00E8367B">
        <w:rPr>
          <w:rFonts w:ascii="Times New Roman" w:hAnsi="Times New Roman"/>
          <w:bCs/>
          <w:i/>
          <w:sz w:val="24"/>
          <w:szCs w:val="24"/>
          <w:lang w:eastAsia="bg-BG"/>
        </w:rPr>
        <w:t>Quercus pedunculiflora</w:t>
      </w:r>
      <w:r w:rsidRPr="00E8367B">
        <w:rPr>
          <w:rFonts w:ascii="Times New Roman" w:hAnsi="Times New Roman"/>
          <w:bCs/>
          <w:sz w:val="24"/>
          <w:szCs w:val="24"/>
          <w:lang w:eastAsia="bg-BG"/>
        </w:rPr>
        <w:t xml:space="preserve"> и участие на лиани, но значително по-малко в сравнение с лонгозните гори; Тракийски гори от </w:t>
      </w:r>
      <w:r w:rsidRPr="00E8367B">
        <w:rPr>
          <w:rFonts w:ascii="Times New Roman" w:hAnsi="Times New Roman"/>
          <w:bCs/>
          <w:i/>
          <w:sz w:val="24"/>
          <w:szCs w:val="24"/>
          <w:lang w:eastAsia="bg-BG"/>
        </w:rPr>
        <w:t xml:space="preserve">Quercus </w:t>
      </w:r>
      <w:r w:rsidRPr="00E8367B">
        <w:rPr>
          <w:rFonts w:ascii="Times New Roman" w:hAnsi="Times New Roman"/>
          <w:bCs/>
          <w:i/>
          <w:sz w:val="24"/>
          <w:szCs w:val="24"/>
          <w:lang w:eastAsia="bg-BG"/>
        </w:rPr>
        <w:lastRenderedPageBreak/>
        <w:t>pedunculiflora</w:t>
      </w:r>
      <w:r w:rsidRPr="00E8367B">
        <w:rPr>
          <w:rFonts w:ascii="Times New Roman" w:hAnsi="Times New Roman"/>
          <w:bCs/>
          <w:sz w:val="24"/>
          <w:szCs w:val="24"/>
          <w:lang w:eastAsia="bg-BG"/>
        </w:rPr>
        <w:t xml:space="preserve">. Представляват най-сухият вариант на низинните влажни дъбови гори. Това са съобщества от </w:t>
      </w:r>
      <w:r w:rsidRPr="00E8367B">
        <w:rPr>
          <w:rFonts w:ascii="Times New Roman" w:hAnsi="Times New Roman"/>
          <w:bCs/>
          <w:i/>
          <w:sz w:val="24"/>
          <w:szCs w:val="24"/>
          <w:lang w:eastAsia="bg-BG"/>
        </w:rPr>
        <w:t>Quercus pedunculiflora</w:t>
      </w:r>
      <w:r w:rsidRPr="00E8367B">
        <w:rPr>
          <w:rFonts w:ascii="Times New Roman" w:hAnsi="Times New Roman"/>
          <w:bCs/>
          <w:sz w:val="24"/>
          <w:szCs w:val="24"/>
          <w:lang w:eastAsia="bg-BG"/>
        </w:rPr>
        <w:t xml:space="preserve"> или с преобладаване на този вид в равнините. Видовият състав е богат, като включва както влаголюбиви крайречни растения, така и видове, характерни за зоналната растителност, в която са разположени съобществата.</w:t>
      </w:r>
    </w:p>
    <w:p w:rsidR="00E8367B" w:rsidRPr="00077290" w:rsidRDefault="00E8367B" w:rsidP="00077290">
      <w:pPr>
        <w:spacing w:before="120"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3. Състояние на биогеографско ниво и разпространение в мрежата</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Съгласно картирането извършено през периода 2011–2013 година, местообитание 91F0 е разпространено в Черноморския и Континенталния биогеографски </w:t>
      </w:r>
      <w:r>
        <w:rPr>
          <w:rFonts w:ascii="Times New Roman" w:hAnsi="Times New Roman"/>
          <w:bCs/>
          <w:sz w:val="24"/>
          <w:szCs w:val="24"/>
          <w:lang w:eastAsia="bg-BG"/>
        </w:rPr>
        <w:t>региони</w:t>
      </w:r>
      <w:r w:rsidRPr="00E8367B">
        <w:rPr>
          <w:rFonts w:ascii="Times New Roman" w:hAnsi="Times New Roman"/>
          <w:bCs/>
          <w:sz w:val="24"/>
          <w:szCs w:val="24"/>
          <w:lang w:eastAsia="bg-BG"/>
        </w:rPr>
        <w:t xml:space="preserve">. При докладването, съгласно чл. 17 от Директивата за местообитанията през 2019 г., природното </w:t>
      </w:r>
      <w:r w:rsidRPr="00EC3027">
        <w:rPr>
          <w:rFonts w:ascii="Times New Roman" w:hAnsi="Times New Roman"/>
          <w:bCs/>
          <w:sz w:val="24"/>
          <w:szCs w:val="24"/>
          <w:lang w:eastAsia="bg-BG"/>
        </w:rPr>
        <w:t>местообитание</w:t>
      </w:r>
      <w:r w:rsidRPr="00E8367B">
        <w:rPr>
          <w:rFonts w:ascii="Times New Roman" w:hAnsi="Times New Roman"/>
          <w:bCs/>
          <w:sz w:val="24"/>
          <w:szCs w:val="24"/>
          <w:lang w:eastAsia="bg-BG"/>
        </w:rPr>
        <w:t xml:space="preserve"> е посочено в благоприятно състояние по отношение на Площ на разпространение, Площ, покрита от местообитанието и Структура и функции в Черноморския и Континенталния биогеографски </w:t>
      </w:r>
      <w:r>
        <w:rPr>
          <w:rFonts w:ascii="Times New Roman" w:hAnsi="Times New Roman"/>
          <w:bCs/>
          <w:sz w:val="24"/>
          <w:szCs w:val="24"/>
          <w:lang w:eastAsia="bg-BG"/>
        </w:rPr>
        <w:t>региони</w:t>
      </w:r>
      <w:r w:rsidRPr="00E8367B">
        <w:rPr>
          <w:rFonts w:ascii="Times New Roman" w:hAnsi="Times New Roman"/>
          <w:bCs/>
          <w:sz w:val="24"/>
          <w:szCs w:val="24"/>
          <w:lang w:eastAsia="bg-BG"/>
        </w:rPr>
        <w:t xml:space="preserve">. Тъй като при докладването през 2019 година са посочени някои влияния и заплахи, които оказват съществено влияние върху структурата и функциите на местообитанието в Черноморския и Континенталния биогеографски </w:t>
      </w:r>
      <w:r>
        <w:rPr>
          <w:rFonts w:ascii="Times New Roman" w:hAnsi="Times New Roman"/>
          <w:bCs/>
          <w:sz w:val="24"/>
          <w:szCs w:val="24"/>
          <w:lang w:eastAsia="bg-BG"/>
        </w:rPr>
        <w:t>региони</w:t>
      </w:r>
      <w:r w:rsidRPr="00E8367B">
        <w:rPr>
          <w:rFonts w:ascii="Times New Roman" w:hAnsi="Times New Roman"/>
          <w:bCs/>
          <w:sz w:val="24"/>
          <w:szCs w:val="24"/>
          <w:lang w:eastAsia="bg-BG"/>
        </w:rPr>
        <w:t xml:space="preserve">, то има достатъчно основания, неблагоприятно-незадоволителната оценката на състоянието по критерий „Структура и функции“ от 2013 година да се счита все още за валидна. Най-значителните влияния и заплахи са Промяна на водния режим, Неправилно планирани и изведени сечи, Интензивна паша и Строителство и инфраструктура. </w:t>
      </w:r>
    </w:p>
    <w:p w:rsidR="00E8367B" w:rsidRPr="00E8367B" w:rsidRDefault="00E8367B" w:rsidP="00077290">
      <w:pPr>
        <w:spacing w:before="120"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 xml:space="preserve">4. Състояние на ниво защитена зона </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Съгласно Стандартния формуляр (последно актуализиран през Декември 2018), състоянието на местообитанието в защитената зона е както следва:</w:t>
      </w:r>
    </w:p>
    <w:p w:rsidR="00E8367B" w:rsidRPr="00E8367B" w:rsidRDefault="00E8367B" w:rsidP="00077290">
      <w:pPr>
        <w:rPr>
          <w:rFonts w:ascii="Times New Roman" w:hAnsi="Times New Roman"/>
          <w:bCs/>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794"/>
        <w:gridCol w:w="826"/>
        <w:gridCol w:w="1099"/>
        <w:gridCol w:w="1906"/>
        <w:gridCol w:w="763"/>
        <w:gridCol w:w="1298"/>
        <w:gridCol w:w="869"/>
      </w:tblGrid>
      <w:tr w:rsidR="00E8367B" w:rsidRPr="00482F18" w:rsidTr="00E8367B">
        <w:trPr>
          <w:cantSplit/>
          <w:trHeight w:val="823"/>
          <w:tblHeader/>
          <w:jc w:val="center"/>
        </w:trPr>
        <w:tc>
          <w:tcPr>
            <w:tcW w:w="12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Код</w:t>
            </w:r>
          </w:p>
        </w:tc>
        <w:tc>
          <w:tcPr>
            <w:tcW w:w="33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Местообитание</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Площ</w:t>
            </w:r>
          </w:p>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(ха)</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Качество на данните</w:t>
            </w:r>
          </w:p>
        </w:tc>
        <w:tc>
          <w:tcPr>
            <w:tcW w:w="208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Представителност</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Площ</w:t>
            </w:r>
          </w:p>
        </w:tc>
        <w:tc>
          <w:tcPr>
            <w:tcW w:w="16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Степен на съхранение</w:t>
            </w:r>
          </w:p>
        </w:tc>
        <w:tc>
          <w:tcPr>
            <w:tcW w:w="10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Обща оценка</w:t>
            </w:r>
          </w:p>
        </w:tc>
      </w:tr>
      <w:tr w:rsidR="00E8367B" w:rsidRPr="00E8367B" w:rsidTr="00E8367B">
        <w:trPr>
          <w:jc w:val="center"/>
        </w:trPr>
        <w:tc>
          <w:tcPr>
            <w:tcW w:w="1270"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91F0</w:t>
            </w:r>
          </w:p>
        </w:tc>
        <w:tc>
          <w:tcPr>
            <w:tcW w:w="3340" w:type="dxa"/>
            <w:tcBorders>
              <w:top w:val="single" w:sz="4" w:space="0" w:color="auto"/>
              <w:left w:val="single" w:sz="4" w:space="0" w:color="auto"/>
              <w:bottom w:val="single" w:sz="4" w:space="0" w:color="auto"/>
              <w:right w:val="single" w:sz="4" w:space="0" w:color="auto"/>
            </w:tcBorders>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Крайречни смесени гори от </w:t>
            </w:r>
            <w:r w:rsidRPr="00E8367B">
              <w:rPr>
                <w:rFonts w:ascii="Times New Roman" w:hAnsi="Times New Roman"/>
                <w:bCs/>
                <w:i/>
                <w:lang w:eastAsia="bg-BG"/>
              </w:rPr>
              <w:t>Quercus robur</w:t>
            </w:r>
            <w:r w:rsidRPr="00E8367B">
              <w:rPr>
                <w:rFonts w:ascii="Times New Roman" w:hAnsi="Times New Roman"/>
                <w:bCs/>
                <w:lang w:eastAsia="bg-BG"/>
              </w:rPr>
              <w:t xml:space="preserve">, </w:t>
            </w:r>
            <w:r w:rsidRPr="00E8367B">
              <w:rPr>
                <w:rFonts w:ascii="Times New Roman" w:hAnsi="Times New Roman"/>
                <w:bCs/>
                <w:i/>
                <w:lang w:eastAsia="bg-BG"/>
              </w:rPr>
              <w:t>Ulmus laevis</w:t>
            </w:r>
            <w:r w:rsidRPr="00E8367B">
              <w:rPr>
                <w:rFonts w:ascii="Times New Roman" w:hAnsi="Times New Roman"/>
                <w:bCs/>
                <w:lang w:eastAsia="bg-BG"/>
              </w:rPr>
              <w:t xml:space="preserve"> и </w:t>
            </w:r>
            <w:r w:rsidRPr="00E8367B">
              <w:rPr>
                <w:rFonts w:ascii="Times New Roman" w:hAnsi="Times New Roman"/>
                <w:bCs/>
                <w:i/>
                <w:lang w:eastAsia="bg-BG"/>
              </w:rPr>
              <w:t>Fraxinus excelsior</w:t>
            </w:r>
            <w:r w:rsidRPr="00E8367B">
              <w:rPr>
                <w:rFonts w:ascii="Times New Roman" w:hAnsi="Times New Roman"/>
                <w:bCs/>
                <w:lang w:eastAsia="bg-BG"/>
              </w:rPr>
              <w:t xml:space="preserve"> или </w:t>
            </w:r>
            <w:r w:rsidRPr="00E8367B">
              <w:rPr>
                <w:rFonts w:ascii="Times New Roman" w:hAnsi="Times New Roman"/>
                <w:bCs/>
                <w:i/>
                <w:lang w:eastAsia="bg-BG"/>
              </w:rPr>
              <w:t>Fraxinus angusti</w:t>
            </w:r>
            <w:r w:rsidRPr="00E8367B">
              <w:rPr>
                <w:rFonts w:ascii="Times New Roman" w:hAnsi="Times New Roman"/>
                <w:bCs/>
                <w:i/>
                <w:lang w:val="en-US" w:eastAsia="bg-BG"/>
              </w:rPr>
              <w:t>f</w:t>
            </w:r>
            <w:r w:rsidRPr="00E8367B">
              <w:rPr>
                <w:rFonts w:ascii="Times New Roman" w:hAnsi="Times New Roman"/>
                <w:bCs/>
                <w:i/>
                <w:lang w:eastAsia="bg-BG"/>
              </w:rPr>
              <w:t>olia</w:t>
            </w:r>
            <w:r w:rsidRPr="00E8367B">
              <w:rPr>
                <w:rFonts w:ascii="Times New Roman" w:hAnsi="Times New Roman"/>
                <w:bCs/>
                <w:lang w:eastAsia="bg-BG"/>
              </w:rPr>
              <w:t xml:space="preserve"> </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покрай големи реки (</w:t>
            </w:r>
            <w:r w:rsidRPr="00E8367B">
              <w:rPr>
                <w:rFonts w:ascii="Times New Roman" w:hAnsi="Times New Roman"/>
                <w:bCs/>
                <w:i/>
                <w:lang w:eastAsia="bg-BG"/>
              </w:rPr>
              <w:t>Ulmenion minoris</w:t>
            </w:r>
            <w:r w:rsidRPr="00E8367B">
              <w:rPr>
                <w:rFonts w:ascii="Times New Roman" w:hAnsi="Times New Roman"/>
                <w:bCs/>
                <w:lang w:eastAsia="bg-BG"/>
              </w:rPr>
              <w:t>)</w:t>
            </w:r>
          </w:p>
        </w:tc>
        <w:tc>
          <w:tcPr>
            <w:tcW w:w="1454"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11.44</w:t>
            </w:r>
          </w:p>
        </w:tc>
        <w:tc>
          <w:tcPr>
            <w:tcW w:w="1454"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val="en-US" w:eastAsia="bg-BG"/>
              </w:rPr>
              <w:t>G</w:t>
            </w:r>
            <w:r w:rsidRPr="00E8367B">
              <w:rPr>
                <w:rFonts w:ascii="Times New Roman" w:hAnsi="Times New Roman"/>
                <w:bCs/>
                <w:lang w:eastAsia="bg-BG"/>
              </w:rPr>
              <w:t xml:space="preserve"> </w:t>
            </w:r>
          </w:p>
        </w:tc>
        <w:tc>
          <w:tcPr>
            <w:tcW w:w="2089"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c>
          <w:tcPr>
            <w:tcW w:w="851"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w:t>
            </w:r>
          </w:p>
        </w:tc>
        <w:tc>
          <w:tcPr>
            <w:tcW w:w="1654"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c>
          <w:tcPr>
            <w:tcW w:w="1028"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r>
    </w:tbl>
    <w:p w:rsidR="00E8367B" w:rsidRPr="00E8367B" w:rsidRDefault="00E8367B" w:rsidP="00077290">
      <w:pPr>
        <w:rPr>
          <w:rFonts w:ascii="Times New Roman" w:hAnsi="Times New Roman"/>
          <w:bCs/>
          <w:sz w:val="24"/>
          <w:szCs w:val="24"/>
          <w:lang w:eastAsia="bg-BG"/>
        </w:rPr>
      </w:pP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Качеството на данните е оценено като </w:t>
      </w:r>
      <w:r w:rsidRPr="00E8367B">
        <w:rPr>
          <w:rFonts w:ascii="Times New Roman" w:hAnsi="Times New Roman"/>
          <w:bCs/>
          <w:sz w:val="24"/>
          <w:szCs w:val="24"/>
          <w:lang w:val="en-US" w:eastAsia="bg-BG"/>
        </w:rPr>
        <w:t>G</w:t>
      </w:r>
      <w:r w:rsidRPr="00E8367B">
        <w:rPr>
          <w:rFonts w:ascii="Times New Roman" w:hAnsi="Times New Roman"/>
          <w:bCs/>
          <w:sz w:val="24"/>
          <w:szCs w:val="24"/>
          <w:lang w:eastAsia="bg-BG"/>
        </w:rPr>
        <w:t xml:space="preserve"> или добро, което означава че определянето на състоянието на местообитанието се основава на изследвания. Представителността е </w:t>
      </w:r>
      <w:r w:rsidRPr="00E8367B">
        <w:rPr>
          <w:rFonts w:ascii="Times New Roman" w:hAnsi="Times New Roman"/>
          <w:bCs/>
          <w:sz w:val="24"/>
          <w:szCs w:val="24"/>
          <w:lang w:val="en-US" w:eastAsia="bg-BG"/>
        </w:rPr>
        <w:t>B</w:t>
      </w:r>
      <w:r w:rsidRPr="00E8367B">
        <w:rPr>
          <w:rFonts w:ascii="Times New Roman" w:hAnsi="Times New Roman"/>
          <w:bCs/>
          <w:sz w:val="24"/>
          <w:szCs w:val="24"/>
          <w:lang w:eastAsia="bg-BG"/>
        </w:rPr>
        <w:t xml:space="preserve"> или добра, като местообитанието е типично за защитената зона и неговото опазване е важно при нейното управление. Оценката за площ е C, като процентното съотношение (p) на площта на местообитанието в зоната, спрямо площта </w:t>
      </w:r>
      <w:r w:rsidRPr="00E8367B">
        <w:rPr>
          <w:rFonts w:ascii="Times New Roman" w:hAnsi="Times New Roman"/>
          <w:bCs/>
          <w:sz w:val="24"/>
          <w:szCs w:val="24"/>
          <w:lang w:eastAsia="bg-BG"/>
        </w:rPr>
        <w:lastRenderedPageBreak/>
        <w:t xml:space="preserve">му в национален мащаб е 2% ≥ p &gt; 0%. Степента на съхранение е B, което определя местообитанието като такова с добро съхранение. Общата оценка е </w:t>
      </w:r>
      <w:r w:rsidRPr="00E8367B">
        <w:rPr>
          <w:rFonts w:ascii="Times New Roman" w:hAnsi="Times New Roman"/>
          <w:bCs/>
          <w:sz w:val="24"/>
          <w:szCs w:val="24"/>
          <w:lang w:val="en-US" w:eastAsia="bg-BG"/>
        </w:rPr>
        <w:t>B</w:t>
      </w:r>
      <w:r w:rsidRPr="00E8367B">
        <w:rPr>
          <w:rFonts w:ascii="Times New Roman" w:hAnsi="Times New Roman"/>
          <w:bCs/>
          <w:sz w:val="24"/>
          <w:szCs w:val="24"/>
          <w:lang w:eastAsia="bg-BG"/>
        </w:rPr>
        <w:t>.</w:t>
      </w:r>
    </w:p>
    <w:p w:rsidR="00E8367B" w:rsidRPr="00E8367B" w:rsidRDefault="00E8367B" w:rsidP="00077290">
      <w:pPr>
        <w:spacing w:before="120" w:after="0" w:line="240" w:lineRule="auto"/>
        <w:rPr>
          <w:rFonts w:ascii="Times New Roman" w:hAnsi="Times New Roman"/>
          <w:b/>
          <w:bCs/>
          <w:sz w:val="24"/>
          <w:szCs w:val="24"/>
          <w:lang w:eastAsia="bg-BG"/>
        </w:rPr>
      </w:pPr>
      <w:r>
        <w:rPr>
          <w:rFonts w:ascii="Times New Roman" w:hAnsi="Times New Roman"/>
          <w:b/>
          <w:bCs/>
          <w:sz w:val="24"/>
          <w:szCs w:val="24"/>
          <w:lang w:eastAsia="bg-BG"/>
        </w:rPr>
        <w:t xml:space="preserve">5. </w:t>
      </w:r>
      <w:r w:rsidRPr="00E8367B">
        <w:rPr>
          <w:rFonts w:ascii="Times New Roman" w:hAnsi="Times New Roman"/>
          <w:b/>
          <w:bCs/>
          <w:sz w:val="24"/>
          <w:szCs w:val="24"/>
          <w:lang w:eastAsia="bg-BG"/>
        </w:rPr>
        <w:t xml:space="preserve">Анализ на наличната информация  </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При изработката на настоящия документ е използвана информацията за разпространението и състоянието на местообитанието, предоставена в Информационната система за защитени зони от екологична мрежа Натура 2000, Горската инвентаризация и Докладванията по член 17 от 2013 г. и 2019 г. Необходимо е да се отбележи, че полигоните на местообитанието не съвпадат пространствено с подотделите на горската инвентаризация. Поради тази причина, показателите на състоянието на местообитанието, налични в горската база данни не може да се използват директно, а само експертно, едновременно с оглед на ортофото изображения и след теренни проучвания. През 2021 година, беше извършено теренно проучване за актуализация на наличната информация на състоянието на местообитанието в зоната. Въз основа на анализ на данните от горската инвентаризация и на ортофото изображения, бяха избрани места за верификация на присъствие на местообитанието, както в полигони, където то вече е регистрирано, така и на потенциално нови места. Местата за верификация представляват кръг с радиус около 10 м. Наред с верификациите за присъствие беше извършена и експертна оценка, по протежение на обследваните полигони, на показатели, които липсват в данните от горската инвентаризация, такива като Количество мъртва дървесина и Наличие на големи/биотопни дървета. </w:t>
      </w:r>
    </w:p>
    <w:p w:rsidR="00E8367B" w:rsidRPr="00E8367B" w:rsidRDefault="00E8367B" w:rsidP="00077290">
      <w:pPr>
        <w:spacing w:before="120" w:after="0" w:line="240" w:lineRule="auto"/>
        <w:rPr>
          <w:rFonts w:ascii="Times New Roman" w:hAnsi="Times New Roman"/>
          <w:bCs/>
          <w:sz w:val="24"/>
          <w:szCs w:val="24"/>
          <w:lang w:eastAsia="bg-BG"/>
        </w:rPr>
      </w:pPr>
      <w:r w:rsidRPr="00E8367B">
        <w:rPr>
          <w:rFonts w:ascii="Times New Roman" w:hAnsi="Times New Roman"/>
          <w:b/>
          <w:bCs/>
          <w:sz w:val="24"/>
          <w:szCs w:val="24"/>
          <w:lang w:eastAsia="bg-BG"/>
        </w:rPr>
        <w:t>6. Цели за подобряване/поддържане на природозащитното състояние на местообитанието в зоната</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Специфичните природозащитни цели за защитената зона са формулирани по показатели в приложената таблица. Целевите стойности са съгласно Ръководството за оценка на благоприятно природозащитно състояние за типове природни местообитания и видове в Натура 2000 в България. Не може да се счита, че има подобряване на природозащитното състояние на местообитанието, при увеличаване на стойностите на показателите на структура и функции - важно е те да бъдат в посочения диапазон. </w:t>
      </w:r>
    </w:p>
    <w:p w:rsidR="00E8367B" w:rsidRPr="00E8367B" w:rsidRDefault="00E8367B" w:rsidP="00077290">
      <w:pPr>
        <w:rPr>
          <w:rFonts w:ascii="Times New Roman" w:hAnsi="Times New Roman"/>
          <w:bCs/>
          <w:sz w:val="24"/>
          <w:szCs w:val="24"/>
          <w:lang w:eastAsia="bg-BG"/>
        </w:rPr>
      </w:pPr>
    </w:p>
    <w:tbl>
      <w:tblPr>
        <w:tblW w:w="10060" w:type="dxa"/>
        <w:jc w:val="center"/>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253"/>
        <w:gridCol w:w="1275"/>
        <w:gridCol w:w="3544"/>
        <w:gridCol w:w="2552"/>
      </w:tblGrid>
      <w:tr w:rsidR="00E8367B" w:rsidRPr="00E8367B" w:rsidTr="00E8367B">
        <w:trPr>
          <w:tblHeader/>
          <w:jc w:val="center"/>
        </w:trPr>
        <w:tc>
          <w:tcPr>
            <w:tcW w:w="1436" w:type="dxa"/>
            <w:shd w:val="clear" w:color="auto" w:fill="DBE5F1" w:themeFill="accent1" w:themeFillTint="33"/>
            <w:vAlign w:val="center"/>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Показател</w:t>
            </w:r>
          </w:p>
        </w:tc>
        <w:tc>
          <w:tcPr>
            <w:tcW w:w="1253" w:type="dxa"/>
            <w:shd w:val="clear" w:color="auto" w:fill="DBE5F1" w:themeFill="accent1" w:themeFillTint="33"/>
            <w:vAlign w:val="center"/>
          </w:tcPr>
          <w:p w:rsidR="00E8367B" w:rsidRPr="00E8367B" w:rsidRDefault="00E8367B" w:rsidP="0031593F">
            <w:pPr>
              <w:rPr>
                <w:rFonts w:ascii="Times New Roman" w:hAnsi="Times New Roman"/>
                <w:b/>
                <w:bCs/>
                <w:lang w:eastAsia="bg-BG"/>
              </w:rPr>
            </w:pPr>
            <w:r w:rsidRPr="00E8367B">
              <w:rPr>
                <w:rFonts w:ascii="Times New Roman" w:hAnsi="Times New Roman"/>
                <w:b/>
                <w:bCs/>
                <w:lang w:eastAsia="bg-BG"/>
              </w:rPr>
              <w:t>Мерна единица</w:t>
            </w:r>
          </w:p>
        </w:tc>
        <w:tc>
          <w:tcPr>
            <w:tcW w:w="1275" w:type="dxa"/>
            <w:shd w:val="clear" w:color="auto" w:fill="DBE5F1" w:themeFill="accent1" w:themeFillTint="33"/>
            <w:vAlign w:val="center"/>
          </w:tcPr>
          <w:p w:rsidR="00E8367B" w:rsidRPr="00E8367B" w:rsidRDefault="00E8367B" w:rsidP="0031593F">
            <w:pPr>
              <w:rPr>
                <w:rFonts w:ascii="Times New Roman" w:hAnsi="Times New Roman"/>
                <w:b/>
                <w:bCs/>
                <w:lang w:eastAsia="bg-BG"/>
              </w:rPr>
            </w:pPr>
            <w:r w:rsidRPr="00E8367B">
              <w:rPr>
                <w:rFonts w:ascii="Times New Roman" w:hAnsi="Times New Roman"/>
                <w:b/>
                <w:bCs/>
                <w:lang w:eastAsia="bg-BG"/>
              </w:rPr>
              <w:t>Целева стойност</w:t>
            </w:r>
          </w:p>
        </w:tc>
        <w:tc>
          <w:tcPr>
            <w:tcW w:w="3544" w:type="dxa"/>
            <w:shd w:val="clear" w:color="auto" w:fill="DBE5F1" w:themeFill="accent1" w:themeFillTint="33"/>
            <w:vAlign w:val="center"/>
          </w:tcPr>
          <w:p w:rsidR="00E8367B" w:rsidRPr="00E8367B" w:rsidRDefault="00E8367B" w:rsidP="0031593F">
            <w:pPr>
              <w:rPr>
                <w:rFonts w:ascii="Times New Roman" w:hAnsi="Times New Roman"/>
                <w:b/>
                <w:bCs/>
                <w:lang w:eastAsia="bg-BG"/>
              </w:rPr>
            </w:pPr>
            <w:r w:rsidRPr="00E8367B">
              <w:rPr>
                <w:rFonts w:ascii="Times New Roman" w:hAnsi="Times New Roman"/>
                <w:b/>
                <w:bCs/>
                <w:lang w:eastAsia="bg-BG"/>
              </w:rPr>
              <w:t>Допълнителна информация</w:t>
            </w:r>
          </w:p>
        </w:tc>
        <w:tc>
          <w:tcPr>
            <w:tcW w:w="2552" w:type="dxa"/>
            <w:shd w:val="clear" w:color="auto" w:fill="DBE5F1" w:themeFill="accent1" w:themeFillTint="33"/>
          </w:tcPr>
          <w:p w:rsidR="00E8367B" w:rsidRPr="00E8367B" w:rsidRDefault="00E8367B" w:rsidP="0031593F">
            <w:pPr>
              <w:rPr>
                <w:rFonts w:ascii="Times New Roman" w:hAnsi="Times New Roman"/>
                <w:b/>
                <w:bCs/>
                <w:lang w:eastAsia="bg-BG"/>
              </w:rPr>
            </w:pPr>
            <w:r w:rsidRPr="00E8367B">
              <w:rPr>
                <w:rFonts w:ascii="Times New Roman" w:hAnsi="Times New Roman"/>
                <w:b/>
                <w:bCs/>
                <w:lang w:eastAsia="bg-BG"/>
              </w:rPr>
              <w:t>Специфични природозащитни цели за защитената зона</w:t>
            </w:r>
          </w:p>
        </w:tc>
      </w:tr>
      <w:tr w:rsidR="00E8367B" w:rsidRPr="00E8367B" w:rsidTr="00E8367B">
        <w:trPr>
          <w:jc w:val="center"/>
        </w:trPr>
        <w:tc>
          <w:tcPr>
            <w:tcW w:w="1436"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 xml:space="preserve">Площ </w:t>
            </w:r>
          </w:p>
        </w:tc>
        <w:tc>
          <w:tcPr>
            <w:tcW w:w="1253"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275"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11.44 ха</w:t>
            </w:r>
          </w:p>
        </w:tc>
        <w:tc>
          <w:tcPr>
            <w:tcW w:w="3544"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Съгласно проект "Картиране и определяне на природозащитно състояние на природни местообитания и видове - фаза I", от 2013 г., площта на местообитанието в зоната е 11.44 ха. Същата площ е посочена и в актуалния стандартен формуляр. При теренната работа в зоната през 2021 г., местообитанието се потвърди в четири от общо петте полигона, където то е посочено като налично, според картирането от </w:t>
            </w:r>
            <w:r w:rsidRPr="00E8367B">
              <w:rPr>
                <w:rFonts w:ascii="Times New Roman" w:hAnsi="Times New Roman"/>
                <w:bCs/>
                <w:lang w:eastAsia="bg-BG"/>
              </w:rPr>
              <w:lastRenderedPageBreak/>
              <w:t>2013 г. Един полигон в западната част, с площ 1.44 ха не се потвърди като 91</w:t>
            </w:r>
            <w:r w:rsidRPr="00E8367B">
              <w:rPr>
                <w:rFonts w:ascii="Times New Roman" w:hAnsi="Times New Roman"/>
                <w:bCs/>
                <w:lang w:val="en-US" w:eastAsia="bg-BG"/>
              </w:rPr>
              <w:t>F</w:t>
            </w:r>
            <w:r w:rsidRPr="00E8367B">
              <w:rPr>
                <w:rFonts w:ascii="Times New Roman" w:hAnsi="Times New Roman"/>
                <w:bCs/>
                <w:lang w:val="ru-RU" w:eastAsia="bg-BG"/>
              </w:rPr>
              <w:t xml:space="preserve">0. Независимо от това </w:t>
            </w:r>
            <w:r w:rsidRPr="00E8367B">
              <w:rPr>
                <w:rFonts w:ascii="Times New Roman" w:hAnsi="Times New Roman"/>
                <w:bCs/>
                <w:lang w:eastAsia="bg-BG"/>
              </w:rPr>
              <w:t>предлагаме площта на 91</w:t>
            </w:r>
            <w:r w:rsidRPr="00E8367B">
              <w:rPr>
                <w:rFonts w:ascii="Times New Roman" w:hAnsi="Times New Roman"/>
                <w:bCs/>
                <w:lang w:val="en-US" w:eastAsia="bg-BG"/>
              </w:rPr>
              <w:t>F</w:t>
            </w:r>
            <w:r w:rsidRPr="00E8367B">
              <w:rPr>
                <w:rFonts w:ascii="Times New Roman" w:hAnsi="Times New Roman"/>
                <w:bCs/>
                <w:lang w:val="ru-RU" w:eastAsia="bg-BG"/>
              </w:rPr>
              <w:t xml:space="preserve">0 </w:t>
            </w:r>
            <w:r w:rsidRPr="00E8367B">
              <w:rPr>
                <w:rFonts w:ascii="Times New Roman" w:hAnsi="Times New Roman"/>
                <w:bCs/>
                <w:lang w:eastAsia="bg-BG"/>
              </w:rPr>
              <w:t>да не се намалява и остане със същата стойност.</w:t>
            </w:r>
            <w:r w:rsidRPr="00E8367B">
              <w:rPr>
                <w:rFonts w:ascii="Times New Roman" w:hAnsi="Times New Roman"/>
                <w:bCs/>
                <w:lang w:val="ru-RU" w:eastAsia="bg-BG"/>
              </w:rPr>
              <w:t xml:space="preserve"> Извършени са възстановителни залесявания през 2011 и 2021 г. с дървесни видове характерни за 91</w:t>
            </w:r>
            <w:r w:rsidRPr="00E8367B">
              <w:rPr>
                <w:rFonts w:ascii="Times New Roman" w:hAnsi="Times New Roman"/>
                <w:bCs/>
                <w:lang w:val="en-US" w:eastAsia="bg-BG"/>
              </w:rPr>
              <w:t>F</w:t>
            </w:r>
            <w:r w:rsidRPr="00E8367B">
              <w:rPr>
                <w:rFonts w:ascii="Times New Roman" w:hAnsi="Times New Roman"/>
                <w:bCs/>
                <w:lang w:val="ru-RU" w:eastAsia="bg-BG"/>
              </w:rPr>
              <w:t xml:space="preserve">0 </w:t>
            </w:r>
            <w:r w:rsidRPr="00E8367B">
              <w:rPr>
                <w:rFonts w:ascii="Times New Roman" w:hAnsi="Times New Roman"/>
                <w:bCs/>
                <w:lang w:eastAsia="bg-BG"/>
              </w:rPr>
              <w:t>и може да се очаква в бъдеще площта на местообитанието да се увеличи.</w:t>
            </w:r>
          </w:p>
        </w:tc>
        <w:tc>
          <w:tcPr>
            <w:tcW w:w="2552"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Целта е</w:t>
            </w:r>
            <w:r w:rsidRPr="00E8367B">
              <w:rPr>
                <w:rFonts w:ascii="Times New Roman" w:hAnsi="Times New Roman"/>
                <w:bCs/>
                <w:lang w:val="ru-RU" w:eastAsia="bg-BG"/>
              </w:rPr>
              <w:t xml:space="preserve"> </w:t>
            </w:r>
            <w:r w:rsidRPr="00E8367B">
              <w:rPr>
                <w:rFonts w:ascii="Times New Roman" w:hAnsi="Times New Roman"/>
                <w:bCs/>
                <w:lang w:eastAsia="bg-BG"/>
              </w:rPr>
              <w:t>поддържане на площ на местообитанието в защитената зона поне 11.44 ха. Междинна цел е да се разработи и приложи единна бъдеща схема за мониторинг на параметъра до 2025 година.</w:t>
            </w:r>
          </w:p>
          <w:p w:rsidR="00E8367B" w:rsidRPr="00E8367B" w:rsidRDefault="00E8367B" w:rsidP="0031593F">
            <w:pPr>
              <w:rPr>
                <w:rFonts w:ascii="Times New Roman" w:hAnsi="Times New Roman"/>
                <w:bCs/>
                <w:lang w:eastAsia="bg-BG"/>
              </w:rPr>
            </w:pPr>
          </w:p>
        </w:tc>
      </w:tr>
      <w:tr w:rsidR="00E8367B" w:rsidRPr="00E8367B" w:rsidTr="00E8367B">
        <w:trPr>
          <w:jc w:val="center"/>
        </w:trPr>
        <w:tc>
          <w:tcPr>
            <w:tcW w:w="1436"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Пълнота на първия дървесен етаж (средно претеглена)</w:t>
            </w:r>
          </w:p>
        </w:tc>
        <w:tc>
          <w:tcPr>
            <w:tcW w:w="1253"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Части от единицата</w:t>
            </w:r>
          </w:p>
        </w:tc>
        <w:tc>
          <w:tcPr>
            <w:tcW w:w="1275"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От 0.6 до 1</w:t>
            </w:r>
          </w:p>
        </w:tc>
        <w:tc>
          <w:tcPr>
            <w:tcW w:w="3544"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Този показател представя степента на насищане с дървета и се изразява като съотношение на кръговата площ на наличния дървостой към кръговата площ на еталонно (нормално) насаждение. Окончателната стойност на показателя се получава като средно претеглена, според площите на отделните полигони. Стойността на показателя е динамична и пряко зависи от провежданите лесовъдски мероприятия и естествени природни нарушения водещи до отпадане на дървета. </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средно претеглената пълнота на първия дървесен етаж в полигона на местообитанието е 0.6.</w:t>
            </w:r>
          </w:p>
        </w:tc>
        <w:tc>
          <w:tcPr>
            <w:tcW w:w="2552"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поддържане на пълнота на първия дървесен етаж (средно претеглена) от 0.6 до 1.</w:t>
            </w:r>
          </w:p>
        </w:tc>
      </w:tr>
      <w:tr w:rsidR="00E8367B" w:rsidRPr="00E8367B" w:rsidTr="00E8367B">
        <w:trPr>
          <w:jc w:val="center"/>
        </w:trPr>
        <w:tc>
          <w:tcPr>
            <w:tcW w:w="1436"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 xml:space="preserve">Структура и функции. Състав на първия дървесен етаж (средно </w:t>
            </w:r>
            <w:r w:rsidRPr="00EC3027">
              <w:rPr>
                <w:rFonts w:ascii="Times New Roman" w:hAnsi="Times New Roman"/>
                <w:b/>
                <w:bCs/>
                <w:lang w:eastAsia="bg-BG"/>
              </w:rPr>
              <w:lastRenderedPageBreak/>
              <w:t>претеглен)</w:t>
            </w:r>
          </w:p>
        </w:tc>
        <w:tc>
          <w:tcPr>
            <w:tcW w:w="1253"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Части от десетицата</w:t>
            </w:r>
          </w:p>
        </w:tc>
        <w:tc>
          <w:tcPr>
            <w:tcW w:w="1275"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От 5 до 10 за видовете от род </w:t>
            </w:r>
            <w:r w:rsidRPr="00E8367B">
              <w:rPr>
                <w:rFonts w:ascii="Times New Roman" w:hAnsi="Times New Roman"/>
                <w:bCs/>
                <w:i/>
                <w:lang w:eastAsia="bg-BG"/>
              </w:rPr>
              <w:t>Quercus</w:t>
            </w:r>
            <w:r w:rsidRPr="00E8367B">
              <w:rPr>
                <w:rFonts w:ascii="Times New Roman" w:hAnsi="Times New Roman"/>
                <w:bCs/>
                <w:lang w:eastAsia="bg-BG"/>
              </w:rPr>
              <w:t xml:space="preserve"> (</w:t>
            </w:r>
            <w:r w:rsidRPr="00E8367B">
              <w:rPr>
                <w:rFonts w:ascii="Times New Roman" w:hAnsi="Times New Roman"/>
                <w:bCs/>
                <w:i/>
                <w:lang w:eastAsia="bg-BG"/>
              </w:rPr>
              <w:t>Q</w:t>
            </w:r>
            <w:r w:rsidRPr="00E8367B">
              <w:rPr>
                <w:rFonts w:ascii="Times New Roman" w:hAnsi="Times New Roman"/>
                <w:bCs/>
                <w:lang w:eastAsia="bg-BG"/>
              </w:rPr>
              <w:t xml:space="preserve">. </w:t>
            </w:r>
            <w:r w:rsidRPr="00E8367B">
              <w:rPr>
                <w:rFonts w:ascii="Times New Roman" w:hAnsi="Times New Roman"/>
                <w:bCs/>
                <w:i/>
                <w:lang w:eastAsia="bg-BG"/>
              </w:rPr>
              <w:t>robur</w:t>
            </w:r>
            <w:r w:rsidRPr="00E8367B">
              <w:rPr>
                <w:rFonts w:ascii="Times New Roman" w:hAnsi="Times New Roman"/>
                <w:bCs/>
                <w:lang w:eastAsia="bg-BG"/>
              </w:rPr>
              <w:t xml:space="preserve"> и </w:t>
            </w:r>
            <w:r w:rsidRPr="00E8367B">
              <w:rPr>
                <w:rFonts w:ascii="Times New Roman" w:hAnsi="Times New Roman"/>
                <w:bCs/>
                <w:i/>
                <w:lang w:eastAsia="bg-BG"/>
              </w:rPr>
              <w:t>Q</w:t>
            </w:r>
            <w:r w:rsidRPr="00E8367B">
              <w:rPr>
                <w:rFonts w:ascii="Times New Roman" w:hAnsi="Times New Roman"/>
                <w:bCs/>
                <w:lang w:eastAsia="bg-BG"/>
              </w:rPr>
              <w:t xml:space="preserve">. </w:t>
            </w:r>
            <w:r w:rsidRPr="00E8367B">
              <w:rPr>
                <w:rFonts w:ascii="Times New Roman" w:hAnsi="Times New Roman"/>
                <w:bCs/>
                <w:i/>
                <w:lang w:eastAsia="bg-BG"/>
              </w:rPr>
              <w:t>pedunculifl</w:t>
            </w:r>
            <w:r w:rsidRPr="00E8367B">
              <w:rPr>
                <w:rFonts w:ascii="Times New Roman" w:hAnsi="Times New Roman"/>
                <w:bCs/>
                <w:i/>
                <w:lang w:eastAsia="bg-BG"/>
              </w:rPr>
              <w:lastRenderedPageBreak/>
              <w:t>ora</w:t>
            </w:r>
            <w:r w:rsidRPr="00E8367B">
              <w:rPr>
                <w:rFonts w:ascii="Times New Roman" w:hAnsi="Times New Roman"/>
                <w:bCs/>
                <w:lang w:eastAsia="bg-BG"/>
              </w:rPr>
              <w:t xml:space="preserve">), </w:t>
            </w:r>
            <w:r w:rsidRPr="00E8367B">
              <w:rPr>
                <w:rFonts w:ascii="Times New Roman" w:hAnsi="Times New Roman"/>
                <w:bCs/>
                <w:i/>
                <w:lang w:eastAsia="bg-BG"/>
              </w:rPr>
              <w:t>Ulmus</w:t>
            </w:r>
            <w:r w:rsidRPr="00E8367B">
              <w:rPr>
                <w:rFonts w:ascii="Times New Roman" w:hAnsi="Times New Roman"/>
                <w:bCs/>
                <w:lang w:eastAsia="bg-BG"/>
              </w:rPr>
              <w:t xml:space="preserve">  и </w:t>
            </w:r>
            <w:r w:rsidRPr="00E8367B">
              <w:rPr>
                <w:rFonts w:ascii="Times New Roman" w:hAnsi="Times New Roman"/>
                <w:bCs/>
                <w:i/>
                <w:lang w:eastAsia="bg-BG"/>
              </w:rPr>
              <w:t>Fraxinus</w:t>
            </w:r>
          </w:p>
        </w:tc>
        <w:tc>
          <w:tcPr>
            <w:tcW w:w="3544"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 xml:space="preserve">Съставът на първия етаж изразява относителното участие на съответните дървесни видове в насаждението, като окончателната стойност на показателя се получава като средно претеглена, според площите на отделните </w:t>
            </w:r>
            <w:r w:rsidRPr="00E8367B">
              <w:rPr>
                <w:rFonts w:ascii="Times New Roman" w:hAnsi="Times New Roman"/>
                <w:bCs/>
                <w:lang w:eastAsia="bg-BG"/>
              </w:rPr>
              <w:lastRenderedPageBreak/>
              <w:t>полигони.</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Според анализа на наличната информация, съобразно подхода, описан в т. 5 на настоящия документ, средно претегленото участие на видовете от род </w:t>
            </w:r>
            <w:r w:rsidRPr="00E8367B">
              <w:rPr>
                <w:rFonts w:ascii="Times New Roman" w:hAnsi="Times New Roman"/>
                <w:bCs/>
                <w:i/>
                <w:lang w:eastAsia="bg-BG"/>
              </w:rPr>
              <w:t>Quercus</w:t>
            </w:r>
            <w:r w:rsidRPr="00E8367B">
              <w:rPr>
                <w:rFonts w:ascii="Times New Roman" w:hAnsi="Times New Roman"/>
                <w:bCs/>
                <w:lang w:eastAsia="bg-BG"/>
              </w:rPr>
              <w:t xml:space="preserve"> (</w:t>
            </w:r>
            <w:r w:rsidRPr="00E8367B">
              <w:rPr>
                <w:rFonts w:ascii="Times New Roman" w:hAnsi="Times New Roman"/>
                <w:bCs/>
                <w:i/>
                <w:lang w:eastAsia="bg-BG"/>
              </w:rPr>
              <w:t>Q</w:t>
            </w:r>
            <w:r w:rsidRPr="00E8367B">
              <w:rPr>
                <w:rFonts w:ascii="Times New Roman" w:hAnsi="Times New Roman"/>
                <w:bCs/>
                <w:lang w:eastAsia="bg-BG"/>
              </w:rPr>
              <w:t xml:space="preserve">. </w:t>
            </w:r>
            <w:r w:rsidRPr="00E8367B">
              <w:rPr>
                <w:rFonts w:ascii="Times New Roman" w:hAnsi="Times New Roman"/>
                <w:bCs/>
                <w:i/>
                <w:lang w:eastAsia="bg-BG"/>
              </w:rPr>
              <w:t>robur</w:t>
            </w:r>
            <w:r w:rsidRPr="00E8367B">
              <w:rPr>
                <w:rFonts w:ascii="Times New Roman" w:hAnsi="Times New Roman"/>
                <w:bCs/>
                <w:lang w:eastAsia="bg-BG"/>
              </w:rPr>
              <w:t xml:space="preserve"> и </w:t>
            </w:r>
            <w:r w:rsidRPr="00E8367B">
              <w:rPr>
                <w:rFonts w:ascii="Times New Roman" w:hAnsi="Times New Roman"/>
                <w:bCs/>
                <w:i/>
                <w:lang w:eastAsia="bg-BG"/>
              </w:rPr>
              <w:t>Q</w:t>
            </w:r>
            <w:r w:rsidRPr="00E8367B">
              <w:rPr>
                <w:rFonts w:ascii="Times New Roman" w:hAnsi="Times New Roman"/>
                <w:bCs/>
                <w:lang w:eastAsia="bg-BG"/>
              </w:rPr>
              <w:t xml:space="preserve">. </w:t>
            </w:r>
            <w:r w:rsidRPr="00E8367B">
              <w:rPr>
                <w:rFonts w:ascii="Times New Roman" w:hAnsi="Times New Roman"/>
                <w:bCs/>
                <w:i/>
                <w:lang w:eastAsia="bg-BG"/>
              </w:rPr>
              <w:t>pedunculiflora</w:t>
            </w:r>
            <w:r w:rsidRPr="00E8367B">
              <w:rPr>
                <w:rFonts w:ascii="Times New Roman" w:hAnsi="Times New Roman"/>
                <w:bCs/>
                <w:lang w:eastAsia="bg-BG"/>
              </w:rPr>
              <w:t xml:space="preserve">), </w:t>
            </w:r>
            <w:r w:rsidRPr="00E8367B">
              <w:rPr>
                <w:rFonts w:ascii="Times New Roman" w:hAnsi="Times New Roman"/>
                <w:bCs/>
                <w:i/>
                <w:lang w:eastAsia="bg-BG"/>
              </w:rPr>
              <w:t>Ulmus</w:t>
            </w:r>
            <w:r w:rsidRPr="00E8367B">
              <w:rPr>
                <w:rFonts w:ascii="Times New Roman" w:hAnsi="Times New Roman"/>
                <w:bCs/>
                <w:lang w:eastAsia="bg-BG"/>
              </w:rPr>
              <w:t xml:space="preserve"> и </w:t>
            </w:r>
            <w:r w:rsidRPr="00E8367B">
              <w:rPr>
                <w:rFonts w:ascii="Times New Roman" w:hAnsi="Times New Roman"/>
                <w:bCs/>
                <w:i/>
                <w:lang w:eastAsia="bg-BG"/>
              </w:rPr>
              <w:t>Fraxinus</w:t>
            </w:r>
            <w:r w:rsidRPr="00E8367B">
              <w:rPr>
                <w:rFonts w:ascii="Times New Roman" w:hAnsi="Times New Roman"/>
                <w:bCs/>
                <w:lang w:eastAsia="bg-BG"/>
              </w:rPr>
              <w:t xml:space="preserve"> в състава на първия дървесен етаж е 5 десети. Гората от това местообитание в зоната не е обект на стопанска дейност и промените в състава могат да бъдат в резултат на естествени процеси, също както и на настаняването на инвазивни видове като </w:t>
            </w:r>
            <w:r w:rsidRPr="00E8367B">
              <w:rPr>
                <w:rFonts w:ascii="Times New Roman" w:hAnsi="Times New Roman"/>
                <w:bCs/>
                <w:i/>
                <w:lang w:eastAsia="bg-BG"/>
              </w:rPr>
              <w:t>Fraxinus</w:t>
            </w:r>
            <w:r w:rsidRPr="00E8367B">
              <w:rPr>
                <w:rFonts w:ascii="Times New Roman" w:hAnsi="Times New Roman"/>
                <w:bCs/>
                <w:lang w:eastAsia="bg-BG"/>
              </w:rPr>
              <w:t xml:space="preserve"> </w:t>
            </w:r>
            <w:r w:rsidRPr="00E8367B">
              <w:rPr>
                <w:rFonts w:ascii="Times New Roman" w:hAnsi="Times New Roman"/>
                <w:bCs/>
                <w:i/>
                <w:lang w:eastAsia="bg-BG"/>
              </w:rPr>
              <w:t>аmericana</w:t>
            </w:r>
            <w:r w:rsidRPr="00E8367B">
              <w:rPr>
                <w:rFonts w:ascii="Times New Roman" w:hAnsi="Times New Roman"/>
                <w:bCs/>
                <w:lang w:eastAsia="bg-BG"/>
              </w:rPr>
              <w:t xml:space="preserve">, </w:t>
            </w:r>
            <w:r w:rsidRPr="00E8367B">
              <w:rPr>
                <w:rFonts w:ascii="Times New Roman" w:hAnsi="Times New Roman"/>
                <w:bCs/>
                <w:i/>
                <w:lang w:eastAsia="bg-BG"/>
              </w:rPr>
              <w:t>Acer</w:t>
            </w:r>
            <w:r w:rsidRPr="00E8367B">
              <w:rPr>
                <w:rFonts w:ascii="Times New Roman" w:hAnsi="Times New Roman"/>
                <w:bCs/>
                <w:lang w:eastAsia="bg-BG"/>
              </w:rPr>
              <w:t xml:space="preserve"> </w:t>
            </w:r>
            <w:r w:rsidRPr="00E8367B">
              <w:rPr>
                <w:rFonts w:ascii="Times New Roman" w:hAnsi="Times New Roman"/>
                <w:bCs/>
                <w:i/>
                <w:lang w:eastAsia="bg-BG"/>
              </w:rPr>
              <w:t xml:space="preserve">negundo, </w:t>
            </w:r>
            <w:r w:rsidRPr="00E8367B">
              <w:rPr>
                <w:rFonts w:ascii="Times New Roman" w:hAnsi="Times New Roman"/>
                <w:bCs/>
                <w:i/>
                <w:iCs/>
                <w:lang w:val="en-US" w:eastAsia="bg-BG"/>
              </w:rPr>
              <w:t>Robinia</w:t>
            </w:r>
            <w:r w:rsidRPr="00E8367B">
              <w:rPr>
                <w:rFonts w:ascii="Times New Roman" w:hAnsi="Times New Roman"/>
                <w:bCs/>
                <w:i/>
                <w:iCs/>
                <w:lang w:val="ru-RU" w:eastAsia="bg-BG"/>
              </w:rPr>
              <w:t xml:space="preserve"> </w:t>
            </w:r>
            <w:r w:rsidRPr="00E8367B">
              <w:rPr>
                <w:rFonts w:ascii="Times New Roman" w:hAnsi="Times New Roman"/>
                <w:bCs/>
                <w:i/>
                <w:iCs/>
                <w:lang w:val="en-US" w:eastAsia="bg-BG"/>
              </w:rPr>
              <w:t>pseudoacacia</w:t>
            </w:r>
            <w:r w:rsidRPr="00E8367B">
              <w:rPr>
                <w:rFonts w:ascii="Times New Roman" w:hAnsi="Times New Roman"/>
                <w:bCs/>
                <w:lang w:val="ru-RU" w:eastAsia="bg-BG"/>
              </w:rPr>
              <w:t xml:space="preserve"> </w:t>
            </w:r>
            <w:r w:rsidRPr="00E8367B">
              <w:rPr>
                <w:rFonts w:ascii="Times New Roman" w:hAnsi="Times New Roman"/>
                <w:bCs/>
                <w:lang w:eastAsia="bg-BG"/>
              </w:rPr>
              <w:t xml:space="preserve"> и </w:t>
            </w:r>
            <w:r w:rsidRPr="00E8367B">
              <w:rPr>
                <w:rFonts w:ascii="Times New Roman" w:hAnsi="Times New Roman"/>
                <w:bCs/>
                <w:i/>
                <w:lang w:eastAsia="bg-BG"/>
              </w:rPr>
              <w:t>Gleditsia</w:t>
            </w:r>
            <w:r w:rsidRPr="00E8367B">
              <w:rPr>
                <w:rFonts w:ascii="Times New Roman" w:hAnsi="Times New Roman"/>
                <w:bCs/>
                <w:lang w:eastAsia="bg-BG"/>
              </w:rPr>
              <w:t xml:space="preserve"> </w:t>
            </w:r>
            <w:r w:rsidRPr="00E8367B">
              <w:rPr>
                <w:rFonts w:ascii="Times New Roman" w:hAnsi="Times New Roman"/>
                <w:bCs/>
                <w:i/>
                <w:lang w:eastAsia="bg-BG"/>
              </w:rPr>
              <w:t>triacanthos</w:t>
            </w:r>
            <w:r w:rsidRPr="00E8367B">
              <w:rPr>
                <w:rFonts w:ascii="Times New Roman" w:hAnsi="Times New Roman"/>
                <w:bCs/>
                <w:lang w:eastAsia="bg-BG"/>
              </w:rPr>
              <w:t xml:space="preserve">. </w:t>
            </w:r>
          </w:p>
        </w:tc>
        <w:tc>
          <w:tcPr>
            <w:tcW w:w="2552"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Целта е поддържане на състав на първия дървесен етаж (средно претеглен)</w:t>
            </w:r>
            <w:r w:rsidRPr="00E8367B">
              <w:rPr>
                <w:rFonts w:ascii="Times New Roman" w:hAnsi="Times New Roman"/>
              </w:rPr>
              <w:t xml:space="preserve"> </w:t>
            </w:r>
            <w:r w:rsidRPr="00E8367B">
              <w:rPr>
                <w:rFonts w:ascii="Times New Roman" w:hAnsi="Times New Roman"/>
                <w:bCs/>
                <w:lang w:eastAsia="bg-BG"/>
              </w:rPr>
              <w:t xml:space="preserve">от 5 до 10 за видовете от род </w:t>
            </w:r>
            <w:r w:rsidRPr="00E8367B">
              <w:rPr>
                <w:rFonts w:ascii="Times New Roman" w:hAnsi="Times New Roman"/>
                <w:bCs/>
                <w:i/>
                <w:lang w:eastAsia="bg-BG"/>
              </w:rPr>
              <w:t>Quercus</w:t>
            </w:r>
            <w:r w:rsidRPr="00E8367B">
              <w:rPr>
                <w:rFonts w:ascii="Times New Roman" w:hAnsi="Times New Roman"/>
                <w:bCs/>
                <w:lang w:eastAsia="bg-BG"/>
              </w:rPr>
              <w:t xml:space="preserve"> (</w:t>
            </w:r>
            <w:r w:rsidRPr="00E8367B">
              <w:rPr>
                <w:rFonts w:ascii="Times New Roman" w:hAnsi="Times New Roman"/>
                <w:bCs/>
                <w:i/>
                <w:lang w:eastAsia="bg-BG"/>
              </w:rPr>
              <w:t>Q</w:t>
            </w:r>
            <w:r w:rsidRPr="00E8367B">
              <w:rPr>
                <w:rFonts w:ascii="Times New Roman" w:hAnsi="Times New Roman"/>
                <w:bCs/>
                <w:lang w:eastAsia="bg-BG"/>
              </w:rPr>
              <w:t xml:space="preserve">. </w:t>
            </w:r>
            <w:r w:rsidRPr="00E8367B">
              <w:rPr>
                <w:rFonts w:ascii="Times New Roman" w:hAnsi="Times New Roman"/>
                <w:bCs/>
                <w:i/>
                <w:lang w:eastAsia="bg-BG"/>
              </w:rPr>
              <w:t>robur</w:t>
            </w:r>
            <w:r w:rsidRPr="00E8367B">
              <w:rPr>
                <w:rFonts w:ascii="Times New Roman" w:hAnsi="Times New Roman"/>
                <w:bCs/>
                <w:lang w:eastAsia="bg-BG"/>
              </w:rPr>
              <w:t xml:space="preserve"> и </w:t>
            </w:r>
            <w:r w:rsidRPr="00E8367B">
              <w:rPr>
                <w:rFonts w:ascii="Times New Roman" w:hAnsi="Times New Roman"/>
                <w:bCs/>
                <w:i/>
                <w:lang w:eastAsia="bg-BG"/>
              </w:rPr>
              <w:t>Q</w:t>
            </w:r>
            <w:r w:rsidRPr="00E8367B">
              <w:rPr>
                <w:rFonts w:ascii="Times New Roman" w:hAnsi="Times New Roman"/>
                <w:bCs/>
                <w:lang w:eastAsia="bg-BG"/>
              </w:rPr>
              <w:t xml:space="preserve">. </w:t>
            </w:r>
            <w:r w:rsidRPr="00E8367B">
              <w:rPr>
                <w:rFonts w:ascii="Times New Roman" w:hAnsi="Times New Roman"/>
                <w:bCs/>
                <w:i/>
                <w:lang w:eastAsia="bg-BG"/>
              </w:rPr>
              <w:t>pedunculiflora</w:t>
            </w:r>
            <w:r w:rsidRPr="00E8367B">
              <w:rPr>
                <w:rFonts w:ascii="Times New Roman" w:hAnsi="Times New Roman"/>
                <w:bCs/>
                <w:lang w:eastAsia="bg-BG"/>
              </w:rPr>
              <w:t xml:space="preserve">), </w:t>
            </w:r>
            <w:r w:rsidRPr="00E8367B">
              <w:rPr>
                <w:rFonts w:ascii="Times New Roman" w:hAnsi="Times New Roman"/>
                <w:bCs/>
                <w:i/>
                <w:lang w:eastAsia="bg-BG"/>
              </w:rPr>
              <w:t>Ulmus</w:t>
            </w:r>
            <w:r w:rsidRPr="00E8367B">
              <w:rPr>
                <w:rFonts w:ascii="Times New Roman" w:hAnsi="Times New Roman"/>
                <w:bCs/>
                <w:lang w:eastAsia="bg-BG"/>
              </w:rPr>
              <w:t xml:space="preserve"> и </w:t>
            </w:r>
            <w:r w:rsidRPr="00E8367B">
              <w:rPr>
                <w:rFonts w:ascii="Times New Roman" w:hAnsi="Times New Roman"/>
                <w:bCs/>
                <w:i/>
                <w:lang w:eastAsia="bg-BG"/>
              </w:rPr>
              <w:lastRenderedPageBreak/>
              <w:t>Fraxinus</w:t>
            </w:r>
            <w:r w:rsidRPr="00E8367B">
              <w:rPr>
                <w:rFonts w:ascii="Times New Roman" w:hAnsi="Times New Roman"/>
                <w:bCs/>
                <w:lang w:eastAsia="bg-BG"/>
              </w:rPr>
              <w:t>.</w:t>
            </w:r>
          </w:p>
        </w:tc>
      </w:tr>
      <w:tr w:rsidR="00E8367B" w:rsidRPr="00E8367B" w:rsidTr="00E8367B">
        <w:trPr>
          <w:jc w:val="center"/>
        </w:trPr>
        <w:tc>
          <w:tcPr>
            <w:tcW w:w="1436"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Средна възраст на първия дървесен етаж (средно претеглена)</w:t>
            </w:r>
          </w:p>
        </w:tc>
        <w:tc>
          <w:tcPr>
            <w:tcW w:w="1253"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Години</w:t>
            </w:r>
          </w:p>
          <w:p w:rsidR="00E8367B" w:rsidRPr="00E8367B" w:rsidRDefault="00E8367B" w:rsidP="0031593F">
            <w:pPr>
              <w:rPr>
                <w:rFonts w:ascii="Times New Roman" w:hAnsi="Times New Roman"/>
                <w:bCs/>
                <w:lang w:eastAsia="bg-BG"/>
              </w:rPr>
            </w:pPr>
          </w:p>
        </w:tc>
        <w:tc>
          <w:tcPr>
            <w:tcW w:w="1275"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Над 80, не намалява, а се</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увеличава</w:t>
            </w:r>
          </w:p>
          <w:p w:rsidR="00E8367B" w:rsidRPr="00E8367B" w:rsidRDefault="00E8367B" w:rsidP="0031593F">
            <w:pPr>
              <w:rPr>
                <w:rFonts w:ascii="Times New Roman" w:hAnsi="Times New Roman"/>
                <w:bCs/>
                <w:lang w:eastAsia="bg-BG"/>
              </w:rPr>
            </w:pPr>
          </w:p>
        </w:tc>
        <w:tc>
          <w:tcPr>
            <w:tcW w:w="3544"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Стойността на показателя се получава като средно претеглена, според площите на отделните полигони.</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Според анализа на наличната информация, съобразно подхода, описан в т. 5 на настоящия документ, възрастта на първия дървесен етаж е </w:t>
            </w:r>
            <w:r w:rsidRPr="00E8367B">
              <w:rPr>
                <w:rFonts w:ascii="Times New Roman" w:hAnsi="Times New Roman"/>
                <w:bCs/>
                <w:lang w:val="ru-RU" w:eastAsia="bg-BG"/>
              </w:rPr>
              <w:t>7</w:t>
            </w:r>
            <w:r w:rsidRPr="00E8367B">
              <w:rPr>
                <w:rFonts w:ascii="Times New Roman" w:hAnsi="Times New Roman"/>
                <w:bCs/>
                <w:lang w:eastAsia="bg-BG"/>
              </w:rPr>
              <w:t xml:space="preserve">0 години. </w:t>
            </w:r>
          </w:p>
        </w:tc>
        <w:tc>
          <w:tcPr>
            <w:tcW w:w="2552"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подобряване на състоянието по този показател, така че да се достигне средна възраст (средно претеглена) на първия дървесен етаж над 80 години до 20</w:t>
            </w:r>
            <w:r w:rsidRPr="00E8367B">
              <w:rPr>
                <w:rFonts w:ascii="Times New Roman" w:hAnsi="Times New Roman"/>
                <w:bCs/>
                <w:lang w:val="ru-RU" w:eastAsia="bg-BG"/>
              </w:rPr>
              <w:t>30</w:t>
            </w:r>
            <w:r w:rsidRPr="00E8367B">
              <w:rPr>
                <w:rFonts w:ascii="Times New Roman" w:hAnsi="Times New Roman"/>
                <w:bCs/>
                <w:lang w:eastAsia="bg-BG"/>
              </w:rPr>
              <w:t xml:space="preserve"> година.</w:t>
            </w:r>
          </w:p>
        </w:tc>
      </w:tr>
      <w:tr w:rsidR="00E8367B" w:rsidRPr="00E8367B" w:rsidTr="00E8367B">
        <w:trPr>
          <w:jc w:val="center"/>
        </w:trPr>
        <w:tc>
          <w:tcPr>
            <w:tcW w:w="1436"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Структура и функции. Площ на горите във фаза на старост</w:t>
            </w:r>
          </w:p>
        </w:tc>
        <w:tc>
          <w:tcPr>
            <w:tcW w:w="1253"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275"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10% от общата площ на местообитанието</w:t>
            </w:r>
          </w:p>
        </w:tc>
        <w:tc>
          <w:tcPr>
            <w:tcW w:w="3544"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Съгласно Наредба № 8 от 05.08.2011 г. за сечите в горите, обновена от 29.09.2020 г., „Гора във фаза на старост" е гора в последната фаза на естествена динамика на горското насаждение, без значими интервенции - не е съществено повлияна от едроплощни природни нарушения и антропогенни въздействия, като по този начин притежава екосистемни характеристики на предклимаксно съобщество.</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В зоната липсват гори от местообитанието, определени за Гори във фаза на старост.</w:t>
            </w:r>
          </w:p>
        </w:tc>
        <w:tc>
          <w:tcPr>
            <w:tcW w:w="2552"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 xml:space="preserve">Целта е подобряване на състоянието по този показател, така че поне 10% от общата площ на местообитанието в зоната да бъде обособена като гори във фаза на старост до 2025 година. </w:t>
            </w:r>
          </w:p>
        </w:tc>
      </w:tr>
      <w:tr w:rsidR="00E8367B" w:rsidRPr="00E8367B" w:rsidTr="00E8367B">
        <w:trPr>
          <w:jc w:val="center"/>
        </w:trPr>
        <w:tc>
          <w:tcPr>
            <w:tcW w:w="1436"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 xml:space="preserve">Структура и функции. Количество мъртва дървесина   </w:t>
            </w:r>
          </w:p>
        </w:tc>
        <w:tc>
          <w:tcPr>
            <w:tcW w:w="1253"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или м</w:t>
            </w:r>
            <w:r w:rsidRPr="00E8367B">
              <w:rPr>
                <w:rFonts w:ascii="Times New Roman" w:hAnsi="Times New Roman"/>
                <w:bCs/>
                <w:vertAlign w:val="superscript"/>
                <w:lang w:eastAsia="bg-BG"/>
              </w:rPr>
              <w:t>3</w:t>
            </w:r>
            <w:r w:rsidRPr="00E8367B">
              <w:rPr>
                <w:rFonts w:ascii="Times New Roman" w:hAnsi="Times New Roman"/>
                <w:bCs/>
                <w:lang w:eastAsia="bg-BG"/>
              </w:rPr>
              <w:t>/ха</w:t>
            </w:r>
          </w:p>
        </w:tc>
        <w:tc>
          <w:tcPr>
            <w:tcW w:w="1275"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60% от площта на местообитанието се характеризира с общо количество мъртва дървесина от поне 10% от запаса, но не по-малко от 20 м</w:t>
            </w:r>
            <w:r w:rsidRPr="00E8367B">
              <w:rPr>
                <w:rFonts w:ascii="Times New Roman" w:hAnsi="Times New Roman"/>
                <w:bCs/>
                <w:vertAlign w:val="superscript"/>
                <w:lang w:eastAsia="bg-BG"/>
              </w:rPr>
              <w:t>3</w:t>
            </w:r>
            <w:r w:rsidRPr="00E8367B">
              <w:rPr>
                <w:rFonts w:ascii="Times New Roman" w:hAnsi="Times New Roman"/>
                <w:bCs/>
                <w:lang w:eastAsia="bg-BG"/>
              </w:rPr>
              <w:t xml:space="preserve">/ха, също какво и с не по-малко от 10 стоящи мъртви дървета </w:t>
            </w:r>
          </w:p>
        </w:tc>
        <w:tc>
          <w:tcPr>
            <w:tcW w:w="3544"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Мъртвата дървесина може да бъде стояща или лежаща. Минималният диаметър на лежащата мъртва дървесина е 8 cм, а на стоящата – 16 см. </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количеството мъртва дървесина е достатъчно.</w:t>
            </w:r>
          </w:p>
        </w:tc>
        <w:tc>
          <w:tcPr>
            <w:tcW w:w="2552" w:type="dxa"/>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поддържане състоянието по този показател.</w:t>
            </w:r>
          </w:p>
        </w:tc>
      </w:tr>
      <w:tr w:rsidR="00E8367B" w:rsidRPr="00077290" w:rsidTr="00E8367B">
        <w:trPr>
          <w:jc w:val="center"/>
        </w:trPr>
        <w:tc>
          <w:tcPr>
            <w:tcW w:w="1436" w:type="dxa"/>
            <w:shd w:val="clear" w:color="auto" w:fill="auto"/>
          </w:tcPr>
          <w:p w:rsidR="00E8367B" w:rsidRPr="00EC3027" w:rsidRDefault="00E8367B" w:rsidP="0031593F">
            <w:pPr>
              <w:rPr>
                <w:rFonts w:ascii="Times New Roman" w:hAnsi="Times New Roman"/>
                <w:b/>
                <w:bCs/>
                <w:i/>
                <w:lang w:eastAsia="bg-BG"/>
              </w:rPr>
            </w:pPr>
            <w:r w:rsidRPr="00EC3027">
              <w:rPr>
                <w:rFonts w:ascii="Times New Roman" w:hAnsi="Times New Roman"/>
                <w:b/>
                <w:bCs/>
                <w:i/>
                <w:lang w:eastAsia="bg-BG"/>
              </w:rPr>
              <w:t>Структура и функции. Наличие на големи/биотопни дървета</w:t>
            </w:r>
          </w:p>
        </w:tc>
        <w:tc>
          <w:tcPr>
            <w:tcW w:w="1253" w:type="dxa"/>
            <w:shd w:val="clear" w:color="auto" w:fill="auto"/>
          </w:tcPr>
          <w:p w:rsidR="00E8367B" w:rsidRPr="00077290" w:rsidRDefault="00E8367B" w:rsidP="0031593F">
            <w:pPr>
              <w:rPr>
                <w:rFonts w:ascii="Times New Roman" w:hAnsi="Times New Roman"/>
                <w:bCs/>
                <w:i/>
                <w:lang w:eastAsia="bg-BG"/>
              </w:rPr>
            </w:pPr>
            <w:r w:rsidRPr="00077290">
              <w:rPr>
                <w:rFonts w:ascii="Times New Roman" w:hAnsi="Times New Roman"/>
                <w:bCs/>
                <w:i/>
                <w:lang w:eastAsia="bg-BG"/>
              </w:rPr>
              <w:t>Брой на ха</w:t>
            </w:r>
          </w:p>
        </w:tc>
        <w:tc>
          <w:tcPr>
            <w:tcW w:w="1275" w:type="dxa"/>
            <w:shd w:val="clear" w:color="auto" w:fill="auto"/>
          </w:tcPr>
          <w:p w:rsidR="00E8367B" w:rsidRPr="00077290" w:rsidRDefault="00E8367B" w:rsidP="0031593F">
            <w:pPr>
              <w:rPr>
                <w:rFonts w:ascii="Times New Roman" w:hAnsi="Times New Roman"/>
                <w:bCs/>
                <w:i/>
                <w:lang w:eastAsia="bg-BG"/>
              </w:rPr>
            </w:pPr>
            <w:r w:rsidRPr="00077290">
              <w:rPr>
                <w:rFonts w:ascii="Times New Roman" w:hAnsi="Times New Roman"/>
                <w:bCs/>
                <w:i/>
                <w:lang w:eastAsia="bg-BG"/>
              </w:rPr>
              <w:t xml:space="preserve">Поне 60% от площта на местообитанието се характеризира с наличието на най-малко 10 големи/ биотопни дървета на ха </w:t>
            </w:r>
          </w:p>
        </w:tc>
        <w:tc>
          <w:tcPr>
            <w:tcW w:w="3544" w:type="dxa"/>
            <w:shd w:val="clear" w:color="auto" w:fill="auto"/>
          </w:tcPr>
          <w:p w:rsidR="00E8367B" w:rsidRPr="00077290" w:rsidRDefault="00E8367B" w:rsidP="0031593F">
            <w:pPr>
              <w:rPr>
                <w:rFonts w:ascii="Times New Roman" w:hAnsi="Times New Roman"/>
                <w:bCs/>
                <w:i/>
                <w:lang w:eastAsia="bg-BG"/>
              </w:rPr>
            </w:pPr>
            <w:r w:rsidRPr="00077290">
              <w:rPr>
                <w:rFonts w:ascii="Times New Roman" w:hAnsi="Times New Roman"/>
                <w:bCs/>
                <w:i/>
                <w:lang w:eastAsia="bg-BG"/>
              </w:rPr>
              <w:t xml:space="preserve">Най-подходящо е биотопните дървета да са разположени на групи, а не като единични дървета. </w:t>
            </w:r>
          </w:p>
          <w:p w:rsidR="00E8367B" w:rsidRPr="00077290" w:rsidRDefault="00E8367B" w:rsidP="0031593F">
            <w:pPr>
              <w:rPr>
                <w:rFonts w:ascii="Times New Roman" w:hAnsi="Times New Roman"/>
                <w:bCs/>
                <w:i/>
                <w:lang w:eastAsia="bg-BG"/>
              </w:rPr>
            </w:pPr>
            <w:r w:rsidRPr="00077290">
              <w:rPr>
                <w:rFonts w:ascii="Times New Roman" w:hAnsi="Times New Roman"/>
                <w:bCs/>
                <w:i/>
                <w:lang w:eastAsia="bg-BG"/>
              </w:rPr>
              <w:t>Според анализа на наличната информация, съобразно подхода, описан в т. 5 на настоящия документ, броят биотопни дървета е достатъчен.</w:t>
            </w:r>
          </w:p>
        </w:tc>
        <w:tc>
          <w:tcPr>
            <w:tcW w:w="2552" w:type="dxa"/>
          </w:tcPr>
          <w:p w:rsidR="00E8367B" w:rsidRPr="00077290" w:rsidRDefault="00E8367B" w:rsidP="0031593F">
            <w:pPr>
              <w:rPr>
                <w:rFonts w:ascii="Times New Roman" w:hAnsi="Times New Roman"/>
                <w:bCs/>
                <w:i/>
                <w:lang w:eastAsia="bg-BG"/>
              </w:rPr>
            </w:pPr>
            <w:r w:rsidRPr="00077290">
              <w:rPr>
                <w:rFonts w:ascii="Times New Roman" w:hAnsi="Times New Roman"/>
                <w:bCs/>
                <w:i/>
                <w:lang w:eastAsia="bg-BG"/>
              </w:rPr>
              <w:t>Целта е поддържане състоянието по този показател.</w:t>
            </w:r>
          </w:p>
        </w:tc>
      </w:tr>
    </w:tbl>
    <w:p w:rsidR="00E8367B" w:rsidRPr="00077290" w:rsidRDefault="00E8367B" w:rsidP="00077290">
      <w:pPr>
        <w:rPr>
          <w:rFonts w:ascii="Times New Roman" w:hAnsi="Times New Roman"/>
          <w:bCs/>
          <w:i/>
          <w:sz w:val="24"/>
          <w:szCs w:val="24"/>
          <w:lang w:eastAsia="bg-BG"/>
        </w:rPr>
      </w:pPr>
    </w:p>
    <w:p w:rsidR="00E8367B" w:rsidRPr="00077290" w:rsidRDefault="00E8367B" w:rsidP="00077290">
      <w:pPr>
        <w:rPr>
          <w:rFonts w:ascii="Times New Roman" w:hAnsi="Times New Roman"/>
          <w:b/>
          <w:bCs/>
          <w:sz w:val="24"/>
          <w:szCs w:val="24"/>
          <w:lang w:eastAsia="bg-BG"/>
        </w:rPr>
      </w:pPr>
      <w:r w:rsidRPr="00077290">
        <w:rPr>
          <w:rFonts w:ascii="Times New Roman" w:hAnsi="Times New Roman"/>
          <w:b/>
          <w:bCs/>
          <w:sz w:val="24"/>
          <w:szCs w:val="24"/>
          <w:lang w:val="ru-RU" w:eastAsia="bg-BG"/>
        </w:rPr>
        <w:lastRenderedPageBreak/>
        <w:t xml:space="preserve">7. </w:t>
      </w:r>
      <w:r w:rsidRPr="00077290">
        <w:rPr>
          <w:rFonts w:ascii="Times New Roman" w:hAnsi="Times New Roman"/>
          <w:b/>
          <w:bCs/>
          <w:sz w:val="24"/>
          <w:szCs w:val="24"/>
          <w:lang w:eastAsia="bg-BG"/>
        </w:rPr>
        <w:t>Необходимост от актуализация на СФ на защитената зона</w:t>
      </w:r>
    </w:p>
    <w:p w:rsidR="00E8367B" w:rsidRPr="00077290" w:rsidRDefault="00E8367B" w:rsidP="00077290">
      <w:pPr>
        <w:rPr>
          <w:rFonts w:ascii="Times New Roman" w:hAnsi="Times New Roman"/>
          <w:bCs/>
          <w:sz w:val="24"/>
          <w:szCs w:val="24"/>
          <w:lang w:eastAsia="bg-BG"/>
        </w:rPr>
      </w:pPr>
      <w:r w:rsidRPr="00077290">
        <w:rPr>
          <w:rFonts w:ascii="Times New Roman" w:hAnsi="Times New Roman"/>
          <w:sz w:val="24"/>
          <w:szCs w:val="24"/>
          <w:lang w:eastAsia="bg-BG"/>
        </w:rPr>
        <w:t>Не е необходима промяна на Стандартния формуляр.</w:t>
      </w:r>
    </w:p>
    <w:p w:rsidR="00E8367B" w:rsidRPr="00077290" w:rsidRDefault="00E8367B" w:rsidP="00EC3027">
      <w:pPr>
        <w:spacing w:after="0" w:line="240" w:lineRule="auto"/>
        <w:rPr>
          <w:rFonts w:ascii="Times New Roman" w:hAnsi="Times New Roman"/>
          <w:b/>
          <w:bCs/>
          <w:sz w:val="24"/>
          <w:szCs w:val="24"/>
          <w:lang w:eastAsia="bg-BG"/>
        </w:rPr>
      </w:pPr>
      <w:r w:rsidRPr="00077290">
        <w:rPr>
          <w:rFonts w:ascii="Times New Roman" w:hAnsi="Times New Roman"/>
          <w:b/>
          <w:bCs/>
          <w:sz w:val="24"/>
          <w:szCs w:val="24"/>
          <w:lang w:eastAsia="bg-BG"/>
        </w:rPr>
        <w:t>8. Използвана литература</w:t>
      </w:r>
    </w:p>
    <w:p w:rsidR="00E8367B" w:rsidRPr="00E8367B" w:rsidRDefault="00E8367B" w:rsidP="00077290">
      <w:pPr>
        <w:spacing w:after="0" w:line="240" w:lineRule="auto"/>
        <w:ind w:left="709" w:hanging="709"/>
        <w:jc w:val="both"/>
        <w:rPr>
          <w:rFonts w:ascii="Times New Roman" w:hAnsi="Times New Roman"/>
          <w:b/>
          <w:bCs/>
          <w:sz w:val="24"/>
          <w:szCs w:val="24"/>
          <w:lang w:eastAsia="bg-BG"/>
        </w:rPr>
      </w:pPr>
      <w:r w:rsidRPr="00077290">
        <w:rPr>
          <w:rFonts w:ascii="Times New Roman" w:hAnsi="Times New Roman"/>
          <w:bCs/>
          <w:sz w:val="24"/>
          <w:szCs w:val="24"/>
          <w:lang w:eastAsia="bg-BG"/>
        </w:rPr>
        <w:t xml:space="preserve">Бисерков, В. (гл. ред). </w:t>
      </w:r>
      <w:r w:rsidRPr="00077290">
        <w:rPr>
          <w:rFonts w:ascii="Times New Roman" w:hAnsi="Times New Roman"/>
          <w:bCs/>
          <w:i/>
          <w:sz w:val="24"/>
          <w:szCs w:val="24"/>
          <w:lang w:eastAsia="bg-BG"/>
        </w:rPr>
        <w:t>Червена книга на Република България, Том III -</w:t>
      </w:r>
      <w:r w:rsidRPr="00E8367B">
        <w:rPr>
          <w:rFonts w:ascii="Times New Roman" w:hAnsi="Times New Roman"/>
          <w:bCs/>
          <w:sz w:val="24"/>
          <w:szCs w:val="24"/>
          <w:lang w:eastAsia="bg-BG"/>
        </w:rPr>
        <w:t xml:space="preserve"> Природни местообитания. </w:t>
      </w:r>
      <w:hyperlink r:id="rId24" w:history="1">
        <w:r w:rsidRPr="00E8367B">
          <w:rPr>
            <w:rFonts w:ascii="Times New Roman" w:hAnsi="Times New Roman"/>
            <w:bCs/>
            <w:sz w:val="24"/>
            <w:szCs w:val="24"/>
            <w:u w:val="single"/>
            <w:lang w:eastAsia="bg-BG"/>
          </w:rPr>
          <w:t>http://e-ecodb.bas.bg/rdb/bg/vol3/</w:t>
        </w:r>
      </w:hyperlink>
      <w:r w:rsidRPr="00E8367B">
        <w:rPr>
          <w:rFonts w:ascii="Times New Roman" w:hAnsi="Times New Roman"/>
          <w:bCs/>
          <w:sz w:val="24"/>
          <w:szCs w:val="24"/>
          <w:lang w:eastAsia="bg-BG"/>
        </w:rPr>
        <w:t>. Последно посетен на 29.10.2021 г.</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Министерство на околната среда и водите (МОСВ). Информационна система за защитени зони от екологична мрежа Натура 2000. </w:t>
      </w:r>
      <w:hyperlink r:id="rId25" w:history="1">
        <w:r w:rsidRPr="00E8367B">
          <w:rPr>
            <w:rFonts w:ascii="Times New Roman" w:hAnsi="Times New Roman"/>
            <w:bCs/>
            <w:sz w:val="24"/>
            <w:szCs w:val="24"/>
            <w:u w:val="single"/>
            <w:lang w:eastAsia="bg-BG"/>
          </w:rPr>
          <w:t>http://natura2000.moew.government.bg/Home/Natura2000ProtectedSites</w:t>
        </w:r>
      </w:hyperlink>
      <w:r w:rsidRPr="00E8367B">
        <w:rPr>
          <w:rFonts w:ascii="Times New Roman" w:hAnsi="Times New Roman"/>
          <w:bCs/>
          <w:sz w:val="24"/>
          <w:szCs w:val="24"/>
          <w:lang w:eastAsia="bg-BG"/>
        </w:rPr>
        <w:t xml:space="preserve">. Последно посетен на 29.10.2021 г. </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Изпълнителна агенция по горите (ИАГ). Лесоустройствени проекти.  </w:t>
      </w:r>
      <w:hyperlink r:id="rId26" w:history="1">
        <w:r w:rsidRPr="00E8367B">
          <w:rPr>
            <w:rFonts w:ascii="Times New Roman" w:hAnsi="Times New Roman"/>
            <w:bCs/>
            <w:sz w:val="24"/>
            <w:szCs w:val="24"/>
            <w:u w:val="single"/>
            <w:lang w:eastAsia="bg-BG"/>
          </w:rPr>
          <w:t>http://www.procurement.iag.bg:8080/cgi-bin/lup.cgi</w:t>
        </w:r>
      </w:hyperlink>
      <w:r w:rsidRPr="00E8367B">
        <w:rPr>
          <w:rFonts w:ascii="Times New Roman" w:hAnsi="Times New Roman"/>
          <w:bCs/>
          <w:sz w:val="24"/>
          <w:szCs w:val="24"/>
          <w:lang w:eastAsia="bg-BG"/>
        </w:rPr>
        <w:t>. Последно посетен на 29.10.2021 г.</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Зингстра</w:t>
      </w:r>
      <w:r>
        <w:rPr>
          <w:rFonts w:ascii="Times New Roman" w:hAnsi="Times New Roman"/>
          <w:bCs/>
          <w:sz w:val="24"/>
          <w:szCs w:val="24"/>
          <w:lang w:eastAsia="bg-BG"/>
        </w:rPr>
        <w:t>,</w:t>
      </w:r>
      <w:r w:rsidRPr="00E8367B">
        <w:rPr>
          <w:rFonts w:ascii="Times New Roman" w:hAnsi="Times New Roman"/>
          <w:bCs/>
          <w:sz w:val="24"/>
          <w:szCs w:val="24"/>
          <w:lang w:eastAsia="bg-BG"/>
        </w:rPr>
        <w:t xml:space="preserve"> Х</w:t>
      </w:r>
      <w:r>
        <w:rPr>
          <w:rFonts w:ascii="Times New Roman" w:hAnsi="Times New Roman"/>
          <w:bCs/>
          <w:sz w:val="24"/>
          <w:szCs w:val="24"/>
          <w:lang w:eastAsia="bg-BG"/>
        </w:rPr>
        <w:t>.</w:t>
      </w:r>
      <w:r w:rsidRPr="00E8367B">
        <w:rPr>
          <w:rFonts w:ascii="Times New Roman" w:hAnsi="Times New Roman"/>
          <w:bCs/>
          <w:sz w:val="24"/>
          <w:szCs w:val="24"/>
          <w:lang w:eastAsia="bg-BG"/>
        </w:rPr>
        <w:t>, А</w:t>
      </w:r>
      <w:r>
        <w:rPr>
          <w:rFonts w:ascii="Times New Roman" w:hAnsi="Times New Roman"/>
          <w:bCs/>
          <w:sz w:val="24"/>
          <w:szCs w:val="24"/>
          <w:lang w:eastAsia="bg-BG"/>
        </w:rPr>
        <w:t>.</w:t>
      </w:r>
      <w:r w:rsidRPr="00E8367B">
        <w:rPr>
          <w:rFonts w:ascii="Times New Roman" w:hAnsi="Times New Roman"/>
          <w:bCs/>
          <w:sz w:val="24"/>
          <w:szCs w:val="24"/>
          <w:lang w:eastAsia="bg-BG"/>
        </w:rPr>
        <w:t xml:space="preserve"> Ковачев, К</w:t>
      </w:r>
      <w:r>
        <w:rPr>
          <w:rFonts w:ascii="Times New Roman" w:hAnsi="Times New Roman"/>
          <w:bCs/>
          <w:sz w:val="24"/>
          <w:szCs w:val="24"/>
          <w:lang w:eastAsia="bg-BG"/>
        </w:rPr>
        <w:t>.</w:t>
      </w:r>
      <w:r w:rsidRPr="00E8367B">
        <w:rPr>
          <w:rFonts w:ascii="Times New Roman" w:hAnsi="Times New Roman"/>
          <w:bCs/>
          <w:sz w:val="24"/>
          <w:szCs w:val="24"/>
          <w:lang w:eastAsia="bg-BG"/>
        </w:rPr>
        <w:t xml:space="preserve"> Китнаес, Р</w:t>
      </w:r>
      <w:r>
        <w:rPr>
          <w:rFonts w:ascii="Times New Roman" w:hAnsi="Times New Roman"/>
          <w:bCs/>
          <w:sz w:val="24"/>
          <w:szCs w:val="24"/>
          <w:lang w:eastAsia="bg-BG"/>
        </w:rPr>
        <w:t>.</w:t>
      </w:r>
      <w:r w:rsidRPr="00E8367B">
        <w:rPr>
          <w:rFonts w:ascii="Times New Roman" w:hAnsi="Times New Roman"/>
          <w:bCs/>
          <w:sz w:val="24"/>
          <w:szCs w:val="24"/>
          <w:lang w:eastAsia="bg-BG"/>
        </w:rPr>
        <w:t xml:space="preserve"> Цонев, Д</w:t>
      </w:r>
      <w:r>
        <w:rPr>
          <w:rFonts w:ascii="Times New Roman" w:hAnsi="Times New Roman"/>
          <w:bCs/>
          <w:sz w:val="24"/>
          <w:szCs w:val="24"/>
          <w:lang w:eastAsia="bg-BG"/>
        </w:rPr>
        <w:t>.</w:t>
      </w:r>
      <w:r w:rsidRPr="00E8367B">
        <w:rPr>
          <w:rFonts w:ascii="Times New Roman" w:hAnsi="Times New Roman"/>
          <w:bCs/>
          <w:sz w:val="24"/>
          <w:szCs w:val="24"/>
          <w:lang w:eastAsia="bg-BG"/>
        </w:rPr>
        <w:t xml:space="preserve"> Димова, П</w:t>
      </w:r>
      <w:r>
        <w:rPr>
          <w:rFonts w:ascii="Times New Roman" w:hAnsi="Times New Roman"/>
          <w:bCs/>
          <w:sz w:val="24"/>
          <w:szCs w:val="24"/>
          <w:lang w:eastAsia="bg-BG"/>
        </w:rPr>
        <w:t>.</w:t>
      </w:r>
      <w:r w:rsidRPr="00E8367B">
        <w:rPr>
          <w:rFonts w:ascii="Times New Roman" w:hAnsi="Times New Roman"/>
          <w:bCs/>
          <w:sz w:val="24"/>
          <w:szCs w:val="24"/>
          <w:lang w:eastAsia="bg-BG"/>
        </w:rPr>
        <w:t xml:space="preserve"> Цветков (ред.) 2009.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630 стр.</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План за управление на Поддържан резерват „Сребърна“. </w:t>
      </w:r>
      <w:r w:rsidRPr="00E8367B">
        <w:rPr>
          <w:rFonts w:ascii="Times New Roman" w:hAnsi="Times New Roman"/>
          <w:bCs/>
          <w:sz w:val="24"/>
          <w:szCs w:val="24"/>
          <w:lang w:val="ru-RU" w:eastAsia="bg-BG"/>
        </w:rPr>
        <w:t xml:space="preserve">2016. </w:t>
      </w:r>
      <w:r w:rsidRPr="00E8367B">
        <w:rPr>
          <w:rFonts w:ascii="Times New Roman" w:hAnsi="Times New Roman"/>
          <w:bCs/>
          <w:sz w:val="24"/>
          <w:szCs w:val="24"/>
          <w:lang w:eastAsia="bg-BG"/>
        </w:rPr>
        <w:t>ОП „Околна среда 2007-2013</w:t>
      </w:r>
      <w:r w:rsidRPr="00E8367B">
        <w:rPr>
          <w:rFonts w:ascii="Times New Roman" w:hAnsi="Times New Roman"/>
          <w:bCs/>
          <w:sz w:val="24"/>
          <w:szCs w:val="24"/>
          <w:lang w:val="ru-RU" w:eastAsia="bg-BG"/>
        </w:rPr>
        <w:t>”</w:t>
      </w:r>
      <w:r w:rsidRPr="00E8367B">
        <w:rPr>
          <w:rFonts w:ascii="Times New Roman" w:hAnsi="Times New Roman"/>
          <w:bCs/>
          <w:sz w:val="24"/>
          <w:szCs w:val="24"/>
          <w:lang w:eastAsia="bg-BG"/>
        </w:rPr>
        <w:t>. МОСВ.</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План за управление на Защитена местност „Пеликаните“. </w:t>
      </w:r>
      <w:r w:rsidRPr="00E8367B">
        <w:rPr>
          <w:rFonts w:ascii="Times New Roman" w:hAnsi="Times New Roman"/>
          <w:bCs/>
          <w:sz w:val="24"/>
          <w:szCs w:val="24"/>
          <w:lang w:val="en-US" w:eastAsia="bg-BG"/>
        </w:rPr>
        <w:t xml:space="preserve">2016. </w:t>
      </w:r>
      <w:r w:rsidRPr="00E8367B">
        <w:rPr>
          <w:rFonts w:ascii="Times New Roman" w:hAnsi="Times New Roman"/>
          <w:bCs/>
          <w:sz w:val="24"/>
          <w:szCs w:val="24"/>
          <w:lang w:eastAsia="bg-BG"/>
        </w:rPr>
        <w:t>ОП „Околна среда 2007-2013</w:t>
      </w:r>
      <w:r w:rsidRPr="00E8367B">
        <w:rPr>
          <w:rFonts w:ascii="Times New Roman" w:hAnsi="Times New Roman"/>
          <w:bCs/>
          <w:sz w:val="24"/>
          <w:szCs w:val="24"/>
          <w:lang w:val="en-US" w:eastAsia="bg-BG"/>
        </w:rPr>
        <w:t>”</w:t>
      </w:r>
      <w:r w:rsidRPr="00E8367B">
        <w:rPr>
          <w:rFonts w:ascii="Times New Roman" w:hAnsi="Times New Roman"/>
          <w:bCs/>
          <w:sz w:val="24"/>
          <w:szCs w:val="24"/>
          <w:lang w:eastAsia="bg-BG"/>
        </w:rPr>
        <w:t>. МОСВ.</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European commission. The State of Nature in the EU – Article 17 reporting. </w:t>
      </w:r>
      <w:hyperlink r:id="rId27" w:history="1">
        <w:r w:rsidRPr="00E8367B">
          <w:rPr>
            <w:rFonts w:ascii="Times New Roman" w:hAnsi="Times New Roman"/>
            <w:bCs/>
            <w:sz w:val="24"/>
            <w:szCs w:val="24"/>
            <w:u w:val="single"/>
            <w:lang w:eastAsia="bg-BG"/>
          </w:rPr>
          <w:t>https://ec.europa.eu/environment/nature/knowledge/rep_habitats/index_en.htm</w:t>
        </w:r>
      </w:hyperlink>
      <w:r w:rsidRPr="00E8367B">
        <w:rPr>
          <w:rFonts w:ascii="Times New Roman" w:hAnsi="Times New Roman"/>
          <w:bCs/>
          <w:sz w:val="24"/>
          <w:szCs w:val="24"/>
          <w:lang w:eastAsia="bg-BG"/>
        </w:rPr>
        <w:t xml:space="preserve">. Last visited on 18.09.2021. </w:t>
      </w:r>
    </w:p>
    <w:p w:rsidR="00E8367B" w:rsidRDefault="00E8367B" w:rsidP="00077290">
      <w:pPr>
        <w:rPr>
          <w:rFonts w:ascii="Times New Roman" w:hAnsi="Times New Roman"/>
          <w:bCs/>
          <w:i/>
          <w:sz w:val="24"/>
          <w:szCs w:val="24"/>
          <w:lang w:eastAsia="bg-BG"/>
        </w:rPr>
      </w:pPr>
    </w:p>
    <w:p w:rsidR="00E8367B" w:rsidRPr="00E8367B" w:rsidRDefault="00E8367B" w:rsidP="00077290">
      <w:pPr>
        <w:rPr>
          <w:rFonts w:ascii="Times New Roman" w:hAnsi="Times New Roman"/>
          <w:bCs/>
          <w:sz w:val="24"/>
          <w:szCs w:val="24"/>
          <w:lang w:eastAsia="bg-BG"/>
        </w:rPr>
      </w:pPr>
      <w:r w:rsidRPr="00E8367B">
        <w:rPr>
          <w:rFonts w:ascii="Times New Roman" w:hAnsi="Times New Roman"/>
          <w:bCs/>
          <w:i/>
          <w:sz w:val="24"/>
          <w:szCs w:val="24"/>
          <w:lang w:eastAsia="bg-BG"/>
        </w:rPr>
        <w:t>Автори</w:t>
      </w:r>
      <w:r>
        <w:rPr>
          <w:rFonts w:ascii="Times New Roman" w:hAnsi="Times New Roman"/>
          <w:bCs/>
          <w:sz w:val="24"/>
          <w:szCs w:val="24"/>
          <w:lang w:eastAsia="bg-BG"/>
        </w:rPr>
        <w:t>: Цветан Златанов, Георги Хинков, Георги Гогушев, Магдалена Златанова</w:t>
      </w:r>
    </w:p>
    <w:p w:rsidR="00E8367B" w:rsidRPr="00E8367B" w:rsidRDefault="00E8367B">
      <w:pPr>
        <w:rPr>
          <w:rFonts w:ascii="Times New Roman" w:hAnsi="Times New Roman"/>
          <w:b/>
          <w:color w:val="1F497D" w:themeColor="text2"/>
          <w:sz w:val="28"/>
          <w:szCs w:val="28"/>
        </w:rPr>
      </w:pPr>
    </w:p>
    <w:p w:rsidR="0070678B" w:rsidRPr="00E8367B" w:rsidRDefault="00E8367B" w:rsidP="00EC3027">
      <w:pPr>
        <w:outlineLvl w:val="1"/>
        <w:rPr>
          <w:rFonts w:ascii="Times New Roman" w:hAnsi="Times New Roman"/>
          <w:color w:val="1F497D" w:themeColor="text2"/>
          <w:sz w:val="28"/>
          <w:szCs w:val="28"/>
        </w:rPr>
      </w:pPr>
      <w:bookmarkStart w:id="9" w:name="_Toc98838529"/>
      <w:r w:rsidRPr="00E8367B">
        <w:rPr>
          <w:rFonts w:ascii="Times New Roman" w:hAnsi="Times New Roman"/>
          <w:color w:val="1F497D" w:themeColor="text2"/>
          <w:sz w:val="28"/>
          <w:szCs w:val="28"/>
        </w:rPr>
        <w:t xml:space="preserve">Природно местообитание </w:t>
      </w:r>
      <w:r w:rsidR="0070678B" w:rsidRPr="00E8367B">
        <w:rPr>
          <w:rFonts w:ascii="Times New Roman" w:hAnsi="Times New Roman"/>
          <w:color w:val="1F497D" w:themeColor="text2"/>
          <w:sz w:val="28"/>
          <w:szCs w:val="28"/>
          <w:lang w:val="en-US"/>
        </w:rPr>
        <w:t>91H0</w:t>
      </w:r>
      <w:r w:rsidRPr="00E8367B">
        <w:rPr>
          <w:rFonts w:ascii="Times New Roman" w:hAnsi="Times New Roman"/>
          <w:color w:val="1F497D" w:themeColor="text2"/>
          <w:sz w:val="28"/>
          <w:szCs w:val="28"/>
        </w:rPr>
        <w:t xml:space="preserve"> Панонски гори с </w:t>
      </w:r>
      <w:r w:rsidRPr="00E8367B">
        <w:rPr>
          <w:rFonts w:ascii="Times New Roman" w:hAnsi="Times New Roman"/>
          <w:i/>
          <w:color w:val="1F497D" w:themeColor="text2"/>
          <w:sz w:val="28"/>
          <w:szCs w:val="28"/>
        </w:rPr>
        <w:t>Quercus pubescens</w:t>
      </w:r>
      <w:bookmarkEnd w:id="9"/>
    </w:p>
    <w:p w:rsidR="00E8367B" w:rsidRPr="00E8367B" w:rsidRDefault="00E8367B" w:rsidP="00077290">
      <w:pPr>
        <w:rPr>
          <w:rFonts w:ascii="Times New Roman" w:eastAsia="Calibri" w:hAnsi="Times New Roman"/>
          <w:i/>
          <w:sz w:val="24"/>
          <w:szCs w:val="24"/>
          <w:lang w:val="ru-RU"/>
        </w:rPr>
      </w:pPr>
      <w:r w:rsidRPr="00E8367B">
        <w:rPr>
          <w:rFonts w:ascii="Times New Roman" w:hAnsi="Times New Roman"/>
          <w:b/>
          <w:bCs/>
          <w:sz w:val="24"/>
          <w:szCs w:val="24"/>
          <w:lang w:eastAsia="bg-BG"/>
        </w:rPr>
        <w:t>1. Код и наименование на типа местообитание:</w:t>
      </w:r>
      <w:r w:rsidRPr="00E8367B">
        <w:rPr>
          <w:rFonts w:ascii="Times New Roman" w:hAnsi="Times New Roman"/>
          <w:bCs/>
          <w:sz w:val="24"/>
          <w:szCs w:val="24"/>
          <w:lang w:eastAsia="bg-BG"/>
        </w:rPr>
        <w:t xml:space="preserve"> </w:t>
      </w:r>
      <w:r w:rsidRPr="00E8367B">
        <w:rPr>
          <w:rFonts w:ascii="Times New Roman" w:eastAsia="Calibri" w:hAnsi="Times New Roman"/>
          <w:sz w:val="24"/>
          <w:szCs w:val="24"/>
          <w:lang w:val="ru-RU"/>
        </w:rPr>
        <w:t>91H0</w:t>
      </w:r>
      <w:r>
        <w:rPr>
          <w:rFonts w:ascii="Times New Roman" w:eastAsia="Calibri" w:hAnsi="Times New Roman"/>
          <w:sz w:val="24"/>
          <w:szCs w:val="24"/>
          <w:lang w:val="ru-RU"/>
        </w:rPr>
        <w:t xml:space="preserve"> </w:t>
      </w:r>
      <w:r w:rsidRPr="00E8367B">
        <w:rPr>
          <w:rFonts w:ascii="Times New Roman" w:eastAsia="Calibri" w:hAnsi="Times New Roman"/>
          <w:sz w:val="24"/>
          <w:szCs w:val="24"/>
          <w:lang w:val="ru-RU"/>
        </w:rPr>
        <w:t xml:space="preserve">*Панонски гори с </w:t>
      </w:r>
      <w:r w:rsidRPr="00E8367B">
        <w:rPr>
          <w:rFonts w:ascii="Times New Roman" w:eastAsia="Calibri" w:hAnsi="Times New Roman"/>
          <w:i/>
          <w:sz w:val="24"/>
          <w:szCs w:val="24"/>
          <w:lang w:val="ru-RU"/>
        </w:rPr>
        <w:t>Quercus pubescens</w:t>
      </w:r>
    </w:p>
    <w:p w:rsidR="00E8367B" w:rsidRPr="00E8367B" w:rsidRDefault="00E8367B" w:rsidP="00077290">
      <w:pPr>
        <w:spacing w:before="120" w:after="0" w:line="240" w:lineRule="auto"/>
        <w:rPr>
          <w:rFonts w:ascii="Times New Roman" w:hAnsi="Times New Roman"/>
          <w:bCs/>
          <w:sz w:val="24"/>
          <w:szCs w:val="24"/>
          <w:lang w:eastAsia="bg-BG"/>
        </w:rPr>
      </w:pPr>
      <w:r w:rsidRPr="00E8367B">
        <w:rPr>
          <w:rFonts w:ascii="Times New Roman" w:hAnsi="Times New Roman"/>
          <w:b/>
          <w:bCs/>
          <w:sz w:val="24"/>
          <w:szCs w:val="24"/>
          <w:lang w:eastAsia="bg-BG"/>
        </w:rPr>
        <w:t>2. Кратка характеристика на целевия обект</w:t>
      </w:r>
    </w:p>
    <w:p w:rsidR="00E8367B" w:rsidRPr="00E8367B" w:rsidRDefault="00E8367B" w:rsidP="00077290">
      <w:pPr>
        <w:spacing w:after="0" w:line="240" w:lineRule="auto"/>
        <w:ind w:firstLine="709"/>
        <w:jc w:val="both"/>
        <w:rPr>
          <w:rFonts w:ascii="Times New Roman" w:eastAsia="Calibri" w:hAnsi="Times New Roman"/>
          <w:sz w:val="24"/>
          <w:szCs w:val="24"/>
        </w:rPr>
      </w:pPr>
      <w:r w:rsidRPr="00E8367B">
        <w:rPr>
          <w:rFonts w:ascii="Times New Roman" w:eastAsia="Calibri" w:hAnsi="Times New Roman"/>
          <w:sz w:val="24"/>
          <w:szCs w:val="24"/>
        </w:rPr>
        <w:t>В това местообитание се включват разредени дъбови гори, с участие на космат дъб (</w:t>
      </w:r>
      <w:r w:rsidRPr="00E8367B">
        <w:rPr>
          <w:rFonts w:ascii="Times New Roman" w:eastAsia="Calibri" w:hAnsi="Times New Roman"/>
          <w:i/>
          <w:sz w:val="24"/>
          <w:szCs w:val="24"/>
        </w:rPr>
        <w:t>Quercus pubescens</w:t>
      </w:r>
      <w:r w:rsidRPr="00E8367B">
        <w:rPr>
          <w:rFonts w:ascii="Times New Roman" w:eastAsia="Calibri" w:hAnsi="Times New Roman"/>
          <w:sz w:val="24"/>
          <w:szCs w:val="24"/>
        </w:rPr>
        <w:t xml:space="preserve">) над 3 десети. Разпространено е по варовикови възвишения на места с континентален климат. Тези гори са част от смесените дъбови гори, като обикновено заемат най-сухите и топли места по склонове предимно с южно или западно изложение. Заради континенталните условия, бедните почви и антропогенното влияние, горите са предимно фрагментарни и имат на места храсталачен облик. Дървесният етаж, в който косматият дъб доминира или съдоминира, достига височина най-често 4-8 m. Освен </w:t>
      </w:r>
      <w:r w:rsidRPr="00E8367B">
        <w:rPr>
          <w:rFonts w:ascii="Times New Roman" w:eastAsia="Calibri" w:hAnsi="Times New Roman"/>
          <w:i/>
          <w:sz w:val="24"/>
          <w:szCs w:val="24"/>
        </w:rPr>
        <w:t>Quercus pubescens</w:t>
      </w:r>
      <w:r w:rsidRPr="00E8367B">
        <w:rPr>
          <w:rFonts w:ascii="Times New Roman" w:eastAsia="Calibri" w:hAnsi="Times New Roman"/>
          <w:sz w:val="24"/>
          <w:szCs w:val="24"/>
        </w:rPr>
        <w:t xml:space="preserve">, в този етаж обикновено се срещат </w:t>
      </w:r>
      <w:r w:rsidRPr="00E8367B">
        <w:rPr>
          <w:rFonts w:ascii="Times New Roman" w:eastAsia="Calibri" w:hAnsi="Times New Roman"/>
          <w:i/>
          <w:sz w:val="24"/>
          <w:szCs w:val="24"/>
        </w:rPr>
        <w:t>Acer campestre, Fraxinus ornus, Quercus cerris, Q. frainetto, Q. virgiliana.</w:t>
      </w:r>
      <w:r w:rsidRPr="00E8367B">
        <w:rPr>
          <w:rFonts w:ascii="Times New Roman" w:eastAsia="Calibri" w:hAnsi="Times New Roman"/>
          <w:sz w:val="24"/>
          <w:szCs w:val="24"/>
        </w:rPr>
        <w:t xml:space="preserve"> Често, особено на места с плитка варовикова основа, масово расте и </w:t>
      </w:r>
      <w:r w:rsidRPr="00E8367B">
        <w:rPr>
          <w:rFonts w:ascii="Times New Roman" w:eastAsia="Calibri" w:hAnsi="Times New Roman"/>
          <w:i/>
          <w:sz w:val="24"/>
          <w:szCs w:val="24"/>
        </w:rPr>
        <w:t>Carpinus orientalis</w:t>
      </w:r>
      <w:r w:rsidRPr="00E8367B">
        <w:rPr>
          <w:rFonts w:ascii="Times New Roman" w:eastAsia="Calibri" w:hAnsi="Times New Roman"/>
          <w:sz w:val="24"/>
          <w:szCs w:val="24"/>
        </w:rPr>
        <w:t>, който може да образува и втори дървесен етаж.</w:t>
      </w:r>
    </w:p>
    <w:p w:rsidR="00E8367B" w:rsidRPr="00077290" w:rsidRDefault="00E8367B" w:rsidP="00077290">
      <w:pPr>
        <w:spacing w:before="120"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3. Състояние на биогеографско ниво и разпространение в мрежата</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077290">
        <w:rPr>
          <w:rFonts w:ascii="Times New Roman" w:eastAsia="Calibri" w:hAnsi="Times New Roman"/>
          <w:sz w:val="24"/>
          <w:szCs w:val="24"/>
        </w:rPr>
        <w:lastRenderedPageBreak/>
        <w:t>Съгласно</w:t>
      </w:r>
      <w:r w:rsidRPr="00E8367B">
        <w:rPr>
          <w:rFonts w:ascii="Times New Roman" w:hAnsi="Times New Roman"/>
          <w:bCs/>
          <w:sz w:val="24"/>
          <w:szCs w:val="24"/>
          <w:lang w:eastAsia="bg-BG"/>
        </w:rPr>
        <w:t xml:space="preserve"> картирането извършено през периода 2011–2013 година, </w:t>
      </w:r>
      <w:r w:rsidRPr="00E8367B">
        <w:rPr>
          <w:rFonts w:ascii="Times New Roman" w:eastAsia="Calibri" w:hAnsi="Times New Roman"/>
          <w:sz w:val="24"/>
          <w:szCs w:val="24"/>
          <w:lang w:val="ru-RU"/>
        </w:rPr>
        <w:t>91</w:t>
      </w:r>
      <w:r w:rsidRPr="00E8367B">
        <w:rPr>
          <w:rFonts w:ascii="Times New Roman" w:eastAsia="Calibri" w:hAnsi="Times New Roman"/>
          <w:sz w:val="24"/>
          <w:szCs w:val="24"/>
          <w:lang w:val="en-GB"/>
        </w:rPr>
        <w:t>H</w:t>
      </w:r>
      <w:r w:rsidRPr="00E8367B">
        <w:rPr>
          <w:rFonts w:ascii="Times New Roman" w:eastAsia="Calibri" w:hAnsi="Times New Roman"/>
          <w:sz w:val="24"/>
          <w:szCs w:val="24"/>
          <w:lang w:val="ru-RU"/>
        </w:rPr>
        <w:t>0*</w:t>
      </w:r>
      <w:r w:rsidRPr="00E8367B">
        <w:rPr>
          <w:rFonts w:ascii="Times New Roman" w:eastAsia="Calibri" w:hAnsi="Times New Roman"/>
          <w:sz w:val="24"/>
          <w:szCs w:val="24"/>
        </w:rPr>
        <w:t xml:space="preserve"> е разпространено в Алпийския, Континенталния и Черноморския биогеографски </w:t>
      </w:r>
      <w:r w:rsidR="00A805FE">
        <w:rPr>
          <w:rFonts w:ascii="Times New Roman" w:eastAsia="Calibri" w:hAnsi="Times New Roman"/>
          <w:sz w:val="24"/>
          <w:szCs w:val="24"/>
        </w:rPr>
        <w:t>региони</w:t>
      </w:r>
      <w:r w:rsidRPr="00E8367B">
        <w:rPr>
          <w:rFonts w:ascii="Times New Roman" w:eastAsia="Calibri" w:hAnsi="Times New Roman"/>
          <w:sz w:val="24"/>
          <w:szCs w:val="24"/>
        </w:rPr>
        <w:t>. При докладването, съгласно чл. 17 от Директивата за местообитанията през 2019 г., природното местообитание е посочено в благоприятно състояние по отношение на Площ на разпространение, Площ, покрита от местообитанието и Структура и функции и в трите биогеографски района</w:t>
      </w:r>
      <w:r w:rsidRPr="00E8367B">
        <w:rPr>
          <w:rFonts w:ascii="Times New Roman" w:eastAsia="Calibri" w:hAnsi="Times New Roman"/>
          <w:sz w:val="24"/>
          <w:szCs w:val="24"/>
          <w:lang w:val="ru-RU"/>
        </w:rPr>
        <w:t xml:space="preserve">. </w:t>
      </w:r>
      <w:r w:rsidRPr="00E8367B">
        <w:rPr>
          <w:rFonts w:ascii="Times New Roman" w:eastAsia="Calibri" w:hAnsi="Times New Roman"/>
          <w:sz w:val="24"/>
          <w:szCs w:val="24"/>
        </w:rPr>
        <w:t xml:space="preserve">И в трите </w:t>
      </w:r>
      <w:r w:rsidR="00A805FE">
        <w:rPr>
          <w:rFonts w:ascii="Times New Roman" w:eastAsia="Calibri" w:hAnsi="Times New Roman"/>
          <w:sz w:val="24"/>
          <w:szCs w:val="24"/>
        </w:rPr>
        <w:t>региона</w:t>
      </w:r>
      <w:r w:rsidRPr="00E8367B">
        <w:rPr>
          <w:rFonts w:ascii="Times New Roman" w:eastAsia="Calibri" w:hAnsi="Times New Roman"/>
          <w:sz w:val="24"/>
          <w:szCs w:val="24"/>
        </w:rPr>
        <w:t xml:space="preserve"> състоянието по отношение на бъдещите перспективи е неблагоприятно</w:t>
      </w:r>
      <w:r w:rsidRPr="00E8367B">
        <w:rPr>
          <w:rFonts w:ascii="Times New Roman" w:eastAsia="Calibri" w:hAnsi="Times New Roman"/>
          <w:sz w:val="24"/>
          <w:szCs w:val="24"/>
          <w:lang w:val="ru-RU"/>
        </w:rPr>
        <w:t>-</w:t>
      </w:r>
      <w:r w:rsidRPr="00E8367B">
        <w:rPr>
          <w:rFonts w:ascii="Times New Roman" w:eastAsia="Calibri" w:hAnsi="Times New Roman"/>
          <w:sz w:val="24"/>
          <w:szCs w:val="24"/>
        </w:rPr>
        <w:t>незадоволително. Тъй като при докладването през 2019 година са посочени някои влияния и заплахи, които оказват съществено влияние върху структурата и функциите на местообитанието</w:t>
      </w:r>
      <w:r w:rsidRPr="00E8367B">
        <w:rPr>
          <w:rFonts w:ascii="Times New Roman" w:eastAsia="Calibri" w:hAnsi="Times New Roman"/>
          <w:sz w:val="24"/>
          <w:szCs w:val="24"/>
          <w:lang w:val="ru-RU"/>
        </w:rPr>
        <w:t xml:space="preserve">, </w:t>
      </w:r>
      <w:r w:rsidRPr="00E8367B">
        <w:rPr>
          <w:rFonts w:ascii="Times New Roman" w:eastAsia="Calibri" w:hAnsi="Times New Roman"/>
          <w:sz w:val="24"/>
          <w:szCs w:val="24"/>
        </w:rPr>
        <w:t>то има достатъчно основания, неблагоприятно-незадоволителната оценка на състоянието по критерий „Структура и функции“ от 2013 година да се счита все още за валидна.</w:t>
      </w:r>
      <w:r w:rsidRPr="00E8367B">
        <w:rPr>
          <w:rFonts w:ascii="Times New Roman" w:eastAsia="Calibri" w:hAnsi="Times New Roman"/>
          <w:sz w:val="24"/>
          <w:szCs w:val="24"/>
          <w:lang w:val="ru-RU"/>
        </w:rPr>
        <w:t xml:space="preserve"> </w:t>
      </w:r>
      <w:r w:rsidRPr="00E8367B">
        <w:rPr>
          <w:rFonts w:ascii="Times New Roman" w:eastAsia="Calibri" w:hAnsi="Times New Roman"/>
          <w:sz w:val="24"/>
          <w:szCs w:val="24"/>
        </w:rPr>
        <w:t>Най-значителните влияния и заплахи са „Интензивна паша от домашни животни“ и „Изнасяне на мъртва дървесина“. Други влияния и заплахи, които са от значение са „Естествени сукцесионни изменения“, „Залесяване с екзоти и неместни видове“ и „Горски пожари“.</w:t>
      </w:r>
      <w:r w:rsidRPr="00E8367B">
        <w:rPr>
          <w:rFonts w:ascii="Times New Roman" w:eastAsia="Calibri" w:hAnsi="Times New Roman"/>
          <w:sz w:val="24"/>
          <w:szCs w:val="24"/>
          <w:lang w:val="ru-RU"/>
        </w:rPr>
        <w:t xml:space="preserve"> </w:t>
      </w:r>
    </w:p>
    <w:p w:rsidR="00E8367B" w:rsidRPr="00E8367B" w:rsidRDefault="00E8367B" w:rsidP="00077290">
      <w:pPr>
        <w:spacing w:before="120"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 xml:space="preserve">4. Състояние на ниво защитена зона </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Съгласно </w:t>
      </w:r>
      <w:r w:rsidRPr="00A805FE">
        <w:rPr>
          <w:rFonts w:ascii="Times New Roman" w:eastAsia="Calibri" w:hAnsi="Times New Roman"/>
          <w:sz w:val="24"/>
          <w:szCs w:val="24"/>
        </w:rPr>
        <w:t>Стандартния</w:t>
      </w:r>
      <w:r w:rsidRPr="00E8367B">
        <w:rPr>
          <w:rFonts w:ascii="Times New Roman" w:hAnsi="Times New Roman"/>
          <w:bCs/>
          <w:sz w:val="24"/>
          <w:szCs w:val="24"/>
          <w:lang w:eastAsia="bg-BG"/>
        </w:rPr>
        <w:t xml:space="preserve"> формуляр (последно актуализиран през Декември 2018), състоянието на </w:t>
      </w:r>
      <w:r w:rsidRPr="00077290">
        <w:rPr>
          <w:rFonts w:ascii="Times New Roman" w:eastAsia="Calibri" w:hAnsi="Times New Roman"/>
          <w:sz w:val="24"/>
          <w:szCs w:val="24"/>
        </w:rPr>
        <w:t>м</w:t>
      </w:r>
      <w:r w:rsidRPr="00E8367B">
        <w:rPr>
          <w:rFonts w:ascii="Times New Roman" w:hAnsi="Times New Roman"/>
          <w:bCs/>
          <w:sz w:val="24"/>
          <w:szCs w:val="24"/>
          <w:lang w:eastAsia="bg-BG"/>
        </w:rPr>
        <w:t>естообитанието в защитената зона е както следва:</w:t>
      </w:r>
    </w:p>
    <w:p w:rsidR="00E8367B" w:rsidRPr="00E8367B" w:rsidRDefault="00E8367B" w:rsidP="00077290">
      <w:pPr>
        <w:rPr>
          <w:rFonts w:ascii="Times New Roman" w:hAnsi="Times New Roman"/>
          <w:bCs/>
          <w:sz w:val="24"/>
          <w:szCs w:val="24"/>
          <w:lan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633"/>
        <w:gridCol w:w="1032"/>
        <w:gridCol w:w="1058"/>
        <w:gridCol w:w="1885"/>
        <w:gridCol w:w="753"/>
        <w:gridCol w:w="1260"/>
        <w:gridCol w:w="851"/>
      </w:tblGrid>
      <w:tr w:rsidR="00E8367B" w:rsidRPr="00482F18" w:rsidTr="00E8367B">
        <w:trPr>
          <w:cantSplit/>
          <w:trHeight w:val="823"/>
          <w:tblHeader/>
        </w:trPr>
        <w:tc>
          <w:tcPr>
            <w:tcW w:w="7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Код</w:t>
            </w:r>
          </w:p>
        </w:tc>
        <w:tc>
          <w:tcPr>
            <w:tcW w:w="16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Местообитание</w:t>
            </w:r>
          </w:p>
        </w:tc>
        <w:tc>
          <w:tcPr>
            <w:tcW w:w="1069" w:type="dxa"/>
            <w:tcBorders>
              <w:top w:val="single" w:sz="4" w:space="0" w:color="auto"/>
              <w:left w:val="single" w:sz="4" w:space="0" w:color="auto"/>
              <w:bottom w:val="single" w:sz="4" w:space="0" w:color="auto"/>
              <w:right w:val="single" w:sz="4" w:space="0" w:color="auto"/>
            </w:tcBorders>
            <w:shd w:val="clear" w:color="auto" w:fill="D9D9D9"/>
            <w:vAlign w:val="center"/>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Площ</w:t>
            </w:r>
          </w:p>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(ха)</w:t>
            </w:r>
          </w:p>
        </w:tc>
        <w:tc>
          <w:tcPr>
            <w:tcW w:w="10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Качество на данните</w:t>
            </w:r>
          </w:p>
        </w:tc>
        <w:tc>
          <w:tcPr>
            <w:tcW w:w="18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Представителност</w:t>
            </w:r>
          </w:p>
        </w:tc>
        <w:tc>
          <w:tcPr>
            <w:tcW w:w="74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Площ</w:t>
            </w:r>
          </w:p>
        </w:tc>
        <w:tc>
          <w:tcPr>
            <w:tcW w:w="126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Степен на съхранение</w:t>
            </w:r>
          </w:p>
        </w:tc>
        <w:tc>
          <w:tcPr>
            <w:tcW w:w="8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Обща оценка</w:t>
            </w:r>
          </w:p>
        </w:tc>
      </w:tr>
      <w:tr w:rsidR="00E8367B" w:rsidRPr="00E8367B" w:rsidTr="00E8367B">
        <w:tc>
          <w:tcPr>
            <w:tcW w:w="798"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91</w:t>
            </w:r>
            <w:r w:rsidRPr="00E8367B">
              <w:rPr>
                <w:rFonts w:ascii="Times New Roman" w:hAnsi="Times New Roman"/>
                <w:bCs/>
                <w:lang w:val="en-GB" w:eastAsia="bg-BG"/>
              </w:rPr>
              <w:t>H</w:t>
            </w:r>
            <w:r w:rsidRPr="00E8367B">
              <w:rPr>
                <w:rFonts w:ascii="Times New Roman" w:hAnsi="Times New Roman"/>
                <w:bCs/>
                <w:lang w:eastAsia="bg-BG"/>
              </w:rPr>
              <w:t>0</w:t>
            </w:r>
            <w:r w:rsidRPr="00E8367B">
              <w:rPr>
                <w:rFonts w:ascii="Times New Roman" w:hAnsi="Times New Roman"/>
                <w:bCs/>
                <w:lang w:val="en-US" w:eastAsia="bg-BG"/>
              </w:rPr>
              <w:t>*</w:t>
            </w:r>
          </w:p>
        </w:tc>
        <w:tc>
          <w:tcPr>
            <w:tcW w:w="1636" w:type="dxa"/>
            <w:tcBorders>
              <w:top w:val="single" w:sz="4" w:space="0" w:color="auto"/>
              <w:left w:val="single" w:sz="4" w:space="0" w:color="auto"/>
              <w:bottom w:val="single" w:sz="4" w:space="0" w:color="auto"/>
              <w:right w:val="single" w:sz="4" w:space="0" w:color="auto"/>
            </w:tcBorders>
            <w:vAlign w:val="center"/>
            <w:hideMark/>
          </w:tcPr>
          <w:p w:rsidR="00E8367B" w:rsidRPr="00E8367B" w:rsidRDefault="00E8367B" w:rsidP="0031593F">
            <w:pPr>
              <w:rPr>
                <w:rFonts w:ascii="Times New Roman" w:eastAsia="Calibri" w:hAnsi="Times New Roman"/>
                <w:i/>
                <w:lang w:val="ru-RU"/>
              </w:rPr>
            </w:pPr>
            <w:r w:rsidRPr="00E8367B">
              <w:rPr>
                <w:rFonts w:ascii="Times New Roman" w:eastAsia="Calibri" w:hAnsi="Times New Roman"/>
                <w:lang w:val="ru-RU"/>
              </w:rPr>
              <w:t xml:space="preserve">Панонски гори с </w:t>
            </w:r>
            <w:r w:rsidRPr="00E8367B">
              <w:rPr>
                <w:rFonts w:ascii="Times New Roman" w:eastAsia="Calibri" w:hAnsi="Times New Roman"/>
                <w:i/>
                <w:lang w:val="ru-RU"/>
              </w:rPr>
              <w:t>Quercus pubescens</w:t>
            </w:r>
          </w:p>
          <w:p w:rsidR="00E8367B" w:rsidRPr="00E8367B" w:rsidRDefault="00E8367B" w:rsidP="0031593F">
            <w:pPr>
              <w:rPr>
                <w:rFonts w:ascii="Times New Roman" w:hAnsi="Times New Roman"/>
                <w:bCs/>
                <w:lang w:eastAsia="bg-BG"/>
              </w:rPr>
            </w:pPr>
          </w:p>
        </w:tc>
        <w:tc>
          <w:tcPr>
            <w:tcW w:w="1069"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val="en-US" w:eastAsia="bg-BG"/>
              </w:rPr>
              <w:t>1,83</w:t>
            </w:r>
          </w:p>
        </w:tc>
        <w:tc>
          <w:tcPr>
            <w:tcW w:w="1051"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val="en-US" w:eastAsia="bg-BG"/>
              </w:rPr>
              <w:t>G</w:t>
            </w:r>
          </w:p>
        </w:tc>
        <w:tc>
          <w:tcPr>
            <w:tcW w:w="1881"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C</w:t>
            </w:r>
          </w:p>
        </w:tc>
        <w:tc>
          <w:tcPr>
            <w:tcW w:w="748"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w:t>
            </w:r>
          </w:p>
        </w:tc>
        <w:tc>
          <w:tcPr>
            <w:tcW w:w="1261"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C</w:t>
            </w:r>
          </w:p>
        </w:tc>
        <w:tc>
          <w:tcPr>
            <w:tcW w:w="844"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С</w:t>
            </w:r>
          </w:p>
        </w:tc>
      </w:tr>
    </w:tbl>
    <w:p w:rsidR="00E8367B" w:rsidRPr="00E8367B" w:rsidRDefault="00E8367B" w:rsidP="00077290">
      <w:pPr>
        <w:rPr>
          <w:rFonts w:ascii="Times New Roman" w:hAnsi="Times New Roman"/>
          <w:bCs/>
          <w:sz w:val="24"/>
          <w:szCs w:val="24"/>
          <w:highlight w:val="yellow"/>
          <w:lang w:eastAsia="bg-BG"/>
        </w:rPr>
      </w:pP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Качеството на данните е оценено като G или добро, което означава че определянето на състоянието на местообитанието се основава на изследвания. Представителността е </w:t>
      </w:r>
      <w:r w:rsidRPr="00E8367B">
        <w:rPr>
          <w:rFonts w:ascii="Times New Roman" w:hAnsi="Times New Roman"/>
          <w:bCs/>
          <w:sz w:val="24"/>
          <w:szCs w:val="24"/>
          <w:lang w:val="en-US" w:eastAsia="bg-BG"/>
        </w:rPr>
        <w:t>C</w:t>
      </w:r>
      <w:r w:rsidRPr="00E8367B">
        <w:rPr>
          <w:rFonts w:ascii="Times New Roman" w:hAnsi="Times New Roman"/>
          <w:bCs/>
          <w:sz w:val="24"/>
          <w:szCs w:val="24"/>
          <w:lang w:val="ru-RU" w:eastAsia="bg-BG"/>
        </w:rPr>
        <w:t xml:space="preserve"> </w:t>
      </w:r>
      <w:r w:rsidRPr="00E8367B">
        <w:rPr>
          <w:rFonts w:ascii="Times New Roman" w:hAnsi="Times New Roman"/>
          <w:bCs/>
          <w:sz w:val="24"/>
          <w:szCs w:val="24"/>
          <w:lang w:eastAsia="bg-BG"/>
        </w:rPr>
        <w:t>или</w:t>
      </w:r>
      <w:r w:rsidRPr="00E8367B">
        <w:rPr>
          <w:rFonts w:ascii="Times New Roman" w:hAnsi="Times New Roman"/>
          <w:bCs/>
          <w:sz w:val="24"/>
          <w:szCs w:val="24"/>
          <w:lang w:val="ru-RU" w:eastAsia="bg-BG"/>
        </w:rPr>
        <w:t xml:space="preserve"> </w:t>
      </w:r>
      <w:r w:rsidRPr="00E8367B">
        <w:rPr>
          <w:rFonts w:ascii="Times New Roman" w:hAnsi="Times New Roman"/>
          <w:bCs/>
          <w:sz w:val="24"/>
          <w:szCs w:val="24"/>
          <w:lang w:eastAsia="bg-BG"/>
        </w:rPr>
        <w:t>значителна, като местообитанието е от значение при управлението на зоната. Оценката за площ е C, като процентното съотношение (p) на площта на местообитанието в зоната, спрямо площта му в национален мащаб е 2%</w:t>
      </w:r>
      <w:r w:rsidRPr="00E8367B">
        <w:rPr>
          <w:rFonts w:ascii="Times New Roman" w:hAnsi="Times New Roman"/>
          <w:bCs/>
          <w:sz w:val="24"/>
          <w:szCs w:val="24"/>
          <w:lang w:val="ru-RU" w:eastAsia="bg-BG"/>
        </w:rPr>
        <w:t xml:space="preserve"> </w:t>
      </w:r>
      <w:r w:rsidRPr="00E8367B">
        <w:rPr>
          <w:rFonts w:ascii="Times New Roman" w:hAnsi="Times New Roman"/>
          <w:bCs/>
          <w:sz w:val="24"/>
          <w:szCs w:val="24"/>
          <w:lang w:eastAsia="bg-BG"/>
        </w:rPr>
        <w:t>≥ p &gt; 0%. Степента на съхранение е С, което определя местообитанието като такова със средно или намалено съхранение. Общата оценка е С.</w:t>
      </w:r>
    </w:p>
    <w:p w:rsidR="00E8367B" w:rsidRPr="00E8367B" w:rsidRDefault="00A805FE" w:rsidP="00077290">
      <w:pPr>
        <w:spacing w:before="120" w:after="0" w:line="240" w:lineRule="auto"/>
        <w:rPr>
          <w:rFonts w:ascii="Times New Roman" w:hAnsi="Times New Roman"/>
          <w:b/>
          <w:bCs/>
          <w:sz w:val="24"/>
          <w:szCs w:val="24"/>
          <w:lang w:eastAsia="bg-BG"/>
        </w:rPr>
      </w:pPr>
      <w:r>
        <w:rPr>
          <w:rFonts w:ascii="Times New Roman" w:hAnsi="Times New Roman"/>
          <w:b/>
          <w:bCs/>
          <w:sz w:val="24"/>
          <w:szCs w:val="24"/>
          <w:lang w:eastAsia="bg-BG"/>
        </w:rPr>
        <w:t xml:space="preserve">5. </w:t>
      </w:r>
      <w:r w:rsidR="00E8367B" w:rsidRPr="00E8367B">
        <w:rPr>
          <w:rFonts w:ascii="Times New Roman" w:hAnsi="Times New Roman"/>
          <w:b/>
          <w:bCs/>
          <w:sz w:val="24"/>
          <w:szCs w:val="24"/>
          <w:lang w:eastAsia="bg-BG"/>
        </w:rPr>
        <w:t xml:space="preserve">Анализ на наличната информация  </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При изработката на настоящия документ е използвана информацията за разпространението и състоянието на местообитанието, предоставена в Информационната система за защитени зони от екологична мрежа Натура 2000, Горската инвентаризация и Докладванията по член 17 от 2013 г. и 2019 г. Необходимо е да се отбележи, че картираните полигони на местообитанието не съвпадат пространствено с подотделите на последната горска инвентаризация. Поради тази причина, показателите на състоянието на местообитанието, налични в горската база данни не може да се използват директно, а само експертно, едновременно с оглед на ортофото изображения и след теренни проучвания. През 2021 година, беше извършено теренно проучване за актуализация на наличната информация на състоянието на </w:t>
      </w:r>
      <w:r w:rsidRPr="00E8367B">
        <w:rPr>
          <w:rFonts w:ascii="Times New Roman" w:hAnsi="Times New Roman"/>
          <w:bCs/>
          <w:sz w:val="24"/>
          <w:szCs w:val="24"/>
          <w:lang w:eastAsia="bg-BG"/>
        </w:rPr>
        <w:lastRenderedPageBreak/>
        <w:t xml:space="preserve">местообитанието в зоната. Въз основа на анализ на данните от горската инвентаризация и на ортофото изображения, бяха избрани места за верификация на присъствие на местообитанието, както в полигони, където то вече е регистрирано, така и на потенциално нови места. Местата за верификация представляват кръг с радиус около 10 м. Наред с верификациите за присъствие беше извършена и експертна оценка, по протежение на обследваните полигони, на показатели, които липсват в данните от горската инвентаризация, такива като Количество мъртва дървесина и Наличие на големи/биотопни дървета. </w:t>
      </w:r>
    </w:p>
    <w:p w:rsidR="00E8367B" w:rsidRPr="00E8367B" w:rsidRDefault="00E8367B" w:rsidP="00077290">
      <w:pPr>
        <w:spacing w:before="120" w:after="0" w:line="240" w:lineRule="auto"/>
        <w:rPr>
          <w:rFonts w:ascii="Times New Roman" w:hAnsi="Times New Roman"/>
          <w:bCs/>
          <w:sz w:val="24"/>
          <w:szCs w:val="24"/>
          <w:lang w:eastAsia="bg-BG"/>
        </w:rPr>
      </w:pPr>
      <w:r w:rsidRPr="00E8367B">
        <w:rPr>
          <w:rFonts w:ascii="Times New Roman" w:hAnsi="Times New Roman"/>
          <w:b/>
          <w:bCs/>
          <w:sz w:val="24"/>
          <w:szCs w:val="24"/>
          <w:lang w:eastAsia="bg-BG"/>
        </w:rPr>
        <w:t>6. Цели за подобряване/поддържане на природозащитното състояние на местообитанието в зоната</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Специфичните природозащитни цели за защитената зона са формулирани по показатели в приложената таблица. Целевите стойности са съгласно Ръководството за оценка на благоприятно природозащитно състояние за типове природни местообитания и видове в Натура 2000 в България. Не може да се счита, че има подобряване на природозащитното състояние на местообитанието, при увеличаване на стойностите на показателите на структура и функции - важно е те да бъдат в посочения диапазон. </w:t>
      </w:r>
    </w:p>
    <w:p w:rsidR="00E8367B" w:rsidRPr="00E8367B" w:rsidRDefault="00E8367B" w:rsidP="00077290">
      <w:pPr>
        <w:rPr>
          <w:rFonts w:ascii="Times New Roman" w:hAnsi="Times New Roman"/>
          <w:bCs/>
          <w:sz w:val="24"/>
          <w:szCs w:val="24"/>
          <w:lang w:eastAsia="bg-B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1133"/>
        <w:gridCol w:w="1276"/>
        <w:gridCol w:w="3401"/>
        <w:gridCol w:w="2235"/>
      </w:tblGrid>
      <w:tr w:rsidR="00E8367B" w:rsidRPr="00A805FE" w:rsidTr="00A805FE">
        <w:trPr>
          <w:tblHeader/>
          <w:jc w:val="center"/>
        </w:trPr>
        <w:tc>
          <w:tcPr>
            <w:tcW w:w="669" w:type="pct"/>
            <w:shd w:val="clear" w:color="auto" w:fill="DBE5F1" w:themeFill="accent1" w:themeFillTint="33"/>
            <w:vAlign w:val="center"/>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Показател</w:t>
            </w:r>
          </w:p>
        </w:tc>
        <w:tc>
          <w:tcPr>
            <w:tcW w:w="610" w:type="pct"/>
            <w:shd w:val="clear" w:color="auto" w:fill="DBE5F1" w:themeFill="accent1" w:themeFillTint="33"/>
            <w:vAlign w:val="center"/>
          </w:tcPr>
          <w:p w:rsidR="00E8367B" w:rsidRPr="00A805FE" w:rsidRDefault="00E8367B" w:rsidP="0031593F">
            <w:pPr>
              <w:rPr>
                <w:rFonts w:ascii="Times New Roman" w:hAnsi="Times New Roman"/>
                <w:b/>
                <w:bCs/>
                <w:lang w:eastAsia="bg-BG"/>
              </w:rPr>
            </w:pPr>
            <w:r w:rsidRPr="00A805FE">
              <w:rPr>
                <w:rFonts w:ascii="Times New Roman" w:hAnsi="Times New Roman"/>
                <w:b/>
                <w:bCs/>
                <w:lang w:eastAsia="bg-BG"/>
              </w:rPr>
              <w:t>Мерна единица</w:t>
            </w:r>
          </w:p>
        </w:tc>
        <w:tc>
          <w:tcPr>
            <w:tcW w:w="687" w:type="pct"/>
            <w:shd w:val="clear" w:color="auto" w:fill="DBE5F1" w:themeFill="accent1" w:themeFillTint="33"/>
            <w:vAlign w:val="center"/>
          </w:tcPr>
          <w:p w:rsidR="00E8367B" w:rsidRPr="00A805FE" w:rsidRDefault="00E8367B" w:rsidP="0031593F">
            <w:pPr>
              <w:rPr>
                <w:rFonts w:ascii="Times New Roman" w:hAnsi="Times New Roman"/>
                <w:b/>
                <w:bCs/>
                <w:lang w:eastAsia="bg-BG"/>
              </w:rPr>
            </w:pPr>
            <w:r w:rsidRPr="00A805FE">
              <w:rPr>
                <w:rFonts w:ascii="Times New Roman" w:hAnsi="Times New Roman"/>
                <w:b/>
                <w:bCs/>
                <w:lang w:eastAsia="bg-BG"/>
              </w:rPr>
              <w:t>Целева</w:t>
            </w:r>
            <w:r w:rsidRPr="00A805FE">
              <w:rPr>
                <w:rFonts w:ascii="Times New Roman" w:hAnsi="Times New Roman"/>
                <w:b/>
                <w:bCs/>
                <w:lang w:val="en-US" w:eastAsia="bg-BG"/>
              </w:rPr>
              <w:t xml:space="preserve"> </w:t>
            </w:r>
            <w:r w:rsidRPr="00A805FE">
              <w:rPr>
                <w:rFonts w:ascii="Times New Roman" w:hAnsi="Times New Roman"/>
                <w:b/>
                <w:bCs/>
                <w:lang w:eastAsia="bg-BG"/>
              </w:rPr>
              <w:t>стойност</w:t>
            </w:r>
          </w:p>
        </w:tc>
        <w:tc>
          <w:tcPr>
            <w:tcW w:w="1831" w:type="pct"/>
            <w:shd w:val="clear" w:color="auto" w:fill="DBE5F1" w:themeFill="accent1" w:themeFillTint="33"/>
            <w:vAlign w:val="center"/>
          </w:tcPr>
          <w:p w:rsidR="00E8367B" w:rsidRPr="00A805FE" w:rsidRDefault="00E8367B" w:rsidP="0031593F">
            <w:pPr>
              <w:rPr>
                <w:rFonts w:ascii="Times New Roman" w:hAnsi="Times New Roman"/>
                <w:b/>
                <w:bCs/>
                <w:lang w:eastAsia="bg-BG"/>
              </w:rPr>
            </w:pPr>
            <w:r w:rsidRPr="00A805FE">
              <w:rPr>
                <w:rFonts w:ascii="Times New Roman" w:hAnsi="Times New Roman"/>
                <w:b/>
                <w:bCs/>
                <w:lang w:eastAsia="bg-BG"/>
              </w:rPr>
              <w:t>Допълнителна информация</w:t>
            </w:r>
          </w:p>
        </w:tc>
        <w:tc>
          <w:tcPr>
            <w:tcW w:w="1203" w:type="pct"/>
            <w:shd w:val="clear" w:color="auto" w:fill="DBE5F1" w:themeFill="accent1" w:themeFillTint="33"/>
          </w:tcPr>
          <w:p w:rsidR="00E8367B" w:rsidRPr="00A805FE" w:rsidRDefault="00E8367B" w:rsidP="0031593F">
            <w:pPr>
              <w:rPr>
                <w:rFonts w:ascii="Times New Roman" w:hAnsi="Times New Roman"/>
                <w:b/>
                <w:bCs/>
                <w:lang w:eastAsia="bg-BG"/>
              </w:rPr>
            </w:pPr>
            <w:r w:rsidRPr="00A805FE">
              <w:rPr>
                <w:rFonts w:ascii="Times New Roman" w:hAnsi="Times New Roman"/>
                <w:b/>
                <w:bCs/>
                <w:lang w:eastAsia="bg-BG"/>
              </w:rPr>
              <w:t>Специфични природозащитни цели за защитената зона</w:t>
            </w:r>
          </w:p>
        </w:tc>
      </w:tr>
      <w:tr w:rsidR="00E8367B" w:rsidRPr="00E8367B" w:rsidTr="00E8367B">
        <w:trPr>
          <w:jc w:val="center"/>
        </w:trPr>
        <w:tc>
          <w:tcPr>
            <w:tcW w:w="669"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Площ</w:t>
            </w:r>
          </w:p>
        </w:tc>
        <w:tc>
          <w:tcPr>
            <w:tcW w:w="610"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687"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1</w:t>
            </w:r>
            <w:r w:rsidRPr="00E8367B">
              <w:rPr>
                <w:rFonts w:ascii="Times New Roman" w:hAnsi="Times New Roman"/>
                <w:bCs/>
                <w:lang w:val="en-US" w:eastAsia="bg-BG"/>
              </w:rPr>
              <w:t>.83</w:t>
            </w:r>
            <w:r w:rsidRPr="00E8367B">
              <w:rPr>
                <w:rFonts w:ascii="Times New Roman" w:hAnsi="Times New Roman"/>
                <w:bCs/>
                <w:lang w:eastAsia="bg-BG"/>
              </w:rPr>
              <w:t> ха</w:t>
            </w:r>
          </w:p>
        </w:tc>
        <w:tc>
          <w:tcPr>
            <w:tcW w:w="1831"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Съгласно проект "Картиране и определяне на природозащитно състояние на природни местообитания и видове - фаза I", от 2013 г., площта на местообитанието в зоната е </w:t>
            </w:r>
            <w:r w:rsidRPr="00E8367B">
              <w:rPr>
                <w:rFonts w:ascii="Times New Roman" w:hAnsi="Times New Roman"/>
                <w:bCs/>
                <w:lang w:val="ru-RU" w:eastAsia="bg-BG"/>
              </w:rPr>
              <w:t>1.83</w:t>
            </w:r>
            <w:r w:rsidRPr="00E8367B">
              <w:rPr>
                <w:rFonts w:ascii="Times New Roman" w:hAnsi="Times New Roman"/>
                <w:bCs/>
                <w:lang w:val="en-US" w:eastAsia="bg-BG"/>
              </w:rPr>
              <w:t> </w:t>
            </w:r>
            <w:r w:rsidRPr="00E8367B">
              <w:rPr>
                <w:rFonts w:ascii="Times New Roman" w:hAnsi="Times New Roman"/>
                <w:bCs/>
                <w:lang w:eastAsia="bg-BG"/>
              </w:rPr>
              <w:t>ха. Същата площ е посочена и в актуалния стандартен формуляр. При теренната работа в зоната през 2021 г. и последвалите анализи в ГИС среда, местообитанието се потвърди в посочения полигон.</w:t>
            </w:r>
          </w:p>
        </w:tc>
        <w:tc>
          <w:tcPr>
            <w:tcW w:w="1203"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w:t>
            </w:r>
            <w:r w:rsidRPr="00E8367B">
              <w:rPr>
                <w:rFonts w:ascii="Times New Roman" w:hAnsi="Times New Roman"/>
                <w:bCs/>
                <w:lang w:val="ru-RU" w:eastAsia="bg-BG"/>
              </w:rPr>
              <w:t xml:space="preserve"> </w:t>
            </w:r>
            <w:r w:rsidRPr="00E8367B">
              <w:rPr>
                <w:rFonts w:ascii="Times New Roman" w:hAnsi="Times New Roman"/>
                <w:bCs/>
                <w:lang w:eastAsia="bg-BG"/>
              </w:rPr>
              <w:t>поддържане на площ на местообитанието в защитената зона  1,83 ха. Междинна цел е да се разработи и приложи единна бъдеща схема за мониторинг на параметъра до 2025 година.</w:t>
            </w:r>
          </w:p>
          <w:p w:rsidR="00E8367B" w:rsidRPr="00E8367B" w:rsidRDefault="00E8367B" w:rsidP="0031593F">
            <w:pPr>
              <w:rPr>
                <w:rFonts w:ascii="Times New Roman" w:hAnsi="Times New Roman"/>
                <w:bCs/>
                <w:lang w:eastAsia="bg-BG"/>
              </w:rPr>
            </w:pPr>
          </w:p>
        </w:tc>
      </w:tr>
      <w:tr w:rsidR="00E8367B" w:rsidRPr="00E8367B" w:rsidTr="00E8367B">
        <w:trPr>
          <w:jc w:val="center"/>
        </w:trPr>
        <w:tc>
          <w:tcPr>
            <w:tcW w:w="669"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Структура и функции. Пълнота на първия дървесен етаж (средно претеглена)</w:t>
            </w:r>
          </w:p>
        </w:tc>
        <w:tc>
          <w:tcPr>
            <w:tcW w:w="610"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Части от единицата</w:t>
            </w:r>
          </w:p>
        </w:tc>
        <w:tc>
          <w:tcPr>
            <w:tcW w:w="687"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От 0.6 до 1</w:t>
            </w:r>
          </w:p>
        </w:tc>
        <w:tc>
          <w:tcPr>
            <w:tcW w:w="1831"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Този показател представя степента на насищане с дървета и се изразява се като съотношение на кръговата площ на наличния дървостой към кръговата площ на еталонно (нормално) насаждение. Окончателната стойност на показателя се получава като средно претеглена, според площите на отделните полигони. Стойността на показателя е динамична и пряко </w:t>
            </w:r>
            <w:r w:rsidRPr="00E8367B">
              <w:rPr>
                <w:rFonts w:ascii="Times New Roman" w:hAnsi="Times New Roman"/>
                <w:bCs/>
                <w:lang w:eastAsia="bg-BG"/>
              </w:rPr>
              <w:lastRenderedPageBreak/>
              <w:t>зависи от провежданите лесовъдски мероприятия и естествени природни нарушения водещи до отпадане на дървета.</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средно претеглената пълнота на първия дървесен етаж в полигона на местообитанието е 0.6.</w:t>
            </w:r>
          </w:p>
        </w:tc>
        <w:tc>
          <w:tcPr>
            <w:tcW w:w="1203"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Целта е поддържане на пълнотата на първия дървесен етаж (средно претеглена) от 0.6 до 1.</w:t>
            </w:r>
          </w:p>
        </w:tc>
      </w:tr>
      <w:tr w:rsidR="00E8367B" w:rsidRPr="00E8367B" w:rsidTr="00E8367B">
        <w:trPr>
          <w:jc w:val="center"/>
        </w:trPr>
        <w:tc>
          <w:tcPr>
            <w:tcW w:w="669"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Състав на първия дървесен етаж (средно претеглен)</w:t>
            </w:r>
          </w:p>
        </w:tc>
        <w:tc>
          <w:tcPr>
            <w:tcW w:w="610"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Части от десетицата</w:t>
            </w:r>
          </w:p>
        </w:tc>
        <w:tc>
          <w:tcPr>
            <w:tcW w:w="687"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От 6 до 10 за космат дъб (</w:t>
            </w:r>
            <w:r w:rsidRPr="00E8367B">
              <w:rPr>
                <w:rFonts w:ascii="Times New Roman" w:hAnsi="Times New Roman"/>
                <w:bCs/>
                <w:i/>
                <w:lang w:val="en-GB" w:eastAsia="bg-BG"/>
              </w:rPr>
              <w:t>Quercus</w:t>
            </w:r>
            <w:r w:rsidRPr="00E8367B">
              <w:rPr>
                <w:rFonts w:ascii="Times New Roman" w:hAnsi="Times New Roman"/>
                <w:bCs/>
                <w:i/>
                <w:lang w:val="ru-RU" w:eastAsia="bg-BG"/>
              </w:rPr>
              <w:t xml:space="preserve"> </w:t>
            </w:r>
            <w:r w:rsidRPr="00E8367B">
              <w:rPr>
                <w:rFonts w:ascii="Times New Roman" w:hAnsi="Times New Roman"/>
                <w:bCs/>
                <w:i/>
                <w:lang w:val="en-GB" w:eastAsia="bg-BG"/>
              </w:rPr>
              <w:t>pubescens</w:t>
            </w:r>
            <w:r w:rsidRPr="00E8367B">
              <w:rPr>
                <w:rFonts w:ascii="Times New Roman" w:hAnsi="Times New Roman"/>
                <w:bCs/>
                <w:lang w:eastAsia="bg-BG"/>
              </w:rPr>
              <w:t>)</w:t>
            </w:r>
          </w:p>
        </w:tc>
        <w:tc>
          <w:tcPr>
            <w:tcW w:w="1831"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Съставът на първия етаж изразява относителното участие на съответните дървесни видове в насаждението, като окончателната стойност на показателя се получава като средно прeтеглена, според площите на отделните полигони.</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средно претегленото участие на космат дъб в състава на първия дървесен етаж е 5 десети. Поради тази причина специфичната цел е участието на космат дъб в състава да се увеличи, като това стане</w:t>
            </w:r>
            <w:r w:rsidRPr="00E8367B">
              <w:rPr>
                <w:rFonts w:ascii="Times New Roman" w:hAnsi="Times New Roman"/>
                <w:bCs/>
                <w:lang w:val="ru-RU" w:eastAsia="bg-BG"/>
              </w:rPr>
              <w:t xml:space="preserve">, </w:t>
            </w:r>
            <w:r w:rsidRPr="00E8367B">
              <w:rPr>
                <w:rFonts w:ascii="Times New Roman" w:hAnsi="Times New Roman"/>
                <w:bCs/>
                <w:lang w:eastAsia="bg-BG"/>
              </w:rPr>
              <w:t>чрез редуциране на бялата акация.</w:t>
            </w:r>
          </w:p>
        </w:tc>
        <w:tc>
          <w:tcPr>
            <w:tcW w:w="1203"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подобряване на състав на първия дървесен етаж (средно претеглен)</w:t>
            </w:r>
            <w:r w:rsidRPr="00E8367B">
              <w:rPr>
                <w:rFonts w:ascii="Times New Roman" w:hAnsi="Times New Roman"/>
              </w:rPr>
              <w:t xml:space="preserve"> до достигане на участие </w:t>
            </w:r>
            <w:r w:rsidRPr="00E8367B">
              <w:rPr>
                <w:rFonts w:ascii="Times New Roman" w:hAnsi="Times New Roman"/>
                <w:bCs/>
                <w:lang w:eastAsia="bg-BG"/>
              </w:rPr>
              <w:t>от 6 до 10 за космат дъб.</w:t>
            </w:r>
          </w:p>
        </w:tc>
      </w:tr>
      <w:tr w:rsidR="00E8367B" w:rsidRPr="00E8367B" w:rsidTr="00E8367B">
        <w:trPr>
          <w:jc w:val="center"/>
        </w:trPr>
        <w:tc>
          <w:tcPr>
            <w:tcW w:w="669"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 xml:space="preserve">Структура и функции. Средна възраст на първия дървесен етаж (средно </w:t>
            </w:r>
            <w:r w:rsidRPr="00EC3027">
              <w:rPr>
                <w:rFonts w:ascii="Times New Roman" w:hAnsi="Times New Roman"/>
                <w:b/>
                <w:bCs/>
                <w:lang w:eastAsia="bg-BG"/>
              </w:rPr>
              <w:lastRenderedPageBreak/>
              <w:t>притеглена)</w:t>
            </w:r>
          </w:p>
        </w:tc>
        <w:tc>
          <w:tcPr>
            <w:tcW w:w="610"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Години</w:t>
            </w:r>
          </w:p>
          <w:p w:rsidR="00E8367B" w:rsidRPr="00E8367B" w:rsidRDefault="00E8367B" w:rsidP="0031593F">
            <w:pPr>
              <w:rPr>
                <w:rFonts w:ascii="Times New Roman" w:hAnsi="Times New Roman"/>
                <w:bCs/>
                <w:lang w:eastAsia="bg-BG"/>
              </w:rPr>
            </w:pPr>
          </w:p>
        </w:tc>
        <w:tc>
          <w:tcPr>
            <w:tcW w:w="687"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Над 60, не намалява, а се</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увеличава</w:t>
            </w:r>
          </w:p>
          <w:p w:rsidR="00E8367B" w:rsidRPr="00E8367B" w:rsidRDefault="00E8367B" w:rsidP="0031593F">
            <w:pPr>
              <w:rPr>
                <w:rFonts w:ascii="Times New Roman" w:hAnsi="Times New Roman"/>
                <w:bCs/>
                <w:lang w:eastAsia="bg-BG"/>
              </w:rPr>
            </w:pPr>
          </w:p>
        </w:tc>
        <w:tc>
          <w:tcPr>
            <w:tcW w:w="1831"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Стойността на показателя се получава като средно претеглена, според площите на отделните полигони.</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Според анализа на наличната информация, съобразно подхода, описан в т. 5 на настоящия документ, възрастта на първия дървесен етаж е </w:t>
            </w:r>
            <w:r w:rsidRPr="00E8367B">
              <w:rPr>
                <w:rFonts w:ascii="Times New Roman" w:hAnsi="Times New Roman"/>
                <w:bCs/>
                <w:lang w:val="ru-RU" w:eastAsia="bg-BG"/>
              </w:rPr>
              <w:t>65</w:t>
            </w:r>
            <w:r w:rsidRPr="00E8367B">
              <w:rPr>
                <w:rFonts w:ascii="Times New Roman" w:hAnsi="Times New Roman"/>
                <w:bCs/>
                <w:lang w:eastAsia="bg-BG"/>
              </w:rPr>
              <w:t> години.</w:t>
            </w:r>
          </w:p>
        </w:tc>
        <w:tc>
          <w:tcPr>
            <w:tcW w:w="1203"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поддържане на</w:t>
            </w:r>
            <w:r w:rsidRPr="00E8367B">
              <w:rPr>
                <w:rFonts w:ascii="Times New Roman" w:hAnsi="Times New Roman"/>
                <w:bCs/>
                <w:lang w:val="ru-RU" w:eastAsia="bg-BG"/>
              </w:rPr>
              <w:t xml:space="preserve"> </w:t>
            </w:r>
            <w:r w:rsidRPr="00E8367B">
              <w:rPr>
                <w:rFonts w:ascii="Times New Roman" w:hAnsi="Times New Roman"/>
                <w:bCs/>
                <w:lang w:eastAsia="bg-BG"/>
              </w:rPr>
              <w:t>възрастта на първия дървесен етаж (средно претеглена) над 65 години.</w:t>
            </w:r>
          </w:p>
        </w:tc>
      </w:tr>
      <w:tr w:rsidR="00E8367B" w:rsidRPr="00E8367B" w:rsidTr="00E8367B">
        <w:trPr>
          <w:jc w:val="center"/>
        </w:trPr>
        <w:tc>
          <w:tcPr>
            <w:tcW w:w="669"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Площ на горите във фаза на старост</w:t>
            </w:r>
          </w:p>
        </w:tc>
        <w:tc>
          <w:tcPr>
            <w:tcW w:w="610"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687"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Поради малката площ на местообитанието, параметърът не е приложим.</w:t>
            </w:r>
          </w:p>
        </w:tc>
        <w:tc>
          <w:tcPr>
            <w:tcW w:w="1831"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Съгласно Наредба № 8 от 05.08.2011 г. за сечите в горите, обновена от 29.09.2020 г., „Гора във фаза на старост" е гора в последната фаза на естествена динамика на горското насаждение, без значими интервенции - не е съществено повлияна от едроплощни природни нарушения и антропогенни въздействия, като по този начин притежава екосистемни характеристики на предклимаксно съобщество. Въпреки, че има стари дървета от космат дъб и махалебка, в зоната липсват гори във фаза на старост от това местообитание.</w:t>
            </w:r>
          </w:p>
        </w:tc>
        <w:tc>
          <w:tcPr>
            <w:tcW w:w="1203"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Поради малката площ на местообитанието, параметърът не е приложим.</w:t>
            </w:r>
          </w:p>
        </w:tc>
      </w:tr>
      <w:tr w:rsidR="00E8367B" w:rsidRPr="00E8367B" w:rsidTr="00E8367B">
        <w:trPr>
          <w:jc w:val="center"/>
        </w:trPr>
        <w:tc>
          <w:tcPr>
            <w:tcW w:w="669"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Структура и функции. Количество мъртва дървесина</w:t>
            </w:r>
          </w:p>
        </w:tc>
        <w:tc>
          <w:tcPr>
            <w:tcW w:w="610"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или м</w:t>
            </w:r>
            <w:r w:rsidRPr="00E8367B">
              <w:rPr>
                <w:rFonts w:ascii="Times New Roman" w:hAnsi="Times New Roman"/>
                <w:bCs/>
                <w:vertAlign w:val="superscript"/>
                <w:lang w:eastAsia="bg-BG"/>
              </w:rPr>
              <w:t>3</w:t>
            </w:r>
            <w:r w:rsidRPr="00E8367B">
              <w:rPr>
                <w:rFonts w:ascii="Times New Roman" w:hAnsi="Times New Roman"/>
                <w:bCs/>
                <w:lang w:eastAsia="bg-BG"/>
              </w:rPr>
              <w:t>/ха</w:t>
            </w:r>
          </w:p>
        </w:tc>
        <w:tc>
          <w:tcPr>
            <w:tcW w:w="687"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60% от площта на местообитанието се характеризира с общо количество мъртва дървесина от поне 10% от запаса, но не по-малко от 20 м</w:t>
            </w:r>
            <w:r w:rsidRPr="00E8367B">
              <w:rPr>
                <w:rFonts w:ascii="Times New Roman" w:hAnsi="Times New Roman"/>
                <w:bCs/>
                <w:vertAlign w:val="superscript"/>
                <w:lang w:eastAsia="bg-BG"/>
              </w:rPr>
              <w:t>3</w:t>
            </w:r>
            <w:r w:rsidRPr="00E8367B">
              <w:rPr>
                <w:rFonts w:ascii="Times New Roman" w:hAnsi="Times New Roman"/>
                <w:bCs/>
                <w:lang w:eastAsia="bg-BG"/>
              </w:rPr>
              <w:t xml:space="preserve">/ха, също какво и с не по-малко от 10 стоящи </w:t>
            </w:r>
            <w:r w:rsidRPr="00E8367B">
              <w:rPr>
                <w:rFonts w:ascii="Times New Roman" w:hAnsi="Times New Roman"/>
                <w:bCs/>
                <w:lang w:eastAsia="bg-BG"/>
              </w:rPr>
              <w:lastRenderedPageBreak/>
              <w:t>мъртви дървета</w:t>
            </w:r>
          </w:p>
        </w:tc>
        <w:tc>
          <w:tcPr>
            <w:tcW w:w="1831"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Мъртвата дървесина може да бъде стояща или лежаща. Минималният диаметър на лежащата мъртва дървесина е 8 cм, а на стоящата – 16 см.</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количеството мъртва дървесина е достатъчно.</w:t>
            </w:r>
          </w:p>
        </w:tc>
        <w:tc>
          <w:tcPr>
            <w:tcW w:w="1203" w:type="pct"/>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поддържане състоянието по този показател.</w:t>
            </w:r>
          </w:p>
        </w:tc>
      </w:tr>
      <w:tr w:rsidR="00E8367B" w:rsidRPr="00E8367B" w:rsidTr="00E8367B">
        <w:trPr>
          <w:jc w:val="center"/>
        </w:trPr>
        <w:tc>
          <w:tcPr>
            <w:tcW w:w="669"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Наличие на големи/биотопни дървета</w:t>
            </w:r>
          </w:p>
        </w:tc>
        <w:tc>
          <w:tcPr>
            <w:tcW w:w="610"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Брой на ха</w:t>
            </w:r>
          </w:p>
        </w:tc>
        <w:tc>
          <w:tcPr>
            <w:tcW w:w="687"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60% от площта на местообитанието се характеризира с наличието на най-малко 10 големи/ биотопни дървета на ха</w:t>
            </w:r>
          </w:p>
        </w:tc>
        <w:tc>
          <w:tcPr>
            <w:tcW w:w="1831"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Най-подходящо е биотопните дървета да са разположени на групи, а не като единични дървета.</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броят биотопни дървета е достатъчен.</w:t>
            </w:r>
          </w:p>
        </w:tc>
        <w:tc>
          <w:tcPr>
            <w:tcW w:w="1203" w:type="pct"/>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поддържане състоянието по този показател.</w:t>
            </w:r>
          </w:p>
        </w:tc>
      </w:tr>
    </w:tbl>
    <w:p w:rsidR="00E8367B" w:rsidRPr="00E8367B" w:rsidRDefault="00E8367B" w:rsidP="00077290">
      <w:pPr>
        <w:rPr>
          <w:rFonts w:ascii="Times New Roman" w:hAnsi="Times New Roman"/>
          <w:bCs/>
          <w:sz w:val="24"/>
          <w:szCs w:val="24"/>
          <w:lang w:eastAsia="bg-BG"/>
        </w:rPr>
      </w:pPr>
    </w:p>
    <w:p w:rsidR="00E8367B" w:rsidRPr="00E8367B" w:rsidRDefault="00E8367B" w:rsidP="00077290">
      <w:pPr>
        <w:rPr>
          <w:rFonts w:ascii="Times New Roman" w:hAnsi="Times New Roman"/>
          <w:b/>
          <w:bCs/>
          <w:sz w:val="24"/>
          <w:szCs w:val="24"/>
          <w:lang w:eastAsia="bg-BG"/>
        </w:rPr>
      </w:pPr>
      <w:r w:rsidRPr="00E8367B">
        <w:rPr>
          <w:rFonts w:ascii="Times New Roman" w:hAnsi="Times New Roman"/>
          <w:b/>
          <w:bCs/>
          <w:sz w:val="24"/>
          <w:szCs w:val="24"/>
          <w:lang w:val="ru-RU" w:eastAsia="bg-BG"/>
        </w:rPr>
        <w:t xml:space="preserve">7. </w:t>
      </w:r>
      <w:r w:rsidRPr="00E8367B">
        <w:rPr>
          <w:rFonts w:ascii="Times New Roman" w:hAnsi="Times New Roman"/>
          <w:b/>
          <w:bCs/>
          <w:sz w:val="24"/>
          <w:szCs w:val="24"/>
          <w:lang w:eastAsia="bg-BG"/>
        </w:rPr>
        <w:t>Необходимост от актуализация на СФ на защитената зона</w:t>
      </w:r>
    </w:p>
    <w:p w:rsidR="00E8367B" w:rsidRPr="00E8367B" w:rsidRDefault="00E8367B" w:rsidP="00077290">
      <w:pPr>
        <w:rPr>
          <w:rFonts w:ascii="Times New Roman" w:hAnsi="Times New Roman"/>
          <w:bCs/>
          <w:sz w:val="24"/>
          <w:szCs w:val="24"/>
          <w:lang w:eastAsia="bg-BG"/>
        </w:rPr>
      </w:pPr>
      <w:r w:rsidRPr="00E8367B">
        <w:rPr>
          <w:rFonts w:ascii="Times New Roman" w:hAnsi="Times New Roman"/>
          <w:bCs/>
          <w:sz w:val="24"/>
          <w:szCs w:val="24"/>
          <w:lang w:eastAsia="bg-BG"/>
        </w:rPr>
        <w:t>Не е необходима промяна на Стандартния формуляр.</w:t>
      </w:r>
    </w:p>
    <w:p w:rsidR="00E8367B" w:rsidRPr="00E8367B" w:rsidRDefault="00E8367B" w:rsidP="00EC3027">
      <w:pPr>
        <w:spacing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8. Използвана литература</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Бисерков</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В</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(гл</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ред). Червена книга на Република България, Том III - Природни местообитания. </w:t>
      </w:r>
      <w:hyperlink r:id="rId28" w:history="1">
        <w:r w:rsidRPr="00E8367B">
          <w:rPr>
            <w:rFonts w:ascii="Times New Roman" w:hAnsi="Times New Roman"/>
            <w:bCs/>
            <w:sz w:val="24"/>
            <w:szCs w:val="24"/>
            <w:u w:val="single"/>
            <w:lang w:eastAsia="bg-BG"/>
          </w:rPr>
          <w:t>http://e-ecodb.bas.bg/rdb/bg/vol3/</w:t>
        </w:r>
      </w:hyperlink>
      <w:r w:rsidRPr="00E8367B">
        <w:rPr>
          <w:rFonts w:ascii="Times New Roman" w:hAnsi="Times New Roman"/>
          <w:bCs/>
          <w:sz w:val="24"/>
          <w:szCs w:val="24"/>
          <w:lang w:eastAsia="bg-BG"/>
        </w:rPr>
        <w:t>. Последно посетен на 29.10.2021 г.</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Министерство на околната среда и водите (МОСВ). Информационна система за защитени зони от екологична мрежа Натура 2000. </w:t>
      </w:r>
      <w:hyperlink r:id="rId29" w:history="1">
        <w:r w:rsidRPr="00E8367B">
          <w:rPr>
            <w:rFonts w:ascii="Times New Roman" w:hAnsi="Times New Roman"/>
            <w:bCs/>
            <w:color w:val="0000FF"/>
            <w:sz w:val="24"/>
            <w:szCs w:val="24"/>
            <w:u w:val="single"/>
            <w:lang w:eastAsia="bg-BG"/>
          </w:rPr>
          <w:t>http://natura2000.moew.government.bg/Home/Natura2000ProtectedSites</w:t>
        </w:r>
      </w:hyperlink>
      <w:r w:rsidRPr="00E8367B">
        <w:rPr>
          <w:rFonts w:ascii="Times New Roman" w:hAnsi="Times New Roman"/>
          <w:bCs/>
          <w:sz w:val="24"/>
          <w:szCs w:val="24"/>
          <w:lang w:eastAsia="bg-BG"/>
        </w:rPr>
        <w:t xml:space="preserve">. Последно посетен на 29.10.2021 г. </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Изпълнителна агенция по горите (ИАГ). Лесоустройствени проекти.  </w:t>
      </w:r>
      <w:hyperlink r:id="rId30" w:history="1">
        <w:r w:rsidRPr="00E8367B">
          <w:rPr>
            <w:rFonts w:ascii="Times New Roman" w:hAnsi="Times New Roman"/>
            <w:bCs/>
            <w:color w:val="0000FF"/>
            <w:sz w:val="24"/>
            <w:szCs w:val="24"/>
            <w:u w:val="single"/>
            <w:lang w:eastAsia="bg-BG"/>
          </w:rPr>
          <w:t>http://www.procurement.iag.bg:8080/cgi-bin/lup.cgi</w:t>
        </w:r>
      </w:hyperlink>
      <w:r w:rsidRPr="00E8367B">
        <w:rPr>
          <w:rFonts w:ascii="Times New Roman" w:hAnsi="Times New Roman"/>
          <w:bCs/>
          <w:sz w:val="24"/>
          <w:szCs w:val="24"/>
          <w:lang w:eastAsia="bg-BG"/>
        </w:rPr>
        <w:t>. Последно посетен на 29.10.2021 г.</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Зингстра</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Х</w:t>
      </w:r>
      <w:r w:rsidR="00A805FE">
        <w:rPr>
          <w:rFonts w:ascii="Times New Roman" w:hAnsi="Times New Roman"/>
          <w:bCs/>
          <w:sz w:val="24"/>
          <w:szCs w:val="24"/>
          <w:lang w:eastAsia="bg-BG"/>
        </w:rPr>
        <w:t>.</w:t>
      </w:r>
      <w:r w:rsidRPr="00E8367B">
        <w:rPr>
          <w:rFonts w:ascii="Times New Roman" w:hAnsi="Times New Roman"/>
          <w:bCs/>
          <w:sz w:val="24"/>
          <w:szCs w:val="24"/>
          <w:lang w:eastAsia="bg-BG"/>
        </w:rPr>
        <w:t>, А</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Ковачев, К</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Китнаес, Р</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Цонев, Д</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Димова, П Цветков (ред.) 2009.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630 стр.</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European commission. The State of Nature in the EU – Article 17 reporting. </w:t>
      </w:r>
      <w:hyperlink r:id="rId31" w:history="1">
        <w:r w:rsidRPr="00E8367B">
          <w:rPr>
            <w:rFonts w:ascii="Times New Roman" w:hAnsi="Times New Roman"/>
            <w:bCs/>
            <w:color w:val="0000FF"/>
            <w:sz w:val="24"/>
            <w:szCs w:val="24"/>
            <w:u w:val="single"/>
            <w:lang w:eastAsia="bg-BG"/>
          </w:rPr>
          <w:t>https://ec.europa.eu/environment/nature/knowledge/rep_habitats/index_en.htm</w:t>
        </w:r>
      </w:hyperlink>
      <w:r w:rsidRPr="00E8367B">
        <w:rPr>
          <w:rFonts w:ascii="Times New Roman" w:hAnsi="Times New Roman"/>
          <w:bCs/>
          <w:sz w:val="24"/>
          <w:szCs w:val="24"/>
          <w:lang w:eastAsia="bg-BG"/>
        </w:rPr>
        <w:t xml:space="preserve">. Last visited on 10.10.2021. </w:t>
      </w:r>
    </w:p>
    <w:p w:rsidR="00E8367B" w:rsidRDefault="00E8367B" w:rsidP="00077290">
      <w:pPr>
        <w:spacing w:after="0" w:line="240" w:lineRule="auto"/>
        <w:ind w:left="709" w:hanging="709"/>
        <w:jc w:val="both"/>
        <w:rPr>
          <w:rFonts w:ascii="Times New Roman" w:hAnsi="Times New Roman"/>
          <w:bCs/>
          <w:i/>
          <w:sz w:val="24"/>
          <w:szCs w:val="24"/>
          <w:lang w:eastAsia="bg-BG"/>
        </w:rPr>
      </w:pPr>
    </w:p>
    <w:p w:rsidR="00E8367B" w:rsidRPr="00E8367B" w:rsidRDefault="00E8367B" w:rsidP="00077290">
      <w:pPr>
        <w:rPr>
          <w:rFonts w:ascii="Times New Roman" w:hAnsi="Times New Roman"/>
          <w:bCs/>
          <w:sz w:val="24"/>
          <w:szCs w:val="24"/>
          <w:lang w:eastAsia="bg-BG"/>
        </w:rPr>
      </w:pPr>
      <w:r w:rsidRPr="00E8367B">
        <w:rPr>
          <w:rFonts w:ascii="Times New Roman" w:hAnsi="Times New Roman"/>
          <w:bCs/>
          <w:i/>
          <w:sz w:val="24"/>
          <w:szCs w:val="24"/>
          <w:lang w:eastAsia="bg-BG"/>
        </w:rPr>
        <w:t>Автори</w:t>
      </w:r>
      <w:r>
        <w:rPr>
          <w:rFonts w:ascii="Times New Roman" w:hAnsi="Times New Roman"/>
          <w:bCs/>
          <w:sz w:val="24"/>
          <w:szCs w:val="24"/>
          <w:lang w:eastAsia="bg-BG"/>
        </w:rPr>
        <w:t>: Цветан Златанов, Георги Хинков, Георги Гогушев, Магдалена Златанова</w:t>
      </w:r>
    </w:p>
    <w:p w:rsidR="00E8367B" w:rsidRPr="00E8367B" w:rsidRDefault="00E8367B">
      <w:pPr>
        <w:rPr>
          <w:rFonts w:ascii="Times New Roman" w:hAnsi="Times New Roman"/>
          <w:b/>
          <w:color w:val="1F497D" w:themeColor="text2"/>
          <w:sz w:val="28"/>
          <w:szCs w:val="28"/>
        </w:rPr>
      </w:pPr>
    </w:p>
    <w:p w:rsidR="0070678B" w:rsidRPr="00A805FE" w:rsidRDefault="00E8367B" w:rsidP="00EC3027">
      <w:pPr>
        <w:outlineLvl w:val="1"/>
        <w:rPr>
          <w:rFonts w:ascii="Times New Roman" w:hAnsi="Times New Roman"/>
          <w:color w:val="1F497D" w:themeColor="text2"/>
          <w:sz w:val="28"/>
          <w:szCs w:val="28"/>
        </w:rPr>
      </w:pPr>
      <w:bookmarkStart w:id="10" w:name="_Toc98838530"/>
      <w:r w:rsidRPr="00A805FE">
        <w:rPr>
          <w:rFonts w:ascii="Times New Roman" w:hAnsi="Times New Roman"/>
          <w:color w:val="1F497D" w:themeColor="text2"/>
          <w:sz w:val="28"/>
          <w:szCs w:val="28"/>
        </w:rPr>
        <w:t>Природно местообитание</w:t>
      </w:r>
      <w:r w:rsidR="00D77A67" w:rsidRPr="00A805FE">
        <w:rPr>
          <w:rFonts w:ascii="Times New Roman" w:hAnsi="Times New Roman"/>
          <w:color w:val="1F497D" w:themeColor="text2"/>
          <w:sz w:val="28"/>
          <w:szCs w:val="28"/>
        </w:rPr>
        <w:t xml:space="preserve"> </w:t>
      </w:r>
      <w:r w:rsidR="0070678B" w:rsidRPr="00A805FE">
        <w:rPr>
          <w:rFonts w:ascii="Times New Roman" w:hAnsi="Times New Roman"/>
          <w:color w:val="1F497D" w:themeColor="text2"/>
          <w:sz w:val="28"/>
          <w:szCs w:val="28"/>
          <w:lang w:val="en-US"/>
        </w:rPr>
        <w:t>91Z0</w:t>
      </w:r>
      <w:r w:rsidR="00A805FE" w:rsidRPr="00A805FE">
        <w:rPr>
          <w:rFonts w:ascii="Times New Roman" w:hAnsi="Times New Roman"/>
          <w:color w:val="1F497D" w:themeColor="text2"/>
          <w:sz w:val="28"/>
          <w:szCs w:val="28"/>
        </w:rPr>
        <w:t xml:space="preserve"> Мизийски гори от сребролистна липа</w:t>
      </w:r>
      <w:bookmarkEnd w:id="10"/>
    </w:p>
    <w:p w:rsidR="00E8367B" w:rsidRPr="00E8367B" w:rsidRDefault="00E8367B" w:rsidP="00077290">
      <w:pPr>
        <w:rPr>
          <w:rFonts w:ascii="Times New Roman" w:hAnsi="Times New Roman"/>
          <w:bCs/>
          <w:sz w:val="24"/>
          <w:szCs w:val="24"/>
          <w:lang w:eastAsia="bg-BG"/>
        </w:rPr>
      </w:pPr>
      <w:r w:rsidRPr="00E8367B">
        <w:rPr>
          <w:rFonts w:ascii="Times New Roman" w:hAnsi="Times New Roman"/>
          <w:b/>
          <w:bCs/>
          <w:sz w:val="24"/>
          <w:szCs w:val="24"/>
          <w:lang w:eastAsia="bg-BG"/>
        </w:rPr>
        <w:t>1. Код и наименование на типа местообитание:</w:t>
      </w:r>
      <w:r w:rsidRPr="00E8367B">
        <w:rPr>
          <w:rFonts w:ascii="Times New Roman" w:hAnsi="Times New Roman"/>
          <w:bCs/>
          <w:sz w:val="24"/>
          <w:szCs w:val="24"/>
          <w:lang w:eastAsia="bg-BG"/>
        </w:rPr>
        <w:t xml:space="preserve"> 91</w:t>
      </w:r>
      <w:r w:rsidRPr="00E8367B">
        <w:rPr>
          <w:rFonts w:ascii="Times New Roman" w:hAnsi="Times New Roman"/>
          <w:bCs/>
          <w:sz w:val="24"/>
          <w:szCs w:val="24"/>
          <w:lang w:val="en-GB" w:eastAsia="bg-BG"/>
        </w:rPr>
        <w:t>Z</w:t>
      </w:r>
      <w:r w:rsidRPr="00E8367B">
        <w:rPr>
          <w:rFonts w:ascii="Times New Roman" w:hAnsi="Times New Roman"/>
          <w:bCs/>
          <w:sz w:val="24"/>
          <w:szCs w:val="24"/>
          <w:lang w:eastAsia="bg-BG"/>
        </w:rPr>
        <w:t>0 Мизийски гори от сребролистна липа</w:t>
      </w:r>
    </w:p>
    <w:p w:rsidR="00E8367B" w:rsidRPr="00E8367B" w:rsidRDefault="00E8367B" w:rsidP="00077290">
      <w:pPr>
        <w:spacing w:before="120" w:after="0" w:line="240" w:lineRule="auto"/>
        <w:rPr>
          <w:rFonts w:ascii="Times New Roman" w:hAnsi="Times New Roman"/>
          <w:bCs/>
          <w:sz w:val="24"/>
          <w:szCs w:val="24"/>
          <w:lang w:eastAsia="bg-BG"/>
        </w:rPr>
      </w:pPr>
      <w:r w:rsidRPr="00E8367B">
        <w:rPr>
          <w:rFonts w:ascii="Times New Roman" w:hAnsi="Times New Roman"/>
          <w:b/>
          <w:bCs/>
          <w:sz w:val="24"/>
          <w:szCs w:val="24"/>
          <w:lang w:eastAsia="bg-BG"/>
        </w:rPr>
        <w:t>2. Кратка характеристика на целевия обект</w:t>
      </w:r>
    </w:p>
    <w:p w:rsidR="00E8367B" w:rsidRPr="00E8367B" w:rsidRDefault="00E8367B" w:rsidP="00077290">
      <w:pPr>
        <w:spacing w:after="0" w:line="240" w:lineRule="auto"/>
        <w:ind w:firstLine="709"/>
        <w:jc w:val="both"/>
        <w:rPr>
          <w:rFonts w:ascii="Times New Roman" w:eastAsia="Calibri" w:hAnsi="Times New Roman"/>
          <w:sz w:val="24"/>
          <w:szCs w:val="24"/>
          <w:lang w:val="ru-RU"/>
        </w:rPr>
      </w:pPr>
      <w:r w:rsidRPr="00E8367B">
        <w:rPr>
          <w:rFonts w:ascii="Times New Roman" w:hAnsi="Times New Roman"/>
          <w:bCs/>
          <w:sz w:val="24"/>
          <w:szCs w:val="24"/>
          <w:lang w:eastAsia="bg-BG"/>
        </w:rPr>
        <w:t xml:space="preserve">В това местообитание се включват </w:t>
      </w:r>
      <w:r w:rsidRPr="00E8367B">
        <w:rPr>
          <w:rFonts w:ascii="Times New Roman" w:eastAsia="Calibri" w:hAnsi="Times New Roman"/>
          <w:sz w:val="24"/>
          <w:szCs w:val="24"/>
          <w:lang w:val="ru-RU"/>
        </w:rPr>
        <w:t>гори с участие над 4 десети на сребролистна липа (</w:t>
      </w:r>
      <w:r w:rsidRPr="00E8367B">
        <w:rPr>
          <w:rFonts w:ascii="Times New Roman" w:eastAsia="Calibri" w:hAnsi="Times New Roman"/>
          <w:i/>
          <w:iCs/>
          <w:sz w:val="24"/>
          <w:szCs w:val="24"/>
        </w:rPr>
        <w:t>Tilia</w:t>
      </w:r>
      <w:r w:rsidRPr="00E8367B">
        <w:rPr>
          <w:rFonts w:ascii="Times New Roman" w:eastAsia="Calibri" w:hAnsi="Times New Roman"/>
          <w:i/>
          <w:iCs/>
          <w:sz w:val="24"/>
          <w:szCs w:val="24"/>
          <w:lang w:val="ru-RU"/>
        </w:rPr>
        <w:t xml:space="preserve"> </w:t>
      </w:r>
      <w:r w:rsidRPr="00E8367B">
        <w:rPr>
          <w:rFonts w:ascii="Times New Roman" w:eastAsia="Calibri" w:hAnsi="Times New Roman"/>
          <w:i/>
          <w:iCs/>
          <w:sz w:val="24"/>
          <w:szCs w:val="24"/>
        </w:rPr>
        <w:t>tomentosa</w:t>
      </w:r>
      <w:r w:rsidRPr="00E8367B">
        <w:rPr>
          <w:rFonts w:ascii="Times New Roman" w:eastAsia="Calibri" w:hAnsi="Times New Roman"/>
          <w:sz w:val="24"/>
          <w:szCs w:val="24"/>
          <w:lang w:val="ru-RU"/>
        </w:rPr>
        <w:t>) в първия дървесен етаж. Срещат се в хълмистите и предпланински райони, върху льосова или варовикова подложка. Заемат главно склоновете със северно и източно изложение, с наклон от 5 до 45°. По-рядко (в Лудогорието) се срещат по билата и на сравнително равни терени. Почвите са кестеняви черноземи (</w:t>
      </w:r>
      <w:r w:rsidRPr="00E8367B">
        <w:rPr>
          <w:rFonts w:ascii="Times New Roman" w:eastAsia="Calibri" w:hAnsi="Times New Roman"/>
          <w:i/>
          <w:iCs/>
          <w:sz w:val="24"/>
          <w:szCs w:val="24"/>
        </w:rPr>
        <w:t>Kastanik</w:t>
      </w:r>
      <w:r w:rsidRPr="00E8367B">
        <w:rPr>
          <w:rFonts w:ascii="Times New Roman" w:eastAsia="Calibri" w:hAnsi="Times New Roman"/>
          <w:i/>
          <w:iCs/>
          <w:sz w:val="24"/>
          <w:szCs w:val="24"/>
          <w:lang w:val="ru-RU"/>
        </w:rPr>
        <w:t xml:space="preserve"> </w:t>
      </w:r>
      <w:r w:rsidRPr="00E8367B">
        <w:rPr>
          <w:rFonts w:ascii="Times New Roman" w:eastAsia="Calibri" w:hAnsi="Times New Roman"/>
          <w:i/>
          <w:iCs/>
          <w:sz w:val="24"/>
          <w:szCs w:val="24"/>
        </w:rPr>
        <w:t>chernozems</w:t>
      </w:r>
      <w:r w:rsidRPr="00E8367B">
        <w:rPr>
          <w:rFonts w:ascii="Times New Roman" w:eastAsia="Calibri" w:hAnsi="Times New Roman"/>
          <w:sz w:val="24"/>
          <w:szCs w:val="24"/>
          <w:lang w:val="ru-RU"/>
        </w:rPr>
        <w:t>), файоземи (</w:t>
      </w:r>
      <w:r w:rsidRPr="00E8367B">
        <w:rPr>
          <w:rFonts w:ascii="Times New Roman" w:eastAsia="Calibri" w:hAnsi="Times New Roman"/>
          <w:i/>
          <w:iCs/>
          <w:sz w:val="24"/>
          <w:szCs w:val="24"/>
        </w:rPr>
        <w:t>Phaeozems</w:t>
      </w:r>
      <w:r w:rsidRPr="00E8367B">
        <w:rPr>
          <w:rFonts w:ascii="Times New Roman" w:eastAsia="Calibri" w:hAnsi="Times New Roman"/>
          <w:sz w:val="24"/>
          <w:szCs w:val="24"/>
          <w:lang w:val="ru-RU"/>
        </w:rPr>
        <w:t>,) и лесивирани (</w:t>
      </w:r>
      <w:r w:rsidRPr="00E8367B">
        <w:rPr>
          <w:rFonts w:ascii="Times New Roman" w:eastAsia="Calibri" w:hAnsi="Times New Roman"/>
          <w:i/>
          <w:iCs/>
          <w:sz w:val="24"/>
          <w:szCs w:val="24"/>
        </w:rPr>
        <w:t>Luvisols</w:t>
      </w:r>
      <w:r w:rsidRPr="00E8367B">
        <w:rPr>
          <w:rFonts w:ascii="Times New Roman" w:eastAsia="Calibri" w:hAnsi="Times New Roman"/>
          <w:sz w:val="24"/>
          <w:szCs w:val="24"/>
          <w:lang w:val="ru-RU"/>
        </w:rPr>
        <w:t xml:space="preserve">). Те са с развит хумусен хоризонт и са добре овлажнени. Липовите гори са изразено монодоминантни. Освен основният вид – </w:t>
      </w:r>
      <w:r w:rsidRPr="00E8367B">
        <w:rPr>
          <w:rFonts w:ascii="Times New Roman" w:eastAsia="Calibri" w:hAnsi="Times New Roman"/>
          <w:i/>
          <w:iCs/>
          <w:sz w:val="24"/>
          <w:szCs w:val="24"/>
        </w:rPr>
        <w:t>Tilia</w:t>
      </w:r>
      <w:r w:rsidRPr="00E8367B">
        <w:rPr>
          <w:rFonts w:ascii="Times New Roman" w:eastAsia="Calibri" w:hAnsi="Times New Roman"/>
          <w:i/>
          <w:iCs/>
          <w:sz w:val="24"/>
          <w:szCs w:val="24"/>
          <w:lang w:val="ru-RU"/>
        </w:rPr>
        <w:t xml:space="preserve"> </w:t>
      </w:r>
      <w:r w:rsidRPr="00E8367B">
        <w:rPr>
          <w:rFonts w:ascii="Times New Roman" w:eastAsia="Calibri" w:hAnsi="Times New Roman"/>
          <w:i/>
          <w:iCs/>
          <w:sz w:val="24"/>
          <w:szCs w:val="24"/>
        </w:rPr>
        <w:t>tomentosa</w:t>
      </w:r>
      <w:r w:rsidRPr="00E8367B">
        <w:rPr>
          <w:rFonts w:ascii="Times New Roman" w:eastAsia="Calibri" w:hAnsi="Times New Roman"/>
          <w:sz w:val="24"/>
          <w:szCs w:val="24"/>
          <w:lang w:val="ru-RU"/>
        </w:rPr>
        <w:t xml:space="preserve">, в дървесния етаж участват сравнително често </w:t>
      </w:r>
      <w:r w:rsidRPr="00E8367B">
        <w:rPr>
          <w:rFonts w:ascii="Times New Roman" w:eastAsia="Calibri" w:hAnsi="Times New Roman"/>
          <w:i/>
          <w:iCs/>
          <w:sz w:val="24"/>
          <w:szCs w:val="24"/>
        </w:rPr>
        <w:t>Acer</w:t>
      </w:r>
      <w:r w:rsidRPr="00E8367B">
        <w:rPr>
          <w:rFonts w:ascii="Times New Roman" w:eastAsia="Calibri" w:hAnsi="Times New Roman"/>
          <w:i/>
          <w:iCs/>
          <w:sz w:val="24"/>
          <w:szCs w:val="24"/>
          <w:lang w:val="ru-RU"/>
        </w:rPr>
        <w:t xml:space="preserve"> </w:t>
      </w:r>
      <w:r w:rsidRPr="00E8367B">
        <w:rPr>
          <w:rFonts w:ascii="Times New Roman" w:eastAsia="Calibri" w:hAnsi="Times New Roman"/>
          <w:i/>
          <w:iCs/>
          <w:sz w:val="24"/>
          <w:szCs w:val="24"/>
        </w:rPr>
        <w:t>campestre</w:t>
      </w:r>
      <w:r w:rsidRPr="00E8367B">
        <w:rPr>
          <w:rFonts w:ascii="Times New Roman" w:eastAsia="Calibri" w:hAnsi="Times New Roman"/>
          <w:sz w:val="24"/>
          <w:szCs w:val="24"/>
          <w:lang w:val="ru-RU"/>
        </w:rPr>
        <w:t xml:space="preserve">, </w:t>
      </w:r>
      <w:r w:rsidRPr="00E8367B">
        <w:rPr>
          <w:rFonts w:ascii="Times New Roman" w:eastAsia="Calibri" w:hAnsi="Times New Roman"/>
          <w:i/>
          <w:iCs/>
          <w:sz w:val="24"/>
          <w:szCs w:val="24"/>
        </w:rPr>
        <w:t>Fraxinus</w:t>
      </w:r>
      <w:r w:rsidRPr="00E8367B">
        <w:rPr>
          <w:rFonts w:ascii="Times New Roman" w:eastAsia="Calibri" w:hAnsi="Times New Roman"/>
          <w:i/>
          <w:iCs/>
          <w:sz w:val="24"/>
          <w:szCs w:val="24"/>
          <w:lang w:val="ru-RU"/>
        </w:rPr>
        <w:t xml:space="preserve"> </w:t>
      </w:r>
      <w:r w:rsidRPr="00E8367B">
        <w:rPr>
          <w:rFonts w:ascii="Times New Roman" w:eastAsia="Calibri" w:hAnsi="Times New Roman"/>
          <w:i/>
          <w:iCs/>
          <w:sz w:val="24"/>
          <w:szCs w:val="24"/>
        </w:rPr>
        <w:t>ornus</w:t>
      </w:r>
      <w:r w:rsidRPr="00E8367B">
        <w:rPr>
          <w:rFonts w:ascii="Times New Roman" w:eastAsia="Calibri" w:hAnsi="Times New Roman"/>
          <w:i/>
          <w:iCs/>
          <w:sz w:val="24"/>
          <w:szCs w:val="24"/>
          <w:lang w:val="ru-RU"/>
        </w:rPr>
        <w:t xml:space="preserve">, </w:t>
      </w:r>
      <w:r w:rsidRPr="00E8367B">
        <w:rPr>
          <w:rFonts w:ascii="Times New Roman" w:eastAsia="Calibri" w:hAnsi="Times New Roman"/>
          <w:i/>
          <w:iCs/>
          <w:sz w:val="24"/>
          <w:szCs w:val="24"/>
        </w:rPr>
        <w:t>Quercus</w:t>
      </w:r>
      <w:r w:rsidRPr="00E8367B">
        <w:rPr>
          <w:rFonts w:ascii="Times New Roman" w:eastAsia="Calibri" w:hAnsi="Times New Roman"/>
          <w:i/>
          <w:iCs/>
          <w:sz w:val="24"/>
          <w:szCs w:val="24"/>
          <w:lang w:val="ru-RU"/>
        </w:rPr>
        <w:t xml:space="preserve"> </w:t>
      </w:r>
      <w:r w:rsidRPr="00E8367B">
        <w:rPr>
          <w:rFonts w:ascii="Times New Roman" w:eastAsia="Calibri" w:hAnsi="Times New Roman"/>
          <w:i/>
          <w:iCs/>
          <w:sz w:val="24"/>
          <w:szCs w:val="24"/>
        </w:rPr>
        <w:t>cerris</w:t>
      </w:r>
      <w:r w:rsidRPr="00E8367B">
        <w:rPr>
          <w:rFonts w:ascii="Times New Roman" w:eastAsia="Calibri" w:hAnsi="Times New Roman"/>
          <w:sz w:val="24"/>
          <w:szCs w:val="24"/>
          <w:lang w:val="ru-RU"/>
        </w:rPr>
        <w:t xml:space="preserve">, </w:t>
      </w:r>
      <w:r w:rsidRPr="00E8367B">
        <w:rPr>
          <w:rFonts w:ascii="Times New Roman" w:eastAsia="Calibri" w:hAnsi="Times New Roman"/>
          <w:i/>
          <w:iCs/>
          <w:sz w:val="24"/>
          <w:szCs w:val="24"/>
        </w:rPr>
        <w:t>Q</w:t>
      </w:r>
      <w:r w:rsidRPr="00E8367B">
        <w:rPr>
          <w:rFonts w:ascii="Times New Roman" w:eastAsia="Calibri" w:hAnsi="Times New Roman"/>
          <w:sz w:val="24"/>
          <w:szCs w:val="24"/>
          <w:lang w:val="ru-RU"/>
        </w:rPr>
        <w:t xml:space="preserve">. </w:t>
      </w:r>
      <w:r w:rsidRPr="00E8367B">
        <w:rPr>
          <w:rFonts w:ascii="Times New Roman" w:eastAsia="Calibri" w:hAnsi="Times New Roman"/>
          <w:i/>
          <w:iCs/>
          <w:sz w:val="24"/>
          <w:szCs w:val="24"/>
        </w:rPr>
        <w:t>robur</w:t>
      </w:r>
      <w:r w:rsidRPr="00E8367B">
        <w:rPr>
          <w:rFonts w:ascii="Times New Roman" w:eastAsia="Calibri" w:hAnsi="Times New Roman"/>
          <w:sz w:val="24"/>
          <w:szCs w:val="24"/>
          <w:lang w:val="ru-RU"/>
        </w:rPr>
        <w:t>.</w:t>
      </w:r>
    </w:p>
    <w:p w:rsidR="00E8367B" w:rsidRPr="00077290" w:rsidRDefault="00E8367B" w:rsidP="00077290">
      <w:pPr>
        <w:spacing w:before="120"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3. Състояние на биогеографско ниво и разпространение в мрежата</w:t>
      </w:r>
    </w:p>
    <w:p w:rsidR="00E8367B" w:rsidRPr="00E8367B" w:rsidRDefault="00E8367B" w:rsidP="00077290">
      <w:pPr>
        <w:spacing w:after="0" w:line="240" w:lineRule="auto"/>
        <w:ind w:firstLine="709"/>
        <w:jc w:val="both"/>
        <w:rPr>
          <w:rFonts w:ascii="Times New Roman" w:eastAsia="Calibri" w:hAnsi="Times New Roman"/>
          <w:sz w:val="24"/>
          <w:szCs w:val="24"/>
        </w:rPr>
      </w:pPr>
      <w:r w:rsidRPr="00E8367B">
        <w:rPr>
          <w:rFonts w:ascii="Times New Roman" w:hAnsi="Times New Roman"/>
          <w:bCs/>
          <w:sz w:val="24"/>
          <w:szCs w:val="24"/>
          <w:lang w:eastAsia="bg-BG"/>
        </w:rPr>
        <w:t>Съгласно картирането извършено през периода 2011–2013 година, местообитание 91</w:t>
      </w:r>
      <w:r w:rsidRPr="00E8367B">
        <w:rPr>
          <w:rFonts w:ascii="Times New Roman" w:hAnsi="Times New Roman"/>
          <w:bCs/>
          <w:sz w:val="24"/>
          <w:szCs w:val="24"/>
          <w:lang w:val="en-GB" w:eastAsia="bg-BG"/>
        </w:rPr>
        <w:t>Z</w:t>
      </w:r>
      <w:r w:rsidRPr="00E8367B">
        <w:rPr>
          <w:rFonts w:ascii="Times New Roman" w:hAnsi="Times New Roman"/>
          <w:bCs/>
          <w:sz w:val="24"/>
          <w:szCs w:val="24"/>
          <w:lang w:eastAsia="bg-BG"/>
        </w:rPr>
        <w:t xml:space="preserve">0 е разпространено в Алпийския, Черноморския и Континенталния биогеографски </w:t>
      </w:r>
      <w:r w:rsidR="00A805FE">
        <w:rPr>
          <w:rFonts w:ascii="Times New Roman" w:hAnsi="Times New Roman"/>
          <w:bCs/>
          <w:sz w:val="24"/>
          <w:szCs w:val="24"/>
          <w:lang w:eastAsia="bg-BG"/>
        </w:rPr>
        <w:t>региони</w:t>
      </w:r>
      <w:r w:rsidRPr="00E8367B">
        <w:rPr>
          <w:rFonts w:ascii="Times New Roman" w:hAnsi="Times New Roman"/>
          <w:bCs/>
          <w:sz w:val="24"/>
          <w:szCs w:val="24"/>
          <w:lang w:eastAsia="bg-BG"/>
        </w:rPr>
        <w:t xml:space="preserve">. При докладването, съгласно чл. 17 от Директивата за местообитанията през 2019 г., природното местообитание е посочено в благоприятно състояние по отношение на </w:t>
      </w:r>
      <w:r w:rsidRPr="00E8367B">
        <w:rPr>
          <w:rFonts w:ascii="Times New Roman" w:eastAsia="Calibri" w:hAnsi="Times New Roman"/>
          <w:sz w:val="24"/>
          <w:szCs w:val="24"/>
        </w:rPr>
        <w:t xml:space="preserve">Площ, </w:t>
      </w:r>
      <w:r w:rsidRPr="00077290">
        <w:rPr>
          <w:rFonts w:ascii="Times New Roman" w:eastAsia="Calibri" w:hAnsi="Times New Roman"/>
          <w:sz w:val="24"/>
          <w:szCs w:val="24"/>
          <w:lang w:val="ru-RU"/>
        </w:rPr>
        <w:t>Структура</w:t>
      </w:r>
      <w:r w:rsidRPr="00E8367B">
        <w:rPr>
          <w:rFonts w:ascii="Times New Roman" w:eastAsia="Calibri" w:hAnsi="Times New Roman"/>
          <w:sz w:val="24"/>
          <w:szCs w:val="24"/>
        </w:rPr>
        <w:t xml:space="preserve"> и функции, и Бъдещи перспективи (заплахи и влияния) и в трите биогеографски района. Разпространението на местообитанието в Алпийския биогеографски </w:t>
      </w:r>
      <w:r w:rsidR="00A805FE">
        <w:rPr>
          <w:rFonts w:ascii="Times New Roman" w:eastAsia="Calibri" w:hAnsi="Times New Roman"/>
          <w:sz w:val="24"/>
          <w:szCs w:val="24"/>
        </w:rPr>
        <w:t>регион</w:t>
      </w:r>
      <w:r w:rsidRPr="00E8367B">
        <w:rPr>
          <w:rFonts w:ascii="Times New Roman" w:eastAsia="Calibri" w:hAnsi="Times New Roman"/>
          <w:sz w:val="24"/>
          <w:szCs w:val="24"/>
        </w:rPr>
        <w:t xml:space="preserve"> е благоприятно, а в Черноморския и Континенталния е неизвестно. Тъй като при докладването през 2019 година са посочени някои влияния и заплахи, които оказват съществено влияние върху структурата и функциите на местообитанието, то има достатъчно основания, неблагоприятно-незадоволителната оценката на състоянието по критерий „Структура и функции“ от докладването през 2013 година (за периода 2007-2012 г.) да се счита все още за валидна. Най-значителните влияния и заплахи са „</w:t>
      </w:r>
      <w:r w:rsidRPr="00E8367B">
        <w:rPr>
          <w:rFonts w:ascii="Times New Roman" w:eastAsia="Calibri" w:hAnsi="Times New Roman"/>
          <w:iCs/>
          <w:sz w:val="24"/>
          <w:szCs w:val="24"/>
          <w:lang w:val="ru-RU"/>
        </w:rPr>
        <w:t>Нерегламентирано и неправилно добиване на недървесни горски ресурси</w:t>
      </w:r>
      <w:r w:rsidRPr="00E8367B">
        <w:rPr>
          <w:rFonts w:ascii="Times New Roman" w:eastAsia="Calibri" w:hAnsi="Times New Roman"/>
          <w:sz w:val="24"/>
          <w:szCs w:val="24"/>
        </w:rPr>
        <w:t xml:space="preserve">“ и „Природни нарушения и тенденции“. Друго влияние и заплаха, които са от значение е „Изнасяне на мъртва дървесина“. </w:t>
      </w:r>
    </w:p>
    <w:p w:rsidR="00E8367B" w:rsidRPr="00E8367B" w:rsidRDefault="00E8367B" w:rsidP="00077290">
      <w:pPr>
        <w:spacing w:before="120"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4. Състояние на ниво защитена зона</w:t>
      </w:r>
    </w:p>
    <w:p w:rsidR="00E8367B" w:rsidRPr="00E8367B" w:rsidRDefault="00E8367B" w:rsidP="00A805FE">
      <w:pPr>
        <w:spacing w:after="0" w:line="240" w:lineRule="auto"/>
        <w:ind w:firstLine="709"/>
        <w:contextualSpacing/>
        <w:jc w:val="both"/>
        <w:rPr>
          <w:rFonts w:ascii="Times New Roman" w:hAnsi="Times New Roman"/>
          <w:bCs/>
          <w:sz w:val="24"/>
          <w:szCs w:val="24"/>
          <w:lang w:eastAsia="bg-BG"/>
        </w:rPr>
      </w:pPr>
      <w:r w:rsidRPr="00E8367B">
        <w:rPr>
          <w:rFonts w:ascii="Times New Roman" w:hAnsi="Times New Roman"/>
          <w:bCs/>
          <w:sz w:val="24"/>
          <w:szCs w:val="24"/>
          <w:lang w:eastAsia="bg-BG"/>
        </w:rPr>
        <w:t>Съг</w:t>
      </w:r>
      <w:r w:rsidRPr="00A805FE">
        <w:rPr>
          <w:rFonts w:ascii="Times New Roman" w:eastAsia="Calibri" w:hAnsi="Times New Roman"/>
          <w:sz w:val="24"/>
          <w:szCs w:val="24"/>
        </w:rPr>
        <w:t>л</w:t>
      </w:r>
      <w:r w:rsidRPr="00E8367B">
        <w:rPr>
          <w:rFonts w:ascii="Times New Roman" w:hAnsi="Times New Roman"/>
          <w:bCs/>
          <w:sz w:val="24"/>
          <w:szCs w:val="24"/>
          <w:lang w:eastAsia="bg-BG"/>
        </w:rPr>
        <w:t xml:space="preserve">асно </w:t>
      </w:r>
      <w:r w:rsidRPr="00077290">
        <w:rPr>
          <w:rFonts w:ascii="Times New Roman" w:eastAsia="Calibri" w:hAnsi="Times New Roman"/>
          <w:sz w:val="24"/>
          <w:szCs w:val="24"/>
          <w:lang w:val="ru-RU"/>
        </w:rPr>
        <w:t>Стандартния формуляр (последно актуализиран през Декември 2018), състоянието на мест</w:t>
      </w:r>
      <w:r w:rsidRPr="00E8367B">
        <w:rPr>
          <w:rFonts w:ascii="Times New Roman" w:hAnsi="Times New Roman"/>
          <w:bCs/>
          <w:sz w:val="24"/>
          <w:szCs w:val="24"/>
          <w:lang w:eastAsia="bg-BG"/>
        </w:rPr>
        <w:t>ообитанието в защитената зона е както следва:</w:t>
      </w:r>
    </w:p>
    <w:p w:rsidR="00E8367B" w:rsidRPr="00E8367B" w:rsidRDefault="00E8367B" w:rsidP="00077290">
      <w:pPr>
        <w:rPr>
          <w:rFonts w:ascii="Times New Roman" w:hAnsi="Times New Roman"/>
          <w:bCs/>
          <w:sz w:val="24"/>
          <w:szCs w:val="24"/>
          <w:lang w:eastAsia="bg-BG"/>
        </w:rPr>
      </w:pP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715"/>
        <w:gridCol w:w="835"/>
        <w:gridCol w:w="1097"/>
        <w:gridCol w:w="1973"/>
        <w:gridCol w:w="777"/>
        <w:gridCol w:w="1319"/>
        <w:gridCol w:w="879"/>
      </w:tblGrid>
      <w:tr w:rsidR="00E8367B" w:rsidRPr="00482F18" w:rsidTr="00E8367B">
        <w:trPr>
          <w:cantSplit/>
          <w:trHeight w:val="823"/>
          <w:tblHeader/>
          <w:jc w:val="center"/>
        </w:trPr>
        <w:tc>
          <w:tcPr>
            <w:tcW w:w="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Код</w:t>
            </w:r>
          </w:p>
        </w:tc>
        <w:tc>
          <w:tcPr>
            <w:tcW w:w="17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Местообитание</w:t>
            </w:r>
          </w:p>
        </w:tc>
        <w:tc>
          <w:tcPr>
            <w:tcW w:w="835" w:type="dxa"/>
            <w:tcBorders>
              <w:top w:val="single" w:sz="4" w:space="0" w:color="auto"/>
              <w:left w:val="single" w:sz="4" w:space="0" w:color="auto"/>
              <w:bottom w:val="single" w:sz="4" w:space="0" w:color="auto"/>
              <w:right w:val="single" w:sz="4" w:space="0" w:color="auto"/>
            </w:tcBorders>
            <w:shd w:val="clear" w:color="auto" w:fill="D9D9D9"/>
            <w:vAlign w:val="center"/>
          </w:tcPr>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Площ</w:t>
            </w:r>
          </w:p>
          <w:p w:rsidR="00E8367B" w:rsidRPr="00482F18" w:rsidRDefault="00E8367B" w:rsidP="0031593F">
            <w:pPr>
              <w:rPr>
                <w:rFonts w:ascii="Times New Roman" w:hAnsi="Times New Roman"/>
                <w:b/>
                <w:bCs/>
                <w:sz w:val="20"/>
                <w:szCs w:val="20"/>
                <w:lang w:eastAsia="bg-BG"/>
              </w:rPr>
            </w:pPr>
            <w:r w:rsidRPr="00482F18">
              <w:rPr>
                <w:rFonts w:ascii="Times New Roman" w:hAnsi="Times New Roman"/>
                <w:b/>
                <w:bCs/>
                <w:sz w:val="20"/>
                <w:szCs w:val="20"/>
                <w:lang w:eastAsia="bg-BG"/>
              </w:rPr>
              <w:t>(ха)</w:t>
            </w:r>
          </w:p>
        </w:tc>
        <w:tc>
          <w:tcPr>
            <w:tcW w:w="10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val="en-US" w:eastAsia="bg-BG"/>
              </w:rPr>
            </w:pPr>
            <w:r w:rsidRPr="00482F18">
              <w:rPr>
                <w:rFonts w:ascii="Times New Roman" w:hAnsi="Times New Roman"/>
                <w:b/>
                <w:bCs/>
                <w:sz w:val="20"/>
                <w:szCs w:val="20"/>
                <w:lang w:eastAsia="bg-BG"/>
              </w:rPr>
              <w:t>Качество на данните</w:t>
            </w:r>
          </w:p>
        </w:tc>
        <w:tc>
          <w:tcPr>
            <w:tcW w:w="19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val="en-US" w:eastAsia="bg-BG"/>
              </w:rPr>
            </w:pPr>
            <w:r w:rsidRPr="00482F18">
              <w:rPr>
                <w:rFonts w:ascii="Times New Roman" w:hAnsi="Times New Roman"/>
                <w:b/>
                <w:bCs/>
                <w:sz w:val="20"/>
                <w:szCs w:val="20"/>
                <w:lang w:eastAsia="bg-BG"/>
              </w:rPr>
              <w:t>Представителност</w:t>
            </w:r>
          </w:p>
        </w:tc>
        <w:tc>
          <w:tcPr>
            <w:tcW w:w="7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val="en-US" w:eastAsia="bg-BG"/>
              </w:rPr>
            </w:pPr>
            <w:r w:rsidRPr="00482F18">
              <w:rPr>
                <w:rFonts w:ascii="Times New Roman" w:hAnsi="Times New Roman"/>
                <w:b/>
                <w:bCs/>
                <w:sz w:val="20"/>
                <w:szCs w:val="20"/>
                <w:lang w:eastAsia="bg-BG"/>
              </w:rPr>
              <w:t>Площ</w:t>
            </w:r>
          </w:p>
        </w:tc>
        <w:tc>
          <w:tcPr>
            <w:tcW w:w="13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val="en-US" w:eastAsia="bg-BG"/>
              </w:rPr>
            </w:pPr>
            <w:r w:rsidRPr="00482F18">
              <w:rPr>
                <w:rFonts w:ascii="Times New Roman" w:hAnsi="Times New Roman"/>
                <w:b/>
                <w:bCs/>
                <w:sz w:val="20"/>
                <w:szCs w:val="20"/>
                <w:lang w:eastAsia="bg-BG"/>
              </w:rPr>
              <w:t>Степен на съхранение</w:t>
            </w:r>
          </w:p>
        </w:tc>
        <w:tc>
          <w:tcPr>
            <w:tcW w:w="8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482F18" w:rsidRDefault="00E8367B" w:rsidP="0031593F">
            <w:pPr>
              <w:rPr>
                <w:rFonts w:ascii="Times New Roman" w:hAnsi="Times New Roman"/>
                <w:b/>
                <w:bCs/>
                <w:sz w:val="20"/>
                <w:szCs w:val="20"/>
                <w:lang w:val="en-US" w:eastAsia="bg-BG"/>
              </w:rPr>
            </w:pPr>
            <w:r w:rsidRPr="00482F18">
              <w:rPr>
                <w:rFonts w:ascii="Times New Roman" w:hAnsi="Times New Roman"/>
                <w:b/>
                <w:bCs/>
                <w:sz w:val="20"/>
                <w:szCs w:val="20"/>
                <w:lang w:eastAsia="bg-BG"/>
              </w:rPr>
              <w:t>Обща оценка</w:t>
            </w:r>
          </w:p>
        </w:tc>
      </w:tr>
      <w:tr w:rsidR="00E8367B" w:rsidRPr="00E8367B" w:rsidTr="00E8367B">
        <w:trPr>
          <w:jc w:val="center"/>
        </w:trPr>
        <w:tc>
          <w:tcPr>
            <w:tcW w:w="843"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91</w:t>
            </w:r>
            <w:r w:rsidRPr="00E8367B">
              <w:rPr>
                <w:rFonts w:ascii="Times New Roman" w:hAnsi="Times New Roman"/>
                <w:bCs/>
                <w:lang w:val="en-US" w:eastAsia="bg-BG"/>
              </w:rPr>
              <w:t>Z</w:t>
            </w:r>
            <w:r w:rsidRPr="00E8367B">
              <w:rPr>
                <w:rFonts w:ascii="Times New Roman" w:hAnsi="Times New Roman"/>
                <w:bCs/>
                <w:lang w:eastAsia="bg-BG"/>
              </w:rPr>
              <w:t>0</w:t>
            </w:r>
          </w:p>
        </w:tc>
        <w:tc>
          <w:tcPr>
            <w:tcW w:w="1715" w:type="dxa"/>
            <w:tcBorders>
              <w:top w:val="single" w:sz="4" w:space="0" w:color="auto"/>
              <w:left w:val="single" w:sz="4" w:space="0" w:color="auto"/>
              <w:bottom w:val="single" w:sz="4" w:space="0" w:color="auto"/>
              <w:right w:val="single" w:sz="4" w:space="0" w:color="auto"/>
            </w:tcBorders>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Мизийски гори от сребролистна липа</w:t>
            </w:r>
          </w:p>
        </w:tc>
        <w:tc>
          <w:tcPr>
            <w:tcW w:w="835"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val="en-US" w:eastAsia="bg-BG"/>
              </w:rPr>
              <w:t>14.94</w:t>
            </w:r>
          </w:p>
        </w:tc>
        <w:tc>
          <w:tcPr>
            <w:tcW w:w="1097"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G</w:t>
            </w:r>
          </w:p>
        </w:tc>
        <w:tc>
          <w:tcPr>
            <w:tcW w:w="1973"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c>
          <w:tcPr>
            <w:tcW w:w="777"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w:t>
            </w:r>
          </w:p>
        </w:tc>
        <w:tc>
          <w:tcPr>
            <w:tcW w:w="1319"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c>
          <w:tcPr>
            <w:tcW w:w="879"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w:t>
            </w:r>
          </w:p>
        </w:tc>
      </w:tr>
    </w:tbl>
    <w:p w:rsidR="00E8367B" w:rsidRPr="00E8367B" w:rsidRDefault="00E8367B" w:rsidP="00077290">
      <w:pPr>
        <w:rPr>
          <w:rFonts w:ascii="Times New Roman" w:hAnsi="Times New Roman"/>
          <w:bCs/>
          <w:sz w:val="24"/>
          <w:szCs w:val="24"/>
          <w:lang w:eastAsia="bg-BG"/>
        </w:rPr>
      </w:pPr>
    </w:p>
    <w:p w:rsidR="00077290" w:rsidRDefault="00E8367B" w:rsidP="00077290">
      <w:pPr>
        <w:spacing w:after="0" w:line="240" w:lineRule="auto"/>
        <w:ind w:firstLine="709"/>
        <w:contextualSpacing/>
        <w:jc w:val="both"/>
        <w:rPr>
          <w:rFonts w:ascii="Times New Roman" w:hAnsi="Times New Roman"/>
          <w:bCs/>
          <w:sz w:val="24"/>
          <w:szCs w:val="24"/>
          <w:lang w:eastAsia="bg-BG"/>
        </w:rPr>
      </w:pPr>
      <w:r w:rsidRPr="00E8367B">
        <w:rPr>
          <w:rFonts w:ascii="Times New Roman" w:hAnsi="Times New Roman"/>
          <w:bCs/>
          <w:sz w:val="24"/>
          <w:szCs w:val="24"/>
          <w:lang w:eastAsia="bg-BG"/>
        </w:rPr>
        <w:lastRenderedPageBreak/>
        <w:t xml:space="preserve">Качеството на данните е оценено като G или добро, което означава че определянето на състоянието на местообитанието се основава на изследвания. Представителността е </w:t>
      </w:r>
      <w:r w:rsidRPr="00E8367B">
        <w:rPr>
          <w:rFonts w:ascii="Times New Roman" w:hAnsi="Times New Roman"/>
          <w:bCs/>
          <w:sz w:val="24"/>
          <w:szCs w:val="24"/>
          <w:lang w:val="en-US" w:eastAsia="bg-BG"/>
        </w:rPr>
        <w:t>B</w:t>
      </w:r>
      <w:r w:rsidRPr="00E8367B">
        <w:rPr>
          <w:rFonts w:ascii="Times New Roman" w:hAnsi="Times New Roman"/>
          <w:bCs/>
          <w:sz w:val="24"/>
          <w:szCs w:val="24"/>
          <w:lang w:val="ru-RU" w:eastAsia="bg-BG"/>
        </w:rPr>
        <w:t xml:space="preserve"> </w:t>
      </w:r>
      <w:r w:rsidRPr="00E8367B">
        <w:rPr>
          <w:rFonts w:ascii="Times New Roman" w:hAnsi="Times New Roman"/>
          <w:bCs/>
          <w:sz w:val="24"/>
          <w:szCs w:val="24"/>
          <w:lang w:eastAsia="bg-BG"/>
        </w:rPr>
        <w:t>или</w:t>
      </w:r>
      <w:r w:rsidRPr="00E8367B">
        <w:rPr>
          <w:rFonts w:ascii="Times New Roman" w:hAnsi="Times New Roman"/>
          <w:bCs/>
          <w:sz w:val="24"/>
          <w:szCs w:val="24"/>
          <w:lang w:val="ru-RU" w:eastAsia="bg-BG"/>
        </w:rPr>
        <w:t xml:space="preserve"> добра</w:t>
      </w:r>
      <w:r w:rsidRPr="00E8367B">
        <w:rPr>
          <w:rFonts w:ascii="Times New Roman" w:hAnsi="Times New Roman"/>
          <w:bCs/>
          <w:sz w:val="24"/>
          <w:szCs w:val="24"/>
          <w:lang w:eastAsia="bg-BG"/>
        </w:rPr>
        <w:t>, като местообитанието е важно при управлението на зоната. Оценката за площ е C, като процентното съотношение (p) на площта на местообитанието в зоната, спрямо площта му в национален мащаб е 2%</w:t>
      </w:r>
      <w:r w:rsidRPr="00E8367B">
        <w:rPr>
          <w:rFonts w:ascii="Times New Roman" w:hAnsi="Times New Roman"/>
          <w:bCs/>
          <w:sz w:val="24"/>
          <w:szCs w:val="24"/>
          <w:lang w:val="ru-RU" w:eastAsia="bg-BG"/>
        </w:rPr>
        <w:t xml:space="preserve"> </w:t>
      </w:r>
      <w:r w:rsidRPr="00E8367B">
        <w:rPr>
          <w:rFonts w:ascii="Times New Roman" w:hAnsi="Times New Roman"/>
          <w:bCs/>
          <w:sz w:val="24"/>
          <w:szCs w:val="24"/>
          <w:lang w:eastAsia="bg-BG"/>
        </w:rPr>
        <w:t xml:space="preserve">≥ p &gt; 0%. Консервационният статус е </w:t>
      </w:r>
      <w:r w:rsidRPr="00E8367B">
        <w:rPr>
          <w:rFonts w:ascii="Times New Roman" w:hAnsi="Times New Roman"/>
          <w:bCs/>
          <w:sz w:val="24"/>
          <w:szCs w:val="24"/>
          <w:lang w:val="en-US" w:eastAsia="bg-BG"/>
        </w:rPr>
        <w:t>B</w:t>
      </w:r>
      <w:r w:rsidRPr="00E8367B">
        <w:rPr>
          <w:rFonts w:ascii="Times New Roman" w:hAnsi="Times New Roman"/>
          <w:bCs/>
          <w:sz w:val="24"/>
          <w:szCs w:val="24"/>
          <w:lang w:eastAsia="bg-BG"/>
        </w:rPr>
        <w:t>, което определя местообитанието като такова с</w:t>
      </w:r>
      <w:r w:rsidRPr="00E8367B">
        <w:rPr>
          <w:rFonts w:ascii="Times New Roman" w:hAnsi="Times New Roman"/>
          <w:bCs/>
          <w:sz w:val="24"/>
          <w:szCs w:val="24"/>
          <w:lang w:val="ru-RU" w:eastAsia="bg-BG"/>
        </w:rPr>
        <w:t xml:space="preserve"> </w:t>
      </w:r>
      <w:r w:rsidRPr="00E8367B">
        <w:rPr>
          <w:rFonts w:ascii="Times New Roman" w:hAnsi="Times New Roman"/>
          <w:bCs/>
          <w:sz w:val="24"/>
          <w:szCs w:val="24"/>
          <w:lang w:eastAsia="bg-BG"/>
        </w:rPr>
        <w:t>добро съхранение. Общата оценка е С.</w:t>
      </w:r>
    </w:p>
    <w:p w:rsidR="009C3542" w:rsidRDefault="009C3542" w:rsidP="00077290">
      <w:pPr>
        <w:spacing w:after="0" w:line="240" w:lineRule="auto"/>
        <w:ind w:firstLine="709"/>
        <w:contextualSpacing/>
        <w:jc w:val="both"/>
        <w:rPr>
          <w:rFonts w:ascii="Times New Roman" w:hAnsi="Times New Roman"/>
          <w:bCs/>
          <w:sz w:val="24"/>
          <w:szCs w:val="24"/>
          <w:lang w:eastAsia="bg-BG"/>
        </w:rPr>
      </w:pPr>
    </w:p>
    <w:p w:rsidR="00E8367B" w:rsidRPr="00077290" w:rsidRDefault="00A805FE" w:rsidP="009C3542">
      <w:pPr>
        <w:spacing w:before="120" w:after="0" w:line="240" w:lineRule="auto"/>
        <w:contextualSpacing/>
        <w:jc w:val="both"/>
        <w:rPr>
          <w:rFonts w:ascii="Times New Roman" w:hAnsi="Times New Roman"/>
          <w:bCs/>
          <w:sz w:val="24"/>
          <w:szCs w:val="24"/>
          <w:lang w:eastAsia="bg-BG"/>
        </w:rPr>
      </w:pPr>
      <w:r>
        <w:rPr>
          <w:rFonts w:ascii="Times New Roman" w:hAnsi="Times New Roman"/>
          <w:b/>
          <w:bCs/>
          <w:sz w:val="24"/>
          <w:szCs w:val="24"/>
          <w:lang w:eastAsia="bg-BG"/>
        </w:rPr>
        <w:t xml:space="preserve">5. </w:t>
      </w:r>
      <w:r w:rsidR="00E8367B" w:rsidRPr="00E8367B">
        <w:rPr>
          <w:rFonts w:ascii="Times New Roman" w:hAnsi="Times New Roman"/>
          <w:b/>
          <w:bCs/>
          <w:sz w:val="24"/>
          <w:szCs w:val="24"/>
          <w:lang w:eastAsia="bg-BG"/>
        </w:rPr>
        <w:t xml:space="preserve">Анализ на наличната информация  </w:t>
      </w:r>
    </w:p>
    <w:p w:rsidR="00E8367B" w:rsidRPr="00E8367B" w:rsidRDefault="00E8367B" w:rsidP="009C3542">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При изработката на настоящия документ е използвана информацията за разпространението и състоянието на местообитанието, предоставена в Информационната система за защитени зони от екологична мрежа Натура 2000, Горската инвентаризация и Докладванията по член 17 от 2013 г. и 2019 г. Необходимо е да се отбележи, че картираните полигони на местообитанието не съвпадат пространствено с подотделите на последната горска инвентаризация. Поради тази причина, показателите на състоянието на местообитанието, налични в горската база данни не може да се използват директно, а само експертно, едновременно с оглед на ортофото изображения и след теренни проучвания. През 2021 година, беше извършено теренно проучване за актуализация на наличната информация на състоянието на местообитанието в зоната. Въз основа на анализ на данните от горската инвентаризация и на ортофото изображения, бяха избрани места за верификация на присъствие на местообитанието, както в полигони, където то вече е регистрирано, така и на потенциално нови места. Местата за верификация представляват кръг с радиус около 10 м. Наред с верификациите за присъствие беше извършена и експертна оценка, по протежение на обследваните полигони, на показатели, които липсват в данните от горската инвентаризация, такива като Количество мъртва дървесина и Наличие на големи/биотопни дървета. </w:t>
      </w:r>
    </w:p>
    <w:p w:rsidR="00E8367B" w:rsidRPr="00E8367B" w:rsidRDefault="00E8367B" w:rsidP="009C3542">
      <w:pPr>
        <w:spacing w:before="120" w:after="0" w:line="240" w:lineRule="auto"/>
        <w:rPr>
          <w:rFonts w:ascii="Times New Roman" w:hAnsi="Times New Roman"/>
          <w:bCs/>
          <w:sz w:val="24"/>
          <w:szCs w:val="24"/>
          <w:lang w:eastAsia="bg-BG"/>
        </w:rPr>
      </w:pPr>
      <w:r w:rsidRPr="00E8367B">
        <w:rPr>
          <w:rFonts w:ascii="Times New Roman" w:hAnsi="Times New Roman"/>
          <w:b/>
          <w:bCs/>
          <w:sz w:val="24"/>
          <w:szCs w:val="24"/>
          <w:lang w:eastAsia="bg-BG"/>
        </w:rPr>
        <w:t>6. Цели за подобряване/поддържане на природозащитното състояние на местообитанието</w:t>
      </w:r>
      <w:r w:rsidR="00A805FE">
        <w:rPr>
          <w:rFonts w:ascii="Times New Roman" w:hAnsi="Times New Roman"/>
          <w:b/>
          <w:bCs/>
          <w:sz w:val="24"/>
          <w:szCs w:val="24"/>
          <w:lang w:eastAsia="bg-BG"/>
        </w:rPr>
        <w:t xml:space="preserve"> </w:t>
      </w:r>
      <w:r w:rsidRPr="00E8367B">
        <w:rPr>
          <w:rFonts w:ascii="Times New Roman" w:hAnsi="Times New Roman"/>
          <w:b/>
          <w:bCs/>
          <w:sz w:val="24"/>
          <w:szCs w:val="24"/>
          <w:lang w:eastAsia="bg-BG"/>
        </w:rPr>
        <w:t>в зоната</w:t>
      </w:r>
    </w:p>
    <w:p w:rsidR="00E8367B" w:rsidRPr="00E8367B" w:rsidRDefault="00E8367B" w:rsidP="00A805FE">
      <w:pPr>
        <w:spacing w:after="0" w:line="240" w:lineRule="auto"/>
        <w:ind w:firstLine="709"/>
        <w:contextualSpacing/>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Специфичните природозащитни цели за защитената зона са формулирани по показатели в приложената таблица. Целевите стойности са съгласно Ръководството за оценка на благоприятно природозащитно състояние за типове природни местообитания и видове в Натура 2000 в България. Не може да се счита, че има подобряване на природозащитното състояние на местообитанието, при увеличаване на стойностите на показателите на структура и функции - важно е те да бъдат в посочения диапазон. </w:t>
      </w:r>
    </w:p>
    <w:p w:rsidR="00E8367B" w:rsidRPr="00E8367B" w:rsidRDefault="00E8367B" w:rsidP="00077290">
      <w:pPr>
        <w:rPr>
          <w:rFonts w:ascii="Times New Roman" w:hAnsi="Times New Roman"/>
          <w:bCs/>
          <w:sz w:val="24"/>
          <w:szCs w:val="24"/>
          <w:lang w:eastAsia="bg-B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244"/>
        <w:gridCol w:w="1944"/>
        <w:gridCol w:w="2235"/>
        <w:gridCol w:w="1935"/>
      </w:tblGrid>
      <w:tr w:rsidR="00E8367B" w:rsidRPr="00A805FE" w:rsidTr="00A805FE">
        <w:trPr>
          <w:tblHeader/>
          <w:jc w:val="center"/>
        </w:trPr>
        <w:tc>
          <w:tcPr>
            <w:tcW w:w="1016" w:type="pct"/>
            <w:shd w:val="clear" w:color="auto" w:fill="DBE5F1" w:themeFill="accent1" w:themeFillTint="33"/>
            <w:vAlign w:val="center"/>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Показател</w:t>
            </w:r>
          </w:p>
        </w:tc>
        <w:tc>
          <w:tcPr>
            <w:tcW w:w="673" w:type="pct"/>
            <w:shd w:val="clear" w:color="auto" w:fill="DBE5F1" w:themeFill="accent1" w:themeFillTint="33"/>
            <w:vAlign w:val="center"/>
          </w:tcPr>
          <w:p w:rsidR="00E8367B" w:rsidRPr="00A805FE" w:rsidRDefault="00E8367B" w:rsidP="0031593F">
            <w:pPr>
              <w:rPr>
                <w:rFonts w:ascii="Times New Roman" w:hAnsi="Times New Roman"/>
                <w:b/>
                <w:bCs/>
                <w:lang w:eastAsia="bg-BG"/>
              </w:rPr>
            </w:pPr>
            <w:r w:rsidRPr="00A805FE">
              <w:rPr>
                <w:rFonts w:ascii="Times New Roman" w:hAnsi="Times New Roman"/>
                <w:b/>
                <w:bCs/>
                <w:lang w:eastAsia="bg-BG"/>
              </w:rPr>
              <w:t>Мерна единица</w:t>
            </w:r>
          </w:p>
        </w:tc>
        <w:tc>
          <w:tcPr>
            <w:tcW w:w="1055" w:type="pct"/>
            <w:shd w:val="clear" w:color="auto" w:fill="DBE5F1" w:themeFill="accent1" w:themeFillTint="33"/>
            <w:vAlign w:val="center"/>
          </w:tcPr>
          <w:p w:rsidR="00E8367B" w:rsidRPr="00A805FE" w:rsidRDefault="00E8367B" w:rsidP="0031593F">
            <w:pPr>
              <w:rPr>
                <w:rFonts w:ascii="Times New Roman" w:hAnsi="Times New Roman"/>
                <w:b/>
                <w:bCs/>
                <w:lang w:eastAsia="bg-BG"/>
              </w:rPr>
            </w:pPr>
            <w:r w:rsidRPr="00A805FE">
              <w:rPr>
                <w:rFonts w:ascii="Times New Roman" w:hAnsi="Times New Roman"/>
                <w:b/>
                <w:bCs/>
                <w:lang w:eastAsia="bg-BG"/>
              </w:rPr>
              <w:t>Целева стойност</w:t>
            </w:r>
          </w:p>
        </w:tc>
        <w:tc>
          <w:tcPr>
            <w:tcW w:w="1209" w:type="pct"/>
            <w:shd w:val="clear" w:color="auto" w:fill="DBE5F1" w:themeFill="accent1" w:themeFillTint="33"/>
            <w:vAlign w:val="center"/>
          </w:tcPr>
          <w:p w:rsidR="00E8367B" w:rsidRPr="00A805FE" w:rsidRDefault="00E8367B" w:rsidP="0031593F">
            <w:pPr>
              <w:rPr>
                <w:rFonts w:ascii="Times New Roman" w:hAnsi="Times New Roman"/>
                <w:b/>
                <w:bCs/>
                <w:lang w:eastAsia="bg-BG"/>
              </w:rPr>
            </w:pPr>
            <w:r w:rsidRPr="00A805FE">
              <w:rPr>
                <w:rFonts w:ascii="Times New Roman" w:hAnsi="Times New Roman"/>
                <w:b/>
                <w:bCs/>
                <w:lang w:eastAsia="bg-BG"/>
              </w:rPr>
              <w:t>Допълнителна информация</w:t>
            </w:r>
          </w:p>
        </w:tc>
        <w:tc>
          <w:tcPr>
            <w:tcW w:w="1048" w:type="pct"/>
            <w:shd w:val="clear" w:color="auto" w:fill="DBE5F1" w:themeFill="accent1" w:themeFillTint="33"/>
          </w:tcPr>
          <w:p w:rsidR="00E8367B" w:rsidRPr="00A805FE" w:rsidRDefault="00E8367B" w:rsidP="0031593F">
            <w:pPr>
              <w:rPr>
                <w:rFonts w:ascii="Times New Roman" w:hAnsi="Times New Roman"/>
                <w:b/>
                <w:bCs/>
                <w:lang w:eastAsia="bg-BG"/>
              </w:rPr>
            </w:pPr>
            <w:r w:rsidRPr="00A805FE">
              <w:rPr>
                <w:rFonts w:ascii="Times New Roman" w:hAnsi="Times New Roman"/>
                <w:b/>
                <w:bCs/>
                <w:lang w:eastAsia="bg-BG"/>
              </w:rPr>
              <w:t>Специфични природозащитни цели за защитената зона</w:t>
            </w:r>
          </w:p>
        </w:tc>
      </w:tr>
      <w:tr w:rsidR="00E8367B" w:rsidRPr="00E8367B" w:rsidTr="00E8367B">
        <w:trPr>
          <w:jc w:val="center"/>
        </w:trPr>
        <w:tc>
          <w:tcPr>
            <w:tcW w:w="1016"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 xml:space="preserve">Площ </w:t>
            </w:r>
          </w:p>
        </w:tc>
        <w:tc>
          <w:tcPr>
            <w:tcW w:w="673"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055"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14</w:t>
            </w:r>
            <w:r w:rsidRPr="00E8367B">
              <w:rPr>
                <w:rFonts w:ascii="Times New Roman" w:hAnsi="Times New Roman"/>
                <w:bCs/>
                <w:lang w:val="en-US" w:eastAsia="bg-BG"/>
              </w:rPr>
              <w:t>.</w:t>
            </w:r>
            <w:r w:rsidRPr="00E8367B">
              <w:rPr>
                <w:rFonts w:ascii="Times New Roman" w:hAnsi="Times New Roman"/>
                <w:bCs/>
                <w:lang w:eastAsia="bg-BG"/>
              </w:rPr>
              <w:t>94 ха</w:t>
            </w:r>
          </w:p>
        </w:tc>
        <w:tc>
          <w:tcPr>
            <w:tcW w:w="1209"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Съгласно проект "Картиране и определяне на природозащитно състояние на природни местообитания и </w:t>
            </w:r>
            <w:r w:rsidRPr="00E8367B">
              <w:rPr>
                <w:rFonts w:ascii="Times New Roman" w:hAnsi="Times New Roman"/>
                <w:bCs/>
                <w:lang w:eastAsia="bg-BG"/>
              </w:rPr>
              <w:lastRenderedPageBreak/>
              <w:t xml:space="preserve">видове - фаза I", от 2013 г., площта на местообитанието в зоната е </w:t>
            </w:r>
            <w:r w:rsidRPr="00E8367B">
              <w:rPr>
                <w:rFonts w:ascii="Times New Roman" w:hAnsi="Times New Roman"/>
                <w:bCs/>
                <w:lang w:val="ru-RU" w:eastAsia="bg-BG"/>
              </w:rPr>
              <w:t>14.94</w:t>
            </w:r>
            <w:r w:rsidRPr="00E8367B">
              <w:rPr>
                <w:rFonts w:ascii="Times New Roman" w:hAnsi="Times New Roman"/>
                <w:bCs/>
                <w:lang w:eastAsia="bg-BG"/>
              </w:rPr>
              <w:t> ха. При теренната работа в зоната през 2021 г., площта на местообитанието се потвърди.</w:t>
            </w:r>
          </w:p>
        </w:tc>
        <w:tc>
          <w:tcPr>
            <w:tcW w:w="1048"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Целта е</w:t>
            </w:r>
            <w:r w:rsidRPr="00E8367B">
              <w:rPr>
                <w:rFonts w:ascii="Times New Roman" w:hAnsi="Times New Roman"/>
                <w:bCs/>
                <w:lang w:val="ru-RU" w:eastAsia="bg-BG"/>
              </w:rPr>
              <w:t xml:space="preserve"> </w:t>
            </w:r>
            <w:r w:rsidRPr="00E8367B">
              <w:rPr>
                <w:rFonts w:ascii="Times New Roman" w:hAnsi="Times New Roman"/>
                <w:bCs/>
                <w:lang w:eastAsia="bg-BG"/>
              </w:rPr>
              <w:t xml:space="preserve">поддържане на площ на местообитанието в защитената зона  поне </w:t>
            </w:r>
            <w:r w:rsidRPr="00E8367B">
              <w:rPr>
                <w:rFonts w:ascii="Times New Roman" w:hAnsi="Times New Roman"/>
                <w:bCs/>
                <w:lang w:val="ru-RU" w:eastAsia="bg-BG"/>
              </w:rPr>
              <w:t>14.94</w:t>
            </w:r>
            <w:r w:rsidRPr="00E8367B">
              <w:rPr>
                <w:rFonts w:ascii="Times New Roman" w:hAnsi="Times New Roman"/>
                <w:bCs/>
                <w:lang w:eastAsia="bg-BG"/>
              </w:rPr>
              <w:t xml:space="preserve"> ха. Междинна цел е </w:t>
            </w:r>
            <w:r w:rsidRPr="00E8367B">
              <w:rPr>
                <w:rFonts w:ascii="Times New Roman" w:hAnsi="Times New Roman"/>
                <w:bCs/>
                <w:lang w:eastAsia="bg-BG"/>
              </w:rPr>
              <w:lastRenderedPageBreak/>
              <w:t>да се разработи и приложи единна бъдеща схема за мониторинг на параметъра до 2025 година.</w:t>
            </w:r>
          </w:p>
          <w:p w:rsidR="00E8367B" w:rsidRPr="00E8367B" w:rsidRDefault="00E8367B" w:rsidP="0031593F">
            <w:pPr>
              <w:rPr>
                <w:rFonts w:ascii="Times New Roman" w:hAnsi="Times New Roman"/>
                <w:bCs/>
                <w:lang w:eastAsia="bg-BG"/>
              </w:rPr>
            </w:pPr>
          </w:p>
        </w:tc>
      </w:tr>
      <w:tr w:rsidR="00E8367B" w:rsidRPr="00E8367B" w:rsidTr="00E8367B">
        <w:trPr>
          <w:jc w:val="center"/>
        </w:trPr>
        <w:tc>
          <w:tcPr>
            <w:tcW w:w="1016"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Пълнота на първия дървесен етаж (средно претеглена)</w:t>
            </w:r>
          </w:p>
        </w:tc>
        <w:tc>
          <w:tcPr>
            <w:tcW w:w="673"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Части от единицата</w:t>
            </w:r>
          </w:p>
        </w:tc>
        <w:tc>
          <w:tcPr>
            <w:tcW w:w="1055"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От 0.6 до 1</w:t>
            </w:r>
          </w:p>
        </w:tc>
        <w:tc>
          <w:tcPr>
            <w:tcW w:w="1209"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Този показател представя степента на насищане с дървета и се изразява се като съотношение на кръговата площ на наличния дървостой към кръговата площ на еталонно (нормално) насаждение. Окончателната стойност на показателя се получава като средно претеглена, според площите на отделните полигони. Стойността на показателя е динамична и пряко зависи от провежданите лесовъдски мероприятия и естествени природни нарушения водещи до отпадане на дървета. </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Според анализа на наличната информация, </w:t>
            </w:r>
            <w:r w:rsidRPr="00E8367B">
              <w:rPr>
                <w:rFonts w:ascii="Times New Roman" w:hAnsi="Times New Roman"/>
                <w:bCs/>
                <w:lang w:eastAsia="bg-BG"/>
              </w:rPr>
              <w:lastRenderedPageBreak/>
              <w:t>съобразно подхода, описан в т. 5 на настоящия документ, средно претеглената пълнота на първия дървесен етаж в полигона на местообитанието е 0.8.</w:t>
            </w:r>
          </w:p>
        </w:tc>
        <w:tc>
          <w:tcPr>
            <w:tcW w:w="1048"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Целта е поддържане на пълнота на първия дървесен етаж (средно претеглена) от 0.6 до 1.</w:t>
            </w:r>
          </w:p>
        </w:tc>
      </w:tr>
      <w:tr w:rsidR="00E8367B" w:rsidRPr="00E8367B" w:rsidTr="00E8367B">
        <w:trPr>
          <w:jc w:val="center"/>
        </w:trPr>
        <w:tc>
          <w:tcPr>
            <w:tcW w:w="1016"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Състав на първия дървесен етаж (средно претеглен)</w:t>
            </w:r>
          </w:p>
        </w:tc>
        <w:tc>
          <w:tcPr>
            <w:tcW w:w="673"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Части от десетицата</w:t>
            </w:r>
          </w:p>
        </w:tc>
        <w:tc>
          <w:tcPr>
            <w:tcW w:w="1055"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rPr>
              <w:t>От 6 до 10 за сребролистната липа (</w:t>
            </w:r>
            <w:r w:rsidRPr="00E8367B">
              <w:rPr>
                <w:rFonts w:ascii="Times New Roman" w:hAnsi="Times New Roman"/>
                <w:i/>
                <w:iCs/>
              </w:rPr>
              <w:t>Tilia tomentosa</w:t>
            </w:r>
            <w:r w:rsidRPr="00E8367B">
              <w:rPr>
                <w:rFonts w:ascii="Times New Roman" w:hAnsi="Times New Roman"/>
              </w:rPr>
              <w:t>)</w:t>
            </w:r>
          </w:p>
        </w:tc>
        <w:tc>
          <w:tcPr>
            <w:tcW w:w="1209"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Съставът на първия етаж изразява относителното участие на съответните дървесни видове в насаждението, като окончателната стойност на показателя се получава като средно прeтеглена, според площите на отделните полигони.</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средно пр</w:t>
            </w:r>
            <w:r w:rsidRPr="00E8367B">
              <w:rPr>
                <w:rFonts w:ascii="Times New Roman" w:hAnsi="Times New Roman"/>
                <w:bCs/>
                <w:lang w:val="en-US" w:eastAsia="bg-BG"/>
              </w:rPr>
              <w:t>e</w:t>
            </w:r>
            <w:r w:rsidRPr="00E8367B">
              <w:rPr>
                <w:rFonts w:ascii="Times New Roman" w:hAnsi="Times New Roman"/>
                <w:bCs/>
                <w:lang w:eastAsia="bg-BG"/>
              </w:rPr>
              <w:t xml:space="preserve">тегленото участие на сребролистна липа в състава на първия дървесен етаж е </w:t>
            </w:r>
            <w:r w:rsidRPr="00E8367B">
              <w:rPr>
                <w:rFonts w:ascii="Times New Roman" w:hAnsi="Times New Roman"/>
                <w:bCs/>
                <w:lang w:val="ru-RU" w:eastAsia="bg-BG"/>
              </w:rPr>
              <w:t>8</w:t>
            </w:r>
            <w:r w:rsidRPr="00E8367B">
              <w:rPr>
                <w:rFonts w:ascii="Times New Roman" w:hAnsi="Times New Roman"/>
                <w:bCs/>
                <w:lang w:eastAsia="bg-BG"/>
              </w:rPr>
              <w:t xml:space="preserve"> десети.</w:t>
            </w:r>
          </w:p>
        </w:tc>
        <w:tc>
          <w:tcPr>
            <w:tcW w:w="1048"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поддържане на състав на първия дървесен етаж (средно претеглен) от 6 до 10 за сребролистната липа.</w:t>
            </w:r>
          </w:p>
        </w:tc>
      </w:tr>
      <w:tr w:rsidR="00E8367B" w:rsidRPr="00E8367B" w:rsidTr="00E8367B">
        <w:trPr>
          <w:jc w:val="center"/>
        </w:trPr>
        <w:tc>
          <w:tcPr>
            <w:tcW w:w="1016"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 xml:space="preserve">Структура и функции. Средна възраст на първия дървесен етаж (средно </w:t>
            </w:r>
            <w:r w:rsidRPr="00EC3027">
              <w:rPr>
                <w:rFonts w:ascii="Times New Roman" w:hAnsi="Times New Roman"/>
                <w:b/>
                <w:bCs/>
                <w:lang w:eastAsia="bg-BG"/>
              </w:rPr>
              <w:lastRenderedPageBreak/>
              <w:t>претеглена)</w:t>
            </w:r>
          </w:p>
        </w:tc>
        <w:tc>
          <w:tcPr>
            <w:tcW w:w="673"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Години</w:t>
            </w:r>
          </w:p>
          <w:p w:rsidR="00E8367B" w:rsidRPr="00E8367B" w:rsidRDefault="00E8367B" w:rsidP="0031593F">
            <w:pPr>
              <w:rPr>
                <w:rFonts w:ascii="Times New Roman" w:hAnsi="Times New Roman"/>
                <w:bCs/>
                <w:lang w:eastAsia="bg-BG"/>
              </w:rPr>
            </w:pPr>
          </w:p>
        </w:tc>
        <w:tc>
          <w:tcPr>
            <w:tcW w:w="1055"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Над 60, не намалява, а се</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увеличава</w:t>
            </w:r>
          </w:p>
          <w:p w:rsidR="00E8367B" w:rsidRPr="00E8367B" w:rsidRDefault="00E8367B" w:rsidP="0031593F">
            <w:pPr>
              <w:rPr>
                <w:rFonts w:ascii="Times New Roman" w:hAnsi="Times New Roman"/>
                <w:bCs/>
                <w:lang w:eastAsia="bg-BG"/>
              </w:rPr>
            </w:pPr>
          </w:p>
        </w:tc>
        <w:tc>
          <w:tcPr>
            <w:tcW w:w="1209"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Стойността на показателя се получава като средно претеглена, според площите на </w:t>
            </w:r>
            <w:r w:rsidRPr="00E8367B">
              <w:rPr>
                <w:rFonts w:ascii="Times New Roman" w:hAnsi="Times New Roman"/>
                <w:bCs/>
                <w:lang w:eastAsia="bg-BG"/>
              </w:rPr>
              <w:lastRenderedPageBreak/>
              <w:t>отделните полигони.</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Според анализа на наличната информация, съобразно подхода, описан в т. 5 на настоящия документ, възрастта на първия дървесен етаж е </w:t>
            </w:r>
            <w:r w:rsidRPr="00E8367B">
              <w:rPr>
                <w:rFonts w:ascii="Times New Roman" w:hAnsi="Times New Roman"/>
                <w:bCs/>
                <w:lang w:val="ru-RU" w:eastAsia="bg-BG"/>
              </w:rPr>
              <w:t>65</w:t>
            </w:r>
            <w:r w:rsidRPr="00E8367B">
              <w:rPr>
                <w:rFonts w:ascii="Times New Roman" w:hAnsi="Times New Roman"/>
                <w:bCs/>
                <w:lang w:eastAsia="bg-BG"/>
              </w:rPr>
              <w:t xml:space="preserve"> години. </w:t>
            </w:r>
          </w:p>
        </w:tc>
        <w:tc>
          <w:tcPr>
            <w:tcW w:w="1048"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 xml:space="preserve">Целта е поддържане на възрастта (средно претеглена) поне </w:t>
            </w:r>
            <w:r w:rsidRPr="00E8367B">
              <w:rPr>
                <w:rFonts w:ascii="Times New Roman" w:hAnsi="Times New Roman"/>
                <w:bCs/>
                <w:lang w:val="ru-RU" w:eastAsia="bg-BG"/>
              </w:rPr>
              <w:t>65</w:t>
            </w:r>
            <w:r w:rsidRPr="00E8367B">
              <w:rPr>
                <w:rFonts w:ascii="Times New Roman" w:hAnsi="Times New Roman"/>
                <w:bCs/>
                <w:lang w:eastAsia="bg-BG"/>
              </w:rPr>
              <w:t xml:space="preserve"> години.</w:t>
            </w:r>
          </w:p>
        </w:tc>
      </w:tr>
      <w:tr w:rsidR="00E8367B" w:rsidRPr="00E8367B" w:rsidTr="00E8367B">
        <w:trPr>
          <w:jc w:val="center"/>
        </w:trPr>
        <w:tc>
          <w:tcPr>
            <w:tcW w:w="1016"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Площ на горите във фаза на старост</w:t>
            </w:r>
          </w:p>
        </w:tc>
        <w:tc>
          <w:tcPr>
            <w:tcW w:w="673"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055"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10% от общата площ на местообитанието</w:t>
            </w:r>
            <w:r w:rsidRPr="00E8367B">
              <w:rPr>
                <w:rFonts w:ascii="Times New Roman" w:hAnsi="Times New Roman"/>
                <w:bCs/>
                <w:highlight w:val="yellow"/>
                <w:lang w:eastAsia="bg-BG"/>
              </w:rPr>
              <w:t xml:space="preserve"> </w:t>
            </w:r>
          </w:p>
        </w:tc>
        <w:tc>
          <w:tcPr>
            <w:tcW w:w="1209"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Съгласно Наредба № 8 от 05.08.2011 г. за сечите в горите, обновена от 29.09.2020 г., „Гора във фаза на старост" е гора в последната фаза на естествена динамика на горското насаждение, без значими интервенции - не е съществено повлияна от едроплощни природни нарушения и антропогенни въздействия, като по този начин притежава екосистемни характеристики на предклимаксно съобщество.</w:t>
            </w:r>
            <w:r w:rsidRPr="00E8367B">
              <w:rPr>
                <w:rFonts w:ascii="Times New Roman" w:hAnsi="Times New Roman"/>
                <w:sz w:val="24"/>
                <w:szCs w:val="24"/>
              </w:rPr>
              <w:t xml:space="preserve"> </w:t>
            </w:r>
            <w:r w:rsidRPr="00E8367B">
              <w:rPr>
                <w:rFonts w:ascii="Times New Roman" w:hAnsi="Times New Roman"/>
                <w:bCs/>
                <w:lang w:eastAsia="bg-BG"/>
              </w:rPr>
              <w:t>В зоната липсват гори във фаза на старост от това местообитание.</w:t>
            </w:r>
          </w:p>
        </w:tc>
        <w:tc>
          <w:tcPr>
            <w:tcW w:w="1048"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Целта е подобряване на състоянието по този показател, така че поне 10% от общата площ на местообитанието в зоната да бъде обособена като гори във фаза на старост до 2025 година. </w:t>
            </w:r>
          </w:p>
        </w:tc>
      </w:tr>
      <w:tr w:rsidR="00E8367B" w:rsidRPr="00E8367B" w:rsidTr="00E8367B">
        <w:trPr>
          <w:jc w:val="center"/>
        </w:trPr>
        <w:tc>
          <w:tcPr>
            <w:tcW w:w="1016"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 xml:space="preserve">Структура и функции. </w:t>
            </w:r>
            <w:r w:rsidRPr="00EC3027">
              <w:rPr>
                <w:rFonts w:ascii="Times New Roman" w:hAnsi="Times New Roman"/>
                <w:b/>
                <w:bCs/>
                <w:lang w:eastAsia="bg-BG"/>
              </w:rPr>
              <w:lastRenderedPageBreak/>
              <w:t xml:space="preserve">Количество мъртва дървесина   </w:t>
            </w:r>
          </w:p>
        </w:tc>
        <w:tc>
          <w:tcPr>
            <w:tcW w:w="673"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 xml:space="preserve">% или </w:t>
            </w:r>
            <w:r w:rsidRPr="00E8367B">
              <w:rPr>
                <w:rFonts w:ascii="Times New Roman" w:hAnsi="Times New Roman"/>
                <w:bCs/>
                <w:lang w:eastAsia="bg-BG"/>
              </w:rPr>
              <w:lastRenderedPageBreak/>
              <w:t>м</w:t>
            </w:r>
            <w:r w:rsidRPr="00E8367B">
              <w:rPr>
                <w:rFonts w:ascii="Times New Roman" w:hAnsi="Times New Roman"/>
                <w:bCs/>
                <w:vertAlign w:val="superscript"/>
                <w:lang w:eastAsia="bg-BG"/>
              </w:rPr>
              <w:t>3</w:t>
            </w:r>
            <w:r w:rsidRPr="00E8367B">
              <w:rPr>
                <w:rFonts w:ascii="Times New Roman" w:hAnsi="Times New Roman"/>
                <w:bCs/>
                <w:lang w:eastAsia="bg-BG"/>
              </w:rPr>
              <w:t>/ха</w:t>
            </w:r>
          </w:p>
        </w:tc>
        <w:tc>
          <w:tcPr>
            <w:tcW w:w="1055"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 xml:space="preserve">Поне 60% от площта на </w:t>
            </w:r>
            <w:r w:rsidRPr="00E8367B">
              <w:rPr>
                <w:rFonts w:ascii="Times New Roman" w:hAnsi="Times New Roman"/>
                <w:bCs/>
                <w:lang w:eastAsia="bg-BG"/>
              </w:rPr>
              <w:lastRenderedPageBreak/>
              <w:t>местообитанието се характеризира с общо количество мъртва дървесина от поне 10% от запаса, но не по-малко от 20 м</w:t>
            </w:r>
            <w:r w:rsidRPr="00E8367B">
              <w:rPr>
                <w:rFonts w:ascii="Times New Roman" w:hAnsi="Times New Roman"/>
                <w:bCs/>
                <w:vertAlign w:val="superscript"/>
                <w:lang w:eastAsia="bg-BG"/>
              </w:rPr>
              <w:t>3</w:t>
            </w:r>
            <w:r w:rsidRPr="00E8367B">
              <w:rPr>
                <w:rFonts w:ascii="Times New Roman" w:hAnsi="Times New Roman"/>
                <w:bCs/>
                <w:lang w:eastAsia="bg-BG"/>
              </w:rPr>
              <w:t xml:space="preserve">/ха, също както и с не по-малко от 10 стоящи мъртви дървета </w:t>
            </w:r>
          </w:p>
        </w:tc>
        <w:tc>
          <w:tcPr>
            <w:tcW w:w="1209"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 xml:space="preserve">Мъртвата дървесина може да бъде стояща </w:t>
            </w:r>
            <w:r w:rsidRPr="00E8367B">
              <w:rPr>
                <w:rFonts w:ascii="Times New Roman" w:hAnsi="Times New Roman"/>
                <w:bCs/>
                <w:lang w:eastAsia="bg-BG"/>
              </w:rPr>
              <w:lastRenderedPageBreak/>
              <w:t xml:space="preserve">или лежаща. Минималният диаметър на лежащата мъртва дървесина е 8 cм, а на стоящата – 16 см. </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количеството мъртва дървесина отговаря на целевата стойност.</w:t>
            </w:r>
          </w:p>
        </w:tc>
        <w:tc>
          <w:tcPr>
            <w:tcW w:w="1048" w:type="pct"/>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 xml:space="preserve">Целта е поддържане на </w:t>
            </w:r>
            <w:r w:rsidRPr="00E8367B">
              <w:rPr>
                <w:rFonts w:ascii="Times New Roman" w:hAnsi="Times New Roman"/>
                <w:bCs/>
                <w:lang w:eastAsia="bg-BG"/>
              </w:rPr>
              <w:lastRenderedPageBreak/>
              <w:t>състоянието по този показател.</w:t>
            </w:r>
          </w:p>
        </w:tc>
      </w:tr>
      <w:tr w:rsidR="00E8367B" w:rsidRPr="00E8367B" w:rsidTr="00E8367B">
        <w:trPr>
          <w:jc w:val="center"/>
        </w:trPr>
        <w:tc>
          <w:tcPr>
            <w:tcW w:w="1016"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Наличие на големи/биотопни дървета</w:t>
            </w:r>
          </w:p>
        </w:tc>
        <w:tc>
          <w:tcPr>
            <w:tcW w:w="673"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Брой на ха</w:t>
            </w:r>
          </w:p>
        </w:tc>
        <w:tc>
          <w:tcPr>
            <w:tcW w:w="1055"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Поне 60% от площта на местообитанието се характеризира с наличието на най-малко 10 големи/ биотопни дървета на ха </w:t>
            </w:r>
          </w:p>
        </w:tc>
        <w:tc>
          <w:tcPr>
            <w:tcW w:w="1209"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Най-подходящо е биотопните дървета да са разположени на групи, а не като единични дървета. </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броят на биотопните дървета отговаря на целевата стойност.</w:t>
            </w:r>
          </w:p>
        </w:tc>
        <w:tc>
          <w:tcPr>
            <w:tcW w:w="1048" w:type="pct"/>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поддържане на състоянието по този показател.</w:t>
            </w:r>
          </w:p>
        </w:tc>
      </w:tr>
    </w:tbl>
    <w:p w:rsidR="00E8367B" w:rsidRPr="00E8367B" w:rsidRDefault="00E8367B" w:rsidP="00077290">
      <w:pPr>
        <w:rPr>
          <w:rFonts w:ascii="Times New Roman" w:hAnsi="Times New Roman"/>
          <w:bCs/>
          <w:sz w:val="24"/>
          <w:szCs w:val="24"/>
          <w:lang w:eastAsia="bg-BG"/>
        </w:rPr>
      </w:pPr>
    </w:p>
    <w:p w:rsidR="00E8367B" w:rsidRPr="00E8367B" w:rsidRDefault="00E8367B" w:rsidP="00077290">
      <w:pPr>
        <w:rPr>
          <w:rFonts w:ascii="Times New Roman" w:hAnsi="Times New Roman"/>
          <w:b/>
          <w:bCs/>
          <w:sz w:val="24"/>
          <w:szCs w:val="24"/>
          <w:lang w:eastAsia="bg-BG"/>
        </w:rPr>
      </w:pPr>
      <w:r w:rsidRPr="00E8367B">
        <w:rPr>
          <w:rFonts w:ascii="Times New Roman" w:hAnsi="Times New Roman"/>
          <w:b/>
          <w:bCs/>
          <w:sz w:val="24"/>
          <w:szCs w:val="24"/>
          <w:lang w:eastAsia="bg-BG"/>
        </w:rPr>
        <w:t>7. Необходимост от актуализация на СФ на защитената зона</w:t>
      </w:r>
    </w:p>
    <w:p w:rsidR="00E8367B" w:rsidRPr="00E8367B" w:rsidRDefault="00E8367B" w:rsidP="00077290">
      <w:pPr>
        <w:rPr>
          <w:rFonts w:ascii="Times New Roman" w:hAnsi="Times New Roman"/>
          <w:bCs/>
          <w:sz w:val="24"/>
          <w:szCs w:val="24"/>
          <w:lang w:eastAsia="bg-BG"/>
        </w:rPr>
      </w:pPr>
      <w:r w:rsidRPr="00E8367B">
        <w:rPr>
          <w:rFonts w:ascii="Times New Roman" w:hAnsi="Times New Roman"/>
          <w:bCs/>
          <w:sz w:val="24"/>
          <w:szCs w:val="24"/>
          <w:lang w:eastAsia="bg-BG"/>
        </w:rPr>
        <w:t>Няма идентифицирани причини, за да се предложи промяна на стандартния формул</w:t>
      </w:r>
      <w:r w:rsidR="009C3542">
        <w:rPr>
          <w:rFonts w:ascii="Times New Roman" w:hAnsi="Times New Roman"/>
          <w:bCs/>
          <w:sz w:val="24"/>
          <w:szCs w:val="24"/>
          <w:lang w:eastAsia="bg-BG"/>
        </w:rPr>
        <w:t>яр на местообитанието в зоната.</w:t>
      </w:r>
    </w:p>
    <w:p w:rsidR="00E8367B" w:rsidRPr="00E8367B" w:rsidRDefault="00E8367B" w:rsidP="00EC3027">
      <w:pPr>
        <w:spacing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8. Използвана литература</w:t>
      </w:r>
    </w:p>
    <w:p w:rsidR="00E8367B" w:rsidRPr="00E8367B" w:rsidRDefault="00E8367B" w:rsidP="009C3542">
      <w:pPr>
        <w:spacing w:after="0" w:line="240" w:lineRule="auto"/>
        <w:ind w:left="709" w:hanging="709"/>
        <w:rPr>
          <w:rFonts w:ascii="Times New Roman" w:hAnsi="Times New Roman"/>
          <w:bCs/>
          <w:sz w:val="24"/>
          <w:szCs w:val="24"/>
          <w:lang w:eastAsia="bg-BG"/>
        </w:rPr>
      </w:pPr>
      <w:r w:rsidRPr="00E8367B">
        <w:rPr>
          <w:rFonts w:ascii="Times New Roman" w:hAnsi="Times New Roman"/>
          <w:bCs/>
          <w:sz w:val="24"/>
          <w:szCs w:val="24"/>
          <w:lang w:eastAsia="bg-BG"/>
        </w:rPr>
        <w:t>Бисерков</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В</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(гл</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ред</w:t>
      </w:r>
      <w:r w:rsidR="009C3542">
        <w:rPr>
          <w:rFonts w:ascii="Times New Roman" w:hAnsi="Times New Roman"/>
          <w:bCs/>
          <w:sz w:val="24"/>
          <w:szCs w:val="24"/>
          <w:lang w:eastAsia="bg-BG"/>
        </w:rPr>
        <w:t>.</w:t>
      </w:r>
      <w:r w:rsidRPr="00E8367B">
        <w:rPr>
          <w:rFonts w:ascii="Times New Roman" w:hAnsi="Times New Roman"/>
          <w:bCs/>
          <w:sz w:val="24"/>
          <w:szCs w:val="24"/>
          <w:lang w:eastAsia="bg-BG"/>
        </w:rPr>
        <w:t xml:space="preserve">). Червена книга на Република България, Том III - Природни местообитания. </w:t>
      </w:r>
      <w:hyperlink r:id="rId32" w:history="1">
        <w:r w:rsidRPr="00E8367B">
          <w:rPr>
            <w:rFonts w:ascii="Times New Roman" w:hAnsi="Times New Roman"/>
            <w:bCs/>
            <w:sz w:val="24"/>
            <w:szCs w:val="24"/>
            <w:u w:val="single"/>
            <w:lang w:eastAsia="bg-BG"/>
          </w:rPr>
          <w:t>http://e-ecodb.bas.bg/rdb/bg/vol3/</w:t>
        </w:r>
      </w:hyperlink>
      <w:r w:rsidRPr="00E8367B">
        <w:rPr>
          <w:rFonts w:ascii="Times New Roman" w:hAnsi="Times New Roman"/>
          <w:bCs/>
          <w:sz w:val="24"/>
          <w:szCs w:val="24"/>
          <w:lang w:eastAsia="bg-BG"/>
        </w:rPr>
        <w:t>. Последно посетен на 11.10.2021 г.</w:t>
      </w:r>
    </w:p>
    <w:p w:rsidR="00E8367B" w:rsidRPr="00E8367B" w:rsidRDefault="00E8367B" w:rsidP="009C3542">
      <w:pPr>
        <w:spacing w:after="0" w:line="240" w:lineRule="auto"/>
        <w:ind w:left="709" w:hanging="709"/>
        <w:rPr>
          <w:rFonts w:ascii="Times New Roman" w:hAnsi="Times New Roman"/>
          <w:bCs/>
          <w:sz w:val="24"/>
          <w:szCs w:val="24"/>
          <w:lang w:eastAsia="bg-BG"/>
        </w:rPr>
      </w:pPr>
      <w:r w:rsidRPr="00E8367B">
        <w:rPr>
          <w:rFonts w:ascii="Times New Roman" w:hAnsi="Times New Roman"/>
          <w:bCs/>
          <w:sz w:val="24"/>
          <w:szCs w:val="24"/>
          <w:lang w:eastAsia="bg-BG"/>
        </w:rPr>
        <w:lastRenderedPageBreak/>
        <w:t xml:space="preserve">Министерство на околната среда и водите (МОСВ). Информационна система за защитени зони от екологична мрежа Натура 2000. </w:t>
      </w:r>
      <w:hyperlink r:id="rId33" w:history="1">
        <w:r w:rsidRPr="00E8367B">
          <w:rPr>
            <w:rFonts w:ascii="Times New Roman" w:hAnsi="Times New Roman"/>
            <w:bCs/>
            <w:color w:val="0000FF"/>
            <w:sz w:val="24"/>
            <w:szCs w:val="24"/>
            <w:u w:val="single"/>
            <w:lang w:eastAsia="bg-BG"/>
          </w:rPr>
          <w:t>http://natura2000.moew.government.bg/Home/Natura2000ProtectedSites</w:t>
        </w:r>
      </w:hyperlink>
      <w:r w:rsidRPr="00E8367B">
        <w:rPr>
          <w:rFonts w:ascii="Times New Roman" w:hAnsi="Times New Roman"/>
          <w:bCs/>
          <w:sz w:val="24"/>
          <w:szCs w:val="24"/>
          <w:lang w:eastAsia="bg-BG"/>
        </w:rPr>
        <w:t xml:space="preserve">. Последно посетен на 29.10.2021 г. </w:t>
      </w:r>
    </w:p>
    <w:p w:rsidR="00E8367B" w:rsidRPr="00E8367B" w:rsidRDefault="00E8367B" w:rsidP="009C3542">
      <w:pPr>
        <w:spacing w:after="0" w:line="240" w:lineRule="auto"/>
        <w:ind w:left="709" w:hanging="709"/>
        <w:rPr>
          <w:rFonts w:ascii="Times New Roman" w:hAnsi="Times New Roman"/>
          <w:bCs/>
          <w:sz w:val="24"/>
          <w:szCs w:val="24"/>
          <w:lang w:eastAsia="bg-BG"/>
        </w:rPr>
      </w:pPr>
      <w:r w:rsidRPr="00E8367B">
        <w:rPr>
          <w:rFonts w:ascii="Times New Roman" w:hAnsi="Times New Roman"/>
          <w:bCs/>
          <w:sz w:val="24"/>
          <w:szCs w:val="24"/>
          <w:lang w:eastAsia="bg-BG"/>
        </w:rPr>
        <w:t xml:space="preserve">Изпълнителна агенция по горите (ИАГ). Лесоустройствени проекти.  </w:t>
      </w:r>
      <w:hyperlink r:id="rId34" w:history="1">
        <w:r w:rsidRPr="00E8367B">
          <w:rPr>
            <w:rFonts w:ascii="Times New Roman" w:hAnsi="Times New Roman"/>
            <w:bCs/>
            <w:color w:val="0000FF"/>
            <w:sz w:val="24"/>
            <w:szCs w:val="24"/>
            <w:u w:val="single"/>
            <w:lang w:eastAsia="bg-BG"/>
          </w:rPr>
          <w:t>http://www.procurement.iag.bg:8080/cgi-bin/lup.cgi</w:t>
        </w:r>
      </w:hyperlink>
      <w:r w:rsidRPr="00E8367B">
        <w:rPr>
          <w:rFonts w:ascii="Times New Roman" w:hAnsi="Times New Roman"/>
          <w:bCs/>
          <w:sz w:val="24"/>
          <w:szCs w:val="24"/>
          <w:lang w:eastAsia="bg-BG"/>
        </w:rPr>
        <w:t>. Последно посетен на 29.10.2021 г.</w:t>
      </w:r>
    </w:p>
    <w:p w:rsidR="00E8367B" w:rsidRPr="00E8367B" w:rsidRDefault="00E8367B" w:rsidP="009C3542">
      <w:pPr>
        <w:spacing w:after="0" w:line="240" w:lineRule="auto"/>
        <w:ind w:left="709" w:hanging="709"/>
        <w:rPr>
          <w:rFonts w:ascii="Times New Roman" w:hAnsi="Times New Roman"/>
          <w:bCs/>
          <w:sz w:val="24"/>
          <w:szCs w:val="24"/>
          <w:lang w:eastAsia="bg-BG"/>
        </w:rPr>
      </w:pPr>
      <w:r w:rsidRPr="00E8367B">
        <w:rPr>
          <w:rFonts w:ascii="Times New Roman" w:hAnsi="Times New Roman"/>
          <w:bCs/>
          <w:sz w:val="24"/>
          <w:szCs w:val="24"/>
          <w:lang w:eastAsia="bg-BG"/>
        </w:rPr>
        <w:t>Зингстра</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Х</w:t>
      </w:r>
      <w:r w:rsidR="00A805FE">
        <w:rPr>
          <w:rFonts w:ascii="Times New Roman" w:hAnsi="Times New Roman"/>
          <w:bCs/>
          <w:sz w:val="24"/>
          <w:szCs w:val="24"/>
          <w:lang w:eastAsia="bg-BG"/>
        </w:rPr>
        <w:t>.</w:t>
      </w:r>
      <w:r w:rsidRPr="00E8367B">
        <w:rPr>
          <w:rFonts w:ascii="Times New Roman" w:hAnsi="Times New Roman"/>
          <w:bCs/>
          <w:sz w:val="24"/>
          <w:szCs w:val="24"/>
          <w:lang w:eastAsia="bg-BG"/>
        </w:rPr>
        <w:t>, А</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Ковачев, К</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Китнаес, Р</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Цонев, Д</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Димова, П</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Цветков (ред.) 2009.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630 стр.</w:t>
      </w:r>
    </w:p>
    <w:p w:rsidR="00E8367B" w:rsidRPr="00E8367B" w:rsidRDefault="00E8367B" w:rsidP="009C3542">
      <w:pPr>
        <w:spacing w:after="0" w:line="240" w:lineRule="auto"/>
        <w:ind w:left="709" w:hanging="709"/>
        <w:rPr>
          <w:rFonts w:ascii="Times New Roman" w:hAnsi="Times New Roman"/>
          <w:bCs/>
          <w:sz w:val="24"/>
          <w:szCs w:val="24"/>
          <w:lang w:eastAsia="bg-BG"/>
        </w:rPr>
      </w:pPr>
      <w:r w:rsidRPr="00E8367B">
        <w:rPr>
          <w:rFonts w:ascii="Times New Roman" w:hAnsi="Times New Roman"/>
          <w:bCs/>
          <w:sz w:val="24"/>
          <w:szCs w:val="24"/>
          <w:lang w:eastAsia="bg-BG"/>
        </w:rPr>
        <w:t xml:space="preserve">European commission. The State of Nature in the EU – Article 17 reporting. </w:t>
      </w:r>
      <w:hyperlink r:id="rId35" w:history="1">
        <w:r w:rsidRPr="00E8367B">
          <w:rPr>
            <w:rFonts w:ascii="Times New Roman" w:hAnsi="Times New Roman"/>
            <w:bCs/>
            <w:color w:val="0000FF"/>
            <w:sz w:val="24"/>
            <w:szCs w:val="24"/>
            <w:u w:val="single"/>
            <w:lang w:eastAsia="bg-BG"/>
          </w:rPr>
          <w:t>https://ec.europa.eu/environment/nature/knowledge/rep_habitats/index_en.htm</w:t>
        </w:r>
      </w:hyperlink>
      <w:r w:rsidRPr="00E8367B">
        <w:rPr>
          <w:rFonts w:ascii="Times New Roman" w:hAnsi="Times New Roman"/>
          <w:bCs/>
          <w:sz w:val="24"/>
          <w:szCs w:val="24"/>
          <w:lang w:eastAsia="bg-BG"/>
        </w:rPr>
        <w:t xml:space="preserve">. Last visited on 18.09.2021. </w:t>
      </w:r>
    </w:p>
    <w:p w:rsidR="00E8367B" w:rsidRDefault="00E8367B" w:rsidP="00077290">
      <w:pPr>
        <w:rPr>
          <w:rFonts w:ascii="Times New Roman" w:hAnsi="Times New Roman"/>
          <w:bCs/>
          <w:i/>
          <w:sz w:val="24"/>
          <w:szCs w:val="24"/>
          <w:lang w:eastAsia="bg-BG"/>
        </w:rPr>
      </w:pPr>
    </w:p>
    <w:p w:rsidR="00E8367B" w:rsidRPr="00E8367B" w:rsidRDefault="00E8367B" w:rsidP="00077290">
      <w:pPr>
        <w:rPr>
          <w:rFonts w:ascii="Times New Roman" w:hAnsi="Times New Roman"/>
          <w:bCs/>
          <w:sz w:val="24"/>
          <w:szCs w:val="24"/>
          <w:lang w:eastAsia="bg-BG"/>
        </w:rPr>
      </w:pPr>
      <w:r w:rsidRPr="00E8367B">
        <w:rPr>
          <w:rFonts w:ascii="Times New Roman" w:hAnsi="Times New Roman"/>
          <w:bCs/>
          <w:i/>
          <w:sz w:val="24"/>
          <w:szCs w:val="24"/>
          <w:lang w:eastAsia="bg-BG"/>
        </w:rPr>
        <w:t>Автори</w:t>
      </w:r>
      <w:r>
        <w:rPr>
          <w:rFonts w:ascii="Times New Roman" w:hAnsi="Times New Roman"/>
          <w:bCs/>
          <w:sz w:val="24"/>
          <w:szCs w:val="24"/>
          <w:lang w:eastAsia="bg-BG"/>
        </w:rPr>
        <w:t>: Цветан Златанов, Георги Хинков, Георги Гогушев, Магдалена Златанова</w:t>
      </w:r>
    </w:p>
    <w:p w:rsidR="00E8367B" w:rsidRPr="00E8367B" w:rsidRDefault="00E8367B">
      <w:pPr>
        <w:rPr>
          <w:rFonts w:ascii="Times New Roman" w:hAnsi="Times New Roman"/>
          <w:b/>
          <w:color w:val="1F497D" w:themeColor="text2"/>
          <w:sz w:val="28"/>
          <w:szCs w:val="28"/>
        </w:rPr>
      </w:pPr>
    </w:p>
    <w:p w:rsidR="00E8367B" w:rsidRDefault="00E8367B">
      <w:pPr>
        <w:rPr>
          <w:rFonts w:ascii="Times New Roman" w:hAnsi="Times New Roman"/>
          <w:b/>
          <w:color w:val="1F497D" w:themeColor="text2"/>
          <w:sz w:val="28"/>
          <w:szCs w:val="28"/>
          <w:u w:val="single"/>
        </w:rPr>
      </w:pPr>
    </w:p>
    <w:p w:rsidR="0070678B" w:rsidRPr="0070678B" w:rsidRDefault="0070678B" w:rsidP="00EC3027">
      <w:pPr>
        <w:outlineLvl w:val="0"/>
        <w:rPr>
          <w:rFonts w:ascii="Times New Roman" w:hAnsi="Times New Roman"/>
          <w:b/>
          <w:color w:val="1F497D" w:themeColor="text2"/>
          <w:sz w:val="28"/>
          <w:szCs w:val="28"/>
          <w:u w:val="single"/>
        </w:rPr>
      </w:pPr>
      <w:bookmarkStart w:id="11" w:name="_Toc98838531"/>
      <w:r w:rsidRPr="0070678B">
        <w:rPr>
          <w:rFonts w:ascii="Times New Roman" w:hAnsi="Times New Roman"/>
          <w:b/>
          <w:color w:val="1F497D" w:themeColor="text2"/>
          <w:sz w:val="28"/>
          <w:szCs w:val="28"/>
          <w:u w:val="single"/>
        </w:rPr>
        <w:t>Растения</w:t>
      </w:r>
      <w:bookmarkEnd w:id="11"/>
    </w:p>
    <w:p w:rsidR="0070678B" w:rsidRDefault="00D77A67" w:rsidP="00EC3027">
      <w:pPr>
        <w:outlineLvl w:val="1"/>
        <w:rPr>
          <w:rFonts w:ascii="Times New Roman" w:hAnsi="Times New Roman"/>
          <w:i/>
          <w:color w:val="1F497D" w:themeColor="text2"/>
          <w:sz w:val="28"/>
          <w:szCs w:val="28"/>
        </w:rPr>
      </w:pPr>
      <w:bookmarkStart w:id="12" w:name="_Toc98838532"/>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1516 </w:t>
      </w:r>
      <w:r w:rsidR="0070678B" w:rsidRPr="00D77A67">
        <w:rPr>
          <w:rFonts w:ascii="Times New Roman" w:hAnsi="Times New Roman"/>
          <w:i/>
          <w:color w:val="1F497D" w:themeColor="text2"/>
          <w:sz w:val="28"/>
          <w:szCs w:val="28"/>
        </w:rPr>
        <w:t>Aldrovanda vesiculosa</w:t>
      </w:r>
      <w:bookmarkEnd w:id="12"/>
    </w:p>
    <w:p w:rsidR="00EC3027" w:rsidRPr="00EC3027" w:rsidRDefault="00EC3027" w:rsidP="00EC3027">
      <w:pPr>
        <w:spacing w:after="0" w:line="259" w:lineRule="auto"/>
        <w:rPr>
          <w:rFonts w:ascii="Times New Roman" w:eastAsia="Calibri" w:hAnsi="Times New Roman"/>
          <w:noProof/>
          <w:sz w:val="24"/>
          <w:szCs w:val="24"/>
        </w:rPr>
      </w:pPr>
      <w:r w:rsidRPr="00EC3027">
        <w:rPr>
          <w:rFonts w:ascii="Times New Roman" w:eastAsia="Calibri" w:hAnsi="Times New Roman"/>
          <w:b/>
          <w:bCs/>
          <w:noProof/>
          <w:sz w:val="24"/>
          <w:szCs w:val="24"/>
          <w:lang w:eastAsia="bg-BG"/>
        </w:rPr>
        <w:t xml:space="preserve">1. Код и наименование на вида: </w:t>
      </w:r>
      <w:r w:rsidRPr="00EC3027">
        <w:rPr>
          <w:rFonts w:ascii="Times New Roman" w:hAnsi="Times New Roman"/>
          <w:bCs/>
          <w:sz w:val="24"/>
          <w:szCs w:val="24"/>
        </w:rPr>
        <w:t>1</w:t>
      </w:r>
      <w:r w:rsidRPr="00EC3027">
        <w:rPr>
          <w:rFonts w:ascii="Times New Roman" w:hAnsi="Times New Roman"/>
          <w:bCs/>
          <w:sz w:val="24"/>
          <w:szCs w:val="24"/>
          <w:lang w:val="ru-RU"/>
        </w:rPr>
        <w:t>516</w:t>
      </w:r>
      <w:r w:rsidRPr="00EC3027">
        <w:rPr>
          <w:rFonts w:ascii="Times New Roman" w:eastAsia="Calibri" w:hAnsi="Times New Roman"/>
          <w:bCs/>
          <w:noProof/>
          <w:sz w:val="24"/>
          <w:szCs w:val="24"/>
          <w:lang w:eastAsia="bg-BG"/>
        </w:rPr>
        <w:t xml:space="preserve"> </w:t>
      </w:r>
      <w:r w:rsidRPr="00EC3027">
        <w:rPr>
          <w:rFonts w:ascii="Times New Roman" w:hAnsi="Times New Roman"/>
          <w:bCs/>
          <w:sz w:val="24"/>
          <w:szCs w:val="24"/>
        </w:rPr>
        <w:t>Мехурчеста алдрованда</w:t>
      </w:r>
      <w:r w:rsidRPr="00EC3027">
        <w:rPr>
          <w:rFonts w:ascii="Times New Roman" w:eastAsia="Calibri" w:hAnsi="Times New Roman"/>
          <w:bCs/>
          <w:noProof/>
          <w:sz w:val="24"/>
          <w:szCs w:val="24"/>
          <w:lang w:eastAsia="bg-BG"/>
        </w:rPr>
        <w:t xml:space="preserve"> (</w:t>
      </w:r>
      <w:r w:rsidRPr="00EC3027">
        <w:rPr>
          <w:rFonts w:ascii="Times New Roman" w:eastAsia="Calibri" w:hAnsi="Times New Roman"/>
          <w:i/>
          <w:noProof/>
          <w:sz w:val="24"/>
          <w:szCs w:val="24"/>
        </w:rPr>
        <w:t>Aldrovanda vesiculosa</w:t>
      </w:r>
      <w:r w:rsidRPr="00EC3027">
        <w:rPr>
          <w:rFonts w:ascii="Times New Roman" w:eastAsia="Calibri" w:hAnsi="Times New Roman"/>
          <w:i/>
          <w:noProof/>
          <w:sz w:val="24"/>
          <w:szCs w:val="24"/>
          <w:lang w:val="en-US"/>
        </w:rPr>
        <w:t xml:space="preserve"> </w:t>
      </w:r>
      <w:r w:rsidRPr="00EC3027">
        <w:rPr>
          <w:rFonts w:ascii="Times New Roman" w:eastAsia="Calibri" w:hAnsi="Times New Roman"/>
          <w:noProof/>
          <w:sz w:val="24"/>
          <w:szCs w:val="24"/>
          <w:lang w:val="en-US"/>
        </w:rPr>
        <w:t>L.</w:t>
      </w:r>
      <w:r w:rsidRPr="00EC3027">
        <w:rPr>
          <w:rFonts w:ascii="Times New Roman" w:eastAsia="Calibri" w:hAnsi="Times New Roman"/>
          <w:bCs/>
          <w:noProof/>
          <w:sz w:val="24"/>
          <w:szCs w:val="24"/>
          <w:lang w:eastAsia="bg-BG"/>
        </w:rPr>
        <w:t>)</w:t>
      </w:r>
    </w:p>
    <w:p w:rsidR="00EC3027" w:rsidRPr="00EC3027" w:rsidRDefault="00EC3027" w:rsidP="00EC3027">
      <w:pPr>
        <w:spacing w:after="0" w:line="259" w:lineRule="auto"/>
        <w:rPr>
          <w:rFonts w:ascii="Times New Roman" w:eastAsia="Calibri" w:hAnsi="Times New Roman"/>
          <w:noProof/>
          <w:sz w:val="24"/>
          <w:szCs w:val="24"/>
        </w:rPr>
      </w:pPr>
    </w:p>
    <w:p w:rsidR="00EC3027" w:rsidRPr="00EC3027" w:rsidRDefault="00EC3027" w:rsidP="00EC3027">
      <w:pPr>
        <w:spacing w:after="0" w:line="240" w:lineRule="auto"/>
        <w:rPr>
          <w:rFonts w:ascii="Times New Roman" w:eastAsia="Calibri" w:hAnsi="Times New Roman"/>
          <w:b/>
          <w:noProof/>
          <w:sz w:val="24"/>
          <w:szCs w:val="24"/>
        </w:rPr>
      </w:pPr>
      <w:r w:rsidRPr="00EC3027">
        <w:rPr>
          <w:rFonts w:ascii="Times New Roman" w:eastAsia="Calibri" w:hAnsi="Times New Roman"/>
          <w:b/>
          <w:noProof/>
          <w:sz w:val="24"/>
          <w:szCs w:val="24"/>
        </w:rPr>
        <w:t>2. Кратка характеристика на целевия обект</w:t>
      </w:r>
    </w:p>
    <w:p w:rsidR="00EC3027" w:rsidRPr="00EC3027" w:rsidRDefault="00EC3027" w:rsidP="00EC3027">
      <w:pPr>
        <w:spacing w:after="0" w:line="240" w:lineRule="auto"/>
        <w:ind w:firstLine="709"/>
        <w:jc w:val="both"/>
        <w:rPr>
          <w:rFonts w:ascii="Times New Roman" w:eastAsia="Calibri" w:hAnsi="Times New Roman"/>
          <w:noProof/>
          <w:sz w:val="24"/>
          <w:szCs w:val="24"/>
        </w:rPr>
      </w:pPr>
      <w:r w:rsidRPr="00EC3027">
        <w:rPr>
          <w:rFonts w:ascii="Times New Roman" w:eastAsia="Calibri" w:hAnsi="Times New Roman"/>
          <w:noProof/>
          <w:sz w:val="24"/>
          <w:szCs w:val="24"/>
        </w:rPr>
        <w:t xml:space="preserve">Мехурчестата алдрованда </w:t>
      </w:r>
      <w:r w:rsidRPr="00EC3027">
        <w:rPr>
          <w:rFonts w:ascii="Times New Roman" w:eastAsia="Calibri" w:hAnsi="Times New Roman"/>
          <w:noProof/>
          <w:sz w:val="24"/>
          <w:szCs w:val="24"/>
          <w:lang w:val="en-US"/>
        </w:rPr>
        <w:t>(</w:t>
      </w:r>
      <w:r w:rsidRPr="00EC3027">
        <w:rPr>
          <w:rFonts w:ascii="Times New Roman" w:eastAsia="Calibri" w:hAnsi="Times New Roman"/>
          <w:i/>
          <w:noProof/>
          <w:sz w:val="24"/>
          <w:szCs w:val="24"/>
        </w:rPr>
        <w:t>Aldrovanda vesiculosa</w:t>
      </w:r>
      <w:r w:rsidRPr="00EC3027">
        <w:rPr>
          <w:rFonts w:ascii="Times New Roman" w:eastAsia="Calibri" w:hAnsi="Times New Roman"/>
          <w:i/>
          <w:noProof/>
          <w:sz w:val="24"/>
          <w:szCs w:val="24"/>
          <w:lang w:val="en-US"/>
        </w:rPr>
        <w:t xml:space="preserve"> </w:t>
      </w:r>
      <w:r w:rsidRPr="00EC3027">
        <w:rPr>
          <w:rFonts w:ascii="Times New Roman" w:eastAsia="Calibri" w:hAnsi="Times New Roman"/>
          <w:noProof/>
          <w:sz w:val="24"/>
          <w:szCs w:val="24"/>
          <w:lang w:val="en-US"/>
        </w:rPr>
        <w:t xml:space="preserve">L.) e </w:t>
      </w:r>
      <w:r w:rsidRPr="00EC3027">
        <w:rPr>
          <w:rFonts w:ascii="Times New Roman" w:eastAsia="Calibri" w:hAnsi="Times New Roman"/>
          <w:noProof/>
          <w:sz w:val="24"/>
          <w:szCs w:val="24"/>
        </w:rPr>
        <w:t>м</w:t>
      </w:r>
      <w:r w:rsidRPr="00EC3027">
        <w:rPr>
          <w:rFonts w:ascii="Times New Roman" w:eastAsia="Calibri" w:hAnsi="Times New Roman"/>
          <w:noProof/>
          <w:sz w:val="24"/>
          <w:szCs w:val="24"/>
          <w:lang w:val="en-US"/>
        </w:rPr>
        <w:t xml:space="preserve">ногогодишно тревисто, плаващо </w:t>
      </w:r>
      <w:r w:rsidRPr="00EC3027">
        <w:rPr>
          <w:rFonts w:ascii="Times New Roman" w:eastAsia="Calibri" w:hAnsi="Times New Roman"/>
          <w:noProof/>
          <w:sz w:val="24"/>
          <w:szCs w:val="24"/>
        </w:rPr>
        <w:t>близо до водната повърхност</w:t>
      </w:r>
      <w:r w:rsidRPr="00EC3027">
        <w:rPr>
          <w:rFonts w:ascii="Times New Roman" w:eastAsia="Calibri" w:hAnsi="Times New Roman"/>
          <w:noProof/>
          <w:sz w:val="24"/>
          <w:szCs w:val="24"/>
          <w:lang w:val="en-US"/>
        </w:rPr>
        <w:t>, неприкрепено растение</w:t>
      </w:r>
      <w:r w:rsidRPr="00EC3027">
        <w:rPr>
          <w:rFonts w:ascii="Times New Roman" w:eastAsia="Calibri" w:hAnsi="Times New Roman"/>
          <w:noProof/>
          <w:sz w:val="24"/>
          <w:szCs w:val="24"/>
        </w:rPr>
        <w:t xml:space="preserve"> от семейство Росянкови </w:t>
      </w:r>
      <w:r w:rsidRPr="00EC3027">
        <w:rPr>
          <w:rFonts w:ascii="Times New Roman" w:eastAsia="Calibri" w:hAnsi="Times New Roman"/>
          <w:noProof/>
          <w:sz w:val="24"/>
          <w:szCs w:val="24"/>
          <w:lang w:val="en-US"/>
        </w:rPr>
        <w:t>(</w:t>
      </w:r>
      <w:r w:rsidRPr="00EC3027">
        <w:rPr>
          <w:rFonts w:ascii="Times New Roman" w:eastAsia="Calibri" w:hAnsi="Times New Roman"/>
          <w:i/>
          <w:noProof/>
          <w:sz w:val="24"/>
          <w:szCs w:val="24"/>
          <w:lang w:val="en-US"/>
        </w:rPr>
        <w:t>Droseraceae</w:t>
      </w:r>
      <w:r w:rsidRPr="00EC3027">
        <w:rPr>
          <w:rFonts w:ascii="Times New Roman" w:eastAsia="Calibri" w:hAnsi="Times New Roman"/>
          <w:noProof/>
          <w:sz w:val="24"/>
          <w:szCs w:val="24"/>
          <w:lang w:val="en-US"/>
        </w:rPr>
        <w:t xml:space="preserve">). </w:t>
      </w:r>
      <w:r w:rsidRPr="00EC3027">
        <w:rPr>
          <w:rFonts w:ascii="Times New Roman" w:eastAsia="Calibri" w:hAnsi="Times New Roman"/>
          <w:noProof/>
          <w:sz w:val="24"/>
          <w:szCs w:val="24"/>
        </w:rPr>
        <w:t>Стъблата са подводни, 2–30 cm дълги, тънки, прости или разклонени, голи. Листата са приседнали, събрани по 5–6 в прешлени, дребни, с тясна клиновидна основа и с по 5–6 дяла. От тях 4–5 са дълги, четинковидни, а средният дял е закръглен, висящ на средната си жилка. Той е съставен от две половинки, които при дразнене се затварят бързо. Така растението улавя и използва за храна малки водни безгръбначни животни. Цветовете са единични, разположени в пазвите на листата, зеленикавобели. Цъфти през юли и август. Плодовете са 6–8-семенни, кръгли кутийки, петделни на върха. Размножава се главно вегетативно – чрез фрагменти от растението, по-рядко със семена.</w:t>
      </w:r>
      <w:r w:rsidRPr="00EC3027">
        <w:rPr>
          <w:rFonts w:ascii="Times New Roman" w:eastAsia="Calibri" w:hAnsi="Times New Roman"/>
          <w:noProof/>
          <w:sz w:val="24"/>
          <w:szCs w:val="24"/>
          <w:lang w:val="en-US"/>
        </w:rPr>
        <w:t xml:space="preserve"> Зимното застудяване преживява под формата на пъпки (туриони) </w:t>
      </w:r>
      <w:r w:rsidRPr="00EC3027">
        <w:rPr>
          <w:rFonts w:ascii="Times New Roman" w:eastAsia="Calibri" w:hAnsi="Times New Roman"/>
          <w:noProof/>
          <w:sz w:val="24"/>
          <w:szCs w:val="24"/>
        </w:rPr>
        <w:t>от редуцирани листа, които се развиват на растежните връхчета</w:t>
      </w:r>
      <w:r w:rsidRPr="00EC3027">
        <w:rPr>
          <w:rFonts w:ascii="Times New Roman" w:eastAsia="Calibri" w:hAnsi="Times New Roman"/>
          <w:noProof/>
          <w:sz w:val="24"/>
          <w:szCs w:val="24"/>
          <w:lang w:val="en-US"/>
        </w:rPr>
        <w:t xml:space="preserve">, </w:t>
      </w:r>
      <w:r w:rsidRPr="00EC3027">
        <w:rPr>
          <w:rFonts w:ascii="Times New Roman" w:eastAsia="Calibri" w:hAnsi="Times New Roman"/>
          <w:noProof/>
          <w:sz w:val="24"/>
          <w:szCs w:val="24"/>
        </w:rPr>
        <w:t>и</w:t>
      </w:r>
      <w:r w:rsidRPr="00EC3027">
        <w:rPr>
          <w:rFonts w:ascii="Times New Roman" w:eastAsia="Calibri" w:hAnsi="Times New Roman"/>
          <w:noProof/>
          <w:sz w:val="24"/>
          <w:szCs w:val="24"/>
          <w:lang w:val="en-US"/>
        </w:rPr>
        <w:t xml:space="preserve"> потъват към дъното на водоема, от където изплават през пролетта. Разпространението на мехурчестата алдрованда се осъществява главно от птици, водните течения и наводненията. Може да бъдат пренесени както семена и туриони, така и цели растения. Тесните екологични изисквания характеризират вида като стенотопен с разкъсана мозаечна популационна структура.</w:t>
      </w:r>
      <w:r w:rsidRPr="00EC3027">
        <w:rPr>
          <w:rFonts w:ascii="Times New Roman" w:eastAsia="Calibri" w:hAnsi="Times New Roman"/>
          <w:noProof/>
          <w:sz w:val="24"/>
          <w:szCs w:val="24"/>
        </w:rPr>
        <w:t xml:space="preserve"> Обитава плитки води (под 1 m) на езера и блата с постоянно ниво, но не расте в открити води, а сред обраствания от </w:t>
      </w:r>
      <w:r w:rsidRPr="00EC3027">
        <w:rPr>
          <w:rFonts w:ascii="Times New Roman" w:eastAsia="Calibri" w:hAnsi="Times New Roman"/>
          <w:i/>
          <w:noProof/>
          <w:sz w:val="24"/>
          <w:szCs w:val="24"/>
        </w:rPr>
        <w:t xml:space="preserve">Phragmites </w:t>
      </w:r>
      <w:r w:rsidRPr="00EC3027">
        <w:rPr>
          <w:rFonts w:ascii="Times New Roman" w:eastAsia="Calibri" w:hAnsi="Times New Roman"/>
          <w:i/>
          <w:noProof/>
          <w:sz w:val="24"/>
          <w:szCs w:val="24"/>
          <w:lang w:val="en-US"/>
        </w:rPr>
        <w:t>australis</w:t>
      </w:r>
      <w:r w:rsidRPr="00EC3027">
        <w:rPr>
          <w:rFonts w:ascii="Times New Roman" w:eastAsia="Calibri" w:hAnsi="Times New Roman"/>
          <w:noProof/>
          <w:sz w:val="24"/>
          <w:szCs w:val="24"/>
        </w:rPr>
        <w:t xml:space="preserve">, </w:t>
      </w:r>
      <w:r w:rsidRPr="00EC3027">
        <w:rPr>
          <w:rFonts w:ascii="Times New Roman" w:eastAsia="Calibri" w:hAnsi="Times New Roman"/>
          <w:i/>
          <w:noProof/>
          <w:sz w:val="24"/>
          <w:szCs w:val="24"/>
        </w:rPr>
        <w:t>Typha</w:t>
      </w:r>
      <w:r w:rsidRPr="00EC3027">
        <w:rPr>
          <w:rFonts w:ascii="Times New Roman" w:eastAsia="Calibri" w:hAnsi="Times New Roman"/>
          <w:i/>
          <w:noProof/>
          <w:sz w:val="24"/>
          <w:szCs w:val="24"/>
          <w:lang w:val="en-US"/>
        </w:rPr>
        <w:t xml:space="preserve"> </w:t>
      </w:r>
      <w:r w:rsidRPr="00EC3027">
        <w:rPr>
          <w:rFonts w:ascii="Times New Roman" w:eastAsia="Calibri" w:hAnsi="Times New Roman"/>
          <w:noProof/>
          <w:sz w:val="24"/>
          <w:szCs w:val="24"/>
          <w:lang w:val="en-US"/>
        </w:rPr>
        <w:t>spp.</w:t>
      </w:r>
      <w:r w:rsidRPr="00EC3027">
        <w:rPr>
          <w:rFonts w:ascii="Times New Roman" w:eastAsia="Calibri" w:hAnsi="Times New Roman"/>
          <w:noProof/>
          <w:sz w:val="24"/>
          <w:szCs w:val="24"/>
        </w:rPr>
        <w:t xml:space="preserve">, </w:t>
      </w:r>
      <w:r w:rsidRPr="00EC3027">
        <w:rPr>
          <w:rFonts w:ascii="Times New Roman" w:eastAsia="Calibri" w:hAnsi="Times New Roman"/>
          <w:i/>
          <w:noProof/>
          <w:sz w:val="24"/>
          <w:szCs w:val="24"/>
        </w:rPr>
        <w:t>Carex</w:t>
      </w:r>
      <w:r w:rsidRPr="00EC3027">
        <w:rPr>
          <w:rFonts w:ascii="Times New Roman" w:eastAsia="Calibri" w:hAnsi="Times New Roman"/>
          <w:i/>
          <w:noProof/>
          <w:sz w:val="24"/>
          <w:szCs w:val="24"/>
          <w:lang w:val="en-US"/>
        </w:rPr>
        <w:t xml:space="preserve"> </w:t>
      </w:r>
      <w:r w:rsidRPr="00EC3027">
        <w:rPr>
          <w:rFonts w:ascii="Times New Roman" w:eastAsia="Calibri" w:hAnsi="Times New Roman"/>
          <w:noProof/>
          <w:sz w:val="24"/>
          <w:szCs w:val="24"/>
          <w:lang w:val="en-US"/>
        </w:rPr>
        <w:t>spp</w:t>
      </w:r>
      <w:r w:rsidRPr="00EC3027">
        <w:rPr>
          <w:rFonts w:ascii="Times New Roman" w:eastAsia="Calibri" w:hAnsi="Times New Roman"/>
          <w:noProof/>
          <w:sz w:val="24"/>
          <w:szCs w:val="24"/>
        </w:rPr>
        <w:t xml:space="preserve">. Европейските популации на мехурчестата алдрованда растат в съобщества, принадлежащи към съюзите </w:t>
      </w:r>
      <w:r w:rsidRPr="00EC3027">
        <w:rPr>
          <w:rFonts w:ascii="Times New Roman" w:eastAsia="Calibri" w:hAnsi="Times New Roman"/>
          <w:i/>
          <w:noProof/>
          <w:sz w:val="24"/>
          <w:szCs w:val="24"/>
        </w:rPr>
        <w:t>Nymphaeion</w:t>
      </w:r>
      <w:r w:rsidRPr="00EC3027">
        <w:rPr>
          <w:rFonts w:ascii="Times New Roman" w:eastAsia="Calibri" w:hAnsi="Times New Roman"/>
          <w:noProof/>
          <w:sz w:val="24"/>
          <w:szCs w:val="24"/>
        </w:rPr>
        <w:t xml:space="preserve">, </w:t>
      </w:r>
      <w:r w:rsidRPr="00EC3027">
        <w:rPr>
          <w:rFonts w:ascii="Times New Roman" w:eastAsia="Calibri" w:hAnsi="Times New Roman"/>
          <w:i/>
          <w:noProof/>
          <w:sz w:val="24"/>
          <w:szCs w:val="24"/>
        </w:rPr>
        <w:t>Phragmition</w:t>
      </w:r>
      <w:r w:rsidRPr="00EC3027">
        <w:rPr>
          <w:rFonts w:ascii="Times New Roman" w:eastAsia="Calibri" w:hAnsi="Times New Roman"/>
          <w:noProof/>
          <w:sz w:val="24"/>
          <w:szCs w:val="24"/>
        </w:rPr>
        <w:t xml:space="preserve"> и </w:t>
      </w:r>
      <w:r w:rsidRPr="00EC3027">
        <w:rPr>
          <w:rFonts w:ascii="Times New Roman" w:eastAsia="Calibri" w:hAnsi="Times New Roman"/>
          <w:i/>
          <w:noProof/>
          <w:sz w:val="24"/>
          <w:szCs w:val="24"/>
        </w:rPr>
        <w:t>Magnocaricion</w:t>
      </w:r>
      <w:r w:rsidRPr="00EC3027">
        <w:rPr>
          <w:rFonts w:ascii="Times New Roman" w:eastAsia="Calibri" w:hAnsi="Times New Roman"/>
          <w:noProof/>
          <w:sz w:val="24"/>
          <w:szCs w:val="24"/>
        </w:rPr>
        <w:t>.</w:t>
      </w:r>
    </w:p>
    <w:p w:rsidR="00EC3027" w:rsidRPr="00EC3027" w:rsidRDefault="00EC3027" w:rsidP="00EC3027">
      <w:pPr>
        <w:spacing w:after="0" w:line="240" w:lineRule="auto"/>
        <w:ind w:firstLine="709"/>
        <w:jc w:val="both"/>
        <w:rPr>
          <w:rFonts w:ascii="Times New Roman" w:hAnsi="Times New Roman"/>
          <w:bCs/>
          <w:noProof/>
          <w:sz w:val="24"/>
          <w:szCs w:val="24"/>
          <w:lang w:eastAsia="bg-BG"/>
        </w:rPr>
      </w:pPr>
      <w:r w:rsidRPr="00EC3027">
        <w:rPr>
          <w:rFonts w:ascii="Times New Roman" w:eastAsia="Calibri" w:hAnsi="Times New Roman"/>
          <w:noProof/>
          <w:sz w:val="24"/>
          <w:szCs w:val="24"/>
        </w:rPr>
        <w:lastRenderedPageBreak/>
        <w:t xml:space="preserve">Географският ареал на разпространение на </w:t>
      </w:r>
      <w:r w:rsidRPr="00EC3027">
        <w:rPr>
          <w:rFonts w:ascii="Times New Roman" w:eastAsia="Calibri" w:hAnsi="Times New Roman"/>
          <w:i/>
          <w:noProof/>
          <w:sz w:val="24"/>
          <w:szCs w:val="24"/>
          <w:lang w:val="en-US"/>
        </w:rPr>
        <w:t>Aldrovanda vesiculosa</w:t>
      </w:r>
      <w:r w:rsidRPr="00EC3027">
        <w:rPr>
          <w:rFonts w:ascii="Times New Roman" w:eastAsia="Calibri" w:hAnsi="Times New Roman"/>
          <w:noProof/>
          <w:sz w:val="24"/>
          <w:szCs w:val="24"/>
        </w:rPr>
        <w:t xml:space="preserve"> включва Европа, Азия, Африка и Австралия. </w:t>
      </w:r>
      <w:r w:rsidRPr="00EC3027">
        <w:rPr>
          <w:rFonts w:ascii="Times New Roman" w:hAnsi="Times New Roman"/>
          <w:bCs/>
          <w:noProof/>
          <w:sz w:val="24"/>
          <w:szCs w:val="24"/>
          <w:lang w:eastAsia="bg-BG"/>
        </w:rPr>
        <w:t xml:space="preserve">Алдровандата е разпространена в Североизточна България (ез. Сребърна) и Знеполски район </w:t>
      </w:r>
      <w:r w:rsidRPr="00EC3027">
        <w:rPr>
          <w:rFonts w:ascii="Times New Roman" w:hAnsi="Times New Roman"/>
          <w:bCs/>
          <w:noProof/>
          <w:sz w:val="24"/>
          <w:szCs w:val="24"/>
          <w:lang w:val="en-US" w:eastAsia="bg-BG"/>
        </w:rPr>
        <w:t>(</w:t>
      </w:r>
      <w:r w:rsidRPr="00EC3027">
        <w:rPr>
          <w:rFonts w:ascii="Times New Roman" w:hAnsi="Times New Roman"/>
          <w:bCs/>
          <w:noProof/>
          <w:sz w:val="24"/>
          <w:szCs w:val="24"/>
          <w:lang w:eastAsia="bg-BG"/>
        </w:rPr>
        <w:t>Драгоманското блато</w:t>
      </w:r>
      <w:r w:rsidRPr="00EC3027">
        <w:rPr>
          <w:rFonts w:ascii="Times New Roman" w:hAnsi="Times New Roman"/>
          <w:bCs/>
          <w:noProof/>
          <w:sz w:val="24"/>
          <w:szCs w:val="24"/>
          <w:lang w:val="en-US" w:eastAsia="bg-BG"/>
        </w:rPr>
        <w:t>)</w:t>
      </w:r>
      <w:r w:rsidRPr="00EC3027">
        <w:rPr>
          <w:rFonts w:ascii="Times New Roman" w:hAnsi="Times New Roman"/>
          <w:bCs/>
          <w:noProof/>
          <w:sz w:val="24"/>
          <w:szCs w:val="24"/>
          <w:lang w:eastAsia="bg-BG"/>
        </w:rPr>
        <w:t>. В миналото видът се е срещал в Драгоманското блато, от където изчезва след пресушаването му, но е успешно реинтродуциран впоследствие. Популациите са малочислени, до няколко десетки индивида (Мешинев 2015). През 2014 г. е направен неуспешен опит за реинтродукция на вида в кариерно езеро при с. Негован</w:t>
      </w:r>
      <w:r w:rsidRPr="00EC3027">
        <w:rPr>
          <w:rFonts w:ascii="Times New Roman" w:hAnsi="Times New Roman"/>
          <w:bCs/>
          <w:noProof/>
          <w:sz w:val="24"/>
          <w:szCs w:val="24"/>
          <w:lang w:val="en-US" w:eastAsia="bg-BG"/>
        </w:rPr>
        <w:t xml:space="preserve"> (Traykov &amp; Tosheva 2020)</w:t>
      </w:r>
      <w:r w:rsidRPr="00EC3027">
        <w:rPr>
          <w:rFonts w:ascii="Times New Roman" w:hAnsi="Times New Roman"/>
          <w:bCs/>
          <w:noProof/>
          <w:sz w:val="24"/>
          <w:szCs w:val="24"/>
          <w:lang w:eastAsia="bg-BG"/>
        </w:rPr>
        <w:t>.</w:t>
      </w:r>
    </w:p>
    <w:p w:rsidR="00EC3027" w:rsidRPr="00EC3027" w:rsidRDefault="00EC3027" w:rsidP="00EC3027">
      <w:pPr>
        <w:spacing w:after="0" w:line="240" w:lineRule="auto"/>
        <w:ind w:firstLine="720"/>
        <w:jc w:val="both"/>
        <w:rPr>
          <w:rFonts w:ascii="Times New Roman" w:hAnsi="Times New Roman"/>
          <w:bCs/>
          <w:noProof/>
          <w:sz w:val="24"/>
          <w:szCs w:val="24"/>
          <w:lang w:eastAsia="bg-BG"/>
        </w:rPr>
      </w:pPr>
      <w:r w:rsidRPr="00EC3027">
        <w:rPr>
          <w:rFonts w:ascii="Times New Roman" w:eastAsia="Calibri" w:hAnsi="Times New Roman"/>
          <w:noProof/>
          <w:sz w:val="24"/>
          <w:szCs w:val="24"/>
        </w:rPr>
        <w:t>В България мехурчестата алдрованда е с природозащитна категория „Критично застрашен“ [CR B2ac(ii); C2a(ii)] по критериите на IUCN (</w:t>
      </w:r>
      <w:r w:rsidRPr="00EC3027">
        <w:rPr>
          <w:rFonts w:ascii="Times New Roman" w:eastAsia="Calibri" w:hAnsi="Times New Roman"/>
          <w:noProof/>
          <w:sz w:val="24"/>
          <w:szCs w:val="24"/>
          <w:lang w:val="en-US"/>
        </w:rPr>
        <w:t>Meshinev</w:t>
      </w:r>
      <w:r w:rsidRPr="00EC3027">
        <w:rPr>
          <w:rFonts w:ascii="Times New Roman" w:eastAsia="Calibri" w:hAnsi="Times New Roman"/>
          <w:noProof/>
          <w:sz w:val="24"/>
          <w:szCs w:val="24"/>
        </w:rPr>
        <w:t xml:space="preserve"> 2009) и се опазва съгласно ЗБР. В международен контекст е обект на опазване съгласно Директива 92/43 на ЕС и е включена в Бернската конвенция.</w:t>
      </w:r>
    </w:p>
    <w:p w:rsidR="00EC3027" w:rsidRPr="00EC3027" w:rsidRDefault="00EC3027" w:rsidP="00EC3027">
      <w:pPr>
        <w:spacing w:after="0" w:line="240" w:lineRule="auto"/>
        <w:jc w:val="both"/>
        <w:rPr>
          <w:rFonts w:ascii="Times New Roman" w:eastAsia="Calibri" w:hAnsi="Times New Roman"/>
          <w:noProof/>
          <w:sz w:val="24"/>
          <w:szCs w:val="24"/>
        </w:rPr>
      </w:pPr>
    </w:p>
    <w:p w:rsidR="00EC3027" w:rsidRPr="00EC3027" w:rsidRDefault="00EC3027" w:rsidP="00EC3027">
      <w:pPr>
        <w:spacing w:after="0" w:line="240" w:lineRule="auto"/>
        <w:jc w:val="both"/>
        <w:rPr>
          <w:rFonts w:ascii="Times New Roman" w:eastAsia="Calibri" w:hAnsi="Times New Roman"/>
          <w:b/>
          <w:noProof/>
          <w:sz w:val="24"/>
          <w:szCs w:val="24"/>
        </w:rPr>
      </w:pPr>
      <w:r w:rsidRPr="00EC3027">
        <w:rPr>
          <w:rFonts w:ascii="Times New Roman" w:eastAsia="Calibri" w:hAnsi="Times New Roman"/>
          <w:b/>
          <w:noProof/>
          <w:sz w:val="24"/>
          <w:szCs w:val="24"/>
        </w:rPr>
        <w:t>3. Състояние на биогеографско ниво и разпространение в мрежата</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Според общия доклад за вида, публикуван в „Информационна система за защитени зони от екологичната мрежа Натура 2000 на МОСВ“,</w:t>
      </w:r>
      <w:r w:rsidRPr="00EC3027">
        <w:rPr>
          <w:rFonts w:ascii="Times New Roman" w:eastAsia="Calibri" w:hAnsi="Times New Roman"/>
          <w:noProof/>
          <w:sz w:val="24"/>
          <w:szCs w:val="24"/>
          <w:lang w:val="en-US"/>
        </w:rPr>
        <w:t xml:space="preserve"> находища</w:t>
      </w:r>
      <w:r w:rsidRPr="00EC3027">
        <w:rPr>
          <w:rFonts w:ascii="Times New Roman" w:eastAsia="Calibri" w:hAnsi="Times New Roman"/>
          <w:noProof/>
          <w:sz w:val="24"/>
          <w:szCs w:val="24"/>
        </w:rPr>
        <w:t>та му</w:t>
      </w:r>
      <w:r w:rsidRPr="00EC3027">
        <w:rPr>
          <w:rFonts w:ascii="Times New Roman" w:eastAsia="Calibri" w:hAnsi="Times New Roman"/>
          <w:noProof/>
          <w:sz w:val="24"/>
          <w:szCs w:val="24"/>
          <w:lang w:val="en-US"/>
        </w:rPr>
        <w:t xml:space="preserve"> попадат в </w:t>
      </w:r>
      <w:r w:rsidRPr="00EC3027">
        <w:rPr>
          <w:rFonts w:ascii="Times New Roman" w:eastAsia="Calibri" w:hAnsi="Times New Roman"/>
          <w:noProof/>
          <w:sz w:val="24"/>
          <w:szCs w:val="24"/>
        </w:rPr>
        <w:t>К</w:t>
      </w:r>
      <w:r w:rsidRPr="00EC3027">
        <w:rPr>
          <w:rFonts w:ascii="Times New Roman" w:eastAsia="Calibri" w:hAnsi="Times New Roman"/>
          <w:noProof/>
          <w:sz w:val="24"/>
          <w:szCs w:val="24"/>
          <w:lang w:val="en-US"/>
        </w:rPr>
        <w:t xml:space="preserve">онтиненталния биогеографски </w:t>
      </w:r>
      <w:r>
        <w:rPr>
          <w:rFonts w:ascii="Times New Roman" w:eastAsia="Calibri" w:hAnsi="Times New Roman"/>
          <w:noProof/>
          <w:sz w:val="24"/>
          <w:szCs w:val="24"/>
        </w:rPr>
        <w:t>регион</w:t>
      </w:r>
      <w:r w:rsidRPr="00EC3027">
        <w:rPr>
          <w:rFonts w:ascii="Times New Roman" w:eastAsia="Calibri" w:hAnsi="Times New Roman"/>
          <w:noProof/>
          <w:sz w:val="24"/>
          <w:szCs w:val="24"/>
        </w:rPr>
        <w:t>, като покритието на местообитанията в рамките на мрежата Натура 2000 е 100%. Видът е включен в стандартните формуляри на две защитени зони – ЗЗ BG0000241 Сребърна и на ЗЗ BG0000322 Драгоман.</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 xml:space="preserve">Въз основа на резултатите от проекта „Картиране и определяне на природозащитното състояние на природни местообитания и видове – фаза I“ (т.е. през 2011-2012 г.) и прилагане на индуктивен модел за цялата територия на България е установено, че площта на потенциалните и оптималните местообитания на вида е </w:t>
      </w:r>
      <w:r w:rsidRPr="00EC3027">
        <w:rPr>
          <w:rFonts w:ascii="Times New Roman" w:eastAsia="Calibri" w:hAnsi="Times New Roman"/>
          <w:bCs/>
          <w:noProof/>
          <w:sz w:val="24"/>
          <w:szCs w:val="24"/>
        </w:rPr>
        <w:t xml:space="preserve">43,71 </w:t>
      </w:r>
      <w:r w:rsidRPr="00EC3027">
        <w:rPr>
          <w:rFonts w:ascii="Times New Roman" w:eastAsia="Calibri" w:hAnsi="Times New Roman"/>
          <w:bCs/>
          <w:noProof/>
          <w:sz w:val="24"/>
          <w:szCs w:val="24"/>
          <w:lang w:val="en-US"/>
        </w:rPr>
        <w:t>ha</w:t>
      </w:r>
      <w:r w:rsidRPr="00EC3027">
        <w:rPr>
          <w:rFonts w:ascii="Times New Roman" w:eastAsia="Calibri" w:hAnsi="Times New Roman"/>
          <w:bCs/>
          <w:noProof/>
          <w:sz w:val="24"/>
          <w:szCs w:val="24"/>
        </w:rPr>
        <w:t>.</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 xml:space="preserve">Съгласно докладването по чл. 17 на Директивата за местообитанията за периода 2013-2018 г. (докладвано през 2019 г.), природозащитното състояние на вида е оценено като неблагоприятно-незадоволително (неизвестно по разпространение и популация, благоприятно по местообитание за вида и неблагоприятно-незадоволително по бъдещи перспективи в Континенталния </w:t>
      </w:r>
      <w:r>
        <w:rPr>
          <w:rFonts w:ascii="Times New Roman" w:eastAsia="Calibri" w:hAnsi="Times New Roman"/>
          <w:noProof/>
          <w:sz w:val="24"/>
          <w:szCs w:val="24"/>
        </w:rPr>
        <w:t>регион</w:t>
      </w:r>
      <w:r w:rsidRPr="00EC3027">
        <w:rPr>
          <w:rFonts w:ascii="Times New Roman" w:eastAsia="Calibri" w:hAnsi="Times New Roman"/>
          <w:noProof/>
          <w:sz w:val="24"/>
          <w:szCs w:val="24"/>
        </w:rPr>
        <w:t xml:space="preserve">). При докладването по чл. 17 през 2013 г. (за периода 2007-2012 г.) видът е с оценка неблагоприятно-незадоволително състояние (благоприятно по разпространение и популация, неизвестно по местообитание за вида и неблагоприятно-незадоволително по бъдещи перспективи в Континенталния </w:t>
      </w:r>
      <w:r>
        <w:rPr>
          <w:rFonts w:ascii="Times New Roman" w:eastAsia="Calibri" w:hAnsi="Times New Roman"/>
          <w:noProof/>
          <w:sz w:val="24"/>
          <w:szCs w:val="24"/>
        </w:rPr>
        <w:t>регион</w:t>
      </w:r>
      <w:r w:rsidRPr="00EC3027">
        <w:rPr>
          <w:rFonts w:ascii="Times New Roman" w:eastAsia="Calibri" w:hAnsi="Times New Roman"/>
          <w:noProof/>
          <w:sz w:val="24"/>
          <w:szCs w:val="24"/>
        </w:rPr>
        <w:t>). Като влияния и заплахи с висока степен на значимост се посочват</w:t>
      </w:r>
      <w:r w:rsidRPr="00EC3027">
        <w:rPr>
          <w:rFonts w:eastAsia="Calibri"/>
          <w:noProof/>
        </w:rPr>
        <w:t xml:space="preserve"> </w:t>
      </w:r>
      <w:r w:rsidRPr="00EC3027">
        <w:rPr>
          <w:rFonts w:ascii="Times New Roman" w:eastAsia="Calibri" w:hAnsi="Times New Roman"/>
          <w:noProof/>
          <w:sz w:val="24"/>
          <w:szCs w:val="24"/>
        </w:rPr>
        <w:t>замърсяване на повърхностни води от битова канализация и отпадъчни води и суша и намаляване на валежите.</w:t>
      </w:r>
    </w:p>
    <w:p w:rsidR="00EC3027" w:rsidRPr="00EC3027" w:rsidRDefault="00EC3027" w:rsidP="00EC3027">
      <w:pPr>
        <w:spacing w:after="0" w:line="240" w:lineRule="auto"/>
        <w:rPr>
          <w:rFonts w:ascii="Times New Roman" w:eastAsia="Calibri" w:hAnsi="Times New Roman"/>
          <w:b/>
          <w:noProof/>
          <w:sz w:val="24"/>
          <w:szCs w:val="24"/>
        </w:rPr>
      </w:pPr>
    </w:p>
    <w:p w:rsidR="00EC3027" w:rsidRPr="00EC3027" w:rsidRDefault="00EC3027" w:rsidP="00EC3027">
      <w:pPr>
        <w:spacing w:after="0" w:line="240" w:lineRule="auto"/>
        <w:rPr>
          <w:rFonts w:ascii="Times New Roman" w:eastAsia="Calibri" w:hAnsi="Times New Roman"/>
          <w:i/>
          <w:noProof/>
          <w:sz w:val="24"/>
          <w:szCs w:val="24"/>
        </w:rPr>
      </w:pPr>
      <w:r w:rsidRPr="00EC3027">
        <w:rPr>
          <w:rFonts w:ascii="Times New Roman" w:eastAsia="Calibri" w:hAnsi="Times New Roman"/>
          <w:b/>
          <w:noProof/>
          <w:sz w:val="24"/>
          <w:szCs w:val="24"/>
        </w:rPr>
        <w:t>4. Състояние на ниво защитена зона</w:t>
      </w:r>
    </w:p>
    <w:p w:rsidR="00EC3027" w:rsidRPr="00EC3027" w:rsidRDefault="00EC3027" w:rsidP="00EC3027">
      <w:pPr>
        <w:spacing w:after="0" w:line="240" w:lineRule="auto"/>
        <w:ind w:firstLine="720"/>
        <w:jc w:val="both"/>
        <w:rPr>
          <w:rFonts w:ascii="Times New Roman" w:eastAsia="Calibri" w:hAnsi="Times New Roman"/>
          <w:noProof/>
          <w:sz w:val="24"/>
          <w:szCs w:val="24"/>
          <w:lang w:val="en-US"/>
        </w:rPr>
      </w:pPr>
      <w:r w:rsidRPr="00EC3027">
        <w:rPr>
          <w:rFonts w:ascii="Times New Roman" w:eastAsia="Calibri" w:hAnsi="Times New Roman"/>
          <w:noProof/>
          <w:sz w:val="24"/>
          <w:szCs w:val="24"/>
        </w:rPr>
        <w:t>На територията на ЗЗ „Сребърна“ според данни от литературата и хербариумите видът се среща в езерото Сребърна, където е бил установен за първи път през 1988 г. Установените находища са</w:t>
      </w:r>
      <w:r w:rsidRPr="00EC3027">
        <w:rPr>
          <w:rFonts w:ascii="Times New Roman" w:eastAsia="Calibri" w:hAnsi="Times New Roman"/>
          <w:noProof/>
          <w:sz w:val="24"/>
          <w:szCs w:val="24"/>
          <w:lang w:val="en-US"/>
        </w:rPr>
        <w:t xml:space="preserve"> </w:t>
      </w:r>
      <w:r w:rsidRPr="00EC3027">
        <w:rPr>
          <w:rFonts w:ascii="Times New Roman" w:eastAsia="Calibri" w:hAnsi="Times New Roman"/>
          <w:noProof/>
          <w:sz w:val="24"/>
          <w:szCs w:val="24"/>
        </w:rPr>
        <w:t>в</w:t>
      </w:r>
      <w:r w:rsidRPr="00EC3027">
        <w:rPr>
          <w:rFonts w:ascii="Times New Roman" w:eastAsia="Calibri" w:hAnsi="Times New Roman"/>
          <w:noProof/>
          <w:sz w:val="24"/>
          <w:szCs w:val="24"/>
          <w:lang w:val="en-US"/>
        </w:rPr>
        <w:t xml:space="preserve"> резерват </w:t>
      </w:r>
      <w:r w:rsidRPr="00EC3027">
        <w:rPr>
          <w:rFonts w:ascii="Times New Roman" w:eastAsia="Calibri" w:hAnsi="Times New Roman"/>
          <w:noProof/>
          <w:sz w:val="24"/>
          <w:szCs w:val="24"/>
        </w:rPr>
        <w:t>„</w:t>
      </w:r>
      <w:r w:rsidRPr="00EC3027">
        <w:rPr>
          <w:rFonts w:ascii="Times New Roman" w:eastAsia="Calibri" w:hAnsi="Times New Roman"/>
          <w:noProof/>
          <w:sz w:val="24"/>
          <w:szCs w:val="24"/>
          <w:lang w:val="en-US"/>
        </w:rPr>
        <w:t>Сребърна</w:t>
      </w:r>
      <w:r w:rsidRPr="00EC3027">
        <w:rPr>
          <w:rFonts w:ascii="Times New Roman" w:eastAsia="Calibri" w:hAnsi="Times New Roman"/>
          <w:noProof/>
          <w:sz w:val="24"/>
          <w:szCs w:val="24"/>
        </w:rPr>
        <w:t>“</w:t>
      </w:r>
      <w:r w:rsidRPr="00EC3027">
        <w:rPr>
          <w:rFonts w:ascii="Times New Roman" w:eastAsia="Calibri" w:hAnsi="Times New Roman"/>
          <w:noProof/>
          <w:sz w:val="24"/>
          <w:szCs w:val="24"/>
          <w:lang w:val="en-US"/>
        </w:rPr>
        <w:t xml:space="preserve"> – западна</w:t>
      </w:r>
      <w:r w:rsidRPr="00EC3027">
        <w:rPr>
          <w:rFonts w:ascii="Times New Roman" w:eastAsia="Calibri" w:hAnsi="Times New Roman"/>
          <w:noProof/>
          <w:sz w:val="24"/>
          <w:szCs w:val="24"/>
        </w:rPr>
        <w:t>та</w:t>
      </w:r>
      <w:r w:rsidRPr="00EC3027">
        <w:rPr>
          <w:rFonts w:ascii="Times New Roman" w:eastAsia="Calibri" w:hAnsi="Times New Roman"/>
          <w:noProof/>
          <w:sz w:val="24"/>
          <w:szCs w:val="24"/>
          <w:lang w:val="en-US"/>
        </w:rPr>
        <w:t xml:space="preserve"> част в </w:t>
      </w:r>
      <w:r w:rsidRPr="00EC3027">
        <w:rPr>
          <w:rFonts w:ascii="Times New Roman" w:eastAsia="Calibri" w:hAnsi="Times New Roman"/>
          <w:noProof/>
          <w:sz w:val="24"/>
          <w:szCs w:val="24"/>
        </w:rPr>
        <w:t>ценозите от тръстика</w:t>
      </w:r>
      <w:r w:rsidRPr="00EC3027">
        <w:rPr>
          <w:rFonts w:ascii="Times New Roman" w:eastAsia="Calibri" w:hAnsi="Times New Roman"/>
          <w:noProof/>
          <w:sz w:val="24"/>
          <w:szCs w:val="24"/>
          <w:lang w:val="en-US"/>
        </w:rPr>
        <w:t xml:space="preserve"> (SO </w:t>
      </w:r>
      <w:r w:rsidRPr="00EC3027">
        <w:rPr>
          <w:rFonts w:ascii="Times New Roman" w:eastAsia="Calibri" w:hAnsi="Times New Roman"/>
          <w:noProof/>
          <w:sz w:val="24"/>
          <w:szCs w:val="24"/>
        </w:rPr>
        <w:t>93789</w:t>
      </w:r>
      <w:r w:rsidRPr="00EC3027">
        <w:rPr>
          <w:rFonts w:ascii="Times New Roman" w:eastAsia="Calibri" w:hAnsi="Times New Roman"/>
          <w:noProof/>
          <w:sz w:val="24"/>
          <w:szCs w:val="24"/>
          <w:lang w:val="en-US"/>
        </w:rPr>
        <w:t>, 11.08.1988</w:t>
      </w:r>
      <w:r w:rsidRPr="00EC3027">
        <w:rPr>
          <w:rFonts w:ascii="Times New Roman" w:eastAsia="Calibri" w:hAnsi="Times New Roman"/>
          <w:noProof/>
          <w:sz w:val="24"/>
          <w:szCs w:val="24"/>
        </w:rPr>
        <w:t xml:space="preserve"> </w:t>
      </w:r>
      <w:r w:rsidRPr="00EC3027">
        <w:rPr>
          <w:rFonts w:ascii="Times New Roman" w:eastAsia="Calibri" w:hAnsi="Times New Roman"/>
          <w:noProof/>
          <w:sz w:val="24"/>
          <w:szCs w:val="24"/>
          <w:lang w:val="en-US"/>
        </w:rPr>
        <w:t>г., Г. Баева)</w:t>
      </w:r>
      <w:r w:rsidRPr="00EC3027">
        <w:rPr>
          <w:rFonts w:ascii="Times New Roman" w:eastAsia="Calibri" w:hAnsi="Times New Roman"/>
          <w:noProof/>
          <w:sz w:val="24"/>
          <w:szCs w:val="24"/>
        </w:rPr>
        <w:t xml:space="preserve"> и в северната част </w:t>
      </w:r>
      <w:r w:rsidRPr="00EC3027">
        <w:rPr>
          <w:rFonts w:ascii="Times New Roman" w:eastAsia="Calibri" w:hAnsi="Times New Roman"/>
          <w:noProof/>
          <w:sz w:val="24"/>
          <w:szCs w:val="24"/>
          <w:lang w:val="en-US"/>
        </w:rPr>
        <w:t>(</w:t>
      </w:r>
      <w:r w:rsidRPr="00EC3027">
        <w:rPr>
          <w:rFonts w:ascii="Times New Roman" w:eastAsia="Calibri" w:hAnsi="Times New Roman"/>
          <w:noProof/>
          <w:sz w:val="24"/>
          <w:szCs w:val="24"/>
        </w:rPr>
        <w:t>SO 94033, 07.07.1988 г., Г. Баева</w:t>
      </w:r>
      <w:r w:rsidRPr="00EC3027">
        <w:rPr>
          <w:rFonts w:ascii="Times New Roman" w:eastAsia="Calibri" w:hAnsi="Times New Roman"/>
          <w:noProof/>
          <w:sz w:val="24"/>
          <w:szCs w:val="24"/>
          <w:lang w:val="en-US"/>
        </w:rPr>
        <w:t>)</w:t>
      </w:r>
      <w:r w:rsidRPr="00EC3027">
        <w:rPr>
          <w:rFonts w:ascii="Times New Roman" w:eastAsia="Calibri" w:hAnsi="Times New Roman"/>
          <w:noProof/>
          <w:sz w:val="24"/>
          <w:szCs w:val="24"/>
        </w:rPr>
        <w:t xml:space="preserve">. През 2010 г. видът е регистриран в западната крайбрежна част на блатото в съобщества на папур и камъш </w:t>
      </w:r>
      <w:r w:rsidRPr="00EC3027">
        <w:rPr>
          <w:rFonts w:ascii="Times New Roman" w:eastAsia="Calibri" w:hAnsi="Times New Roman"/>
          <w:noProof/>
          <w:sz w:val="24"/>
          <w:szCs w:val="24"/>
          <w:lang w:val="en-US"/>
        </w:rPr>
        <w:t>(</w:t>
      </w:r>
      <w:r w:rsidRPr="00EC3027">
        <w:rPr>
          <w:rFonts w:ascii="Times New Roman" w:eastAsia="Calibri" w:hAnsi="Times New Roman"/>
          <w:noProof/>
          <w:sz w:val="24"/>
          <w:szCs w:val="24"/>
        </w:rPr>
        <w:t>Георгиев, Цонева, лично наблюдение</w:t>
      </w:r>
      <w:r w:rsidRPr="00EC3027">
        <w:rPr>
          <w:rFonts w:ascii="Times New Roman" w:eastAsia="Calibri" w:hAnsi="Times New Roman"/>
          <w:noProof/>
          <w:sz w:val="24"/>
          <w:szCs w:val="24"/>
          <w:lang w:val="en-US"/>
        </w:rPr>
        <w:t>)</w:t>
      </w:r>
      <w:r w:rsidRPr="00EC3027">
        <w:rPr>
          <w:rFonts w:ascii="Times New Roman" w:eastAsia="Calibri" w:hAnsi="Times New Roman"/>
          <w:noProof/>
          <w:sz w:val="24"/>
          <w:szCs w:val="24"/>
        </w:rPr>
        <w:t xml:space="preserve">. По проект „Картиране и определяне на природозащитното състояние на природни местообитания и видове – фаза І“, през месец септември 2012 г. видът не е регистриран на това място. През 2014 г. е проведена първата мониторингова сесия на </w:t>
      </w:r>
      <w:r w:rsidRPr="00EC3027">
        <w:rPr>
          <w:rFonts w:ascii="Times New Roman" w:eastAsia="Calibri" w:hAnsi="Times New Roman"/>
          <w:i/>
          <w:noProof/>
          <w:sz w:val="24"/>
          <w:szCs w:val="24"/>
        </w:rPr>
        <w:t>Aldrovanda vesiculosa</w:t>
      </w:r>
      <w:r w:rsidRPr="00EC3027">
        <w:rPr>
          <w:rFonts w:ascii="Times New Roman" w:eastAsia="Calibri" w:hAnsi="Times New Roman"/>
          <w:noProof/>
          <w:sz w:val="24"/>
          <w:szCs w:val="24"/>
        </w:rPr>
        <w:t xml:space="preserve"> в езерото Сребърна в същото находище, като част от мониторинга на висшите растения в НСМБР към ИАОС. Установено е, че плътността на популацията е 7,45 „млади връхни разклонения“</w:t>
      </w:r>
      <w:r w:rsidRPr="00EC3027">
        <w:rPr>
          <w:rFonts w:ascii="Times New Roman" w:eastAsia="Calibri" w:hAnsi="Times New Roman"/>
          <w:noProof/>
          <w:sz w:val="24"/>
          <w:szCs w:val="24"/>
          <w:lang w:val="en-US"/>
        </w:rPr>
        <w:t xml:space="preserve"> (</w:t>
      </w:r>
      <w:r w:rsidRPr="00EC3027">
        <w:rPr>
          <w:rFonts w:ascii="Times New Roman" w:eastAsia="Calibri" w:hAnsi="Times New Roman"/>
          <w:noProof/>
          <w:sz w:val="24"/>
          <w:szCs w:val="24"/>
        </w:rPr>
        <w:t>отчетна единица</w:t>
      </w:r>
      <w:r w:rsidRPr="00EC3027">
        <w:rPr>
          <w:rFonts w:ascii="Times New Roman" w:eastAsia="Calibri" w:hAnsi="Times New Roman"/>
          <w:noProof/>
          <w:sz w:val="24"/>
          <w:szCs w:val="24"/>
          <w:lang w:val="en-US"/>
        </w:rPr>
        <w:t>)</w:t>
      </w:r>
      <w:r w:rsidRPr="00EC3027">
        <w:rPr>
          <w:rFonts w:ascii="Times New Roman" w:eastAsia="Calibri" w:hAnsi="Times New Roman"/>
          <w:noProof/>
          <w:sz w:val="24"/>
          <w:szCs w:val="24"/>
        </w:rPr>
        <w:t xml:space="preserve"> на квадратен метър площ от 22 отчетни площадки.</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lastRenderedPageBreak/>
        <w:t xml:space="preserve">В актуализирания план за управление на Поддържан резерват „Сребърна“ (Заповед № РД – 565/13 октомври 2016 г.) </w:t>
      </w:r>
      <w:r w:rsidRPr="00EC3027">
        <w:rPr>
          <w:rFonts w:ascii="Times New Roman" w:eastAsia="Calibri" w:hAnsi="Times New Roman"/>
          <w:i/>
          <w:noProof/>
          <w:sz w:val="24"/>
          <w:szCs w:val="24"/>
        </w:rPr>
        <w:t>Aldrovanda vesiculosa</w:t>
      </w:r>
      <w:r w:rsidRPr="00EC3027">
        <w:rPr>
          <w:rFonts w:ascii="Times New Roman" w:eastAsia="Calibri" w:hAnsi="Times New Roman"/>
          <w:noProof/>
          <w:sz w:val="24"/>
          <w:szCs w:val="24"/>
        </w:rPr>
        <w:t xml:space="preserve"> е определена като приоритетен за опазване вид.</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 xml:space="preserve">В общия доклад за вида, публикуван в „Информационна система за защитени зони от екологичната мрежа Натура 2000 на МОСВ“, е посочено, че площта на потенциалните му местообитания в зоната е 6,39 </w:t>
      </w:r>
      <w:r w:rsidRPr="00EC3027">
        <w:rPr>
          <w:rFonts w:ascii="Times New Roman" w:eastAsia="Calibri" w:hAnsi="Times New Roman"/>
          <w:noProof/>
          <w:sz w:val="24"/>
          <w:szCs w:val="24"/>
          <w:lang w:val="en-US"/>
        </w:rPr>
        <w:t>ha</w:t>
      </w:r>
      <w:r w:rsidRPr="00EC3027">
        <w:rPr>
          <w:rFonts w:ascii="Times New Roman" w:eastAsia="Calibri" w:hAnsi="Times New Roman"/>
          <w:noProof/>
          <w:sz w:val="24"/>
          <w:szCs w:val="24"/>
        </w:rPr>
        <w:t xml:space="preserve">, а на оптималните 3,49 ha. Съгласно стандартния формуляр, </w:t>
      </w:r>
      <w:r w:rsidRPr="00EC3027">
        <w:rPr>
          <w:rFonts w:ascii="Times New Roman" w:eastAsia="Calibri" w:hAnsi="Times New Roman"/>
          <w:i/>
          <w:noProof/>
          <w:sz w:val="24"/>
          <w:szCs w:val="24"/>
          <w:lang w:val="en-US"/>
        </w:rPr>
        <w:t xml:space="preserve">Aldrovanda vesiculosa </w:t>
      </w:r>
      <w:r w:rsidRPr="00EC3027">
        <w:rPr>
          <w:rFonts w:ascii="Times New Roman" w:eastAsia="Calibri" w:hAnsi="Times New Roman"/>
          <w:noProof/>
          <w:sz w:val="24"/>
          <w:szCs w:val="24"/>
        </w:rPr>
        <w:t xml:space="preserve">в ЗЗ „Сребърна“ е с оценки: А – за популация (което означава, че популацията в зоната е с отлична представителност по размер и плътност в сравнение с популациите на национално ниво), B – за степен на опазване (добро опазване на характерните особености на природните местообитанията, които са важни за вида); А за изолация (изолирана популация) и </w:t>
      </w:r>
      <w:r w:rsidRPr="00EC3027">
        <w:rPr>
          <w:rFonts w:ascii="Times New Roman" w:eastAsia="Calibri" w:hAnsi="Times New Roman"/>
          <w:noProof/>
          <w:sz w:val="24"/>
          <w:szCs w:val="24"/>
          <w:lang w:val="en-US"/>
        </w:rPr>
        <w:t>A</w:t>
      </w:r>
      <w:r w:rsidRPr="00EC3027">
        <w:rPr>
          <w:rFonts w:ascii="Times New Roman" w:eastAsia="Calibri" w:hAnsi="Times New Roman"/>
          <w:noProof/>
          <w:sz w:val="24"/>
          <w:szCs w:val="24"/>
        </w:rPr>
        <w:t xml:space="preserve"> за общата оценка за зоната (отлична стойност на зоната за опазване на вида).</w:t>
      </w:r>
    </w:p>
    <w:p w:rsidR="00EC3027" w:rsidRPr="00EC3027" w:rsidRDefault="00EC3027" w:rsidP="00EC3027">
      <w:pPr>
        <w:spacing w:after="0" w:line="240" w:lineRule="auto"/>
        <w:jc w:val="both"/>
        <w:rPr>
          <w:rFonts w:ascii="Times New Roman" w:eastAsia="Calibri" w:hAnsi="Times New Roman"/>
          <w:noProof/>
          <w:sz w:val="24"/>
          <w:szCs w:val="24"/>
        </w:rPr>
      </w:pPr>
    </w:p>
    <w:tbl>
      <w:tblPr>
        <w:tblW w:w="5001"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07"/>
        <w:gridCol w:w="525"/>
        <w:gridCol w:w="1264"/>
        <w:gridCol w:w="292"/>
        <w:gridCol w:w="347"/>
        <w:gridCol w:w="292"/>
        <w:gridCol w:w="598"/>
        <w:gridCol w:w="631"/>
        <w:gridCol w:w="620"/>
        <w:gridCol w:w="604"/>
        <w:gridCol w:w="865"/>
        <w:gridCol w:w="941"/>
        <w:gridCol w:w="726"/>
        <w:gridCol w:w="604"/>
        <w:gridCol w:w="730"/>
      </w:tblGrid>
      <w:tr w:rsidR="00EC3027" w:rsidRPr="00EC3027" w:rsidTr="000C2232">
        <w:trPr>
          <w:tblCellSpacing w:w="15" w:type="dxa"/>
        </w:trPr>
        <w:tc>
          <w:tcPr>
            <w:tcW w:w="0" w:type="auto"/>
            <w:gridSpan w:val="5"/>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Species </w:t>
            </w:r>
          </w:p>
        </w:tc>
        <w:tc>
          <w:tcPr>
            <w:tcW w:w="0" w:type="auto"/>
            <w:gridSpan w:val="6"/>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Population in the site </w:t>
            </w:r>
          </w:p>
        </w:tc>
        <w:tc>
          <w:tcPr>
            <w:tcW w:w="0" w:type="auto"/>
            <w:gridSpan w:val="4"/>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Site assessment </w:t>
            </w:r>
          </w:p>
        </w:tc>
      </w:tr>
      <w:tr w:rsidR="00EC3027" w:rsidRPr="00EC3027" w:rsidTr="000C2232">
        <w:trPr>
          <w:tblCellSpacing w:w="15" w:type="dxa"/>
        </w:trPr>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G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Code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Scientific Name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NP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T </w:t>
            </w:r>
          </w:p>
        </w:tc>
        <w:tc>
          <w:tcPr>
            <w:tcW w:w="0" w:type="auto"/>
            <w:gridSpan w:val="2"/>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Size </w:t>
            </w:r>
          </w:p>
        </w:tc>
        <w:tc>
          <w:tcPr>
            <w:tcW w:w="0" w:type="auto"/>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Unit </w:t>
            </w:r>
          </w:p>
        </w:tc>
        <w:tc>
          <w:tcPr>
            <w:tcW w:w="0" w:type="auto"/>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Cat. </w:t>
            </w:r>
          </w:p>
        </w:tc>
        <w:tc>
          <w:tcPr>
            <w:tcW w:w="0" w:type="auto"/>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D.qual. </w:t>
            </w:r>
          </w:p>
        </w:tc>
        <w:tc>
          <w:tcPr>
            <w:tcW w:w="0" w:type="auto"/>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A|B|C|D </w:t>
            </w:r>
          </w:p>
        </w:tc>
        <w:tc>
          <w:tcPr>
            <w:tcW w:w="0" w:type="auto"/>
            <w:gridSpan w:val="3"/>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A|B|C </w:t>
            </w:r>
          </w:p>
        </w:tc>
      </w:tr>
      <w:tr w:rsidR="00EC3027" w:rsidRPr="00EC3027" w:rsidTr="000C2232">
        <w:trPr>
          <w:tblCellSpacing w:w="15" w:type="dxa"/>
        </w:trPr>
        <w:tc>
          <w:tcPr>
            <w:tcW w:w="136"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257"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779"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136"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165"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136"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357"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Min</w:t>
            </w:r>
          </w:p>
        </w:tc>
        <w:tc>
          <w:tcPr>
            <w:tcW w:w="357"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Max</w:t>
            </w:r>
          </w:p>
        </w:tc>
        <w:tc>
          <w:tcPr>
            <w:tcW w:w="306"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298"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p>
        </w:tc>
        <w:tc>
          <w:tcPr>
            <w:tcW w:w="433"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489"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Pop.</w:t>
            </w:r>
          </w:p>
        </w:tc>
        <w:tc>
          <w:tcPr>
            <w:tcW w:w="321"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Con</w:t>
            </w:r>
            <w:r w:rsidRPr="00EC3027">
              <w:rPr>
                <w:rFonts w:ascii="Times New Roman" w:eastAsia="Calibri" w:hAnsi="Times New Roman"/>
                <w:b/>
                <w:bCs/>
                <w:noProof/>
                <w:sz w:val="20"/>
                <w:szCs w:val="20"/>
                <w:lang w:val="en-US"/>
              </w:rPr>
              <w:t>s</w:t>
            </w:r>
            <w:r w:rsidRPr="00EC3027">
              <w:rPr>
                <w:rFonts w:ascii="Times New Roman" w:eastAsia="Calibri" w:hAnsi="Times New Roman"/>
                <w:b/>
                <w:bCs/>
                <w:noProof/>
                <w:sz w:val="20"/>
                <w:szCs w:val="20"/>
              </w:rPr>
              <w:t>.</w:t>
            </w:r>
          </w:p>
        </w:tc>
        <w:tc>
          <w:tcPr>
            <w:tcW w:w="284"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Iso</w:t>
            </w:r>
            <w:r w:rsidRPr="00EC3027">
              <w:rPr>
                <w:rFonts w:ascii="Times New Roman" w:eastAsia="Calibri" w:hAnsi="Times New Roman"/>
                <w:b/>
                <w:bCs/>
                <w:noProof/>
                <w:sz w:val="20"/>
                <w:szCs w:val="20"/>
                <w:lang w:val="en-US"/>
              </w:rPr>
              <w:t>l</w:t>
            </w:r>
            <w:r w:rsidRPr="00EC3027">
              <w:rPr>
                <w:rFonts w:ascii="Times New Roman" w:eastAsia="Calibri" w:hAnsi="Times New Roman"/>
                <w:b/>
                <w:bCs/>
                <w:noProof/>
                <w:sz w:val="20"/>
                <w:szCs w:val="20"/>
              </w:rPr>
              <w:t>.</w:t>
            </w:r>
          </w:p>
        </w:tc>
        <w:tc>
          <w:tcPr>
            <w:tcW w:w="298"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Glo</w:t>
            </w:r>
            <w:r w:rsidRPr="00EC3027">
              <w:rPr>
                <w:rFonts w:ascii="Times New Roman" w:eastAsia="Calibri" w:hAnsi="Times New Roman"/>
                <w:b/>
                <w:bCs/>
                <w:noProof/>
                <w:sz w:val="20"/>
                <w:szCs w:val="20"/>
                <w:lang w:val="en-US"/>
              </w:rPr>
              <w:t>b</w:t>
            </w:r>
            <w:r w:rsidRPr="00EC3027">
              <w:rPr>
                <w:rFonts w:ascii="Times New Roman" w:eastAsia="Calibri" w:hAnsi="Times New Roman"/>
                <w:b/>
                <w:bCs/>
                <w:noProof/>
                <w:sz w:val="20"/>
                <w:szCs w:val="20"/>
              </w:rPr>
              <w:t>.</w:t>
            </w:r>
          </w:p>
        </w:tc>
      </w:tr>
      <w:tr w:rsidR="00EC3027" w:rsidRPr="00EC3027" w:rsidTr="000C2232">
        <w:trPr>
          <w:tblCellSpacing w:w="15" w:type="dxa"/>
        </w:trPr>
        <w:tc>
          <w:tcPr>
            <w:tcW w:w="0" w:type="auto"/>
            <w:tcBorders>
              <w:top w:val="nil"/>
              <w:left w:val="single" w:sz="4" w:space="0" w:color="auto"/>
              <w:bottom w:val="single" w:sz="4" w:space="0" w:color="auto"/>
              <w:right w:val="single" w:sz="4" w:space="0" w:color="auto"/>
            </w:tcBorders>
            <w:shd w:val="clear" w:color="auto" w:fill="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P</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1516</w:t>
            </w:r>
          </w:p>
        </w:tc>
        <w:tc>
          <w:tcPr>
            <w:tcW w:w="0" w:type="auto"/>
          </w:tcPr>
          <w:p w:rsidR="00EC3027" w:rsidRPr="00EC3027" w:rsidRDefault="00EC3027" w:rsidP="00EC3027">
            <w:pPr>
              <w:spacing w:after="160" w:line="259" w:lineRule="auto"/>
              <w:rPr>
                <w:rFonts w:ascii="Times New Roman" w:eastAsia="Calibri" w:hAnsi="Times New Roman"/>
                <w:i/>
                <w:noProof/>
                <w:sz w:val="20"/>
                <w:szCs w:val="20"/>
                <w:lang w:val="en-US"/>
              </w:rPr>
            </w:pPr>
            <w:r w:rsidRPr="00EC3027">
              <w:rPr>
                <w:rFonts w:ascii="Times New Roman" w:eastAsia="Calibri" w:hAnsi="Times New Roman"/>
                <w:i/>
                <w:noProof/>
                <w:sz w:val="20"/>
                <w:szCs w:val="20"/>
                <w:lang w:val="en-US"/>
              </w:rPr>
              <w:t>Aldrovanda vesuculosa</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p</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34900</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98800</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area</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P</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M</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A</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B</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A</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A</w:t>
            </w:r>
          </w:p>
        </w:tc>
      </w:tr>
    </w:tbl>
    <w:p w:rsidR="00EC3027" w:rsidRPr="00EC3027" w:rsidRDefault="00EC3027" w:rsidP="00EC3027">
      <w:pPr>
        <w:spacing w:after="0" w:line="240" w:lineRule="auto"/>
        <w:jc w:val="both"/>
        <w:rPr>
          <w:rFonts w:ascii="Times New Roman" w:eastAsia="Calibri" w:hAnsi="Times New Roman"/>
          <w:noProof/>
          <w:sz w:val="24"/>
          <w:szCs w:val="24"/>
        </w:rPr>
      </w:pPr>
    </w:p>
    <w:p w:rsidR="00EC3027" w:rsidRPr="00EC3027" w:rsidRDefault="00EC3027" w:rsidP="00EC3027">
      <w:pPr>
        <w:spacing w:after="0" w:line="240" w:lineRule="auto"/>
        <w:jc w:val="both"/>
        <w:rPr>
          <w:rFonts w:ascii="Times New Roman" w:eastAsia="Calibri" w:hAnsi="Times New Roman"/>
          <w:b/>
          <w:noProof/>
          <w:sz w:val="24"/>
          <w:szCs w:val="24"/>
        </w:rPr>
      </w:pPr>
      <w:r w:rsidRPr="00EC3027">
        <w:rPr>
          <w:rFonts w:ascii="Times New Roman" w:eastAsia="Calibri" w:hAnsi="Times New Roman"/>
          <w:b/>
          <w:noProof/>
          <w:sz w:val="24"/>
          <w:szCs w:val="24"/>
        </w:rPr>
        <w:t>5. Анализ на наличната информация</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При определянето на природозащитните цели е използвана информацията за разпространението и състоянието на вида, предоставена в Информационната система за защитени зони от екологична мрежа Натура 2000, Докладванията по член 17 от 2013 г. и 2019 г., Проект DIR-5113024-1-48 „Теренни проучвания на разпространение на видове/оценка на състоянието на видове и хабитати на територията на цялата страна – I фаза” по ОП „Околна среда”.</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При работата по проект „Картиране и определяне на природозащитното състояние на природни местообитания и видове – фаза І“, през месец септември 2012 г. видът не е регистриран в езерото Сребърна.</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 xml:space="preserve">По време на теренните проучвания през 2021 г. в защитена зона „Сребърна“ видът е установен в западната крайбрежна част на блатото, в известното му находище. Площите определени при картирането през 2012 г. са получени чрез моделиране и липса на достатъчно данни </w:t>
      </w:r>
      <w:r w:rsidRPr="00EC3027">
        <w:rPr>
          <w:rFonts w:ascii="Times New Roman" w:eastAsia="Calibri" w:hAnsi="Times New Roman"/>
          <w:noProof/>
          <w:sz w:val="24"/>
          <w:szCs w:val="24"/>
          <w:lang w:val="en-US"/>
        </w:rPr>
        <w:t>(</w:t>
      </w:r>
      <w:r w:rsidRPr="00EC3027">
        <w:rPr>
          <w:rFonts w:ascii="Times New Roman" w:eastAsia="Calibri" w:hAnsi="Times New Roman"/>
          <w:noProof/>
          <w:sz w:val="24"/>
          <w:szCs w:val="24"/>
        </w:rPr>
        <w:t>при картирането видът не е установен</w:t>
      </w:r>
      <w:r w:rsidRPr="00EC3027">
        <w:rPr>
          <w:rFonts w:ascii="Times New Roman" w:eastAsia="Calibri" w:hAnsi="Times New Roman"/>
          <w:noProof/>
          <w:sz w:val="24"/>
          <w:szCs w:val="24"/>
          <w:lang w:val="en-US"/>
        </w:rPr>
        <w:t>)</w:t>
      </w:r>
      <w:r w:rsidRPr="00EC3027">
        <w:rPr>
          <w:rFonts w:ascii="Times New Roman" w:eastAsia="Calibri" w:hAnsi="Times New Roman"/>
          <w:noProof/>
          <w:sz w:val="24"/>
          <w:szCs w:val="24"/>
        </w:rPr>
        <w:t xml:space="preserve">, поради което не отразяват актуалното разпространение на вида в зоната. Въз основа на теренните наблюдения и критичен анализ на наличната информация приемаме, че площта от 0,06 </w:t>
      </w:r>
      <w:r w:rsidRPr="00EC3027">
        <w:rPr>
          <w:rFonts w:ascii="Times New Roman" w:eastAsia="Calibri" w:hAnsi="Times New Roman"/>
          <w:noProof/>
          <w:sz w:val="24"/>
          <w:szCs w:val="24"/>
          <w:lang w:val="en-US"/>
        </w:rPr>
        <w:t>ha</w:t>
      </w:r>
      <w:r w:rsidRPr="00EC3027">
        <w:rPr>
          <w:rFonts w:ascii="Times New Roman" w:eastAsia="Calibri" w:hAnsi="Times New Roman"/>
          <w:noProof/>
          <w:sz w:val="24"/>
          <w:szCs w:val="24"/>
        </w:rPr>
        <w:t xml:space="preserve">, определена в актуализирания план за управление на Поддържан резерват „Сребърна“, е подходяща да бъде приета за актуална площ на популацията в зоната. В СФ като максимална площ предлагаме да бъде записана площта от 3,49 </w:t>
      </w:r>
      <w:r w:rsidRPr="00EC3027">
        <w:rPr>
          <w:rFonts w:ascii="Times New Roman" w:eastAsia="Calibri" w:hAnsi="Times New Roman"/>
          <w:noProof/>
          <w:sz w:val="24"/>
          <w:szCs w:val="24"/>
          <w:lang w:val="en-US"/>
        </w:rPr>
        <w:t xml:space="preserve">ha, </w:t>
      </w:r>
      <w:r w:rsidRPr="00EC3027">
        <w:rPr>
          <w:rFonts w:ascii="Times New Roman" w:eastAsia="Calibri" w:hAnsi="Times New Roman"/>
          <w:noProof/>
          <w:sz w:val="24"/>
          <w:szCs w:val="24"/>
        </w:rPr>
        <w:t>която съответства на оптималната площ, определена по проекта за картиране през 2011-2012 г.</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Съгласно общия доклад за вида в Информационната система за защитени зони от екологична мрежа Натура 2000, благоприятната референтна популация трябва да има плътност от 30 или повече млади връхни разклонения на кв. метър от обитаваната площ през вегетационния период. Тези данни са насочващи и основа за бъдещи оценки, тъй като научните данни за екологичните и биологичните особености на популацията на вида в ез. Сребърна са недостатъчни.</w:t>
      </w:r>
    </w:p>
    <w:p w:rsidR="00EC3027" w:rsidRPr="00EC3027" w:rsidRDefault="00EC3027" w:rsidP="00EC3027">
      <w:pPr>
        <w:spacing w:after="0" w:line="240" w:lineRule="auto"/>
        <w:ind w:firstLine="720"/>
        <w:jc w:val="both"/>
        <w:rPr>
          <w:rFonts w:ascii="Times New Roman" w:eastAsia="Calibri" w:hAnsi="Times New Roman"/>
          <w:noProof/>
          <w:sz w:val="24"/>
          <w:szCs w:val="24"/>
          <w:lang w:val="en-US"/>
        </w:rPr>
      </w:pPr>
      <w:r w:rsidRPr="00EC3027">
        <w:rPr>
          <w:rFonts w:ascii="Times New Roman" w:eastAsia="Calibri" w:hAnsi="Times New Roman"/>
          <w:noProof/>
          <w:sz w:val="24"/>
          <w:szCs w:val="24"/>
        </w:rPr>
        <w:lastRenderedPageBreak/>
        <w:t>При определяне на целите, трябва да се има предвид, че мехурчестата алдрованда е вид с неустойчива численост на популациите – лесно може да изчезне от даден водоем при промяна на условията, но също има бърз апикален растеж и вегетативно размножаване и при подходящи условия бързо увеличава числеността си. Малки промени в местообитанието водят до силно понижаване числеността на вида. Този процес е нормален и популациите и фрагментите от тях са ограничени във времето. Обикновено видът се появява в близки места, където са налице подходящи условия за него. За успешното запазване на вида от ключово значение е именно наличието на места с подходящи условия. Най-важните екологични изисквания са: висока концентрация на CO</w:t>
      </w:r>
      <w:r w:rsidRPr="00EC3027">
        <w:rPr>
          <w:rFonts w:ascii="Times New Roman" w:eastAsia="Calibri" w:hAnsi="Times New Roman"/>
          <w:noProof/>
          <w:sz w:val="24"/>
          <w:szCs w:val="24"/>
          <w:vertAlign w:val="subscript"/>
        </w:rPr>
        <w:t>2</w:t>
      </w:r>
      <w:r w:rsidRPr="00EC3027">
        <w:rPr>
          <w:rFonts w:ascii="Times New Roman" w:eastAsia="Calibri" w:hAnsi="Times New Roman"/>
          <w:noProof/>
          <w:sz w:val="24"/>
          <w:szCs w:val="24"/>
        </w:rPr>
        <w:t xml:space="preserve"> във водата (над 0,1 mM); плитка вода от най-малко 0,1 m; местообитания без гъсти обраствания от нишковидни водорасли, потопени, свободно плаващи и крайбрежни растения; дебел слой от бавно разлагащи се растителни остатъци на дъното и обилен зоопланктон</w:t>
      </w:r>
      <w:r w:rsidRPr="00EC3027">
        <w:rPr>
          <w:rFonts w:ascii="Times New Roman" w:eastAsia="Calibri" w:hAnsi="Times New Roman"/>
          <w:noProof/>
          <w:sz w:val="24"/>
          <w:szCs w:val="24"/>
          <w:lang w:val="en-US"/>
        </w:rPr>
        <w:t xml:space="preserve"> (</w:t>
      </w:r>
      <w:r w:rsidRPr="00EC3027">
        <w:rPr>
          <w:rFonts w:ascii="Times New Roman" w:hAnsi="Times New Roman"/>
          <w:noProof/>
          <w:sz w:val="24"/>
          <w:szCs w:val="24"/>
          <w:lang w:val="en-US"/>
        </w:rPr>
        <w:t>Adamec 2018</w:t>
      </w:r>
      <w:r w:rsidRPr="00EC3027">
        <w:rPr>
          <w:rFonts w:ascii="Times New Roman" w:eastAsia="Calibri" w:hAnsi="Times New Roman"/>
          <w:noProof/>
          <w:sz w:val="24"/>
          <w:szCs w:val="24"/>
          <w:lang w:val="en-US"/>
        </w:rPr>
        <w:t xml:space="preserve">). </w:t>
      </w:r>
      <w:r w:rsidRPr="00EC3027">
        <w:rPr>
          <w:rFonts w:ascii="Times New Roman" w:eastAsia="Calibri" w:hAnsi="Times New Roman"/>
          <w:noProof/>
          <w:sz w:val="24"/>
          <w:szCs w:val="24"/>
        </w:rPr>
        <w:t>Основните заплахи за вида са еутрофикацията и спадане на водното ниво.</w:t>
      </w:r>
      <w:r w:rsidRPr="00EC3027">
        <w:rPr>
          <w:rFonts w:ascii="Times New Roman" w:eastAsia="Calibri" w:hAnsi="Times New Roman"/>
          <w:noProof/>
          <w:sz w:val="24"/>
          <w:szCs w:val="24"/>
          <w:lang w:val="en-US"/>
        </w:rPr>
        <w:t xml:space="preserve"> </w:t>
      </w:r>
      <w:r w:rsidRPr="00EC3027">
        <w:rPr>
          <w:rFonts w:ascii="Times New Roman" w:eastAsia="Calibri" w:hAnsi="Times New Roman"/>
          <w:noProof/>
          <w:sz w:val="24"/>
          <w:szCs w:val="24"/>
        </w:rPr>
        <w:t>Р</w:t>
      </w:r>
      <w:r w:rsidRPr="00EC3027">
        <w:rPr>
          <w:rFonts w:ascii="Times New Roman" w:eastAsia="Calibri" w:hAnsi="Times New Roman"/>
          <w:noProof/>
          <w:sz w:val="24"/>
          <w:szCs w:val="24"/>
          <w:lang w:val="en-US"/>
        </w:rPr>
        <w:t xml:space="preserve">епродуктивният потенциал </w:t>
      </w:r>
      <w:r w:rsidRPr="00EC3027">
        <w:rPr>
          <w:rFonts w:ascii="Times New Roman" w:eastAsia="Calibri" w:hAnsi="Times New Roman"/>
          <w:noProof/>
          <w:sz w:val="24"/>
          <w:szCs w:val="24"/>
        </w:rPr>
        <w:t>е</w:t>
      </w:r>
      <w:r w:rsidRPr="00EC3027">
        <w:rPr>
          <w:rFonts w:ascii="Times New Roman" w:eastAsia="Calibri" w:hAnsi="Times New Roman"/>
          <w:noProof/>
          <w:sz w:val="24"/>
          <w:szCs w:val="24"/>
          <w:lang w:val="en-US"/>
        </w:rPr>
        <w:t xml:space="preserve"> най-висок в плитки райони, </w:t>
      </w:r>
      <w:r w:rsidRPr="00EC3027">
        <w:rPr>
          <w:rFonts w:ascii="Times New Roman" w:eastAsia="Calibri" w:hAnsi="Times New Roman"/>
          <w:noProof/>
          <w:sz w:val="24"/>
          <w:szCs w:val="24"/>
        </w:rPr>
        <w:t xml:space="preserve">с </w:t>
      </w:r>
      <w:r w:rsidRPr="00EC3027">
        <w:rPr>
          <w:rFonts w:ascii="Times New Roman" w:eastAsia="Calibri" w:hAnsi="Times New Roman"/>
          <w:noProof/>
          <w:sz w:val="24"/>
          <w:szCs w:val="24"/>
          <w:lang w:val="en-US"/>
        </w:rPr>
        <w:t>дълбочина</w:t>
      </w:r>
      <w:r w:rsidRPr="00EC3027">
        <w:rPr>
          <w:rFonts w:ascii="Times New Roman" w:eastAsia="Calibri" w:hAnsi="Times New Roman"/>
          <w:noProof/>
          <w:sz w:val="24"/>
          <w:szCs w:val="24"/>
        </w:rPr>
        <w:t xml:space="preserve"> на водата 0,</w:t>
      </w:r>
      <w:r w:rsidRPr="00EC3027">
        <w:rPr>
          <w:rFonts w:ascii="Times New Roman" w:eastAsia="Calibri" w:hAnsi="Times New Roman"/>
          <w:noProof/>
          <w:sz w:val="24"/>
          <w:szCs w:val="24"/>
          <w:lang w:val="en-US"/>
        </w:rPr>
        <w:t>1–</w:t>
      </w:r>
      <w:r w:rsidRPr="00EC3027">
        <w:rPr>
          <w:rFonts w:ascii="Times New Roman" w:eastAsia="Calibri" w:hAnsi="Times New Roman"/>
          <w:noProof/>
          <w:sz w:val="24"/>
          <w:szCs w:val="24"/>
        </w:rPr>
        <w:t>0,</w:t>
      </w:r>
      <w:r w:rsidRPr="00EC3027">
        <w:rPr>
          <w:rFonts w:ascii="Times New Roman" w:eastAsia="Calibri" w:hAnsi="Times New Roman"/>
          <w:noProof/>
          <w:sz w:val="24"/>
          <w:szCs w:val="24"/>
          <w:lang w:val="en-US"/>
        </w:rPr>
        <w:t xml:space="preserve">5 m и в райони </w:t>
      </w:r>
      <w:r w:rsidRPr="00EC3027">
        <w:rPr>
          <w:rFonts w:ascii="Times New Roman" w:eastAsia="Calibri" w:hAnsi="Times New Roman"/>
          <w:noProof/>
          <w:sz w:val="24"/>
          <w:szCs w:val="24"/>
        </w:rPr>
        <w:t xml:space="preserve">с по-малко от </w:t>
      </w:r>
      <w:r w:rsidRPr="00EC3027">
        <w:rPr>
          <w:rFonts w:ascii="Times New Roman" w:eastAsia="Calibri" w:hAnsi="Times New Roman"/>
          <w:noProof/>
          <w:sz w:val="24"/>
          <w:szCs w:val="24"/>
          <w:lang w:val="en-US"/>
        </w:rPr>
        <w:t>50% естествено макрофитно покритие.</w:t>
      </w:r>
      <w:r w:rsidRPr="00EC3027">
        <w:rPr>
          <w:rFonts w:ascii="Times New Roman" w:eastAsia="Calibri" w:hAnsi="Times New Roman"/>
          <w:noProof/>
          <w:sz w:val="24"/>
          <w:szCs w:val="24"/>
        </w:rPr>
        <w:t xml:space="preserve"> Стенотопната екология на </w:t>
      </w:r>
      <w:r w:rsidRPr="00EC3027">
        <w:rPr>
          <w:rFonts w:ascii="Times New Roman" w:eastAsia="Calibri" w:hAnsi="Times New Roman"/>
          <w:i/>
          <w:noProof/>
          <w:sz w:val="24"/>
          <w:szCs w:val="24"/>
        </w:rPr>
        <w:t>A. vesiculosa</w:t>
      </w:r>
      <w:r w:rsidRPr="00EC3027">
        <w:rPr>
          <w:rFonts w:ascii="Times New Roman" w:eastAsia="Calibri" w:hAnsi="Times New Roman"/>
          <w:noProof/>
          <w:sz w:val="24"/>
          <w:szCs w:val="24"/>
        </w:rPr>
        <w:t xml:space="preserve"> и продължаващото намаляване на дистрофни сладководни влажни зони в световен мащаб доказват, че останалите естествени популации са силно чувствителни и е вероятно да намаляват бързо без адекватно управление </w:t>
      </w:r>
      <w:r w:rsidRPr="00EC3027">
        <w:rPr>
          <w:rFonts w:ascii="Times New Roman" w:eastAsia="Calibri" w:hAnsi="Times New Roman"/>
          <w:noProof/>
          <w:sz w:val="24"/>
          <w:szCs w:val="24"/>
          <w:lang w:val="en-US"/>
        </w:rPr>
        <w:t>(Cross al. 2015)</w:t>
      </w:r>
      <w:r w:rsidRPr="00EC3027">
        <w:rPr>
          <w:rFonts w:ascii="Times New Roman" w:eastAsia="Calibri" w:hAnsi="Times New Roman"/>
          <w:noProof/>
          <w:sz w:val="24"/>
          <w:szCs w:val="24"/>
        </w:rPr>
        <w:t>.</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При теренната работа през 2021 г. са направени следните изводи за настоящото състояние на вида, които са отразени в целите, представени в този документ:</w:t>
      </w:r>
    </w:p>
    <w:p w:rsidR="00EC3027" w:rsidRPr="00EC3027" w:rsidRDefault="00EC3027" w:rsidP="00635999">
      <w:pPr>
        <w:pStyle w:val="ListParagraph"/>
        <w:numPr>
          <w:ilvl w:val="0"/>
          <w:numId w:val="9"/>
        </w:numPr>
        <w:spacing w:after="0" w:line="240" w:lineRule="auto"/>
        <w:jc w:val="both"/>
        <w:rPr>
          <w:rFonts w:ascii="Times New Roman" w:eastAsia="Calibri" w:hAnsi="Times New Roman"/>
          <w:noProof/>
          <w:sz w:val="24"/>
          <w:szCs w:val="24"/>
        </w:rPr>
      </w:pPr>
      <w:r w:rsidRPr="00EC3027">
        <w:rPr>
          <w:rFonts w:ascii="Times New Roman" w:eastAsia="Calibri" w:hAnsi="Times New Roman"/>
          <w:noProof/>
          <w:sz w:val="24"/>
          <w:szCs w:val="24"/>
        </w:rPr>
        <w:t xml:space="preserve">Популацията на </w:t>
      </w:r>
      <w:r w:rsidRPr="00EC3027">
        <w:rPr>
          <w:rFonts w:ascii="Times New Roman" w:eastAsia="Calibri" w:hAnsi="Times New Roman"/>
          <w:i/>
          <w:noProof/>
          <w:sz w:val="24"/>
          <w:szCs w:val="24"/>
          <w:lang w:val="en-US"/>
        </w:rPr>
        <w:t>Aldrovanda vesiculosa</w:t>
      </w:r>
      <w:r w:rsidRPr="00EC3027">
        <w:rPr>
          <w:rFonts w:ascii="Times New Roman" w:eastAsia="Calibri" w:hAnsi="Times New Roman"/>
          <w:noProof/>
          <w:sz w:val="24"/>
          <w:szCs w:val="24"/>
        </w:rPr>
        <w:t xml:space="preserve"> е малочислена, регистрирани са единични индивиди. Съпътстващи видове са </w:t>
      </w:r>
      <w:r w:rsidRPr="00EC3027">
        <w:rPr>
          <w:rFonts w:ascii="Times New Roman" w:eastAsia="Calibri" w:hAnsi="Times New Roman"/>
          <w:i/>
          <w:noProof/>
          <w:sz w:val="24"/>
          <w:szCs w:val="24"/>
        </w:rPr>
        <w:t>Lemna trisulca, L. minor, Spirodela polyrrhiza, Salvinia natans, Stratiotes aloides, Utricularia vulgaris, Typha angustifolia, Phragmites australis</w:t>
      </w:r>
      <w:r w:rsidRPr="00EC3027">
        <w:rPr>
          <w:rFonts w:ascii="Times New Roman" w:eastAsia="Calibri" w:hAnsi="Times New Roman"/>
          <w:noProof/>
          <w:sz w:val="24"/>
          <w:szCs w:val="24"/>
        </w:rPr>
        <w:t>. Установената плътност на популацията е 3 млади връхни разклонения на квадратен метър и се приема като целева стойност при формиране на целите.</w:t>
      </w:r>
    </w:p>
    <w:p w:rsidR="00EC3027" w:rsidRPr="00EC3027" w:rsidRDefault="00EC3027" w:rsidP="00635999">
      <w:pPr>
        <w:pStyle w:val="ListParagraph"/>
        <w:numPr>
          <w:ilvl w:val="0"/>
          <w:numId w:val="9"/>
        </w:numPr>
        <w:spacing w:after="0" w:line="240" w:lineRule="auto"/>
        <w:jc w:val="both"/>
        <w:rPr>
          <w:rFonts w:ascii="Times New Roman" w:eastAsia="Calibri" w:hAnsi="Times New Roman"/>
          <w:noProof/>
          <w:sz w:val="24"/>
          <w:szCs w:val="24"/>
          <w:lang w:val="en-US"/>
        </w:rPr>
      </w:pPr>
      <w:r w:rsidRPr="00EC3027">
        <w:rPr>
          <w:rFonts w:ascii="Times New Roman" w:eastAsia="Calibri" w:hAnsi="Times New Roman"/>
          <w:noProof/>
          <w:sz w:val="24"/>
          <w:szCs w:val="24"/>
        </w:rPr>
        <w:t xml:space="preserve">Водният слой в местообитанието на алдровандата през септември 2021 г. е 0,30 </w:t>
      </w:r>
      <w:r w:rsidRPr="00EC3027">
        <w:rPr>
          <w:rFonts w:ascii="Times New Roman" w:eastAsia="Calibri" w:hAnsi="Times New Roman"/>
          <w:noProof/>
          <w:sz w:val="24"/>
          <w:szCs w:val="24"/>
          <w:lang w:val="en-US"/>
        </w:rPr>
        <w:t>m.</w:t>
      </w:r>
    </w:p>
    <w:p w:rsidR="00EC3027" w:rsidRPr="00EC3027" w:rsidRDefault="00EC3027" w:rsidP="00635999">
      <w:pPr>
        <w:pStyle w:val="ListParagraph"/>
        <w:numPr>
          <w:ilvl w:val="0"/>
          <w:numId w:val="9"/>
        </w:numPr>
        <w:spacing w:after="0" w:line="240" w:lineRule="auto"/>
        <w:jc w:val="both"/>
        <w:rPr>
          <w:rFonts w:ascii="Times New Roman" w:eastAsia="Calibri" w:hAnsi="Times New Roman"/>
          <w:noProof/>
          <w:sz w:val="24"/>
          <w:szCs w:val="24"/>
          <w:lang w:val="en-US"/>
        </w:rPr>
      </w:pPr>
      <w:r w:rsidRPr="00EC3027">
        <w:rPr>
          <w:rFonts w:ascii="Times New Roman" w:eastAsia="Calibri" w:hAnsi="Times New Roman"/>
          <w:noProof/>
          <w:sz w:val="24"/>
          <w:szCs w:val="24"/>
        </w:rPr>
        <w:t xml:space="preserve">Проективното покритие на високи хигрофити </w:t>
      </w:r>
      <w:r w:rsidRPr="00EC3027">
        <w:rPr>
          <w:rFonts w:ascii="Times New Roman" w:eastAsia="Calibri" w:hAnsi="Times New Roman"/>
          <w:noProof/>
          <w:sz w:val="24"/>
          <w:szCs w:val="24"/>
          <w:lang w:val="en-US"/>
        </w:rPr>
        <w:t>(</w:t>
      </w:r>
      <w:r w:rsidRPr="00EC3027">
        <w:rPr>
          <w:rFonts w:ascii="Times New Roman" w:eastAsia="Calibri" w:hAnsi="Times New Roman"/>
          <w:i/>
          <w:noProof/>
          <w:sz w:val="24"/>
          <w:szCs w:val="24"/>
          <w:lang w:val="en-US"/>
        </w:rPr>
        <w:t>Typha angustifolia, Phragmites australis</w:t>
      </w:r>
      <w:r w:rsidRPr="00EC3027">
        <w:rPr>
          <w:rFonts w:ascii="Times New Roman" w:eastAsia="Calibri" w:hAnsi="Times New Roman"/>
          <w:noProof/>
          <w:sz w:val="24"/>
          <w:szCs w:val="24"/>
          <w:lang w:val="en-US"/>
        </w:rPr>
        <w:t>)</w:t>
      </w:r>
      <w:r w:rsidRPr="00EC3027">
        <w:rPr>
          <w:rFonts w:ascii="Times New Roman" w:eastAsia="Calibri" w:hAnsi="Times New Roman"/>
          <w:noProof/>
          <w:sz w:val="24"/>
          <w:szCs w:val="24"/>
        </w:rPr>
        <w:t xml:space="preserve"> в местообитанието на вида е под </w:t>
      </w:r>
      <w:r w:rsidRPr="00EC3027">
        <w:rPr>
          <w:rFonts w:ascii="Times New Roman" w:eastAsia="Calibri" w:hAnsi="Times New Roman"/>
          <w:noProof/>
          <w:sz w:val="24"/>
          <w:szCs w:val="24"/>
          <w:lang w:val="en-US"/>
        </w:rPr>
        <w:t>6</w:t>
      </w:r>
      <w:r w:rsidRPr="00EC3027">
        <w:rPr>
          <w:rFonts w:ascii="Times New Roman" w:eastAsia="Calibri" w:hAnsi="Times New Roman"/>
          <w:noProof/>
          <w:sz w:val="24"/>
          <w:szCs w:val="24"/>
        </w:rPr>
        <w:t>0%.</w:t>
      </w:r>
    </w:p>
    <w:p w:rsidR="00EC3027" w:rsidRPr="00EC3027" w:rsidRDefault="00EC3027" w:rsidP="00EC3027">
      <w:pPr>
        <w:spacing w:after="0" w:line="240" w:lineRule="auto"/>
        <w:jc w:val="both"/>
        <w:rPr>
          <w:rFonts w:ascii="Times New Roman" w:eastAsia="Calibri" w:hAnsi="Times New Roman"/>
          <w:noProof/>
          <w:sz w:val="24"/>
          <w:szCs w:val="24"/>
          <w:lang w:val="en-US"/>
        </w:rPr>
      </w:pPr>
      <w:r w:rsidRPr="00EC3027">
        <w:rPr>
          <w:rFonts w:ascii="Times New Roman" w:eastAsia="Calibri" w:hAnsi="Times New Roman"/>
          <w:noProof/>
          <w:sz w:val="24"/>
          <w:szCs w:val="24"/>
        </w:rPr>
        <w:t xml:space="preserve">Препоръчва се ежегоден мониторинг на популацията в ЗЗ „Сребърна“. При необходимост може да се предприеме въвеждане на </w:t>
      </w:r>
      <w:r w:rsidRPr="00EC3027">
        <w:rPr>
          <w:rFonts w:ascii="Times New Roman" w:eastAsia="Calibri" w:hAnsi="Times New Roman"/>
          <w:i/>
          <w:noProof/>
          <w:sz w:val="24"/>
          <w:szCs w:val="24"/>
        </w:rPr>
        <w:t xml:space="preserve">Aldrovanda </w:t>
      </w:r>
      <w:r w:rsidRPr="00EC3027">
        <w:rPr>
          <w:rFonts w:ascii="Times New Roman" w:eastAsia="Calibri" w:hAnsi="Times New Roman"/>
          <w:i/>
          <w:noProof/>
          <w:sz w:val="24"/>
          <w:szCs w:val="24"/>
          <w:lang w:val="en-US"/>
        </w:rPr>
        <w:t>vesiculosa</w:t>
      </w:r>
      <w:r w:rsidRPr="00EC3027">
        <w:rPr>
          <w:rFonts w:ascii="Times New Roman" w:eastAsia="Calibri" w:hAnsi="Times New Roman"/>
          <w:noProof/>
          <w:sz w:val="24"/>
          <w:szCs w:val="24"/>
          <w:lang w:val="en-US"/>
        </w:rPr>
        <w:t xml:space="preserve"> </w:t>
      </w:r>
      <w:r w:rsidRPr="00EC3027">
        <w:rPr>
          <w:rFonts w:ascii="Times New Roman" w:eastAsia="Calibri" w:hAnsi="Times New Roman"/>
          <w:noProof/>
          <w:sz w:val="24"/>
          <w:szCs w:val="24"/>
        </w:rPr>
        <w:t>в други потенциално подходящи места в езерото за ефективно опазване и поддържане на популацията.</w:t>
      </w:r>
    </w:p>
    <w:p w:rsidR="00EC3027" w:rsidRPr="00EC3027" w:rsidRDefault="00EC3027" w:rsidP="00EC3027">
      <w:pPr>
        <w:spacing w:after="0" w:line="240" w:lineRule="auto"/>
        <w:jc w:val="both"/>
        <w:rPr>
          <w:rFonts w:ascii="Times New Roman" w:eastAsia="Calibri" w:hAnsi="Times New Roman"/>
          <w:noProof/>
          <w:sz w:val="24"/>
          <w:szCs w:val="24"/>
        </w:rPr>
      </w:pPr>
    </w:p>
    <w:p w:rsidR="00EC3027" w:rsidRPr="00EC3027" w:rsidRDefault="00EC3027" w:rsidP="00EC3027">
      <w:pPr>
        <w:spacing w:after="0" w:line="240" w:lineRule="auto"/>
        <w:jc w:val="both"/>
        <w:rPr>
          <w:rFonts w:ascii="Times New Roman" w:eastAsia="Calibri" w:hAnsi="Times New Roman"/>
          <w:b/>
          <w:noProof/>
          <w:sz w:val="24"/>
          <w:szCs w:val="24"/>
        </w:rPr>
      </w:pPr>
      <w:r w:rsidRPr="00EC3027">
        <w:rPr>
          <w:rFonts w:ascii="Times New Roman" w:eastAsia="Calibri" w:hAnsi="Times New Roman"/>
          <w:b/>
          <w:noProof/>
          <w:sz w:val="24"/>
          <w:szCs w:val="24"/>
        </w:rPr>
        <w:t>6. Цели за подобряване/поддържане на природозащитното състояние на вида в зоната</w:t>
      </w:r>
    </w:p>
    <w:p w:rsidR="00EC3027" w:rsidRPr="00EC3027" w:rsidRDefault="00EC3027" w:rsidP="00EC3027">
      <w:pPr>
        <w:spacing w:after="0" w:line="240" w:lineRule="auto"/>
        <w:ind w:firstLine="709"/>
        <w:jc w:val="both"/>
        <w:rPr>
          <w:rFonts w:ascii="Times New Roman" w:eastAsia="Calibri" w:hAnsi="Times New Roman"/>
          <w:noProof/>
          <w:sz w:val="24"/>
          <w:szCs w:val="24"/>
        </w:rPr>
      </w:pPr>
      <w:r w:rsidRPr="00EC3027">
        <w:rPr>
          <w:rFonts w:ascii="Times New Roman" w:eastAsia="Calibri" w:hAnsi="Times New Roman"/>
          <w:noProof/>
          <w:sz w:val="24"/>
          <w:szCs w:val="24"/>
        </w:rPr>
        <w:t>Целите са формулирани по параметри със съответни мерни единици и целеви стойности и са представени в таблицата по-долу.</w:t>
      </w:r>
    </w:p>
    <w:p w:rsidR="00EC3027" w:rsidRPr="00EC3027" w:rsidRDefault="00EC3027" w:rsidP="00EC3027">
      <w:pPr>
        <w:spacing w:after="0" w:line="240" w:lineRule="auto"/>
        <w:jc w:val="both"/>
        <w:rPr>
          <w:rFonts w:ascii="Times New Roman" w:eastAsia="Calibri" w:hAnsi="Times New Roman"/>
          <w:noProof/>
          <w:sz w:val="24"/>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591"/>
        <w:gridCol w:w="1533"/>
        <w:gridCol w:w="2247"/>
        <w:gridCol w:w="2567"/>
      </w:tblGrid>
      <w:tr w:rsidR="00EC3027" w:rsidRPr="00EC3027" w:rsidTr="000C2232">
        <w:trPr>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Параметър</w:t>
            </w:r>
          </w:p>
        </w:tc>
        <w:tc>
          <w:tcPr>
            <w:tcW w:w="159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Мерна единица</w:t>
            </w:r>
          </w:p>
        </w:tc>
        <w:tc>
          <w:tcPr>
            <w:tcW w:w="153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Целева стойност</w:t>
            </w:r>
          </w:p>
        </w:tc>
        <w:tc>
          <w:tcPr>
            <w:tcW w:w="224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Допълнителна информация</w:t>
            </w:r>
          </w:p>
        </w:tc>
        <w:tc>
          <w:tcPr>
            <w:tcW w:w="2567" w:type="dxa"/>
            <w:tcBorders>
              <w:top w:val="single" w:sz="4" w:space="0" w:color="auto"/>
              <w:left w:val="single" w:sz="4" w:space="0" w:color="auto"/>
              <w:bottom w:val="single" w:sz="4" w:space="0" w:color="auto"/>
              <w:right w:val="single" w:sz="4" w:space="0" w:color="auto"/>
            </w:tcBorders>
            <w:shd w:val="clear" w:color="auto" w:fill="DBE5F1"/>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Специфични природозащитни цели за защитената зона</w:t>
            </w:r>
          </w:p>
        </w:tc>
      </w:tr>
      <w:tr w:rsidR="00EC3027" w:rsidRPr="00EC3027" w:rsidTr="000C2232">
        <w:trPr>
          <w:jc w:val="center"/>
        </w:trPr>
        <w:tc>
          <w:tcPr>
            <w:tcW w:w="1838"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b/>
                <w:noProof/>
                <w:sz w:val="20"/>
                <w:szCs w:val="20"/>
              </w:rPr>
            </w:pPr>
            <w:r w:rsidRPr="00EC3027">
              <w:rPr>
                <w:rFonts w:ascii="Times New Roman" w:eastAsia="Calibri" w:hAnsi="Times New Roman"/>
                <w:b/>
                <w:noProof/>
                <w:sz w:val="20"/>
                <w:szCs w:val="20"/>
              </w:rPr>
              <w:t>Популация: Плътност</w:t>
            </w:r>
          </w:p>
        </w:tc>
        <w:tc>
          <w:tcPr>
            <w:tcW w:w="1591"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lang w:val="en-US"/>
              </w:rPr>
            </w:pPr>
            <w:r w:rsidRPr="00EC3027">
              <w:rPr>
                <w:rFonts w:ascii="Times New Roman" w:eastAsia="Calibri" w:hAnsi="Times New Roman"/>
                <w:noProof/>
                <w:sz w:val="20"/>
                <w:szCs w:val="20"/>
              </w:rPr>
              <w:t>Брой млади връхни разклонения /m</w:t>
            </w:r>
            <w:r w:rsidRPr="00EC3027">
              <w:rPr>
                <w:rFonts w:ascii="Times New Roman" w:eastAsia="Calibri" w:hAnsi="Times New Roman"/>
                <w:noProof/>
                <w:sz w:val="20"/>
                <w:szCs w:val="20"/>
                <w:vertAlign w:val="superscript"/>
              </w:rPr>
              <w:t>2</w:t>
            </w:r>
          </w:p>
        </w:tc>
        <w:tc>
          <w:tcPr>
            <w:tcW w:w="1533"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lang w:val="en-US"/>
              </w:rPr>
            </w:pPr>
            <w:r w:rsidRPr="00EC3027">
              <w:rPr>
                <w:rFonts w:ascii="Times New Roman" w:eastAsia="Calibri" w:hAnsi="Times New Roman"/>
                <w:noProof/>
                <w:sz w:val="20"/>
                <w:szCs w:val="20"/>
              </w:rPr>
              <w:t xml:space="preserve">Най-малко </w:t>
            </w:r>
            <w:r w:rsidRPr="00EC3027">
              <w:rPr>
                <w:rFonts w:ascii="Times New Roman" w:eastAsia="Calibri" w:hAnsi="Times New Roman"/>
                <w:noProof/>
                <w:sz w:val="20"/>
                <w:szCs w:val="20"/>
                <w:lang w:val="en-US"/>
              </w:rPr>
              <w:t xml:space="preserve">3 </w:t>
            </w:r>
            <w:r w:rsidRPr="00EC3027">
              <w:rPr>
                <w:rFonts w:ascii="Times New Roman" w:eastAsia="Calibri" w:hAnsi="Times New Roman"/>
                <w:noProof/>
                <w:sz w:val="20"/>
                <w:szCs w:val="20"/>
              </w:rPr>
              <w:t>млади връхни разклонения /m</w:t>
            </w:r>
            <w:r w:rsidRPr="00EC3027">
              <w:rPr>
                <w:rFonts w:ascii="Times New Roman" w:eastAsia="Calibri" w:hAnsi="Times New Roman"/>
                <w:noProof/>
                <w:sz w:val="20"/>
                <w:szCs w:val="20"/>
                <w:vertAlign w:val="superscript"/>
              </w:rPr>
              <w:t>2</w:t>
            </w:r>
          </w:p>
        </w:tc>
        <w:tc>
          <w:tcPr>
            <w:tcW w:w="224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Състоянието по този параметър се измерва по броя на младите връхни разклонения на единица площ.</w:t>
            </w:r>
          </w:p>
        </w:tc>
        <w:tc>
          <w:tcPr>
            <w:tcW w:w="256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Поддържане на състоянието – най-малко</w:t>
            </w:r>
            <w:r w:rsidRPr="00EC3027">
              <w:rPr>
                <w:rFonts w:ascii="Times New Roman" w:eastAsia="Calibri" w:hAnsi="Times New Roman"/>
                <w:noProof/>
                <w:sz w:val="20"/>
                <w:szCs w:val="20"/>
                <w:lang w:val="en-US"/>
              </w:rPr>
              <w:t xml:space="preserve"> 3</w:t>
            </w:r>
            <w:r w:rsidRPr="00EC3027">
              <w:rPr>
                <w:rFonts w:ascii="Times New Roman" w:eastAsia="Calibri" w:hAnsi="Times New Roman"/>
                <w:noProof/>
                <w:sz w:val="20"/>
                <w:szCs w:val="20"/>
              </w:rPr>
              <w:t xml:space="preserve"> млади връхни разклонения /m</w:t>
            </w:r>
            <w:r w:rsidRPr="00EC3027">
              <w:rPr>
                <w:rFonts w:ascii="Times New Roman" w:eastAsia="Calibri" w:hAnsi="Times New Roman"/>
                <w:noProof/>
                <w:sz w:val="20"/>
                <w:szCs w:val="20"/>
                <w:vertAlign w:val="superscript"/>
              </w:rPr>
              <w:t>2</w:t>
            </w:r>
            <w:r w:rsidRPr="00EC3027">
              <w:rPr>
                <w:rFonts w:ascii="Times New Roman" w:eastAsia="Calibri" w:hAnsi="Times New Roman"/>
                <w:noProof/>
                <w:sz w:val="20"/>
                <w:szCs w:val="20"/>
              </w:rPr>
              <w:t>.</w:t>
            </w:r>
          </w:p>
        </w:tc>
      </w:tr>
      <w:tr w:rsidR="00EC3027" w:rsidRPr="00EC3027" w:rsidTr="000C2232">
        <w:trPr>
          <w:jc w:val="center"/>
        </w:trPr>
        <w:tc>
          <w:tcPr>
            <w:tcW w:w="1838"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b/>
                <w:noProof/>
                <w:sz w:val="20"/>
                <w:szCs w:val="20"/>
              </w:rPr>
            </w:pPr>
            <w:r w:rsidRPr="00EC3027">
              <w:rPr>
                <w:rFonts w:ascii="Times New Roman" w:eastAsia="Calibri" w:hAnsi="Times New Roman"/>
                <w:b/>
                <w:noProof/>
                <w:sz w:val="20"/>
                <w:szCs w:val="20"/>
              </w:rPr>
              <w:t>Популация: Площ на популацията</w:t>
            </w:r>
          </w:p>
        </w:tc>
        <w:tc>
          <w:tcPr>
            <w:tcW w:w="1591"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ha</w:t>
            </w:r>
          </w:p>
        </w:tc>
        <w:tc>
          <w:tcPr>
            <w:tcW w:w="1533"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lang w:val="en-US"/>
              </w:rPr>
            </w:pPr>
            <w:r w:rsidRPr="00EC3027">
              <w:rPr>
                <w:rFonts w:ascii="Times New Roman" w:eastAsia="Calibri" w:hAnsi="Times New Roman"/>
                <w:noProof/>
                <w:sz w:val="20"/>
                <w:szCs w:val="20"/>
              </w:rPr>
              <w:t>Не по-малко от 0,06 ha</w:t>
            </w:r>
          </w:p>
        </w:tc>
        <w:tc>
          <w:tcPr>
            <w:tcW w:w="224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lang w:val="en-US"/>
              </w:rPr>
            </w:pPr>
          </w:p>
        </w:tc>
        <w:tc>
          <w:tcPr>
            <w:tcW w:w="256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Поддържане на площта на популацията от най-малко 0</w:t>
            </w:r>
            <w:r w:rsidRPr="00EC3027">
              <w:rPr>
                <w:rFonts w:ascii="Times New Roman" w:eastAsia="Calibri" w:hAnsi="Times New Roman"/>
                <w:noProof/>
                <w:sz w:val="20"/>
                <w:szCs w:val="20"/>
                <w:lang w:val="en-US"/>
              </w:rPr>
              <w:t>,</w:t>
            </w:r>
            <w:r w:rsidRPr="00EC3027">
              <w:rPr>
                <w:rFonts w:ascii="Times New Roman" w:eastAsia="Calibri" w:hAnsi="Times New Roman"/>
                <w:noProof/>
                <w:sz w:val="20"/>
                <w:szCs w:val="20"/>
              </w:rPr>
              <w:t>06</w:t>
            </w:r>
            <w:r w:rsidRPr="00EC3027">
              <w:rPr>
                <w:rFonts w:ascii="Times New Roman" w:eastAsia="Calibri" w:hAnsi="Times New Roman"/>
                <w:noProof/>
                <w:sz w:val="20"/>
                <w:szCs w:val="20"/>
                <w:lang w:val="en-US"/>
              </w:rPr>
              <w:t xml:space="preserve"> ha</w:t>
            </w:r>
            <w:r w:rsidRPr="00EC3027">
              <w:rPr>
                <w:rFonts w:ascii="Times New Roman" w:eastAsia="Calibri" w:hAnsi="Times New Roman"/>
                <w:noProof/>
                <w:sz w:val="20"/>
                <w:szCs w:val="20"/>
              </w:rPr>
              <w:t>.</w:t>
            </w:r>
          </w:p>
        </w:tc>
      </w:tr>
      <w:tr w:rsidR="00EC3027" w:rsidRPr="00EC3027" w:rsidTr="000C2232">
        <w:trPr>
          <w:jc w:val="center"/>
        </w:trPr>
        <w:tc>
          <w:tcPr>
            <w:tcW w:w="1838"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b/>
                <w:noProof/>
                <w:sz w:val="20"/>
                <w:szCs w:val="20"/>
              </w:rPr>
            </w:pPr>
            <w:r w:rsidRPr="00EC3027">
              <w:rPr>
                <w:rFonts w:ascii="Times New Roman" w:eastAsia="Calibri" w:hAnsi="Times New Roman"/>
                <w:b/>
                <w:noProof/>
                <w:sz w:val="20"/>
                <w:szCs w:val="20"/>
              </w:rPr>
              <w:lastRenderedPageBreak/>
              <w:t>Структура и функции</w:t>
            </w:r>
            <w:r w:rsidRPr="00EC3027">
              <w:rPr>
                <w:rFonts w:ascii="Times New Roman" w:eastAsia="Calibri" w:hAnsi="Times New Roman"/>
                <w:b/>
                <w:noProof/>
                <w:sz w:val="20"/>
                <w:szCs w:val="20"/>
                <w:lang w:val="en-US"/>
              </w:rPr>
              <w:t xml:space="preserve">: </w:t>
            </w:r>
            <w:r w:rsidRPr="00EC3027">
              <w:rPr>
                <w:rFonts w:ascii="Times New Roman" w:eastAsia="Calibri" w:hAnsi="Times New Roman"/>
                <w:b/>
                <w:noProof/>
                <w:sz w:val="20"/>
                <w:szCs w:val="20"/>
              </w:rPr>
              <w:t>Водоснабдяване на находището</w:t>
            </w:r>
          </w:p>
        </w:tc>
        <w:tc>
          <w:tcPr>
            <w:tcW w:w="1591"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m</w:t>
            </w:r>
          </w:p>
        </w:tc>
        <w:tc>
          <w:tcPr>
            <w:tcW w:w="1533"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Не по-малко от 0,1 m воден слой през вегетационния период</w:t>
            </w:r>
          </w:p>
        </w:tc>
        <w:tc>
          <w:tcPr>
            <w:tcW w:w="224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Отчита се чрез измерване на дълбочината на водния слой в периода на изследване.</w:t>
            </w:r>
          </w:p>
        </w:tc>
        <w:tc>
          <w:tcPr>
            <w:tcW w:w="256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Поддържане на състоянието – водния слой следва да бъде не по-малко от 0,1 m.</w:t>
            </w:r>
          </w:p>
        </w:tc>
      </w:tr>
      <w:tr w:rsidR="00EC3027" w:rsidRPr="00EC3027" w:rsidTr="000C2232">
        <w:trPr>
          <w:jc w:val="center"/>
        </w:trPr>
        <w:tc>
          <w:tcPr>
            <w:tcW w:w="1838"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b/>
                <w:noProof/>
                <w:sz w:val="20"/>
                <w:szCs w:val="20"/>
              </w:rPr>
            </w:pPr>
            <w:r w:rsidRPr="00EC3027">
              <w:rPr>
                <w:rFonts w:ascii="Times New Roman" w:eastAsia="Calibri" w:hAnsi="Times New Roman"/>
                <w:b/>
                <w:noProof/>
                <w:sz w:val="20"/>
                <w:szCs w:val="20"/>
              </w:rPr>
              <w:t>Структура и функции</w:t>
            </w:r>
            <w:r w:rsidRPr="00EC3027">
              <w:rPr>
                <w:rFonts w:ascii="Times New Roman" w:eastAsia="Calibri" w:hAnsi="Times New Roman"/>
                <w:b/>
                <w:noProof/>
                <w:sz w:val="20"/>
                <w:szCs w:val="20"/>
                <w:lang w:val="en-US"/>
              </w:rPr>
              <w:t xml:space="preserve">: </w:t>
            </w:r>
            <w:r w:rsidRPr="00EC3027">
              <w:rPr>
                <w:rFonts w:ascii="Times New Roman" w:eastAsia="Calibri" w:hAnsi="Times New Roman"/>
                <w:b/>
                <w:noProof/>
                <w:sz w:val="20"/>
                <w:szCs w:val="20"/>
              </w:rPr>
              <w:t>pH на водата</w:t>
            </w:r>
          </w:p>
        </w:tc>
        <w:tc>
          <w:tcPr>
            <w:tcW w:w="1591"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Скала за pH</w:t>
            </w:r>
          </w:p>
        </w:tc>
        <w:tc>
          <w:tcPr>
            <w:tcW w:w="1533"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pH = 5,0–7,6</w:t>
            </w:r>
          </w:p>
        </w:tc>
        <w:tc>
          <w:tcPr>
            <w:tcW w:w="224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Благоприятната киселинност на водата e в границите pH = 5,0–7,6.</w:t>
            </w:r>
          </w:p>
        </w:tc>
        <w:tc>
          <w:tcPr>
            <w:tcW w:w="256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Поддържане на състоянието – pH = 5,0–7,6.</w:t>
            </w:r>
          </w:p>
        </w:tc>
      </w:tr>
      <w:tr w:rsidR="00EC3027" w:rsidRPr="00EC3027" w:rsidTr="000C2232">
        <w:trPr>
          <w:jc w:val="center"/>
        </w:trPr>
        <w:tc>
          <w:tcPr>
            <w:tcW w:w="1838"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b/>
                <w:noProof/>
                <w:sz w:val="20"/>
                <w:szCs w:val="20"/>
              </w:rPr>
            </w:pPr>
            <w:r w:rsidRPr="00EC3027">
              <w:rPr>
                <w:rFonts w:ascii="Times New Roman" w:eastAsia="Calibri" w:hAnsi="Times New Roman"/>
                <w:b/>
                <w:noProof/>
                <w:sz w:val="20"/>
                <w:szCs w:val="20"/>
              </w:rPr>
              <w:t>Структура и функции</w:t>
            </w:r>
            <w:r w:rsidRPr="00EC3027">
              <w:rPr>
                <w:rFonts w:ascii="Times New Roman" w:eastAsia="Calibri" w:hAnsi="Times New Roman"/>
                <w:b/>
                <w:noProof/>
                <w:sz w:val="20"/>
                <w:szCs w:val="20"/>
                <w:lang w:val="en-US"/>
              </w:rPr>
              <w:t xml:space="preserve">: </w:t>
            </w:r>
            <w:r w:rsidRPr="00EC3027">
              <w:rPr>
                <w:rFonts w:ascii="Times New Roman" w:eastAsia="Calibri" w:hAnsi="Times New Roman"/>
                <w:b/>
                <w:noProof/>
                <w:sz w:val="20"/>
                <w:szCs w:val="20"/>
                <w:lang w:val="en-US"/>
              </w:rPr>
              <w:br/>
            </w:r>
            <w:r w:rsidRPr="00EC3027">
              <w:rPr>
                <w:rFonts w:ascii="Times New Roman" w:eastAsia="Calibri" w:hAnsi="Times New Roman"/>
                <w:b/>
                <w:noProof/>
                <w:sz w:val="20"/>
                <w:szCs w:val="20"/>
              </w:rPr>
              <w:t>Степен на обрастване с високи хигрофити</w:t>
            </w:r>
          </w:p>
        </w:tc>
        <w:tc>
          <w:tcPr>
            <w:tcW w:w="1591"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 проективно покритие на високи хигрофити</w:t>
            </w:r>
          </w:p>
        </w:tc>
        <w:tc>
          <w:tcPr>
            <w:tcW w:w="1533"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 xml:space="preserve">под </w:t>
            </w:r>
            <w:r w:rsidRPr="00EC3027">
              <w:rPr>
                <w:rFonts w:ascii="Times New Roman" w:eastAsia="Calibri" w:hAnsi="Times New Roman"/>
                <w:noProof/>
                <w:sz w:val="20"/>
                <w:szCs w:val="20"/>
                <w:lang w:val="en-US"/>
              </w:rPr>
              <w:t>6</w:t>
            </w:r>
            <w:r w:rsidRPr="00EC3027">
              <w:rPr>
                <w:rFonts w:ascii="Times New Roman" w:eastAsia="Calibri" w:hAnsi="Times New Roman"/>
                <w:noProof/>
                <w:sz w:val="20"/>
                <w:szCs w:val="20"/>
              </w:rPr>
              <w:t>0%</w:t>
            </w:r>
          </w:p>
        </w:tc>
        <w:tc>
          <w:tcPr>
            <w:tcW w:w="224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lang w:val="en-US"/>
              </w:rPr>
            </w:pPr>
            <w:r w:rsidRPr="00EC3027">
              <w:rPr>
                <w:rFonts w:ascii="Times New Roman" w:eastAsia="Calibri" w:hAnsi="Times New Roman"/>
                <w:noProof/>
                <w:sz w:val="20"/>
                <w:szCs w:val="20"/>
              </w:rPr>
              <w:t xml:space="preserve">Обрастване с високи хигрофити – </w:t>
            </w:r>
            <w:r w:rsidRPr="00EC3027">
              <w:rPr>
                <w:rFonts w:ascii="Times New Roman" w:eastAsia="Calibri" w:hAnsi="Times New Roman"/>
                <w:i/>
                <w:noProof/>
                <w:sz w:val="20"/>
                <w:szCs w:val="20"/>
                <w:lang w:val="en-US"/>
              </w:rPr>
              <w:t>Typha angustifolia, T. latifolia, Phragmites australis</w:t>
            </w:r>
            <w:r w:rsidRPr="00EC3027">
              <w:rPr>
                <w:rFonts w:ascii="Times New Roman" w:eastAsia="Calibri" w:hAnsi="Times New Roman"/>
                <w:noProof/>
                <w:sz w:val="20"/>
                <w:szCs w:val="20"/>
                <w:lang w:val="en-US"/>
              </w:rPr>
              <w:t>.</w:t>
            </w:r>
          </w:p>
        </w:tc>
        <w:tc>
          <w:tcPr>
            <w:tcW w:w="256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lang w:val="en-US"/>
              </w:rPr>
            </w:pPr>
            <w:r w:rsidRPr="00EC3027">
              <w:rPr>
                <w:rFonts w:ascii="Times New Roman" w:eastAsia="Calibri" w:hAnsi="Times New Roman"/>
                <w:noProof/>
                <w:sz w:val="20"/>
                <w:szCs w:val="20"/>
              </w:rPr>
              <w:t xml:space="preserve">Поддържане на състоянието – проективното покритие на високите хигрофити следва да е под </w:t>
            </w:r>
            <w:r w:rsidRPr="00EC3027">
              <w:rPr>
                <w:rFonts w:ascii="Times New Roman" w:eastAsia="Calibri" w:hAnsi="Times New Roman"/>
                <w:noProof/>
                <w:sz w:val="20"/>
                <w:szCs w:val="20"/>
                <w:lang w:val="en-US"/>
              </w:rPr>
              <w:t>6</w:t>
            </w:r>
            <w:r w:rsidRPr="00EC3027">
              <w:rPr>
                <w:rFonts w:ascii="Times New Roman" w:eastAsia="Calibri" w:hAnsi="Times New Roman"/>
                <w:noProof/>
                <w:sz w:val="20"/>
                <w:szCs w:val="20"/>
              </w:rPr>
              <w:t>0%</w:t>
            </w:r>
            <w:r w:rsidRPr="00EC3027">
              <w:rPr>
                <w:rFonts w:ascii="Times New Roman" w:eastAsia="Calibri" w:hAnsi="Times New Roman"/>
                <w:noProof/>
                <w:sz w:val="20"/>
                <w:szCs w:val="20"/>
                <w:lang w:val="en-US"/>
              </w:rPr>
              <w:t>.</w:t>
            </w:r>
          </w:p>
        </w:tc>
      </w:tr>
    </w:tbl>
    <w:p w:rsidR="00EC3027" w:rsidRPr="00EC3027" w:rsidRDefault="00EC3027" w:rsidP="00EC3027">
      <w:pPr>
        <w:spacing w:after="0" w:line="240" w:lineRule="auto"/>
        <w:rPr>
          <w:rFonts w:ascii="Times New Roman" w:eastAsia="Calibri" w:hAnsi="Times New Roman"/>
          <w:noProof/>
          <w:sz w:val="24"/>
          <w:szCs w:val="24"/>
        </w:rPr>
      </w:pPr>
    </w:p>
    <w:p w:rsidR="00EC3027" w:rsidRPr="00EC3027" w:rsidRDefault="00EC3027" w:rsidP="00EC3027">
      <w:pPr>
        <w:spacing w:after="0" w:line="240" w:lineRule="auto"/>
        <w:jc w:val="both"/>
        <w:rPr>
          <w:rFonts w:ascii="Times New Roman" w:eastAsia="Calibri" w:hAnsi="Times New Roman"/>
          <w:b/>
          <w:noProof/>
          <w:sz w:val="24"/>
          <w:szCs w:val="24"/>
        </w:rPr>
      </w:pPr>
      <w:r w:rsidRPr="00EC3027">
        <w:rPr>
          <w:rFonts w:ascii="Times New Roman" w:eastAsia="Calibri" w:hAnsi="Times New Roman"/>
          <w:b/>
          <w:noProof/>
          <w:sz w:val="24"/>
          <w:szCs w:val="24"/>
        </w:rPr>
        <w:t xml:space="preserve">7. </w:t>
      </w:r>
      <w:r w:rsidRPr="00EC3027">
        <w:rPr>
          <w:rFonts w:ascii="Times New Roman" w:eastAsia="Calibri" w:hAnsi="Times New Roman"/>
          <w:b/>
          <w:bCs/>
          <w:noProof/>
          <w:sz w:val="24"/>
          <w:szCs w:val="24"/>
          <w:lang w:eastAsia="bg-BG"/>
        </w:rPr>
        <w:t>Необходимост от актуализация на СФ на защитената зона</w:t>
      </w:r>
    </w:p>
    <w:p w:rsidR="00EC3027" w:rsidRPr="00EC3027" w:rsidRDefault="00EC3027" w:rsidP="00EC3027">
      <w:pPr>
        <w:spacing w:after="0" w:line="240" w:lineRule="auto"/>
        <w:ind w:firstLine="709"/>
        <w:jc w:val="both"/>
        <w:rPr>
          <w:rFonts w:ascii="Times New Roman" w:eastAsia="Calibri" w:hAnsi="Times New Roman"/>
          <w:noProof/>
          <w:sz w:val="24"/>
          <w:szCs w:val="24"/>
        </w:rPr>
      </w:pPr>
      <w:r w:rsidRPr="00EC3027">
        <w:rPr>
          <w:rFonts w:ascii="Times New Roman" w:eastAsia="Calibri" w:hAnsi="Times New Roman"/>
          <w:sz w:val="24"/>
          <w:szCs w:val="24"/>
        </w:rPr>
        <w:t>Въз основа на събраната информация е необходима промяна в стандартния формуляр на защитената зона. Променени са минималната и максималната площ.</w:t>
      </w:r>
    </w:p>
    <w:p w:rsidR="00EC3027" w:rsidRPr="00EC3027" w:rsidRDefault="00EC3027" w:rsidP="00EC3027">
      <w:pPr>
        <w:spacing w:after="0" w:line="240" w:lineRule="auto"/>
        <w:jc w:val="both"/>
        <w:rPr>
          <w:rFonts w:ascii="Times New Roman" w:eastAsia="Calibri" w:hAnsi="Times New Roman"/>
          <w:noProof/>
          <w:sz w:val="24"/>
          <w:szCs w:val="24"/>
        </w:rPr>
      </w:pPr>
    </w:p>
    <w:tbl>
      <w:tblPr>
        <w:tblW w:w="4917" w:type="pct"/>
        <w:tblCellSpacing w:w="15"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07"/>
        <w:gridCol w:w="525"/>
        <w:gridCol w:w="1107"/>
        <w:gridCol w:w="292"/>
        <w:gridCol w:w="347"/>
        <w:gridCol w:w="292"/>
        <w:gridCol w:w="598"/>
        <w:gridCol w:w="631"/>
        <w:gridCol w:w="620"/>
        <w:gridCol w:w="604"/>
        <w:gridCol w:w="865"/>
        <w:gridCol w:w="941"/>
        <w:gridCol w:w="726"/>
        <w:gridCol w:w="604"/>
        <w:gridCol w:w="730"/>
      </w:tblGrid>
      <w:tr w:rsidR="00EC3027" w:rsidRPr="00EC3027" w:rsidTr="000C2232">
        <w:trPr>
          <w:tblCellSpacing w:w="15" w:type="dxa"/>
        </w:trPr>
        <w:tc>
          <w:tcPr>
            <w:tcW w:w="0" w:type="auto"/>
            <w:gridSpan w:val="5"/>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Species </w:t>
            </w:r>
          </w:p>
        </w:tc>
        <w:tc>
          <w:tcPr>
            <w:tcW w:w="0" w:type="auto"/>
            <w:gridSpan w:val="6"/>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Population in the site </w:t>
            </w:r>
          </w:p>
        </w:tc>
        <w:tc>
          <w:tcPr>
            <w:tcW w:w="0" w:type="auto"/>
            <w:gridSpan w:val="4"/>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Site assessment </w:t>
            </w:r>
          </w:p>
        </w:tc>
      </w:tr>
      <w:tr w:rsidR="00EC3027" w:rsidRPr="00EC3027" w:rsidTr="000C2232">
        <w:trPr>
          <w:tblCellSpacing w:w="15" w:type="dxa"/>
        </w:trPr>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G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Code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Scientific Name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NP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T </w:t>
            </w:r>
          </w:p>
        </w:tc>
        <w:tc>
          <w:tcPr>
            <w:tcW w:w="0" w:type="auto"/>
            <w:gridSpan w:val="2"/>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Size </w:t>
            </w:r>
          </w:p>
        </w:tc>
        <w:tc>
          <w:tcPr>
            <w:tcW w:w="0" w:type="auto"/>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Unit </w:t>
            </w:r>
          </w:p>
        </w:tc>
        <w:tc>
          <w:tcPr>
            <w:tcW w:w="0" w:type="auto"/>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Cat. </w:t>
            </w:r>
          </w:p>
        </w:tc>
        <w:tc>
          <w:tcPr>
            <w:tcW w:w="0" w:type="auto"/>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D.qual. </w:t>
            </w:r>
          </w:p>
        </w:tc>
        <w:tc>
          <w:tcPr>
            <w:tcW w:w="0" w:type="auto"/>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A|B|C|D </w:t>
            </w:r>
          </w:p>
        </w:tc>
        <w:tc>
          <w:tcPr>
            <w:tcW w:w="0" w:type="auto"/>
            <w:gridSpan w:val="3"/>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A|B|C </w:t>
            </w:r>
          </w:p>
        </w:tc>
      </w:tr>
      <w:tr w:rsidR="00EC3027" w:rsidRPr="00EC3027" w:rsidTr="000C2232">
        <w:trPr>
          <w:tblCellSpacing w:w="15" w:type="dxa"/>
        </w:trPr>
        <w:tc>
          <w:tcPr>
            <w:tcW w:w="138"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261"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718"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138"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167"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138"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300"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Min</w:t>
            </w:r>
          </w:p>
        </w:tc>
        <w:tc>
          <w:tcPr>
            <w:tcW w:w="317"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Max</w:t>
            </w:r>
          </w:p>
        </w:tc>
        <w:tc>
          <w:tcPr>
            <w:tcW w:w="311"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303"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p>
        </w:tc>
        <w:tc>
          <w:tcPr>
            <w:tcW w:w="441"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481"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Pop.</w:t>
            </w:r>
          </w:p>
        </w:tc>
        <w:tc>
          <w:tcPr>
            <w:tcW w:w="367"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Con</w:t>
            </w:r>
            <w:r w:rsidRPr="00EC3027">
              <w:rPr>
                <w:rFonts w:ascii="Times New Roman" w:eastAsia="Calibri" w:hAnsi="Times New Roman"/>
                <w:b/>
                <w:bCs/>
                <w:noProof/>
                <w:sz w:val="20"/>
                <w:szCs w:val="20"/>
                <w:lang w:val="en-US"/>
              </w:rPr>
              <w:t>s</w:t>
            </w:r>
            <w:r w:rsidRPr="00EC3027">
              <w:rPr>
                <w:rFonts w:ascii="Times New Roman" w:eastAsia="Calibri" w:hAnsi="Times New Roman"/>
                <w:b/>
                <w:bCs/>
                <w:noProof/>
                <w:sz w:val="20"/>
                <w:szCs w:val="20"/>
              </w:rPr>
              <w:t>.</w:t>
            </w:r>
          </w:p>
        </w:tc>
        <w:tc>
          <w:tcPr>
            <w:tcW w:w="303"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Iso</w:t>
            </w:r>
            <w:r w:rsidRPr="00EC3027">
              <w:rPr>
                <w:rFonts w:ascii="Times New Roman" w:eastAsia="Calibri" w:hAnsi="Times New Roman"/>
                <w:b/>
                <w:bCs/>
                <w:noProof/>
                <w:sz w:val="20"/>
                <w:szCs w:val="20"/>
                <w:lang w:val="en-US"/>
              </w:rPr>
              <w:t>l</w:t>
            </w:r>
            <w:r w:rsidRPr="00EC3027">
              <w:rPr>
                <w:rFonts w:ascii="Times New Roman" w:eastAsia="Calibri" w:hAnsi="Times New Roman"/>
                <w:b/>
                <w:bCs/>
                <w:noProof/>
                <w:sz w:val="20"/>
                <w:szCs w:val="20"/>
              </w:rPr>
              <w:t>.</w:t>
            </w:r>
          </w:p>
        </w:tc>
        <w:tc>
          <w:tcPr>
            <w:tcW w:w="362"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Glo</w:t>
            </w:r>
            <w:r w:rsidRPr="00EC3027">
              <w:rPr>
                <w:rFonts w:ascii="Times New Roman" w:eastAsia="Calibri" w:hAnsi="Times New Roman"/>
                <w:b/>
                <w:bCs/>
                <w:noProof/>
                <w:sz w:val="20"/>
                <w:szCs w:val="20"/>
                <w:lang w:val="en-US"/>
              </w:rPr>
              <w:t>b</w:t>
            </w:r>
            <w:r w:rsidRPr="00EC3027">
              <w:rPr>
                <w:rFonts w:ascii="Times New Roman" w:eastAsia="Calibri" w:hAnsi="Times New Roman"/>
                <w:b/>
                <w:bCs/>
                <w:noProof/>
                <w:sz w:val="20"/>
                <w:szCs w:val="20"/>
              </w:rPr>
              <w:t>.</w:t>
            </w:r>
          </w:p>
        </w:tc>
      </w:tr>
      <w:tr w:rsidR="00EC3027" w:rsidRPr="00EC3027" w:rsidTr="000C2232">
        <w:trPr>
          <w:tblCellSpacing w:w="15" w:type="dxa"/>
        </w:trPr>
        <w:tc>
          <w:tcPr>
            <w:tcW w:w="0" w:type="auto"/>
            <w:tcBorders>
              <w:top w:val="nil"/>
              <w:left w:val="single" w:sz="4" w:space="0" w:color="auto"/>
              <w:bottom w:val="single" w:sz="4" w:space="0" w:color="auto"/>
              <w:right w:val="single" w:sz="4" w:space="0" w:color="auto"/>
            </w:tcBorders>
            <w:shd w:val="clear" w:color="auto" w:fill="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P</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1516</w:t>
            </w:r>
          </w:p>
        </w:tc>
        <w:tc>
          <w:tcPr>
            <w:tcW w:w="0" w:type="auto"/>
          </w:tcPr>
          <w:p w:rsidR="00EC3027" w:rsidRPr="00EC3027" w:rsidRDefault="00EC3027" w:rsidP="00EC3027">
            <w:pPr>
              <w:spacing w:after="160" w:line="259" w:lineRule="auto"/>
              <w:rPr>
                <w:rFonts w:ascii="Times New Roman" w:eastAsia="Calibri" w:hAnsi="Times New Roman"/>
                <w:i/>
                <w:noProof/>
                <w:sz w:val="20"/>
                <w:szCs w:val="20"/>
                <w:lang w:val="en-US"/>
              </w:rPr>
            </w:pPr>
            <w:r w:rsidRPr="00EC3027">
              <w:rPr>
                <w:rFonts w:ascii="Times New Roman" w:eastAsia="Calibri" w:hAnsi="Times New Roman"/>
                <w:i/>
                <w:noProof/>
                <w:sz w:val="20"/>
                <w:szCs w:val="20"/>
                <w:lang w:val="en-US"/>
              </w:rPr>
              <w:t>Aldrovanda vesuculosa</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p</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color w:val="FF0000"/>
                <w:sz w:val="20"/>
                <w:szCs w:val="20"/>
              </w:rPr>
              <w:t>6</w:t>
            </w:r>
            <w:r w:rsidRPr="00EC3027">
              <w:rPr>
                <w:rFonts w:ascii="Times New Roman" w:eastAsia="Calibri" w:hAnsi="Times New Roman"/>
                <w:noProof/>
                <w:color w:val="FF0000"/>
                <w:sz w:val="20"/>
                <w:szCs w:val="20"/>
                <w:lang w:val="en-US"/>
              </w:rPr>
              <w:t>00</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color w:val="FF0000"/>
                <w:sz w:val="20"/>
                <w:szCs w:val="20"/>
                <w:lang w:val="en-US"/>
              </w:rPr>
              <w:t>34900</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area</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P</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M</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A</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B</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A</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A</w:t>
            </w:r>
          </w:p>
        </w:tc>
      </w:tr>
    </w:tbl>
    <w:p w:rsidR="00EC3027" w:rsidRPr="00EC3027" w:rsidRDefault="00EC3027" w:rsidP="00EC3027">
      <w:pPr>
        <w:spacing w:after="0" w:line="240" w:lineRule="auto"/>
        <w:jc w:val="both"/>
        <w:rPr>
          <w:rFonts w:ascii="Times New Roman" w:eastAsia="Calibri" w:hAnsi="Times New Roman"/>
          <w:sz w:val="24"/>
          <w:szCs w:val="24"/>
        </w:rPr>
      </w:pPr>
      <w:r w:rsidRPr="00EC3027">
        <w:rPr>
          <w:rFonts w:ascii="Times New Roman" w:eastAsia="Calibri" w:hAnsi="Times New Roman"/>
          <w:sz w:val="24"/>
          <w:szCs w:val="24"/>
        </w:rPr>
        <w:t>Забележка: промените са отбелязани в червено.</w:t>
      </w:r>
    </w:p>
    <w:p w:rsidR="00EC3027" w:rsidRPr="00EC3027" w:rsidRDefault="00EC3027" w:rsidP="00EC3027">
      <w:pPr>
        <w:spacing w:after="0" w:line="240" w:lineRule="auto"/>
        <w:jc w:val="both"/>
        <w:rPr>
          <w:rFonts w:ascii="Times New Roman" w:eastAsia="Calibri" w:hAnsi="Times New Roman"/>
          <w:noProof/>
          <w:sz w:val="24"/>
          <w:szCs w:val="24"/>
        </w:rPr>
      </w:pPr>
    </w:p>
    <w:p w:rsidR="00EC3027" w:rsidRPr="00EC3027" w:rsidRDefault="00EC3027" w:rsidP="00EC3027">
      <w:pPr>
        <w:spacing w:after="0" w:line="240" w:lineRule="auto"/>
        <w:jc w:val="both"/>
        <w:rPr>
          <w:rFonts w:ascii="Times New Roman" w:eastAsia="Calibri" w:hAnsi="Times New Roman"/>
          <w:b/>
          <w:noProof/>
          <w:sz w:val="24"/>
          <w:szCs w:val="24"/>
        </w:rPr>
      </w:pPr>
      <w:r w:rsidRPr="00EC3027">
        <w:rPr>
          <w:rFonts w:ascii="Times New Roman" w:eastAsia="Calibri" w:hAnsi="Times New Roman"/>
          <w:b/>
          <w:noProof/>
          <w:sz w:val="24"/>
          <w:szCs w:val="24"/>
        </w:rPr>
        <w:t>8. Цитирана литература</w:t>
      </w:r>
    </w:p>
    <w:p w:rsidR="00EC3027" w:rsidRPr="00EC3027" w:rsidRDefault="00EC3027" w:rsidP="00EC3027">
      <w:pPr>
        <w:spacing w:after="0" w:line="240" w:lineRule="auto"/>
        <w:ind w:left="851" w:hanging="851"/>
        <w:jc w:val="both"/>
        <w:rPr>
          <w:rFonts w:ascii="Times New Roman" w:hAnsi="Times New Roman"/>
          <w:noProof/>
          <w:sz w:val="24"/>
          <w:szCs w:val="24"/>
        </w:rPr>
      </w:pPr>
      <w:r w:rsidRPr="00EC3027">
        <w:rPr>
          <w:rFonts w:ascii="Times New Roman" w:hAnsi="Times New Roman"/>
          <w:noProof/>
          <w:sz w:val="24"/>
          <w:szCs w:val="24"/>
        </w:rPr>
        <w:t>Актуализиран план за управление на поддържан резерват „Сребърна“. 2016-2025 г. МОСВ.</w:t>
      </w:r>
    </w:p>
    <w:p w:rsidR="00EC3027" w:rsidRPr="00EC3027" w:rsidRDefault="00EC3027" w:rsidP="00EC3027">
      <w:pPr>
        <w:spacing w:after="0" w:line="240" w:lineRule="auto"/>
        <w:ind w:left="851" w:hanging="851"/>
        <w:jc w:val="both"/>
        <w:rPr>
          <w:rFonts w:ascii="Times New Roman" w:hAnsi="Times New Roman"/>
          <w:noProof/>
          <w:sz w:val="24"/>
          <w:szCs w:val="24"/>
        </w:rPr>
      </w:pPr>
      <w:r w:rsidRPr="00EC3027">
        <w:rPr>
          <w:rFonts w:ascii="Times New Roman" w:hAnsi="Times New Roman"/>
          <w:noProof/>
          <w:sz w:val="24"/>
          <w:szCs w:val="24"/>
        </w:rPr>
        <w:t>Баева, Г. 1988. Екологична характеристика на висшите растения и растителността на биосферния резерват „Сребърна”. Кандидатска дисертация. Институт по ботаника, БАН.</w:t>
      </w:r>
    </w:p>
    <w:p w:rsidR="00EC3027" w:rsidRPr="00EC3027" w:rsidRDefault="00EC3027" w:rsidP="00EC3027">
      <w:pPr>
        <w:spacing w:after="0" w:line="240" w:lineRule="auto"/>
        <w:ind w:left="851" w:hanging="851"/>
        <w:jc w:val="both"/>
        <w:rPr>
          <w:rFonts w:ascii="Times New Roman" w:hAnsi="Times New Roman"/>
          <w:noProof/>
          <w:sz w:val="24"/>
          <w:szCs w:val="24"/>
        </w:rPr>
      </w:pPr>
      <w:r w:rsidRPr="00EC3027">
        <w:rPr>
          <w:rFonts w:ascii="Times New Roman" w:hAnsi="Times New Roman"/>
          <w:noProof/>
          <w:sz w:val="24"/>
          <w:szCs w:val="24"/>
        </w:rPr>
        <w:t>Баева, Г. 1992. Флористичен състав на биосферния резерват  „Сребърна”. – Год. Соф. Унив. „Св. Кл. Охридски” Биол. фак., 2 Бот. 83: 27-38.</w:t>
      </w:r>
    </w:p>
    <w:p w:rsidR="00EC3027" w:rsidRPr="00EC3027" w:rsidRDefault="00EC3027" w:rsidP="00EC3027">
      <w:pPr>
        <w:spacing w:after="0" w:line="240" w:lineRule="auto"/>
        <w:ind w:left="851" w:hanging="851"/>
        <w:jc w:val="both"/>
        <w:rPr>
          <w:rFonts w:ascii="Times New Roman" w:hAnsi="Times New Roman"/>
          <w:noProof/>
          <w:sz w:val="24"/>
          <w:szCs w:val="24"/>
        </w:rPr>
      </w:pPr>
      <w:r w:rsidRPr="00EC3027">
        <w:rPr>
          <w:rFonts w:ascii="Times New Roman" w:hAnsi="Times New Roman"/>
          <w:noProof/>
          <w:sz w:val="24"/>
          <w:szCs w:val="24"/>
        </w:rPr>
        <w:t>Йорданов, Д. 1929. Бележки върху флората на България. – Изв. Бълг. бот. друж. 3: 65-74.</w:t>
      </w:r>
    </w:p>
    <w:p w:rsidR="00EC3027" w:rsidRPr="00EC3027" w:rsidRDefault="00EC3027" w:rsidP="00EC3027">
      <w:pPr>
        <w:spacing w:after="0" w:line="240" w:lineRule="auto"/>
        <w:ind w:left="851" w:hanging="851"/>
        <w:jc w:val="both"/>
        <w:rPr>
          <w:rFonts w:ascii="Times New Roman" w:eastAsia="Calibri" w:hAnsi="Times New Roman"/>
          <w:noProof/>
          <w:sz w:val="24"/>
          <w:szCs w:val="24"/>
        </w:rPr>
      </w:pPr>
      <w:r w:rsidRPr="00EC3027">
        <w:rPr>
          <w:rFonts w:ascii="Times New Roman" w:eastAsia="Calibri" w:hAnsi="Times New Roman"/>
          <w:noProof/>
          <w:sz w:val="24"/>
          <w:szCs w:val="24"/>
        </w:rPr>
        <w:t>Мешинев, Т. 2015. Алдрованда (</w:t>
      </w:r>
      <w:r w:rsidRPr="00EC3027">
        <w:rPr>
          <w:rFonts w:ascii="Times New Roman" w:eastAsia="Calibri" w:hAnsi="Times New Roman"/>
          <w:i/>
          <w:noProof/>
          <w:sz w:val="24"/>
          <w:szCs w:val="24"/>
          <w:lang w:val="en-US"/>
        </w:rPr>
        <w:t>Aldrovanda vesiculosa</w:t>
      </w:r>
      <w:r w:rsidRPr="00EC3027">
        <w:rPr>
          <w:rFonts w:ascii="Times New Roman" w:eastAsia="Calibri" w:hAnsi="Times New Roman"/>
          <w:noProof/>
          <w:sz w:val="24"/>
          <w:szCs w:val="24"/>
        </w:rPr>
        <w:t xml:space="preserve"> L.). – В: Пеев Д., Петрова А., Анчев М., Темнискова Д., Денчев Ц., Ганева А., Гусев Ч., Владимиров В. (ред.). Червена книга на Република България. Том 1. Растения и гъби. ИБЕИ – БАН &amp; МОСВ, София, сс. 1</w:t>
      </w:r>
      <w:r w:rsidRPr="00EC3027">
        <w:rPr>
          <w:rFonts w:ascii="Times New Roman" w:eastAsia="Calibri" w:hAnsi="Times New Roman"/>
          <w:noProof/>
          <w:sz w:val="24"/>
          <w:szCs w:val="24"/>
          <w:lang w:val="en-US"/>
        </w:rPr>
        <w:t>78</w:t>
      </w:r>
      <w:r w:rsidRPr="00EC3027">
        <w:rPr>
          <w:rFonts w:ascii="Times New Roman" w:eastAsia="Calibri" w:hAnsi="Times New Roman"/>
          <w:noProof/>
          <w:sz w:val="24"/>
          <w:szCs w:val="24"/>
        </w:rPr>
        <w:t>.</w:t>
      </w:r>
    </w:p>
    <w:p w:rsidR="00EC3027" w:rsidRPr="00EC3027" w:rsidRDefault="00EC3027" w:rsidP="00EC3027">
      <w:pPr>
        <w:spacing w:after="0" w:line="240" w:lineRule="auto"/>
        <w:ind w:left="851" w:hanging="851"/>
        <w:rPr>
          <w:rFonts w:ascii="Times New Roman" w:eastAsia="Calibri" w:hAnsi="Times New Roman"/>
          <w:bCs/>
          <w:noProof/>
          <w:sz w:val="24"/>
          <w:szCs w:val="24"/>
        </w:rPr>
      </w:pPr>
      <w:r w:rsidRPr="00EC3027">
        <w:rPr>
          <w:rFonts w:ascii="Times New Roman" w:eastAsia="Calibri" w:hAnsi="Times New Roman"/>
          <w:bCs/>
          <w:noProof/>
          <w:sz w:val="24"/>
          <w:szCs w:val="24"/>
        </w:rPr>
        <w:t xml:space="preserve">Министерство на околната среда и водите (МОСВ). Информационна система за защитени зони от екологична мрежа Натура 2000. </w:t>
      </w:r>
      <w:hyperlink r:id="rId36" w:history="1">
        <w:r w:rsidRPr="00EC3027">
          <w:rPr>
            <w:rFonts w:ascii="Times New Roman" w:eastAsia="Calibri" w:hAnsi="Times New Roman"/>
            <w:bCs/>
            <w:noProof/>
            <w:color w:val="0563C1"/>
            <w:sz w:val="24"/>
            <w:szCs w:val="24"/>
            <w:u w:val="single"/>
          </w:rPr>
          <w:t>http://natura2000.moew.government.bg/Home/Natura2000ProtectedSites</w:t>
        </w:r>
      </w:hyperlink>
      <w:r w:rsidRPr="00EC3027">
        <w:rPr>
          <w:rFonts w:ascii="Times New Roman" w:eastAsia="Calibri" w:hAnsi="Times New Roman"/>
          <w:bCs/>
          <w:noProof/>
          <w:sz w:val="24"/>
          <w:szCs w:val="24"/>
        </w:rPr>
        <w:t>. Последно посетен на 20.10.2021.</w:t>
      </w:r>
    </w:p>
    <w:p w:rsidR="00EC3027" w:rsidRPr="00EC3027" w:rsidRDefault="00EC3027" w:rsidP="00EC3027">
      <w:pPr>
        <w:spacing w:after="0" w:line="240" w:lineRule="auto"/>
        <w:ind w:left="851" w:hanging="851"/>
        <w:jc w:val="both"/>
        <w:rPr>
          <w:rFonts w:ascii="Times New Roman" w:hAnsi="Times New Roman"/>
          <w:noProof/>
          <w:sz w:val="24"/>
          <w:szCs w:val="24"/>
        </w:rPr>
      </w:pPr>
      <w:r w:rsidRPr="00EC3027">
        <w:rPr>
          <w:rFonts w:ascii="Times New Roman" w:hAnsi="Times New Roman"/>
          <w:noProof/>
          <w:sz w:val="24"/>
          <w:szCs w:val="24"/>
        </w:rPr>
        <w:lastRenderedPageBreak/>
        <w:t xml:space="preserve">Петрова, А. 2009. </w:t>
      </w:r>
      <w:r w:rsidRPr="00EC3027">
        <w:rPr>
          <w:rFonts w:ascii="Times New Roman" w:hAnsi="Times New Roman"/>
          <w:i/>
          <w:noProof/>
          <w:sz w:val="24"/>
          <w:szCs w:val="24"/>
          <w:lang w:val="en-US"/>
        </w:rPr>
        <w:t>Aldrovanda vesiculosa</w:t>
      </w:r>
      <w:r w:rsidRPr="00EC3027">
        <w:rPr>
          <w:rFonts w:ascii="Times New Roman" w:hAnsi="Times New Roman"/>
          <w:noProof/>
          <w:sz w:val="24"/>
          <w:szCs w:val="24"/>
        </w:rPr>
        <w:t xml:space="preserve">. В: Зингстра, Х., Ковачев, А., Китнаес, К., Цонев, Р., Димова, Д., Цветков, П. (ред.)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w:t>
      </w:r>
      <w:r w:rsidRPr="00EC3027">
        <w:rPr>
          <w:rFonts w:ascii="Times New Roman" w:hAnsi="Times New Roman"/>
          <w:noProof/>
          <w:sz w:val="24"/>
          <w:szCs w:val="24"/>
          <w:lang w:val="en-US"/>
        </w:rPr>
        <w:t>590</w:t>
      </w:r>
      <w:r w:rsidRPr="00EC3027">
        <w:rPr>
          <w:rFonts w:ascii="Times New Roman" w:hAnsi="Times New Roman"/>
          <w:noProof/>
          <w:sz w:val="24"/>
          <w:szCs w:val="24"/>
        </w:rPr>
        <w:t>-</w:t>
      </w:r>
      <w:r w:rsidRPr="00EC3027">
        <w:rPr>
          <w:rFonts w:ascii="Times New Roman" w:hAnsi="Times New Roman"/>
          <w:noProof/>
          <w:sz w:val="24"/>
          <w:szCs w:val="24"/>
          <w:lang w:val="en-US"/>
        </w:rPr>
        <w:t>593</w:t>
      </w:r>
      <w:r w:rsidRPr="00EC3027">
        <w:rPr>
          <w:rFonts w:ascii="Times New Roman" w:hAnsi="Times New Roman"/>
          <w:noProof/>
          <w:sz w:val="24"/>
          <w:szCs w:val="24"/>
        </w:rPr>
        <w:t>.</w:t>
      </w:r>
    </w:p>
    <w:p w:rsidR="00EC3027" w:rsidRPr="00EC3027" w:rsidRDefault="00EC3027" w:rsidP="00EC3027">
      <w:pPr>
        <w:spacing w:after="0" w:line="240" w:lineRule="auto"/>
        <w:ind w:left="851" w:hanging="851"/>
        <w:jc w:val="both"/>
        <w:rPr>
          <w:rFonts w:ascii="Times New Roman" w:hAnsi="Times New Roman"/>
          <w:noProof/>
          <w:sz w:val="24"/>
          <w:szCs w:val="24"/>
          <w:lang w:val="en-US"/>
        </w:rPr>
      </w:pPr>
      <w:r w:rsidRPr="00EC3027">
        <w:rPr>
          <w:rFonts w:ascii="Times New Roman" w:hAnsi="Times New Roman"/>
          <w:noProof/>
          <w:sz w:val="24"/>
          <w:szCs w:val="24"/>
          <w:lang w:val="en-US"/>
        </w:rPr>
        <w:t xml:space="preserve">Adamec, L. </w:t>
      </w:r>
      <w:r w:rsidRPr="00EC3027">
        <w:rPr>
          <w:rFonts w:ascii="Times New Roman" w:hAnsi="Times New Roman"/>
          <w:noProof/>
          <w:sz w:val="24"/>
          <w:szCs w:val="24"/>
        </w:rPr>
        <w:t>2018</w:t>
      </w:r>
      <w:r w:rsidRPr="00EC3027">
        <w:rPr>
          <w:rFonts w:ascii="Times New Roman" w:hAnsi="Times New Roman"/>
          <w:noProof/>
          <w:sz w:val="24"/>
          <w:szCs w:val="24"/>
          <w:lang w:val="en-US"/>
        </w:rPr>
        <w:t xml:space="preserve">. Biological flora of Central Europe: </w:t>
      </w:r>
      <w:r w:rsidRPr="00EC3027">
        <w:rPr>
          <w:rFonts w:ascii="Times New Roman" w:hAnsi="Times New Roman"/>
          <w:i/>
          <w:noProof/>
          <w:sz w:val="24"/>
          <w:szCs w:val="24"/>
          <w:lang w:val="en-US"/>
        </w:rPr>
        <w:t>Aldrovanda vesiculosa</w:t>
      </w:r>
      <w:r w:rsidRPr="00EC3027">
        <w:rPr>
          <w:rFonts w:ascii="Times New Roman" w:hAnsi="Times New Roman"/>
          <w:noProof/>
          <w:sz w:val="24"/>
          <w:szCs w:val="24"/>
          <w:lang w:val="en-US"/>
        </w:rPr>
        <w:t xml:space="preserve"> L. </w:t>
      </w:r>
      <w:r w:rsidRPr="00EC3027">
        <w:rPr>
          <w:rFonts w:ascii="Times New Roman" w:hAnsi="Times New Roman"/>
          <w:noProof/>
          <w:sz w:val="24"/>
          <w:szCs w:val="24"/>
        </w:rPr>
        <w:t>Perspectives in Plant Ecology, Evolution and Systematics 35</w:t>
      </w:r>
      <w:r w:rsidRPr="00EC3027">
        <w:rPr>
          <w:rFonts w:ascii="Times New Roman" w:hAnsi="Times New Roman"/>
          <w:noProof/>
          <w:sz w:val="24"/>
          <w:szCs w:val="24"/>
          <w:lang w:val="en-US"/>
        </w:rPr>
        <w:t>:</w:t>
      </w:r>
      <w:r w:rsidRPr="00EC3027">
        <w:rPr>
          <w:rFonts w:ascii="Times New Roman" w:hAnsi="Times New Roman"/>
          <w:noProof/>
          <w:sz w:val="24"/>
          <w:szCs w:val="24"/>
        </w:rPr>
        <w:t xml:space="preserve"> 8–21</w:t>
      </w:r>
      <w:r w:rsidRPr="00EC3027">
        <w:rPr>
          <w:rFonts w:ascii="Times New Roman" w:hAnsi="Times New Roman"/>
          <w:noProof/>
          <w:sz w:val="24"/>
          <w:szCs w:val="24"/>
          <w:lang w:val="en-US"/>
        </w:rPr>
        <w:t>.</w:t>
      </w:r>
    </w:p>
    <w:p w:rsidR="00EC3027" w:rsidRPr="00EC3027" w:rsidRDefault="00EC3027" w:rsidP="00EC3027">
      <w:pPr>
        <w:spacing w:after="0" w:line="240" w:lineRule="auto"/>
        <w:ind w:left="851" w:hanging="851"/>
        <w:jc w:val="both"/>
        <w:rPr>
          <w:rFonts w:ascii="Times New Roman" w:hAnsi="Times New Roman"/>
          <w:noProof/>
          <w:sz w:val="24"/>
          <w:szCs w:val="24"/>
          <w:lang w:val="en-US"/>
        </w:rPr>
      </w:pPr>
      <w:r w:rsidRPr="00EC3027">
        <w:rPr>
          <w:rFonts w:ascii="Times New Roman" w:hAnsi="Times New Roman"/>
          <w:noProof/>
          <w:sz w:val="24"/>
          <w:szCs w:val="24"/>
          <w:lang w:val="en-US"/>
        </w:rPr>
        <w:t>Cross, A., Skates, L., Adamec, L., Hammond, C., Sheridan, P., Dixon, K. 2015. Freshwater Biology. © 2015 John Wiley &amp; Sons Ltd, doi: 10.1111/fwb.12609</w:t>
      </w:r>
    </w:p>
    <w:p w:rsidR="00EC3027" w:rsidRPr="00EC3027" w:rsidRDefault="00EC3027" w:rsidP="00EC3027">
      <w:pPr>
        <w:spacing w:after="0" w:line="240" w:lineRule="auto"/>
        <w:ind w:left="851" w:hanging="851"/>
        <w:jc w:val="both"/>
        <w:rPr>
          <w:rFonts w:ascii="Times New Roman" w:hAnsi="Times New Roman"/>
          <w:noProof/>
          <w:sz w:val="24"/>
          <w:szCs w:val="24"/>
        </w:rPr>
      </w:pPr>
      <w:r w:rsidRPr="00EC3027">
        <w:rPr>
          <w:rFonts w:ascii="Times New Roman" w:hAnsi="Times New Roman"/>
          <w:noProof/>
          <w:sz w:val="24"/>
          <w:szCs w:val="24"/>
        </w:rPr>
        <w:t>European commission. The State of Nature in the EU – Article 17 reporting. https://ec.europa.eu/environment/nature/knowledge/rep_habitats/index_en.htm. Last visited on 18.09.2021.</w:t>
      </w:r>
    </w:p>
    <w:p w:rsidR="00EC3027" w:rsidRPr="00EC3027" w:rsidRDefault="00EC3027" w:rsidP="00EC3027">
      <w:pPr>
        <w:spacing w:after="0" w:line="240" w:lineRule="auto"/>
        <w:ind w:left="851" w:hanging="851"/>
        <w:jc w:val="both"/>
        <w:rPr>
          <w:rFonts w:ascii="Times New Roman" w:hAnsi="Times New Roman"/>
          <w:noProof/>
          <w:sz w:val="24"/>
          <w:szCs w:val="24"/>
        </w:rPr>
      </w:pPr>
      <w:r w:rsidRPr="00EC3027">
        <w:rPr>
          <w:rFonts w:ascii="Times New Roman" w:hAnsi="Times New Roman"/>
          <w:noProof/>
          <w:sz w:val="24"/>
          <w:szCs w:val="24"/>
        </w:rPr>
        <w:t>Meshinev, T. 2009. Aldrovanda vesiculosa L. – In: Petrova &amp; Vladimirov (eds), Red List of Bulgarian vascular plants. – Phytol. Balcan., 15(1): 63-94.</w:t>
      </w:r>
    </w:p>
    <w:p w:rsidR="00EC3027" w:rsidRPr="00EC3027" w:rsidRDefault="00EC3027" w:rsidP="00EC3027">
      <w:pPr>
        <w:spacing w:after="0" w:line="240" w:lineRule="auto"/>
        <w:ind w:left="851" w:hanging="851"/>
        <w:jc w:val="both"/>
        <w:rPr>
          <w:rFonts w:ascii="Times New Roman" w:hAnsi="Times New Roman"/>
          <w:noProof/>
          <w:sz w:val="24"/>
          <w:szCs w:val="24"/>
          <w:lang w:val="en-US"/>
        </w:rPr>
      </w:pPr>
      <w:r w:rsidRPr="00EC3027">
        <w:rPr>
          <w:rFonts w:ascii="Times New Roman" w:hAnsi="Times New Roman"/>
          <w:noProof/>
          <w:sz w:val="24"/>
          <w:szCs w:val="24"/>
        </w:rPr>
        <w:t>Traykov, I., Tosheva., A. 2020. Macrophyte reintroduction in a small sandpit lake after habitat restoration. Book of abstracts</w:t>
      </w:r>
      <w:r w:rsidRPr="00EC3027">
        <w:rPr>
          <w:rFonts w:ascii="Times New Roman" w:hAnsi="Times New Roman"/>
          <w:noProof/>
          <w:sz w:val="24"/>
          <w:szCs w:val="24"/>
          <w:lang w:val="en-US"/>
        </w:rPr>
        <w:t>, 27-28</w:t>
      </w:r>
      <w:r w:rsidRPr="00EC3027">
        <w:rPr>
          <w:rFonts w:ascii="Times New Roman" w:hAnsi="Times New Roman"/>
          <w:noProof/>
          <w:sz w:val="24"/>
          <w:szCs w:val="24"/>
        </w:rPr>
        <w:t>. International Scientific Conference on Restoration of Conservation-Reliant Species and Habitats</w:t>
      </w:r>
      <w:r w:rsidRPr="00EC3027">
        <w:rPr>
          <w:rFonts w:ascii="Times New Roman" w:hAnsi="Times New Roman"/>
          <w:noProof/>
          <w:sz w:val="24"/>
          <w:szCs w:val="24"/>
          <w:lang w:val="en-US"/>
        </w:rPr>
        <w:t>. 6-th November 2020, Sofia. Sofia University St. Kliment Ohridski, Faculty of Biology.</w:t>
      </w:r>
    </w:p>
    <w:p w:rsidR="00EC3027" w:rsidRPr="00EC3027" w:rsidRDefault="00EC3027" w:rsidP="00EC3027">
      <w:pPr>
        <w:spacing w:after="0" w:line="240" w:lineRule="auto"/>
        <w:jc w:val="both"/>
        <w:rPr>
          <w:rFonts w:ascii="Times New Roman" w:eastAsia="Calibri" w:hAnsi="Times New Roman"/>
          <w:noProof/>
          <w:sz w:val="24"/>
          <w:szCs w:val="24"/>
          <w:lang w:val="en-US"/>
        </w:rPr>
      </w:pPr>
    </w:p>
    <w:p w:rsidR="00EC3027" w:rsidRPr="00EC3027" w:rsidRDefault="00EC3027" w:rsidP="00EC3027">
      <w:pPr>
        <w:spacing w:after="0" w:line="240" w:lineRule="auto"/>
        <w:jc w:val="both"/>
        <w:rPr>
          <w:rFonts w:ascii="Times New Roman" w:eastAsia="Calibri" w:hAnsi="Times New Roman"/>
          <w:noProof/>
          <w:sz w:val="24"/>
          <w:szCs w:val="24"/>
          <w:lang w:val="en-US"/>
        </w:rPr>
      </w:pPr>
      <w:r w:rsidRPr="00EC3027">
        <w:rPr>
          <w:rFonts w:ascii="Times New Roman" w:eastAsia="Calibri" w:hAnsi="Times New Roman"/>
          <w:i/>
          <w:noProof/>
          <w:sz w:val="24"/>
          <w:szCs w:val="24"/>
          <w:lang w:val="en-US"/>
        </w:rPr>
        <w:t>Автори на текста</w:t>
      </w:r>
      <w:r w:rsidRPr="00EC3027">
        <w:rPr>
          <w:rFonts w:ascii="Times New Roman" w:eastAsia="Calibri" w:hAnsi="Times New Roman"/>
          <w:noProof/>
          <w:sz w:val="24"/>
          <w:szCs w:val="24"/>
          <w:lang w:val="en-US"/>
        </w:rPr>
        <w:t>: Росен Цонев, Чавдар Гусев, Валери Георгиев, Соня Цонева</w:t>
      </w:r>
    </w:p>
    <w:p w:rsidR="00EC3027" w:rsidRPr="00EC3027" w:rsidRDefault="00EC3027" w:rsidP="00EC3027">
      <w:pPr>
        <w:spacing w:after="0" w:line="240" w:lineRule="auto"/>
        <w:ind w:left="720" w:hanging="720"/>
        <w:jc w:val="both"/>
        <w:rPr>
          <w:rFonts w:ascii="Times New Roman" w:eastAsia="Calibri" w:hAnsi="Times New Roman"/>
          <w:noProof/>
          <w:sz w:val="24"/>
          <w:szCs w:val="24"/>
          <w:lang w:val="en-US"/>
        </w:rPr>
      </w:pPr>
    </w:p>
    <w:p w:rsidR="00EC3027" w:rsidRDefault="00EC3027" w:rsidP="0070678B">
      <w:pPr>
        <w:rPr>
          <w:rFonts w:ascii="Times New Roman" w:hAnsi="Times New Roman"/>
          <w:b/>
          <w:color w:val="1F497D" w:themeColor="text2"/>
          <w:sz w:val="28"/>
          <w:szCs w:val="28"/>
        </w:rPr>
      </w:pPr>
    </w:p>
    <w:p w:rsidR="00E8367B" w:rsidRDefault="00E8367B">
      <w:pPr>
        <w:rPr>
          <w:rFonts w:ascii="Times New Roman" w:hAnsi="Times New Roman"/>
          <w:b/>
          <w:color w:val="1F497D" w:themeColor="text2"/>
          <w:sz w:val="28"/>
          <w:szCs w:val="28"/>
          <w:u w:val="single"/>
        </w:rPr>
      </w:pPr>
    </w:p>
    <w:p w:rsidR="0070678B" w:rsidRPr="0070678B" w:rsidRDefault="0070678B" w:rsidP="00EC3027">
      <w:pPr>
        <w:outlineLvl w:val="0"/>
        <w:rPr>
          <w:rFonts w:ascii="Times New Roman" w:hAnsi="Times New Roman"/>
          <w:b/>
          <w:color w:val="1F497D" w:themeColor="text2"/>
          <w:sz w:val="28"/>
          <w:szCs w:val="28"/>
          <w:u w:val="single"/>
        </w:rPr>
      </w:pPr>
      <w:bookmarkStart w:id="13" w:name="_Toc98838533"/>
      <w:r w:rsidRPr="0070678B">
        <w:rPr>
          <w:rFonts w:ascii="Times New Roman" w:hAnsi="Times New Roman"/>
          <w:b/>
          <w:color w:val="1F497D" w:themeColor="text2"/>
          <w:sz w:val="28"/>
          <w:szCs w:val="28"/>
          <w:u w:val="single"/>
        </w:rPr>
        <w:t>Безгръбначни животни</w:t>
      </w:r>
      <w:bookmarkEnd w:id="13"/>
    </w:p>
    <w:p w:rsidR="0070678B" w:rsidRDefault="00107719" w:rsidP="00EC3027">
      <w:pPr>
        <w:outlineLvl w:val="1"/>
        <w:rPr>
          <w:rFonts w:ascii="Times New Roman" w:hAnsi="Times New Roman"/>
          <w:i/>
          <w:color w:val="1F497D" w:themeColor="text2"/>
          <w:sz w:val="28"/>
          <w:szCs w:val="28"/>
        </w:rPr>
      </w:pPr>
      <w:bookmarkStart w:id="14" w:name="_Toc98838534"/>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4056 </w:t>
      </w:r>
      <w:r w:rsidR="0070678B" w:rsidRPr="00D77A67">
        <w:rPr>
          <w:rFonts w:ascii="Times New Roman" w:hAnsi="Times New Roman"/>
          <w:i/>
          <w:color w:val="1F497D" w:themeColor="text2"/>
          <w:sz w:val="28"/>
          <w:szCs w:val="28"/>
        </w:rPr>
        <w:t>Anisus vorticulus</w:t>
      </w:r>
      <w:bookmarkEnd w:id="14"/>
    </w:p>
    <w:p w:rsidR="00184B62" w:rsidRPr="00184B62" w:rsidRDefault="00184B62" w:rsidP="00184B62">
      <w:pPr>
        <w:spacing w:before="120" w:after="120" w:line="240" w:lineRule="auto"/>
        <w:rPr>
          <w:rFonts w:ascii="Times New Roman" w:eastAsia="Calibri" w:hAnsi="Times New Roman"/>
          <w:b/>
          <w:bCs/>
          <w:sz w:val="24"/>
          <w:szCs w:val="24"/>
        </w:rPr>
      </w:pPr>
      <w:r w:rsidRPr="00184B62">
        <w:rPr>
          <w:rFonts w:ascii="Times New Roman" w:eastAsia="Calibri" w:hAnsi="Times New Roman"/>
          <w:b/>
          <w:bCs/>
          <w:sz w:val="24"/>
          <w:szCs w:val="24"/>
        </w:rPr>
        <w:t xml:space="preserve">1.Код и наименование на вида: </w:t>
      </w:r>
      <w:r w:rsidRPr="00184B62">
        <w:rPr>
          <w:rFonts w:ascii="Times New Roman" w:eastAsia="Calibri" w:hAnsi="Times New Roman"/>
          <w:bCs/>
          <w:sz w:val="24"/>
          <w:szCs w:val="24"/>
          <w:lang w:val="en-US"/>
        </w:rPr>
        <w:t>4056</w:t>
      </w:r>
      <w:r w:rsidRPr="00184B62">
        <w:rPr>
          <w:rFonts w:ascii="Times New Roman" w:eastAsia="Calibri" w:hAnsi="Times New Roman"/>
          <w:bCs/>
          <w:sz w:val="24"/>
          <w:szCs w:val="24"/>
        </w:rPr>
        <w:t xml:space="preserve"> </w:t>
      </w:r>
      <w:r w:rsidRPr="00184B62">
        <w:rPr>
          <w:rFonts w:ascii="Times New Roman" w:eastAsia="Calibri" w:hAnsi="Times New Roman"/>
          <w:i/>
          <w:iCs/>
          <w:sz w:val="24"/>
          <w:szCs w:val="24"/>
          <w:lang w:val="en-US"/>
        </w:rPr>
        <w:t>Anisus vorticulus</w:t>
      </w:r>
      <w:r w:rsidRPr="00184B62">
        <w:rPr>
          <w:rFonts w:ascii="Times New Roman" w:eastAsia="Calibri" w:hAnsi="Times New Roman"/>
          <w:bCs/>
          <w:sz w:val="24"/>
          <w:szCs w:val="24"/>
        </w:rPr>
        <w:t xml:space="preserve"> – Безкилна спиралина</w:t>
      </w:r>
    </w:p>
    <w:p w:rsidR="00184B62" w:rsidRPr="00184B62" w:rsidRDefault="00184B62" w:rsidP="00184B62">
      <w:pPr>
        <w:spacing w:before="120" w:after="120" w:line="240" w:lineRule="auto"/>
        <w:jc w:val="both"/>
        <w:rPr>
          <w:rFonts w:ascii="Times New Roman" w:hAnsi="Times New Roman"/>
          <w:b/>
          <w:iCs/>
          <w:sz w:val="24"/>
          <w:szCs w:val="24"/>
          <w:lang w:val="ru-RU"/>
        </w:rPr>
      </w:pPr>
      <w:r w:rsidRPr="00184B62">
        <w:rPr>
          <w:rFonts w:ascii="Times New Roman" w:hAnsi="Times New Roman"/>
          <w:b/>
          <w:iCs/>
          <w:sz w:val="24"/>
          <w:szCs w:val="24"/>
          <w:lang w:val="ru-RU"/>
        </w:rPr>
        <w:t>2. Кратка характеристика на целевия обект</w:t>
      </w:r>
    </w:p>
    <w:p w:rsidR="00184B62" w:rsidRPr="00184B62" w:rsidRDefault="00184B62" w:rsidP="005A0A3C">
      <w:pPr>
        <w:spacing w:after="0" w:line="240" w:lineRule="auto"/>
        <w:ind w:firstLine="709"/>
        <w:jc w:val="both"/>
        <w:rPr>
          <w:rFonts w:ascii="Times New Roman" w:hAnsi="Times New Roman"/>
          <w:noProof/>
          <w:sz w:val="24"/>
          <w:szCs w:val="24"/>
        </w:rPr>
      </w:pPr>
      <w:r w:rsidRPr="00184B62">
        <w:rPr>
          <w:rFonts w:ascii="Times New Roman" w:hAnsi="Times New Roman"/>
          <w:noProof/>
          <w:sz w:val="24"/>
          <w:szCs w:val="24"/>
        </w:rPr>
        <w:t xml:space="preserve">Малък вид сладководен охлюв с много тънкостенна, крехка и силно сплесната черупка със светлорозов цвят, равномерно изпъкнала от двете страни. Диаметърът на черупката достига до 5-7 </w:t>
      </w:r>
      <w:r w:rsidRPr="00184B62">
        <w:rPr>
          <w:rFonts w:ascii="Times New Roman" w:hAnsi="Times New Roman"/>
          <w:noProof/>
          <w:sz w:val="24"/>
          <w:szCs w:val="24"/>
          <w:lang w:val="en-US"/>
        </w:rPr>
        <w:t>mm</w:t>
      </w:r>
      <w:r w:rsidRPr="00184B62">
        <w:rPr>
          <w:rFonts w:ascii="Times New Roman" w:hAnsi="Times New Roman"/>
          <w:noProof/>
          <w:sz w:val="24"/>
          <w:szCs w:val="24"/>
        </w:rPr>
        <w:t xml:space="preserve">, а височината ѝ е 0,7-0,8 </w:t>
      </w:r>
      <w:r w:rsidRPr="00184B62">
        <w:rPr>
          <w:rFonts w:ascii="Times New Roman" w:hAnsi="Times New Roman"/>
          <w:noProof/>
          <w:sz w:val="24"/>
          <w:szCs w:val="24"/>
          <w:lang w:val="en-US"/>
        </w:rPr>
        <w:t>mm</w:t>
      </w:r>
      <w:r w:rsidRPr="00184B62">
        <w:rPr>
          <w:rFonts w:ascii="Times New Roman" w:hAnsi="Times New Roman"/>
          <w:noProof/>
          <w:sz w:val="24"/>
          <w:szCs w:val="24"/>
        </w:rPr>
        <w:t>. Навивките са 5-6, бавно нарастващи, закръглени, отгоре и отдолу изпъкнали. Последната навивка е 1,5 пъти по-широка от предпоследната и има тъп кил. Видът е калцифилен, обича чисти води с богата водна растителност и предпочита огрятите от слънцето литорални участъци на обитаваните от него водоеми. Може да издържа известно време на пресъхване на водоемите през лятото или замръзване през зимата.</w:t>
      </w:r>
    </w:p>
    <w:p w:rsidR="00184B62" w:rsidRPr="00184B62" w:rsidRDefault="00184B62" w:rsidP="005A0A3C">
      <w:pPr>
        <w:spacing w:after="0" w:line="240" w:lineRule="auto"/>
        <w:ind w:firstLine="709"/>
        <w:jc w:val="both"/>
        <w:rPr>
          <w:rFonts w:ascii="Times New Roman" w:hAnsi="Times New Roman"/>
          <w:noProof/>
          <w:sz w:val="24"/>
          <w:szCs w:val="24"/>
          <w:lang w:val="en-US"/>
        </w:rPr>
      </w:pPr>
      <w:r w:rsidRPr="00184B62">
        <w:rPr>
          <w:rFonts w:ascii="Times New Roman" w:hAnsi="Times New Roman"/>
          <w:noProof/>
          <w:sz w:val="24"/>
          <w:szCs w:val="24"/>
        </w:rPr>
        <w:t xml:space="preserve">Размножителният период е от март до ноември. Охлювите достигат полова зрялост при диаметър на черупката 3 </w:t>
      </w:r>
      <w:r w:rsidRPr="00184B62">
        <w:rPr>
          <w:rFonts w:ascii="Times New Roman" w:hAnsi="Times New Roman"/>
          <w:noProof/>
          <w:sz w:val="24"/>
          <w:szCs w:val="24"/>
          <w:lang w:val="en-US"/>
        </w:rPr>
        <w:t>mm</w:t>
      </w:r>
      <w:r w:rsidRPr="00184B62">
        <w:rPr>
          <w:rFonts w:ascii="Times New Roman" w:hAnsi="Times New Roman"/>
          <w:noProof/>
          <w:sz w:val="24"/>
          <w:szCs w:val="24"/>
        </w:rPr>
        <w:t xml:space="preserve">. Един индивид отделя до 500 яйца (с размери 0,55 х 0,45 </w:t>
      </w:r>
      <w:r w:rsidRPr="00184B62">
        <w:rPr>
          <w:rFonts w:ascii="Times New Roman" w:hAnsi="Times New Roman"/>
          <w:noProof/>
          <w:sz w:val="24"/>
          <w:szCs w:val="24"/>
          <w:lang w:val="en-US"/>
        </w:rPr>
        <w:t>mm</w:t>
      </w:r>
      <w:r w:rsidRPr="00184B62">
        <w:rPr>
          <w:rFonts w:ascii="Times New Roman" w:hAnsi="Times New Roman"/>
          <w:noProof/>
          <w:sz w:val="24"/>
          <w:szCs w:val="24"/>
        </w:rPr>
        <w:t xml:space="preserve">), които са групирани и обвити в пашкули (обикновено по 1-6 яйца в пашкул). Ювенилните охлювчета се излюпват след 10 дни при температура на водата 24ºС и достигат 4 </w:t>
      </w:r>
      <w:r w:rsidRPr="00184B62">
        <w:rPr>
          <w:rFonts w:ascii="Times New Roman" w:hAnsi="Times New Roman"/>
          <w:noProof/>
          <w:sz w:val="24"/>
          <w:szCs w:val="24"/>
          <w:lang w:val="en-US"/>
        </w:rPr>
        <w:t>mm</w:t>
      </w:r>
      <w:r w:rsidRPr="00184B62">
        <w:rPr>
          <w:rFonts w:ascii="Times New Roman" w:hAnsi="Times New Roman"/>
          <w:noProof/>
          <w:sz w:val="24"/>
          <w:szCs w:val="24"/>
        </w:rPr>
        <w:t xml:space="preserve"> диаметър на черупката след три месеца. Те достигат максимални размери през юни, а през през зимния период (от ноември до март) охлювите не нарастват. При благоприятни условия безкилната спиралина се размножава с много бързи темпове. Продължителността на живот е малко повече от 1 година, като обикновено охлювите умират през втората зима (Георгиев 2013</w:t>
      </w:r>
      <w:r w:rsidRPr="00184B62">
        <w:rPr>
          <w:rFonts w:ascii="Times New Roman" w:hAnsi="Times New Roman"/>
          <w:noProof/>
          <w:sz w:val="24"/>
          <w:szCs w:val="24"/>
          <w:lang w:val="en-US"/>
        </w:rPr>
        <w:t>,</w:t>
      </w:r>
      <w:r w:rsidRPr="00184B62">
        <w:rPr>
          <w:rFonts w:ascii="Times New Roman" w:hAnsi="Times New Roman"/>
          <w:noProof/>
          <w:sz w:val="24"/>
          <w:szCs w:val="24"/>
        </w:rPr>
        <w:t xml:space="preserve"> </w:t>
      </w:r>
      <w:hyperlink r:id="rId37" w:history="1">
        <w:r w:rsidRPr="00184B62">
          <w:rPr>
            <w:rFonts w:ascii="Times New Roman" w:hAnsi="Times New Roman"/>
            <w:noProof/>
            <w:color w:val="0000FF"/>
            <w:sz w:val="24"/>
            <w:szCs w:val="24"/>
            <w:u w:val="single"/>
            <w:lang w:val="en-US"/>
          </w:rPr>
          <w:t>http://www.animalbase.uni-goettingen.de/zooweb/servlet/AnimalBase/home/species?id=1878</w:t>
        </w:r>
      </w:hyperlink>
    </w:p>
    <w:p w:rsidR="00184B62" w:rsidRPr="00184B62" w:rsidRDefault="00184B62" w:rsidP="005A0A3C">
      <w:pPr>
        <w:spacing w:after="0" w:line="240" w:lineRule="auto"/>
        <w:ind w:firstLine="709"/>
        <w:jc w:val="both"/>
        <w:rPr>
          <w:rFonts w:ascii="Times New Roman" w:hAnsi="Times New Roman"/>
          <w:noProof/>
          <w:sz w:val="24"/>
          <w:szCs w:val="24"/>
          <w:lang w:val="en-US"/>
        </w:rPr>
      </w:pPr>
      <w:r w:rsidRPr="00184B62">
        <w:rPr>
          <w:rFonts w:ascii="Times New Roman" w:hAnsi="Times New Roman"/>
          <w:noProof/>
          <w:sz w:val="24"/>
          <w:szCs w:val="24"/>
        </w:rPr>
        <w:lastRenderedPageBreak/>
        <w:t xml:space="preserve">В България видът е рядък и е съобщаван само от езерата Сребърна и Шабла, блатото Аркутино, блата при с. Новоселци (гр. Елин Пелин), както и разливи на р. Искър до гр. София (последните 2 находища вече не съществуват) (Büttner 1928, Petrbok 1941, Дренски 1947, </w:t>
      </w:r>
      <w:r w:rsidRPr="00184B62">
        <w:rPr>
          <w:rFonts w:ascii="Times New Roman" w:hAnsi="Times New Roman"/>
          <w:noProof/>
          <w:sz w:val="24"/>
          <w:szCs w:val="24"/>
          <w:lang w:val="en-US"/>
        </w:rPr>
        <w:t>Angelov 2000</w:t>
      </w:r>
      <w:r w:rsidRPr="00184B62">
        <w:rPr>
          <w:rFonts w:ascii="Times New Roman" w:hAnsi="Times New Roman"/>
          <w:noProof/>
          <w:sz w:val="24"/>
          <w:szCs w:val="24"/>
        </w:rPr>
        <w:t>, Георгиев 2013</w:t>
      </w:r>
      <w:r w:rsidRPr="00184B62">
        <w:rPr>
          <w:rFonts w:ascii="Times New Roman" w:hAnsi="Times New Roman"/>
          <w:noProof/>
          <w:sz w:val="24"/>
          <w:szCs w:val="24"/>
          <w:lang w:val="en-US"/>
        </w:rPr>
        <w:t>)</w:t>
      </w:r>
      <w:r w:rsidRPr="00184B62">
        <w:rPr>
          <w:rFonts w:ascii="Times New Roman" w:hAnsi="Times New Roman"/>
          <w:noProof/>
          <w:sz w:val="24"/>
          <w:szCs w:val="24"/>
        </w:rPr>
        <w:t>.</w:t>
      </w:r>
    </w:p>
    <w:p w:rsidR="00184B62" w:rsidRPr="00184B62" w:rsidRDefault="00184B62" w:rsidP="005A0A3C">
      <w:pPr>
        <w:spacing w:after="0" w:line="240" w:lineRule="auto"/>
        <w:ind w:firstLine="709"/>
        <w:jc w:val="both"/>
        <w:rPr>
          <w:rFonts w:ascii="Times New Roman" w:hAnsi="Times New Roman"/>
          <w:sz w:val="24"/>
          <w:szCs w:val="24"/>
          <w:lang w:val="en-US"/>
        </w:rPr>
      </w:pPr>
      <w:r w:rsidRPr="00184B62">
        <w:rPr>
          <w:rFonts w:ascii="Times New Roman" w:eastAsia="Calibri" w:hAnsi="Times New Roman"/>
          <w:sz w:val="24"/>
          <w:szCs w:val="24"/>
        </w:rPr>
        <w:t>Безкилната спиралина (</w:t>
      </w:r>
      <w:r w:rsidRPr="00184B62">
        <w:rPr>
          <w:rFonts w:ascii="Times New Roman" w:eastAsia="Calibri" w:hAnsi="Times New Roman"/>
          <w:i/>
          <w:iCs/>
          <w:sz w:val="24"/>
          <w:szCs w:val="24"/>
          <w:lang w:val="en-US"/>
        </w:rPr>
        <w:t>Anisus vorticulus</w:t>
      </w:r>
      <w:r w:rsidRPr="00184B62">
        <w:rPr>
          <w:rFonts w:ascii="Times New Roman" w:eastAsia="Calibri" w:hAnsi="Times New Roman"/>
          <w:sz w:val="24"/>
          <w:szCs w:val="24"/>
        </w:rPr>
        <w:t>)</w:t>
      </w:r>
      <w:r w:rsidRPr="00184B62">
        <w:rPr>
          <w:rFonts w:ascii="Times New Roman" w:hAnsi="Times New Roman"/>
          <w:sz w:val="24"/>
          <w:szCs w:val="24"/>
        </w:rPr>
        <w:t xml:space="preserve"> е с висок природозащитен статус</w:t>
      </w:r>
      <w:r w:rsidRPr="00184B62">
        <w:rPr>
          <w:rFonts w:ascii="Times New Roman" w:hAnsi="Times New Roman"/>
          <w:sz w:val="24"/>
          <w:szCs w:val="24"/>
          <w:lang w:val="en-US"/>
        </w:rPr>
        <w:t xml:space="preserve">: </w:t>
      </w:r>
      <w:r w:rsidRPr="00184B62">
        <w:rPr>
          <w:rFonts w:ascii="Times New Roman" w:hAnsi="Times New Roman"/>
          <w:sz w:val="24"/>
          <w:szCs w:val="24"/>
        </w:rPr>
        <w:t>видът е в</w:t>
      </w:r>
      <w:r w:rsidRPr="00184B62">
        <w:rPr>
          <w:rFonts w:ascii="Times New Roman" w:hAnsi="Times New Roman"/>
          <w:noProof/>
          <w:sz w:val="24"/>
          <w:szCs w:val="24"/>
        </w:rPr>
        <w:t>ключен в Червения списък на Международния съюз за опазване на природата и природните ресурси (</w:t>
      </w:r>
      <w:r w:rsidRPr="00184B62">
        <w:rPr>
          <w:rFonts w:ascii="Times New Roman" w:hAnsi="Times New Roman"/>
          <w:b/>
          <w:noProof/>
          <w:sz w:val="24"/>
          <w:szCs w:val="24"/>
        </w:rPr>
        <w:t>IUCN Red List</w:t>
      </w:r>
      <w:r w:rsidRPr="00184B62">
        <w:rPr>
          <w:rFonts w:ascii="Times New Roman" w:hAnsi="Times New Roman"/>
          <w:noProof/>
          <w:sz w:val="24"/>
          <w:szCs w:val="24"/>
        </w:rPr>
        <w:t>) в категорията почти застрашен</w:t>
      </w:r>
      <w:r w:rsidRPr="00184B62">
        <w:rPr>
          <w:rFonts w:ascii="Times New Roman" w:hAnsi="Times New Roman"/>
          <w:sz w:val="24"/>
          <w:szCs w:val="24"/>
        </w:rPr>
        <w:t xml:space="preserve"> </w:t>
      </w:r>
      <w:r w:rsidRPr="00184B62">
        <w:rPr>
          <w:rFonts w:ascii="Times New Roman" w:hAnsi="Times New Roman"/>
          <w:sz w:val="24"/>
          <w:szCs w:val="24"/>
          <w:lang w:val="en-US"/>
        </w:rPr>
        <w:t>(NT)</w:t>
      </w:r>
      <w:r w:rsidRPr="00184B62">
        <w:rPr>
          <w:rFonts w:ascii="Times New Roman" w:hAnsi="Times New Roman"/>
          <w:noProof/>
          <w:sz w:val="24"/>
          <w:szCs w:val="24"/>
        </w:rPr>
        <w:t xml:space="preserve">; защитен е от Директива 92/43/ЕЕС за опазване на природните местообитания и на дивата флора и фауна </w:t>
      </w:r>
      <w:r w:rsidRPr="00184B62">
        <w:rPr>
          <w:rFonts w:ascii="Times New Roman" w:hAnsi="Times New Roman"/>
          <w:b/>
          <w:noProof/>
          <w:sz w:val="24"/>
          <w:szCs w:val="24"/>
        </w:rPr>
        <w:t>(Habitats Directive)</w:t>
      </w:r>
      <w:r w:rsidRPr="00184B62">
        <w:rPr>
          <w:rFonts w:ascii="Times New Roman" w:hAnsi="Times New Roman"/>
          <w:noProof/>
          <w:sz w:val="24"/>
          <w:szCs w:val="24"/>
        </w:rPr>
        <w:t xml:space="preserve"> - Приложение II и IV, и от </w:t>
      </w:r>
      <w:r w:rsidRPr="00184B62">
        <w:rPr>
          <w:rFonts w:ascii="Times New Roman" w:hAnsi="Times New Roman"/>
          <w:b/>
          <w:noProof/>
          <w:sz w:val="24"/>
          <w:szCs w:val="24"/>
        </w:rPr>
        <w:t>Директива 2006/105/EО</w:t>
      </w:r>
      <w:r w:rsidRPr="00184B62">
        <w:rPr>
          <w:rFonts w:ascii="Times New Roman" w:hAnsi="Times New Roman"/>
          <w:noProof/>
          <w:sz w:val="24"/>
          <w:szCs w:val="24"/>
        </w:rPr>
        <w:t xml:space="preserve"> на Съвета - Приложение II и IV.</w:t>
      </w:r>
    </w:p>
    <w:p w:rsidR="00184B62" w:rsidRPr="00184B62" w:rsidRDefault="00184B62" w:rsidP="005A0A3C">
      <w:pPr>
        <w:spacing w:after="0" w:line="240" w:lineRule="auto"/>
        <w:ind w:firstLine="709"/>
        <w:jc w:val="both"/>
        <w:rPr>
          <w:rFonts w:ascii="Times New Roman" w:eastAsia="Calibri" w:hAnsi="Times New Roman"/>
          <w:b/>
          <w:bCs/>
          <w:sz w:val="24"/>
          <w:szCs w:val="24"/>
        </w:rPr>
      </w:pPr>
      <w:r w:rsidRPr="00184B62">
        <w:rPr>
          <w:rFonts w:ascii="Times New Roman" w:eastAsia="Calibri" w:hAnsi="Times New Roman"/>
          <w:bCs/>
          <w:i/>
          <w:sz w:val="24"/>
          <w:szCs w:val="24"/>
        </w:rPr>
        <w:t>Характеристики на местообитанието</w:t>
      </w:r>
      <w:r w:rsidR="001D13B2">
        <w:rPr>
          <w:rFonts w:ascii="Times New Roman" w:eastAsia="Calibri" w:hAnsi="Times New Roman"/>
          <w:bCs/>
          <w:i/>
          <w:sz w:val="24"/>
          <w:szCs w:val="24"/>
        </w:rPr>
        <w:t>.</w:t>
      </w:r>
      <w:r w:rsidRPr="00184B62">
        <w:rPr>
          <w:rFonts w:ascii="Times New Roman" w:eastAsia="Calibri" w:hAnsi="Times New Roman"/>
          <w:b/>
          <w:bCs/>
          <w:sz w:val="24"/>
          <w:szCs w:val="24"/>
        </w:rPr>
        <w:t xml:space="preserve"> </w:t>
      </w:r>
      <w:r w:rsidRPr="00184B62">
        <w:rPr>
          <w:rFonts w:ascii="Times New Roman" w:hAnsi="Times New Roman"/>
          <w:noProof/>
          <w:sz w:val="24"/>
          <w:szCs w:val="24"/>
        </w:rPr>
        <w:t>Среща се главно в стагнантни водоеми (стари блата и езера) с богата водна растителност</w:t>
      </w:r>
      <w:r w:rsidRPr="00184B62">
        <w:rPr>
          <w:rFonts w:ascii="Times New Roman" w:hAnsi="Times New Roman"/>
          <w:noProof/>
          <w:sz w:val="24"/>
          <w:szCs w:val="24"/>
          <w:lang w:val="en-US"/>
        </w:rPr>
        <w:t xml:space="preserve"> (</w:t>
      </w:r>
      <w:r w:rsidRPr="00184B62">
        <w:rPr>
          <w:rFonts w:ascii="Times New Roman" w:hAnsi="Times New Roman"/>
          <w:i/>
          <w:noProof/>
          <w:sz w:val="24"/>
          <w:szCs w:val="24"/>
          <w:lang w:val="en-US"/>
        </w:rPr>
        <w:t>Lemna trisulca, Hydrocharis, Ceratophyllum</w:t>
      </w:r>
      <w:r w:rsidRPr="00184B62">
        <w:rPr>
          <w:rFonts w:ascii="Times New Roman" w:hAnsi="Times New Roman"/>
          <w:noProof/>
          <w:sz w:val="24"/>
          <w:szCs w:val="24"/>
          <w:lang w:val="en-US"/>
        </w:rPr>
        <w:t xml:space="preserve">) </w:t>
      </w:r>
      <w:r w:rsidRPr="00184B62">
        <w:rPr>
          <w:rFonts w:ascii="Times New Roman" w:hAnsi="Times New Roman"/>
          <w:noProof/>
          <w:sz w:val="24"/>
          <w:szCs w:val="24"/>
        </w:rPr>
        <w:t xml:space="preserve">и високо съдържание на кислород и калций. Често се среща плуващ на повърхността на водата между лемната. По-рядко се среща във водоеми с бавно движение на водата (канали, реки, канавки). Обича чистите води и няма определени изисквания към характера на дънния субстрат, който може да е пясъчен, глинест или тинест. Не понася хипертрофични условия и е чувствителен към бързо движение на водата и разрушаването на бреговете на водоемите от добитъка. Установяван е от 0 до 500 </w:t>
      </w:r>
      <w:r w:rsidRPr="00184B62">
        <w:rPr>
          <w:rFonts w:ascii="Times New Roman" w:hAnsi="Times New Roman"/>
          <w:noProof/>
          <w:sz w:val="24"/>
          <w:szCs w:val="24"/>
          <w:lang w:val="en-US"/>
        </w:rPr>
        <w:t xml:space="preserve">m </w:t>
      </w:r>
      <w:r w:rsidRPr="00184B62">
        <w:rPr>
          <w:rFonts w:ascii="Times New Roman" w:hAnsi="Times New Roman"/>
          <w:noProof/>
          <w:sz w:val="24"/>
          <w:szCs w:val="24"/>
        </w:rPr>
        <w:t xml:space="preserve">н.в., като преобладава в зоната до 50 </w:t>
      </w:r>
      <w:r w:rsidRPr="00184B62">
        <w:rPr>
          <w:rFonts w:ascii="Times New Roman" w:hAnsi="Times New Roman"/>
          <w:noProof/>
          <w:sz w:val="24"/>
          <w:szCs w:val="24"/>
          <w:lang w:val="en-US"/>
        </w:rPr>
        <w:t xml:space="preserve">m </w:t>
      </w:r>
      <w:r w:rsidRPr="00184B62">
        <w:rPr>
          <w:rFonts w:ascii="Times New Roman" w:hAnsi="Times New Roman"/>
          <w:noProof/>
          <w:sz w:val="24"/>
          <w:szCs w:val="24"/>
        </w:rPr>
        <w:t>н.в. (Георгиев 2013</w:t>
      </w:r>
      <w:r w:rsidRPr="00184B62">
        <w:rPr>
          <w:rFonts w:ascii="Times New Roman" w:hAnsi="Times New Roman"/>
          <w:noProof/>
          <w:sz w:val="24"/>
          <w:szCs w:val="24"/>
          <w:lang w:val="en-US"/>
        </w:rPr>
        <w:t>,</w:t>
      </w:r>
      <w:r w:rsidRPr="00184B62">
        <w:rPr>
          <w:rFonts w:ascii="Times New Roman" w:hAnsi="Times New Roman"/>
          <w:noProof/>
          <w:sz w:val="24"/>
          <w:szCs w:val="24"/>
        </w:rPr>
        <w:t xml:space="preserve"> </w:t>
      </w:r>
      <w:hyperlink r:id="rId38" w:history="1">
        <w:r w:rsidRPr="00184B62">
          <w:rPr>
            <w:rFonts w:ascii="Times New Roman" w:hAnsi="Times New Roman"/>
            <w:noProof/>
            <w:color w:val="0000FF"/>
            <w:sz w:val="24"/>
            <w:szCs w:val="24"/>
            <w:u w:val="single"/>
          </w:rPr>
          <w:t>http://www.animalbase.uni-goettingen.de/zooweb/servlet/AnimalBase/home/species?id=1878</w:t>
        </w:r>
      </w:hyperlink>
      <w:r w:rsidRPr="00184B62">
        <w:rPr>
          <w:rFonts w:ascii="Times New Roman" w:hAnsi="Times New Roman"/>
          <w:noProof/>
          <w:sz w:val="24"/>
          <w:szCs w:val="24"/>
        </w:rPr>
        <w:t>).</w:t>
      </w:r>
    </w:p>
    <w:p w:rsidR="00184B62" w:rsidRPr="00184B62" w:rsidRDefault="00184B62" w:rsidP="00184B62">
      <w:pPr>
        <w:spacing w:before="120" w:after="120" w:line="240" w:lineRule="auto"/>
        <w:jc w:val="both"/>
        <w:rPr>
          <w:rFonts w:ascii="Times New Roman" w:eastAsia="Calibri" w:hAnsi="Times New Roman"/>
          <w:sz w:val="24"/>
          <w:szCs w:val="24"/>
        </w:rPr>
      </w:pPr>
      <w:r w:rsidRPr="00184B62">
        <w:rPr>
          <w:rFonts w:ascii="Times New Roman" w:eastAsia="Calibri" w:hAnsi="Times New Roman"/>
          <w:b/>
          <w:sz w:val="24"/>
          <w:szCs w:val="24"/>
          <w:lang w:val="en-US"/>
        </w:rPr>
        <w:t xml:space="preserve">3. </w:t>
      </w:r>
      <w:r w:rsidRPr="00184B62">
        <w:rPr>
          <w:rFonts w:ascii="Times New Roman" w:eastAsia="Calibri" w:hAnsi="Times New Roman"/>
          <w:b/>
          <w:sz w:val="24"/>
          <w:szCs w:val="24"/>
        </w:rPr>
        <w:t>Състояние на биогеографско ниво и разпространение в мрежата</w:t>
      </w:r>
    </w:p>
    <w:p w:rsidR="00184B62" w:rsidRPr="00184B62" w:rsidRDefault="00184B62" w:rsidP="005A0A3C">
      <w:pPr>
        <w:spacing w:after="0" w:line="240" w:lineRule="auto"/>
        <w:ind w:firstLine="425"/>
        <w:jc w:val="both"/>
        <w:rPr>
          <w:rFonts w:ascii="Times New Roman" w:hAnsi="Times New Roman"/>
          <w:color w:val="0000FF"/>
          <w:sz w:val="24"/>
          <w:szCs w:val="24"/>
          <w:u w:val="single"/>
        </w:rPr>
      </w:pPr>
      <w:r w:rsidRPr="00184B62">
        <w:rPr>
          <w:rFonts w:ascii="Times New Roman" w:eastAsia="Calibri" w:hAnsi="Times New Roman"/>
          <w:sz w:val="24"/>
          <w:szCs w:val="24"/>
        </w:rPr>
        <w:t xml:space="preserve">Съгласно докладването по чл. 17 на Директивата за местообитанията през 2013 г. </w:t>
      </w:r>
      <w:r w:rsidRPr="00184B62">
        <w:rPr>
          <w:rFonts w:ascii="Times New Roman" w:eastAsia="Calibri" w:hAnsi="Times New Roman"/>
          <w:sz w:val="24"/>
          <w:szCs w:val="24"/>
          <w:lang w:val="en-US"/>
        </w:rPr>
        <w:t>(</w:t>
      </w:r>
      <w:r w:rsidRPr="00184B62">
        <w:rPr>
          <w:rFonts w:ascii="Times New Roman" w:eastAsia="Calibri" w:hAnsi="Times New Roman"/>
          <w:sz w:val="24"/>
          <w:szCs w:val="24"/>
        </w:rPr>
        <w:t>за периода 2007-2012 г.</w:t>
      </w:r>
      <w:r w:rsidRPr="00184B62">
        <w:rPr>
          <w:rFonts w:ascii="Times New Roman" w:eastAsia="Calibri" w:hAnsi="Times New Roman"/>
          <w:sz w:val="24"/>
          <w:szCs w:val="24"/>
          <w:lang w:val="en-US"/>
        </w:rPr>
        <w:t>)</w:t>
      </w:r>
      <w:r w:rsidRPr="00184B62">
        <w:rPr>
          <w:rFonts w:ascii="Times New Roman" w:eastAsia="Calibri" w:hAnsi="Times New Roman"/>
          <w:sz w:val="24"/>
          <w:szCs w:val="24"/>
        </w:rPr>
        <w:t>, състоянието на вида в</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Континенталния и Черноморския биогеографски </w:t>
      </w:r>
      <w:r w:rsidR="005A0A3C">
        <w:rPr>
          <w:rFonts w:ascii="Times New Roman" w:eastAsia="Calibri" w:hAnsi="Times New Roman"/>
          <w:sz w:val="24"/>
          <w:szCs w:val="24"/>
        </w:rPr>
        <w:t>региони</w:t>
      </w:r>
      <w:r w:rsidRPr="00184B62">
        <w:rPr>
          <w:rFonts w:ascii="Times New Roman" w:eastAsia="Calibri" w:hAnsi="Times New Roman"/>
          <w:sz w:val="24"/>
          <w:szCs w:val="24"/>
        </w:rPr>
        <w:t xml:space="preserve"> е благоприятно (FV) по всички параметри. Видът не се среща в Алпийския биогеографски </w:t>
      </w:r>
      <w:r w:rsidR="005A0A3C">
        <w:rPr>
          <w:rFonts w:ascii="Times New Roman" w:eastAsia="Calibri" w:hAnsi="Times New Roman"/>
          <w:sz w:val="24"/>
          <w:szCs w:val="24"/>
        </w:rPr>
        <w:t>регион</w:t>
      </w:r>
      <w:r w:rsidRPr="00184B62">
        <w:rPr>
          <w:rFonts w:ascii="Times New Roman" w:eastAsia="Calibri" w:hAnsi="Times New Roman"/>
          <w:sz w:val="24"/>
          <w:szCs w:val="24"/>
        </w:rPr>
        <w:t xml:space="preserve">. При докладването през 2019 г. </w:t>
      </w:r>
      <w:r w:rsidRPr="00184B62">
        <w:rPr>
          <w:rFonts w:ascii="Times New Roman" w:eastAsia="Calibri" w:hAnsi="Times New Roman"/>
          <w:sz w:val="24"/>
          <w:szCs w:val="24"/>
          <w:lang w:val="en-US"/>
        </w:rPr>
        <w:t>(</w:t>
      </w:r>
      <w:r w:rsidRPr="00184B62">
        <w:rPr>
          <w:rFonts w:ascii="Times New Roman" w:eastAsia="Calibri" w:hAnsi="Times New Roman"/>
          <w:sz w:val="24"/>
          <w:szCs w:val="24"/>
        </w:rPr>
        <w:t>за периода 2013-2018 г.</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оценката за състоянието на вида за Континенталния биогеографски </w:t>
      </w:r>
      <w:r w:rsidR="005A0A3C">
        <w:rPr>
          <w:rFonts w:ascii="Times New Roman" w:eastAsia="Calibri" w:hAnsi="Times New Roman"/>
          <w:sz w:val="24"/>
          <w:szCs w:val="24"/>
        </w:rPr>
        <w:t>регион</w:t>
      </w:r>
      <w:r w:rsidRPr="00184B62">
        <w:rPr>
          <w:rFonts w:ascii="Times New Roman" w:eastAsia="Calibri" w:hAnsi="Times New Roman"/>
          <w:sz w:val="24"/>
          <w:szCs w:val="24"/>
        </w:rPr>
        <w:t xml:space="preserve"> не е променена и то е благоприятно (FV) по всички параметри. За Черноморския биогеографски </w:t>
      </w:r>
      <w:r w:rsidR="005A0A3C">
        <w:rPr>
          <w:rFonts w:ascii="Times New Roman" w:eastAsia="Calibri" w:hAnsi="Times New Roman"/>
          <w:sz w:val="24"/>
          <w:szCs w:val="24"/>
        </w:rPr>
        <w:t>регион</w:t>
      </w:r>
      <w:r w:rsidRPr="00184B62">
        <w:rPr>
          <w:rFonts w:ascii="Times New Roman" w:eastAsia="Calibri" w:hAnsi="Times New Roman"/>
          <w:sz w:val="24"/>
          <w:szCs w:val="24"/>
        </w:rPr>
        <w:t xml:space="preserve"> оценката за състоянието е променена от благоприятно (FV) в неизвестно (ХХ) по всички параметри. (</w:t>
      </w:r>
      <w:r w:rsidRPr="00184B62">
        <w:rPr>
          <w:rFonts w:ascii="Times New Roman" w:hAnsi="Times New Roman"/>
          <w:sz w:val="24"/>
          <w:szCs w:val="24"/>
        </w:rPr>
        <w:t xml:space="preserve">Източник на информацията: </w:t>
      </w:r>
      <w:hyperlink r:id="rId39" w:history="1">
        <w:r w:rsidRPr="00184B62">
          <w:rPr>
            <w:rFonts w:ascii="Times New Roman" w:hAnsi="Times New Roman"/>
            <w:color w:val="0000FF"/>
            <w:sz w:val="24"/>
            <w:szCs w:val="24"/>
            <w:u w:val="single"/>
            <w:shd w:val="clear" w:color="auto" w:fill="FFFFFF"/>
          </w:rPr>
          <w:t>https://nature-art17.eionet.europa.eu/article17/species/report/?period=5&amp;group=Molluscs&amp;country=BG&amp;region=</w:t>
        </w:r>
      </w:hyperlink>
      <w:r w:rsidRPr="00184B62">
        <w:rPr>
          <w:rFonts w:ascii="Times New Roman" w:hAnsi="Times New Roman"/>
          <w:color w:val="0000FF"/>
          <w:sz w:val="24"/>
          <w:szCs w:val="24"/>
          <w:u w:val="single"/>
        </w:rPr>
        <w:t>)</w:t>
      </w:r>
    </w:p>
    <w:p w:rsidR="00184B62" w:rsidRPr="00184B62" w:rsidRDefault="00184B62" w:rsidP="005A0A3C">
      <w:pPr>
        <w:spacing w:after="0" w:line="240" w:lineRule="auto"/>
        <w:ind w:firstLine="425"/>
        <w:jc w:val="both"/>
        <w:rPr>
          <w:rFonts w:ascii="Times New Roman" w:eastAsia="Calibri" w:hAnsi="Times New Roman"/>
          <w:sz w:val="24"/>
          <w:szCs w:val="24"/>
        </w:rPr>
      </w:pPr>
      <w:r w:rsidRPr="00184B62">
        <w:rPr>
          <w:rFonts w:ascii="Times New Roman" w:hAnsi="Times New Roman"/>
          <w:sz w:val="24"/>
          <w:szCs w:val="24"/>
        </w:rPr>
        <w:t xml:space="preserve">По проекта "Картиране и определяне на природозащитното състояние на природни местообитания и видове - фаза I", в общия доклад за целевия вид </w:t>
      </w:r>
      <w:r w:rsidRPr="00184B62">
        <w:rPr>
          <w:rFonts w:ascii="Times New Roman" w:eastAsia="Calibri" w:hAnsi="Times New Roman"/>
          <w:sz w:val="24"/>
          <w:szCs w:val="24"/>
        </w:rPr>
        <w:t>Безкилна спиралина (</w:t>
      </w:r>
      <w:r w:rsidRPr="00184B62">
        <w:rPr>
          <w:rFonts w:ascii="Times New Roman" w:eastAsia="Calibri" w:hAnsi="Times New Roman"/>
          <w:i/>
          <w:iCs/>
          <w:sz w:val="24"/>
          <w:szCs w:val="24"/>
          <w:lang w:val="en-US"/>
        </w:rPr>
        <w:t>Anisus vorticulus</w:t>
      </w:r>
      <w:r w:rsidRPr="00184B62">
        <w:rPr>
          <w:rFonts w:ascii="Times New Roman" w:eastAsia="Calibri" w:hAnsi="Times New Roman"/>
          <w:sz w:val="24"/>
          <w:szCs w:val="24"/>
        </w:rPr>
        <w:t>)</w:t>
      </w:r>
      <w:r w:rsidRPr="00184B62">
        <w:rPr>
          <w:rFonts w:ascii="Times New Roman" w:hAnsi="Times New Roman"/>
          <w:sz w:val="24"/>
          <w:szCs w:val="24"/>
        </w:rPr>
        <w:t xml:space="preserve"> е посочено, че той фигурира в Стандартния формуляр за данни (</w:t>
      </w:r>
      <w:r w:rsidR="005A0A3C">
        <w:rPr>
          <w:rFonts w:ascii="Times New Roman" w:hAnsi="Times New Roman"/>
          <w:sz w:val="24"/>
          <w:szCs w:val="24"/>
        </w:rPr>
        <w:t>СФ</w:t>
      </w:r>
      <w:r w:rsidRPr="00184B62">
        <w:rPr>
          <w:rFonts w:ascii="Times New Roman" w:hAnsi="Times New Roman"/>
          <w:sz w:val="24"/>
          <w:szCs w:val="24"/>
        </w:rPr>
        <w:t>) на 1 защитена зона за местообитанията от мрежата Натура 2000 в България. Броят на зоните, в които целевият вид е регистриран в рамките на проекта е 2. Той е новоустановен в 1 зона и понастоящем фигурира в СФ на 2 защитени зони. Като основни заплахи за вида са посочени следните негативни фактори:</w:t>
      </w:r>
    </w:p>
    <w:p w:rsidR="00184B62" w:rsidRPr="00184B62" w:rsidRDefault="00184B62" w:rsidP="00184B62">
      <w:pPr>
        <w:numPr>
          <w:ilvl w:val="0"/>
          <w:numId w:val="4"/>
        </w:numPr>
        <w:spacing w:after="0" w:line="240" w:lineRule="auto"/>
        <w:rPr>
          <w:rFonts w:ascii="Times New Roman" w:hAnsi="Times New Roman"/>
          <w:sz w:val="24"/>
          <w:szCs w:val="24"/>
        </w:rPr>
      </w:pPr>
      <w:r w:rsidRPr="00184B62">
        <w:rPr>
          <w:rFonts w:ascii="Times New Roman" w:hAnsi="Times New Roman"/>
          <w:sz w:val="24"/>
          <w:szCs w:val="24"/>
        </w:rPr>
        <w:t>Използване на биоциди, хормони и химикали в земеделието (А07) и в горското стопанство (В04);</w:t>
      </w:r>
    </w:p>
    <w:p w:rsidR="00184B62" w:rsidRPr="00184B62" w:rsidRDefault="00184B62" w:rsidP="00184B62">
      <w:pPr>
        <w:numPr>
          <w:ilvl w:val="0"/>
          <w:numId w:val="4"/>
        </w:numPr>
        <w:spacing w:after="0" w:line="240" w:lineRule="auto"/>
        <w:rPr>
          <w:rFonts w:ascii="Times New Roman" w:hAnsi="Times New Roman"/>
          <w:sz w:val="24"/>
          <w:szCs w:val="24"/>
        </w:rPr>
      </w:pPr>
      <w:r w:rsidRPr="00184B62">
        <w:rPr>
          <w:rFonts w:ascii="Times New Roman" w:hAnsi="Times New Roman"/>
          <w:sz w:val="24"/>
          <w:szCs w:val="24"/>
        </w:rPr>
        <w:t>Замърсяване на повърхностни води от селскостопанските и горски дейности (Н01.05) и от битова канализация и отпадъчни води (Н01.08)</w:t>
      </w:r>
    </w:p>
    <w:p w:rsidR="00184B62" w:rsidRPr="00D374F5" w:rsidRDefault="00184B62" w:rsidP="00184B62">
      <w:pPr>
        <w:numPr>
          <w:ilvl w:val="0"/>
          <w:numId w:val="4"/>
        </w:numPr>
        <w:spacing w:after="0" w:line="240" w:lineRule="auto"/>
        <w:ind w:firstLine="360"/>
        <w:rPr>
          <w:rFonts w:ascii="Times New Roman" w:hAnsi="Times New Roman"/>
          <w:sz w:val="24"/>
          <w:szCs w:val="24"/>
        </w:rPr>
      </w:pPr>
      <w:r w:rsidRPr="00184B62">
        <w:rPr>
          <w:rFonts w:ascii="Times New Roman" w:hAnsi="Times New Roman"/>
          <w:sz w:val="24"/>
          <w:szCs w:val="24"/>
        </w:rPr>
        <w:t xml:space="preserve">Канализиране и отклоняване на води </w:t>
      </w:r>
      <w:r w:rsidRPr="00184B62">
        <w:rPr>
          <w:rFonts w:ascii="Times New Roman" w:hAnsi="Times New Roman"/>
          <w:sz w:val="24"/>
          <w:szCs w:val="24"/>
          <w:lang w:val="en-US"/>
        </w:rPr>
        <w:t>(J02.03)</w:t>
      </w:r>
      <w:r w:rsidRPr="00184B62">
        <w:rPr>
          <w:rFonts w:ascii="Times New Roman" w:hAnsi="Times New Roman"/>
          <w:sz w:val="24"/>
          <w:szCs w:val="24"/>
        </w:rPr>
        <w:t xml:space="preserve"> (Източник на информацията:</w:t>
      </w:r>
      <w:r w:rsidRPr="00184B62">
        <w:rPr>
          <w:rFonts w:ascii="Times New Roman" w:eastAsia="Calibri" w:hAnsi="Times New Roman"/>
          <w:sz w:val="24"/>
          <w:szCs w:val="24"/>
        </w:rPr>
        <w:t xml:space="preserve"> </w:t>
      </w:r>
      <w:hyperlink r:id="rId40" w:history="1">
        <w:r w:rsidR="00D374F5" w:rsidRPr="005F71C8">
          <w:rPr>
            <w:rStyle w:val="Hyperlink"/>
            <w:rFonts w:ascii="Times New Roman" w:eastAsia="Calibri" w:hAnsi="Times New Roman"/>
            <w:sz w:val="24"/>
            <w:szCs w:val="24"/>
          </w:rPr>
          <w:t>http://natura2000.moew.government.bg/Home/Reports?reportType=Invertebrates</w:t>
        </w:r>
      </w:hyperlink>
      <w:r w:rsidRPr="00184B62">
        <w:rPr>
          <w:rFonts w:ascii="Times New Roman" w:eastAsia="Calibri" w:hAnsi="Times New Roman"/>
          <w:color w:val="0000FF"/>
          <w:sz w:val="24"/>
          <w:szCs w:val="24"/>
          <w:u w:val="single"/>
        </w:rPr>
        <w:t>)</w:t>
      </w:r>
    </w:p>
    <w:p w:rsidR="00D374F5" w:rsidRPr="00D374F5" w:rsidRDefault="00D374F5" w:rsidP="00D374F5">
      <w:pPr>
        <w:spacing w:before="120" w:after="120" w:line="240" w:lineRule="auto"/>
        <w:rPr>
          <w:rFonts w:ascii="Times New Roman" w:eastAsia="Calibri" w:hAnsi="Times New Roman"/>
          <w:sz w:val="24"/>
          <w:szCs w:val="24"/>
        </w:rPr>
      </w:pPr>
      <w:r w:rsidRPr="00D374F5">
        <w:rPr>
          <w:rFonts w:ascii="Times New Roman" w:eastAsia="Calibri" w:hAnsi="Times New Roman"/>
          <w:sz w:val="24"/>
          <w:szCs w:val="24"/>
        </w:rPr>
        <w:t xml:space="preserve">Видът е записан в Стандартните формуляри за данни на </w:t>
      </w:r>
      <w:r>
        <w:rPr>
          <w:rFonts w:ascii="Times New Roman" w:eastAsia="Calibri" w:hAnsi="Times New Roman"/>
          <w:sz w:val="24"/>
          <w:szCs w:val="24"/>
        </w:rPr>
        <w:t>59</w:t>
      </w:r>
      <w:r w:rsidRPr="00D374F5">
        <w:rPr>
          <w:rFonts w:ascii="Times New Roman" w:eastAsia="Calibri" w:hAnsi="Times New Roman"/>
          <w:sz w:val="24"/>
          <w:szCs w:val="24"/>
        </w:rPr>
        <w:t xml:space="preserve"> зони.</w:t>
      </w:r>
    </w:p>
    <w:p w:rsidR="00D374F5" w:rsidRPr="00184B62" w:rsidRDefault="00D374F5" w:rsidP="00D374F5">
      <w:pPr>
        <w:spacing w:after="0" w:line="240" w:lineRule="auto"/>
        <w:rPr>
          <w:rFonts w:ascii="Times New Roman" w:hAnsi="Times New Roman"/>
          <w:sz w:val="24"/>
          <w:szCs w:val="24"/>
        </w:rPr>
      </w:pPr>
    </w:p>
    <w:p w:rsidR="00184B62" w:rsidRPr="00184B62" w:rsidRDefault="00184B62" w:rsidP="00184B62">
      <w:pPr>
        <w:spacing w:before="120" w:after="120" w:line="240" w:lineRule="auto"/>
        <w:rPr>
          <w:rFonts w:ascii="Times New Roman" w:eastAsia="Calibri" w:hAnsi="Times New Roman"/>
          <w:b/>
          <w:bCs/>
          <w:sz w:val="24"/>
          <w:szCs w:val="24"/>
          <w:lang w:val="en-US" w:eastAsia="bg-BG"/>
        </w:rPr>
      </w:pPr>
      <w:r w:rsidRPr="00184B62">
        <w:rPr>
          <w:rFonts w:ascii="Times New Roman" w:eastAsia="Calibri" w:hAnsi="Times New Roman"/>
          <w:b/>
          <w:bCs/>
          <w:sz w:val="24"/>
          <w:szCs w:val="24"/>
          <w:lang w:val="en-US" w:eastAsia="bg-BG"/>
        </w:rPr>
        <w:lastRenderedPageBreak/>
        <w:t xml:space="preserve">4. </w:t>
      </w:r>
      <w:r w:rsidRPr="00184B62">
        <w:rPr>
          <w:rFonts w:ascii="Times New Roman" w:eastAsia="Calibri" w:hAnsi="Times New Roman"/>
          <w:b/>
          <w:bCs/>
          <w:sz w:val="24"/>
          <w:szCs w:val="24"/>
          <w:lang w:eastAsia="bg-BG"/>
        </w:rPr>
        <w:t>Състояние на вида в защитена зона „Сребърна“</w:t>
      </w:r>
    </w:p>
    <w:p w:rsidR="00184B62" w:rsidRPr="00184B62" w:rsidRDefault="00184B62" w:rsidP="00184B62">
      <w:pPr>
        <w:spacing w:before="120" w:after="120" w:line="240" w:lineRule="auto"/>
        <w:ind w:firstLine="709"/>
        <w:jc w:val="both"/>
        <w:rPr>
          <w:rFonts w:ascii="Times New Roman" w:eastAsia="Calibri" w:hAnsi="Times New Roman"/>
          <w:color w:val="0000FF"/>
          <w:sz w:val="24"/>
          <w:szCs w:val="24"/>
        </w:rPr>
      </w:pPr>
      <w:r w:rsidRPr="00184B62">
        <w:rPr>
          <w:rFonts w:ascii="Times New Roman" w:eastAsia="Calibri" w:hAnsi="Times New Roman"/>
          <w:sz w:val="24"/>
          <w:szCs w:val="24"/>
        </w:rPr>
        <w:t>Съгласно Стандартния формуляр за данни (</w:t>
      </w:r>
      <w:r w:rsidR="005A0A3C">
        <w:rPr>
          <w:rFonts w:ascii="Times New Roman" w:eastAsia="Calibri" w:hAnsi="Times New Roman"/>
          <w:sz w:val="24"/>
          <w:szCs w:val="24"/>
        </w:rPr>
        <w:t>СФ</w:t>
      </w:r>
      <w:r w:rsidRPr="00184B62">
        <w:rPr>
          <w:rFonts w:ascii="Times New Roman" w:eastAsia="Calibri" w:hAnsi="Times New Roman"/>
          <w:sz w:val="24"/>
          <w:szCs w:val="24"/>
        </w:rPr>
        <w:t>) за защитена зона „Сребърна“, видът е рядък „</w:t>
      </w:r>
      <w:r w:rsidRPr="00184B62">
        <w:rPr>
          <w:rFonts w:ascii="Times New Roman" w:eastAsia="Calibri" w:hAnsi="Times New Roman"/>
          <w:sz w:val="24"/>
          <w:szCs w:val="24"/>
          <w:lang w:val="en-US"/>
        </w:rPr>
        <w:t>R</w:t>
      </w:r>
      <w:r w:rsidRPr="00184B62">
        <w:rPr>
          <w:rFonts w:ascii="Times New Roman" w:eastAsia="Calibri" w:hAnsi="Times New Roman"/>
          <w:sz w:val="24"/>
          <w:szCs w:val="24"/>
        </w:rPr>
        <w:t>“</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данните за вида в зоната са със средно качество „М“, оценката за популация е „А“ (между 15% и 100% от националната популация на вида), степента на опазване е „А“ (отлично съхранение), популацията е (почти) изолирана (оценка „А“), а общата оценка за стойността на зоната за съхраняването на вида е „А“ (отлична стойност).</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w:t>
      </w:r>
      <w:r w:rsidRPr="00184B62">
        <w:rPr>
          <w:rFonts w:ascii="Times New Roman" w:hAnsi="Times New Roman"/>
          <w:sz w:val="24"/>
          <w:szCs w:val="24"/>
        </w:rPr>
        <w:t xml:space="preserve">Източник на информацията: </w:t>
      </w:r>
      <w:r w:rsidRPr="00184B62">
        <w:rPr>
          <w:rFonts w:ascii="Times New Roman" w:eastAsia="Calibri" w:hAnsi="Times New Roman"/>
          <w:color w:val="0000FF"/>
          <w:sz w:val="24"/>
          <w:szCs w:val="24"/>
          <w:lang w:val="en-US"/>
        </w:rPr>
        <w:t>http://natura2000.moew.government.bg/PublicDownloads/Auto/PS_SPA/BG0000241/BG0000241_PS_16.pdf</w:t>
      </w:r>
    </w:p>
    <w:p w:rsidR="00184B62" w:rsidRPr="00184B62" w:rsidRDefault="00184B62" w:rsidP="00184B62">
      <w:pPr>
        <w:spacing w:before="120" w:after="120" w:line="240" w:lineRule="auto"/>
        <w:jc w:val="both"/>
        <w:rPr>
          <w:rFonts w:ascii="Times New Roman" w:eastAsia="Calibri" w:hAnsi="Times New Roman"/>
          <w:sz w:val="24"/>
          <w:szCs w:val="24"/>
        </w:rPr>
      </w:pPr>
    </w:p>
    <w:tbl>
      <w:tblPr>
        <w:tblW w:w="93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016"/>
        <w:gridCol w:w="328"/>
        <w:gridCol w:w="483"/>
        <w:gridCol w:w="350"/>
        <w:gridCol w:w="716"/>
        <w:gridCol w:w="716"/>
        <w:gridCol w:w="594"/>
        <w:gridCol w:w="578"/>
        <w:gridCol w:w="856"/>
        <w:gridCol w:w="950"/>
        <w:gridCol w:w="623"/>
        <w:gridCol w:w="522"/>
        <w:gridCol w:w="601"/>
      </w:tblGrid>
      <w:tr w:rsidR="00184B62" w:rsidRPr="00184B62" w:rsidTr="005A0A3C">
        <w:tc>
          <w:tcPr>
            <w:tcW w:w="2860"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lang w:eastAsia="en-GB"/>
              </w:rPr>
            </w:pPr>
            <w:r w:rsidRPr="00184B62">
              <w:rPr>
                <w:rFonts w:ascii="Times New Roman" w:eastAsia="Calibri" w:hAnsi="Times New Roman"/>
                <w:b/>
                <w:lang w:eastAsia="en-GB"/>
              </w:rPr>
              <w:t>Species</w:t>
            </w:r>
          </w:p>
        </w:tc>
        <w:tc>
          <w:tcPr>
            <w:tcW w:w="2954"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lang w:eastAsia="en-GB"/>
              </w:rPr>
            </w:pPr>
            <w:r w:rsidRPr="00184B62">
              <w:rPr>
                <w:rFonts w:ascii="Times New Roman" w:eastAsia="Calibri" w:hAnsi="Times New Roman"/>
                <w:b/>
                <w:lang w:eastAsia="en-GB"/>
              </w:rPr>
              <w:t>Population in the site</w:t>
            </w:r>
          </w:p>
        </w:tc>
        <w:tc>
          <w:tcPr>
            <w:tcW w:w="3552"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lang w:eastAsia="en-GB"/>
              </w:rPr>
            </w:pPr>
            <w:r w:rsidRPr="00184B62">
              <w:rPr>
                <w:rFonts w:ascii="Times New Roman" w:eastAsia="Calibri" w:hAnsi="Times New Roman"/>
                <w:b/>
                <w:lang w:eastAsia="en-GB"/>
              </w:rPr>
              <w:t>Site assessment</w:t>
            </w:r>
          </w:p>
        </w:tc>
      </w:tr>
      <w:tr w:rsidR="00184B62" w:rsidRPr="00184B62" w:rsidTr="005A0A3C">
        <w:tc>
          <w:tcPr>
            <w:tcW w:w="372"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661"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016"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328"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483"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350"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432" w:type="dxa"/>
            <w:gridSpan w:val="2"/>
            <w:shd w:val="clear" w:color="auto" w:fill="D0CECE"/>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594"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578"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56"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950"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746" w:type="dxa"/>
            <w:gridSpan w:val="3"/>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c>
          <w:tcPr>
            <w:tcW w:w="372"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661"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016"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28"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83"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350"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716"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716"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594"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578"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56"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950"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623"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2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601"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c>
          <w:tcPr>
            <w:tcW w:w="37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I</w:t>
            </w:r>
          </w:p>
        </w:tc>
        <w:tc>
          <w:tcPr>
            <w:tcW w:w="661"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eastAsia="en-GB"/>
              </w:rPr>
              <w:t>4056</w:t>
            </w:r>
          </w:p>
        </w:tc>
        <w:tc>
          <w:tcPr>
            <w:tcW w:w="1016"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i/>
                <w:sz w:val="20"/>
                <w:szCs w:val="20"/>
                <w:lang w:val="en-US" w:eastAsia="en-GB"/>
              </w:rPr>
            </w:pPr>
            <w:r w:rsidRPr="00184B62">
              <w:rPr>
                <w:rFonts w:ascii="Times New Roman" w:eastAsia="Calibri" w:hAnsi="Times New Roman"/>
                <w:i/>
                <w:sz w:val="20"/>
                <w:szCs w:val="20"/>
                <w:lang w:val="en-US" w:eastAsia="en-GB"/>
              </w:rPr>
              <w:t>Anisus vorticulus</w:t>
            </w:r>
          </w:p>
        </w:tc>
        <w:tc>
          <w:tcPr>
            <w:tcW w:w="328"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8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p</w:t>
            </w:r>
          </w:p>
        </w:tc>
        <w:tc>
          <w:tcPr>
            <w:tcW w:w="716"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76908</w:t>
            </w:r>
          </w:p>
        </w:tc>
        <w:tc>
          <w:tcPr>
            <w:tcW w:w="716"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76908</w:t>
            </w:r>
          </w:p>
        </w:tc>
        <w:tc>
          <w:tcPr>
            <w:tcW w:w="594"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i</w:t>
            </w:r>
          </w:p>
        </w:tc>
        <w:tc>
          <w:tcPr>
            <w:tcW w:w="578"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R</w:t>
            </w:r>
          </w:p>
        </w:tc>
        <w:tc>
          <w:tcPr>
            <w:tcW w:w="856"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M</w:t>
            </w:r>
          </w:p>
        </w:tc>
        <w:tc>
          <w:tcPr>
            <w:tcW w:w="9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A</w:t>
            </w:r>
          </w:p>
        </w:tc>
        <w:tc>
          <w:tcPr>
            <w:tcW w:w="62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A</w:t>
            </w:r>
          </w:p>
        </w:tc>
        <w:tc>
          <w:tcPr>
            <w:tcW w:w="52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A</w:t>
            </w:r>
          </w:p>
        </w:tc>
        <w:tc>
          <w:tcPr>
            <w:tcW w:w="601"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A</w:t>
            </w:r>
          </w:p>
        </w:tc>
      </w:tr>
    </w:tbl>
    <w:p w:rsidR="00184B62" w:rsidRPr="00184B62" w:rsidRDefault="00184B62" w:rsidP="00184B62">
      <w:pPr>
        <w:spacing w:before="120" w:after="120" w:line="240" w:lineRule="auto"/>
        <w:jc w:val="both"/>
        <w:rPr>
          <w:rFonts w:ascii="Times New Roman" w:eastAsia="Calibri" w:hAnsi="Times New Roman"/>
          <w:sz w:val="24"/>
          <w:szCs w:val="24"/>
          <w:lang w:val="en-US"/>
        </w:rPr>
      </w:pPr>
    </w:p>
    <w:p w:rsidR="00184B62" w:rsidRPr="00184B62" w:rsidRDefault="00184B62" w:rsidP="00184B62">
      <w:pPr>
        <w:spacing w:before="120" w:after="120" w:line="240" w:lineRule="auto"/>
        <w:jc w:val="both"/>
        <w:rPr>
          <w:rFonts w:ascii="Times New Roman" w:eastAsia="Calibri" w:hAnsi="Times New Roman"/>
          <w:b/>
          <w:bCs/>
          <w:sz w:val="24"/>
          <w:szCs w:val="24"/>
          <w:lang w:eastAsia="bg-BG"/>
        </w:rPr>
      </w:pPr>
      <w:r w:rsidRPr="00184B62">
        <w:rPr>
          <w:rFonts w:ascii="Times New Roman" w:eastAsia="Calibri" w:hAnsi="Times New Roman"/>
          <w:b/>
          <w:bCs/>
          <w:sz w:val="24"/>
          <w:szCs w:val="24"/>
          <w:lang w:val="en-US" w:eastAsia="bg-BG"/>
        </w:rPr>
        <w:t xml:space="preserve">5. </w:t>
      </w:r>
      <w:r w:rsidRPr="00184B62">
        <w:rPr>
          <w:rFonts w:ascii="Times New Roman" w:eastAsia="Calibri" w:hAnsi="Times New Roman"/>
          <w:b/>
          <w:bCs/>
          <w:sz w:val="24"/>
          <w:szCs w:val="24"/>
          <w:lang w:eastAsia="bg-BG"/>
        </w:rPr>
        <w:t>Анализ на наличната информация</w:t>
      </w:r>
    </w:p>
    <w:p w:rsidR="00184B62" w:rsidRPr="00184B62" w:rsidRDefault="00184B62" w:rsidP="005A0A3C">
      <w:pPr>
        <w:spacing w:after="0" w:line="240" w:lineRule="auto"/>
        <w:ind w:firstLine="709"/>
        <w:jc w:val="both"/>
        <w:rPr>
          <w:rFonts w:ascii="Times New Roman" w:eastAsia="Calibri" w:hAnsi="Times New Roman"/>
          <w:sz w:val="24"/>
          <w:szCs w:val="24"/>
        </w:rPr>
      </w:pPr>
      <w:r w:rsidRPr="00184B62">
        <w:rPr>
          <w:rFonts w:ascii="Times New Roman" w:hAnsi="Times New Roman"/>
          <w:sz w:val="24"/>
          <w:szCs w:val="24"/>
        </w:rPr>
        <w:t xml:space="preserve">В рамките на проекта "Картиране и определяне на природозащитното състояние на природни местообитания и видове - фаза I" за периода 2011-2012 г. в зоната са изследвани </w:t>
      </w:r>
      <w:r w:rsidRPr="00184B62">
        <w:rPr>
          <w:rFonts w:ascii="Times New Roman" w:hAnsi="Times New Roman"/>
          <w:sz w:val="24"/>
          <w:szCs w:val="24"/>
          <w:lang w:val="en-US"/>
        </w:rPr>
        <w:t>6</w:t>
      </w:r>
      <w:r w:rsidRPr="00184B62">
        <w:rPr>
          <w:rFonts w:ascii="Times New Roman" w:hAnsi="Times New Roman"/>
          <w:sz w:val="24"/>
          <w:szCs w:val="24"/>
        </w:rPr>
        <w:t xml:space="preserve"> трансекта от по 100 </w:t>
      </w:r>
      <w:r w:rsidRPr="00184B62">
        <w:rPr>
          <w:rFonts w:ascii="Times New Roman" w:hAnsi="Times New Roman"/>
          <w:sz w:val="24"/>
          <w:szCs w:val="24"/>
          <w:lang w:val="en-US"/>
        </w:rPr>
        <w:t>m</w:t>
      </w:r>
      <w:r w:rsidRPr="00184B62">
        <w:rPr>
          <w:rFonts w:ascii="Times New Roman" w:hAnsi="Times New Roman"/>
          <w:sz w:val="24"/>
          <w:szCs w:val="24"/>
        </w:rPr>
        <w:t xml:space="preserve"> и в</w:t>
      </w:r>
      <w:r w:rsidRPr="00184B62">
        <w:rPr>
          <w:rFonts w:ascii="Times New Roman" w:eastAsia="Calibri" w:hAnsi="Times New Roman"/>
          <w:sz w:val="24"/>
          <w:szCs w:val="24"/>
        </w:rPr>
        <w:t>идът е установен в 2 находища, с общо</w:t>
      </w:r>
      <w:r w:rsidRPr="00184B62">
        <w:rPr>
          <w:rFonts w:ascii="Times New Roman" w:hAnsi="Times New Roman"/>
          <w:sz w:val="24"/>
          <w:szCs w:val="24"/>
        </w:rPr>
        <w:t xml:space="preserve"> </w:t>
      </w:r>
      <w:r w:rsidRPr="00184B62">
        <w:rPr>
          <w:rFonts w:ascii="Times New Roman" w:hAnsi="Times New Roman"/>
          <w:sz w:val="24"/>
          <w:szCs w:val="24"/>
          <w:lang w:val="en-US"/>
        </w:rPr>
        <w:t xml:space="preserve">12 </w:t>
      </w:r>
      <w:r w:rsidRPr="00184B62">
        <w:rPr>
          <w:rFonts w:ascii="Times New Roman" w:hAnsi="Times New Roman"/>
          <w:sz w:val="24"/>
          <w:szCs w:val="24"/>
        </w:rPr>
        <w:t xml:space="preserve">живи индивида. Средната стойност на обилието на вида в зоната е 0,02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m</w:t>
      </w:r>
      <w:r w:rsidRPr="00184B62">
        <w:rPr>
          <w:rFonts w:ascii="Times New Roman" w:hAnsi="Times New Roman"/>
          <w:sz w:val="24"/>
          <w:szCs w:val="24"/>
          <w:vertAlign w:val="superscript"/>
        </w:rPr>
        <w:t>2</w:t>
      </w:r>
      <w:r w:rsidRPr="00184B62">
        <w:rPr>
          <w:rFonts w:ascii="Times New Roman" w:hAnsi="Times New Roman"/>
          <w:sz w:val="24"/>
          <w:szCs w:val="24"/>
        </w:rPr>
        <w:t xml:space="preserve"> (200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ha</w:t>
      </w:r>
      <w:r w:rsidRPr="00184B62">
        <w:rPr>
          <w:rFonts w:ascii="Times New Roman" w:hAnsi="Times New Roman"/>
          <w:sz w:val="24"/>
          <w:szCs w:val="24"/>
        </w:rPr>
        <w:t xml:space="preserve">). Площта на ефективно заетите местообитания е 384,54 </w:t>
      </w:r>
      <w:r w:rsidRPr="00184B62">
        <w:rPr>
          <w:rFonts w:ascii="Times New Roman" w:hAnsi="Times New Roman"/>
          <w:sz w:val="24"/>
          <w:szCs w:val="24"/>
          <w:lang w:val="en-US"/>
        </w:rPr>
        <w:t>h</w:t>
      </w:r>
      <w:r w:rsidRPr="00184B62">
        <w:rPr>
          <w:rFonts w:ascii="Times New Roman" w:hAnsi="Times New Roman"/>
          <w:sz w:val="24"/>
          <w:szCs w:val="24"/>
        </w:rPr>
        <w:t>а и напълно съвпада с общата площ на потенциалните местообитания е 384,54</w:t>
      </w:r>
      <w:r w:rsidRPr="00184B62">
        <w:rPr>
          <w:rFonts w:ascii="Times New Roman" w:hAnsi="Times New Roman"/>
          <w:sz w:val="24"/>
          <w:szCs w:val="24"/>
          <w:lang w:val="en-US"/>
        </w:rPr>
        <w:t xml:space="preserve"> ha</w:t>
      </w:r>
      <w:r w:rsidRPr="00184B62">
        <w:rPr>
          <w:rFonts w:ascii="Times New Roman" w:hAnsi="Times New Roman"/>
          <w:sz w:val="24"/>
          <w:szCs w:val="24"/>
        </w:rPr>
        <w:t xml:space="preserve"> Не са отчетени увредени местообитания по параметрите характер на дънния субстрат, строителство на хидротехнически съоръжения, замърсяване и антропогенно присъствие и поради това оценката за вида в зоната е благоприятно състояние </w:t>
      </w:r>
      <w:r w:rsidRPr="00184B62">
        <w:rPr>
          <w:rFonts w:ascii="Times New Roman" w:eastAsia="Calibri" w:hAnsi="Times New Roman"/>
          <w:sz w:val="24"/>
          <w:szCs w:val="24"/>
          <w:lang w:val="en-US"/>
        </w:rPr>
        <w:t>(</w:t>
      </w:r>
      <w:r w:rsidRPr="00184B62">
        <w:rPr>
          <w:rFonts w:ascii="Times New Roman" w:hAnsi="Times New Roman"/>
          <w:sz w:val="24"/>
          <w:szCs w:val="24"/>
        </w:rPr>
        <w:t xml:space="preserve">Източник на информацията: </w:t>
      </w:r>
      <w:r w:rsidRPr="00184B62">
        <w:rPr>
          <w:rFonts w:ascii="Times New Roman" w:eastAsia="Calibri" w:hAnsi="Times New Roman"/>
          <w:sz w:val="24"/>
          <w:szCs w:val="24"/>
        </w:rPr>
        <w:t>специфичен доклад за вида в ЗЗ „Сребърна“, публикуван на страницата на Информационната система на защитените зони от екологичната мрежа Натура 2000</w:t>
      </w:r>
      <w:r w:rsidRPr="00184B62">
        <w:rPr>
          <w:rFonts w:ascii="Times New Roman" w:eastAsia="Calibri" w:hAnsi="Times New Roman"/>
          <w:sz w:val="24"/>
          <w:szCs w:val="24"/>
          <w:lang w:val="en-US"/>
        </w:rPr>
        <w:t>)</w:t>
      </w:r>
      <w:r w:rsidRPr="00184B62">
        <w:rPr>
          <w:rFonts w:ascii="Times New Roman" w:eastAsia="Calibri" w:hAnsi="Times New Roman"/>
          <w:sz w:val="24"/>
          <w:szCs w:val="24"/>
        </w:rPr>
        <w:t>.</w:t>
      </w:r>
    </w:p>
    <w:p w:rsidR="00184B62" w:rsidRPr="00184B62" w:rsidRDefault="00184B62" w:rsidP="005A0A3C">
      <w:pPr>
        <w:spacing w:after="0" w:line="240" w:lineRule="auto"/>
        <w:ind w:firstLine="709"/>
        <w:jc w:val="both"/>
        <w:rPr>
          <w:rFonts w:ascii="Times New Roman" w:eastAsia="Calibri" w:hAnsi="Times New Roman"/>
          <w:i/>
          <w:sz w:val="24"/>
          <w:szCs w:val="24"/>
        </w:rPr>
      </w:pPr>
      <w:r w:rsidRPr="00184B62">
        <w:rPr>
          <w:rFonts w:ascii="Times New Roman" w:eastAsia="Calibri" w:hAnsi="Times New Roman"/>
          <w:i/>
          <w:sz w:val="24"/>
          <w:szCs w:val="24"/>
        </w:rPr>
        <w:t xml:space="preserve">Информация за вида в ЗЗ „Сребърна“, базираща се на данни от проекти, осъществени след 2013 г.  </w:t>
      </w:r>
    </w:p>
    <w:p w:rsidR="00184B62" w:rsidRPr="00184B62" w:rsidRDefault="00184B62" w:rsidP="005A0A3C">
      <w:pPr>
        <w:spacing w:after="0" w:line="240" w:lineRule="auto"/>
        <w:ind w:firstLine="709"/>
        <w:jc w:val="both"/>
        <w:rPr>
          <w:rFonts w:ascii="Times New Roman" w:hAnsi="Times New Roman"/>
          <w:sz w:val="24"/>
          <w:szCs w:val="24"/>
        </w:rPr>
      </w:pPr>
      <w:r w:rsidRPr="00184B62">
        <w:rPr>
          <w:rFonts w:ascii="Times New Roman" w:eastAsia="Calibri" w:hAnsi="Times New Roman"/>
          <w:sz w:val="24"/>
          <w:szCs w:val="24"/>
        </w:rPr>
        <w:t xml:space="preserve">По проект </w:t>
      </w:r>
      <w:r w:rsidRPr="00184B62">
        <w:rPr>
          <w:rFonts w:ascii="Times New Roman" w:hAnsi="Times New Roman"/>
          <w:sz w:val="24"/>
          <w:szCs w:val="24"/>
          <w:lang w:val="ru-RU"/>
        </w:rPr>
        <w:t xml:space="preserve">№ 2601/30.07.2013 г. </w:t>
      </w:r>
      <w:r w:rsidRPr="00184B62">
        <w:rPr>
          <w:rFonts w:ascii="Times New Roman" w:hAnsi="Times New Roman"/>
          <w:sz w:val="24"/>
          <w:szCs w:val="24"/>
        </w:rPr>
        <w:t>"</w:t>
      </w:r>
      <w:r w:rsidRPr="00184B62">
        <w:rPr>
          <w:rFonts w:ascii="Times New Roman" w:hAnsi="Times New Roman"/>
          <w:sz w:val="24"/>
          <w:szCs w:val="24"/>
          <w:lang w:val="ru-RU"/>
        </w:rPr>
        <w:t>Теренни проучвания на разпространение и численост на безгръбначни животни</w:t>
      </w:r>
      <w:r w:rsidRPr="00184B62">
        <w:rPr>
          <w:rFonts w:ascii="Times New Roman" w:hAnsi="Times New Roman"/>
          <w:sz w:val="24"/>
          <w:szCs w:val="24"/>
        </w:rPr>
        <w:t xml:space="preserve">", финансиран от Изпълнителна агенция по околна среда (ИАОС), през м. септември 2014 г. е проведена експедиция по р. Дунав и прилежащите ѝ стоящи водоеми. В рамките на експедицията ЗЗ “Сребърна” е изследвана в 1 участък (10 </w:t>
      </w:r>
      <w:r w:rsidRPr="00184B62">
        <w:rPr>
          <w:rFonts w:ascii="Times New Roman" w:hAnsi="Times New Roman"/>
          <w:sz w:val="24"/>
          <w:szCs w:val="24"/>
          <w:lang w:val="en-US"/>
        </w:rPr>
        <w:t xml:space="preserve">m </w:t>
      </w:r>
      <w:r w:rsidRPr="00184B62">
        <w:rPr>
          <w:rFonts w:ascii="Times New Roman" w:hAnsi="Times New Roman"/>
          <w:sz w:val="24"/>
          <w:szCs w:val="24"/>
        </w:rPr>
        <w:t xml:space="preserve">трансект в литоралната зона на езерото при кея под музейната сграда), в който е установен </w:t>
      </w:r>
      <w:r w:rsidRPr="00184B62">
        <w:rPr>
          <w:rFonts w:ascii="Times New Roman" w:eastAsia="Calibri" w:hAnsi="Times New Roman"/>
          <w:sz w:val="24"/>
          <w:szCs w:val="24"/>
        </w:rPr>
        <w:t>1 жив индивид на безкилната спиралина</w:t>
      </w:r>
      <w:r w:rsidRPr="00184B62">
        <w:rPr>
          <w:rFonts w:ascii="Times New Roman" w:eastAsia="Calibri" w:hAnsi="Times New Roman"/>
          <w:sz w:val="24"/>
          <w:szCs w:val="24"/>
          <w:lang w:val="en-US"/>
        </w:rPr>
        <w:t xml:space="preserve"> </w:t>
      </w:r>
      <w:r w:rsidRPr="00184B62">
        <w:rPr>
          <w:rFonts w:ascii="Times New Roman" w:hAnsi="Times New Roman"/>
          <w:sz w:val="24"/>
          <w:szCs w:val="24"/>
        </w:rPr>
        <w:t xml:space="preserve">(0,1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m</w:t>
      </w:r>
      <w:r w:rsidRPr="00184B62">
        <w:rPr>
          <w:rFonts w:ascii="Times New Roman" w:hAnsi="Times New Roman"/>
          <w:sz w:val="24"/>
          <w:szCs w:val="24"/>
          <w:vertAlign w:val="superscript"/>
        </w:rPr>
        <w:t>2</w:t>
      </w:r>
      <w:r w:rsidRPr="00184B62">
        <w:rPr>
          <w:rFonts w:ascii="Times New Roman" w:hAnsi="Times New Roman"/>
          <w:sz w:val="24"/>
          <w:szCs w:val="24"/>
        </w:rPr>
        <w:t xml:space="preserve"> или 100</w:t>
      </w:r>
      <w:r w:rsidRPr="00184B62">
        <w:rPr>
          <w:rFonts w:ascii="Times New Roman" w:hAnsi="Times New Roman"/>
          <w:sz w:val="24"/>
          <w:szCs w:val="24"/>
          <w:lang w:val="en-US"/>
        </w:rPr>
        <w:t>0</w:t>
      </w:r>
      <w:r w:rsidRPr="00184B62">
        <w:rPr>
          <w:rFonts w:ascii="Times New Roman" w:hAnsi="Times New Roman"/>
          <w:sz w:val="24"/>
          <w:szCs w:val="24"/>
        </w:rPr>
        <w:t xml:space="preserve">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ha)</w:t>
      </w:r>
      <w:r w:rsidRPr="00184B62">
        <w:rPr>
          <w:rFonts w:ascii="Times New Roman" w:eastAsia="Calibri" w:hAnsi="Times New Roman"/>
          <w:sz w:val="24"/>
          <w:szCs w:val="24"/>
        </w:rPr>
        <w:t>.</w:t>
      </w:r>
    </w:p>
    <w:p w:rsidR="00184B62" w:rsidRPr="00184B62" w:rsidRDefault="00184B62" w:rsidP="005A0A3C">
      <w:pPr>
        <w:spacing w:after="0" w:line="240" w:lineRule="auto"/>
        <w:ind w:firstLine="709"/>
        <w:jc w:val="both"/>
        <w:rPr>
          <w:rFonts w:ascii="Times New Roman" w:eastAsia="Calibri" w:hAnsi="Times New Roman"/>
          <w:sz w:val="24"/>
          <w:szCs w:val="24"/>
        </w:rPr>
      </w:pPr>
      <w:r w:rsidRPr="00184B62">
        <w:rPr>
          <w:rFonts w:ascii="Times New Roman" w:eastAsia="Calibri" w:hAnsi="Times New Roman"/>
          <w:sz w:val="24"/>
          <w:szCs w:val="24"/>
        </w:rPr>
        <w:t xml:space="preserve">В рамките на проекта </w:t>
      </w:r>
      <w:r w:rsidRPr="00184B62">
        <w:rPr>
          <w:rFonts w:ascii="Times New Roman" w:hAnsi="Times New Roman"/>
          <w:sz w:val="24"/>
          <w:szCs w:val="24"/>
        </w:rPr>
        <w:t xml:space="preserve">ESENIAS-TOOLS (Д-33-51/30.06.2015 г.), финансиран от Финансовия механизъм на Европейското икономическо пространство, програма BG03 „Биологично разнообразие и екосистеми“, през 2015 и 2016 г. са проведени няколко експедиции по р. Дунав и прилежащите ѝ стоящи водоеми. По време на една от тях, през м. юни 2016 г., в ЗЗ „Сребърна“ е изследван 1 участък от зоната (10 </w:t>
      </w:r>
      <w:r w:rsidRPr="00184B62">
        <w:rPr>
          <w:rFonts w:ascii="Times New Roman" w:hAnsi="Times New Roman"/>
          <w:sz w:val="24"/>
          <w:szCs w:val="24"/>
          <w:lang w:val="en-US"/>
        </w:rPr>
        <w:t xml:space="preserve">m </w:t>
      </w:r>
      <w:r w:rsidRPr="00184B62">
        <w:rPr>
          <w:rFonts w:ascii="Times New Roman" w:hAnsi="Times New Roman"/>
          <w:sz w:val="24"/>
          <w:szCs w:val="24"/>
        </w:rPr>
        <w:t xml:space="preserve">трансект при кея под музейната сграда), в който е регистрирано присъствието на голям брой малки охлюви от сем. </w:t>
      </w:r>
      <w:r w:rsidRPr="00184B62">
        <w:rPr>
          <w:rFonts w:ascii="Times New Roman" w:hAnsi="Times New Roman"/>
          <w:sz w:val="24"/>
          <w:szCs w:val="24"/>
          <w:lang w:val="en-US"/>
        </w:rPr>
        <w:t>Planorbidae</w:t>
      </w:r>
      <w:r w:rsidRPr="00184B62">
        <w:rPr>
          <w:rFonts w:ascii="Times New Roman" w:hAnsi="Times New Roman"/>
          <w:sz w:val="24"/>
          <w:szCs w:val="24"/>
        </w:rPr>
        <w:t xml:space="preserve">, но </w:t>
      </w:r>
      <w:r w:rsidRPr="00184B62">
        <w:rPr>
          <w:rFonts w:ascii="Times New Roman" w:eastAsia="Calibri" w:hAnsi="Times New Roman"/>
          <w:sz w:val="24"/>
          <w:szCs w:val="24"/>
        </w:rPr>
        <w:t>безкилната спиралина не е установена.</w:t>
      </w:r>
    </w:p>
    <w:p w:rsidR="00184B62" w:rsidRPr="00184B62" w:rsidRDefault="00184B62" w:rsidP="005A0A3C">
      <w:pPr>
        <w:spacing w:after="0" w:line="240" w:lineRule="auto"/>
        <w:ind w:firstLine="709"/>
        <w:jc w:val="both"/>
        <w:rPr>
          <w:rFonts w:ascii="Times New Roman" w:eastAsia="Calibri" w:hAnsi="Times New Roman"/>
          <w:sz w:val="24"/>
          <w:szCs w:val="24"/>
        </w:rPr>
      </w:pPr>
      <w:r w:rsidRPr="00184B62">
        <w:rPr>
          <w:rFonts w:ascii="Times New Roman" w:hAnsi="Times New Roman"/>
          <w:sz w:val="24"/>
          <w:szCs w:val="24"/>
          <w:lang w:val="ru-RU"/>
        </w:rPr>
        <w:lastRenderedPageBreak/>
        <w:t xml:space="preserve">По проект </w:t>
      </w:r>
      <w:r w:rsidRPr="00184B62">
        <w:rPr>
          <w:rFonts w:ascii="Times New Roman" w:hAnsi="Times New Roman"/>
          <w:sz w:val="24"/>
          <w:szCs w:val="24"/>
        </w:rPr>
        <w:t>„</w:t>
      </w:r>
      <w:r w:rsidRPr="00184B62">
        <w:rPr>
          <w:rFonts w:ascii="Times New Roman" w:hAnsi="Times New Roman"/>
          <w:sz w:val="24"/>
          <w:szCs w:val="24"/>
          <w:lang w:val="ru-RU"/>
        </w:rPr>
        <w:t xml:space="preserve">Проучване и оценка на екологичното състояние на българския участък на р. Дунав в рамките на четвъртата международна програма </w:t>
      </w:r>
      <w:r w:rsidRPr="00184B62">
        <w:rPr>
          <w:rFonts w:ascii="Times New Roman" w:hAnsi="Times New Roman"/>
          <w:sz w:val="24"/>
          <w:szCs w:val="24"/>
        </w:rPr>
        <w:t>Joint</w:t>
      </w:r>
      <w:r w:rsidRPr="00184B62">
        <w:rPr>
          <w:rFonts w:ascii="Times New Roman" w:hAnsi="Times New Roman"/>
          <w:sz w:val="24"/>
          <w:szCs w:val="24"/>
          <w:lang w:val="ru-RU"/>
        </w:rPr>
        <w:t xml:space="preserve"> </w:t>
      </w:r>
      <w:r w:rsidRPr="00184B62">
        <w:rPr>
          <w:rFonts w:ascii="Times New Roman" w:hAnsi="Times New Roman"/>
          <w:sz w:val="24"/>
          <w:szCs w:val="24"/>
        </w:rPr>
        <w:t>Danube</w:t>
      </w:r>
      <w:r w:rsidRPr="00184B62">
        <w:rPr>
          <w:rFonts w:ascii="Times New Roman" w:hAnsi="Times New Roman"/>
          <w:sz w:val="24"/>
          <w:szCs w:val="24"/>
          <w:lang w:val="ru-RU"/>
        </w:rPr>
        <w:t xml:space="preserve"> </w:t>
      </w:r>
      <w:r w:rsidRPr="00184B62">
        <w:rPr>
          <w:rFonts w:ascii="Times New Roman" w:hAnsi="Times New Roman"/>
          <w:sz w:val="24"/>
          <w:szCs w:val="24"/>
        </w:rPr>
        <w:t>Survey</w:t>
      </w:r>
      <w:r w:rsidRPr="00184B62">
        <w:rPr>
          <w:rFonts w:ascii="Times New Roman" w:hAnsi="Times New Roman"/>
          <w:sz w:val="24"/>
          <w:szCs w:val="24"/>
          <w:lang w:val="ru-RU"/>
        </w:rPr>
        <w:t xml:space="preserve"> (</w:t>
      </w:r>
      <w:r w:rsidRPr="00184B62">
        <w:rPr>
          <w:rFonts w:ascii="Times New Roman" w:hAnsi="Times New Roman"/>
          <w:sz w:val="24"/>
          <w:szCs w:val="24"/>
        </w:rPr>
        <w:t>JDS</w:t>
      </w:r>
      <w:r w:rsidRPr="00184B62">
        <w:rPr>
          <w:rFonts w:ascii="Times New Roman" w:hAnsi="Times New Roman"/>
          <w:sz w:val="24"/>
          <w:szCs w:val="24"/>
          <w:lang w:val="ru-RU"/>
        </w:rPr>
        <w:t>4) през 2019 г.</w:t>
      </w:r>
      <w:r w:rsidRPr="00184B62">
        <w:rPr>
          <w:rFonts w:ascii="Times New Roman" w:hAnsi="Times New Roman"/>
          <w:sz w:val="24"/>
          <w:szCs w:val="24"/>
          <w:lang w:val="en-US"/>
        </w:rPr>
        <w:t>”</w:t>
      </w:r>
      <w:r w:rsidRPr="00184B62">
        <w:rPr>
          <w:rFonts w:ascii="Times New Roman" w:hAnsi="Times New Roman"/>
          <w:sz w:val="24"/>
          <w:szCs w:val="24"/>
        </w:rPr>
        <w:t>,</w:t>
      </w:r>
      <w:r w:rsidRPr="00184B62">
        <w:rPr>
          <w:rFonts w:ascii="Times New Roman" w:hAnsi="Times New Roman"/>
          <w:sz w:val="24"/>
          <w:szCs w:val="24"/>
          <w:lang w:val="ru-RU"/>
        </w:rPr>
        <w:t xml:space="preserve"> финансиран от ПУДООС, са проведени 2 експедиции по р. Дунав. През м. юли 2019 г. ЗЗ </w:t>
      </w:r>
      <w:r w:rsidRPr="00184B62">
        <w:rPr>
          <w:rFonts w:ascii="Times New Roman" w:hAnsi="Times New Roman"/>
          <w:sz w:val="24"/>
          <w:szCs w:val="24"/>
        </w:rPr>
        <w:t xml:space="preserve">“Сребърна” е изследвана в </w:t>
      </w:r>
      <w:r w:rsidRPr="00184B62">
        <w:rPr>
          <w:rFonts w:ascii="Times New Roman" w:eastAsia="Calibri" w:hAnsi="Times New Roman"/>
          <w:sz w:val="24"/>
          <w:szCs w:val="24"/>
        </w:rPr>
        <w:t xml:space="preserve">2 участъка (10 </w:t>
      </w:r>
      <w:r w:rsidRPr="00184B62">
        <w:rPr>
          <w:rFonts w:ascii="Times New Roman" w:eastAsia="Calibri" w:hAnsi="Times New Roman"/>
          <w:sz w:val="24"/>
          <w:szCs w:val="24"/>
          <w:lang w:val="en-US"/>
        </w:rPr>
        <w:t>m</w:t>
      </w:r>
      <w:r w:rsidRPr="00184B62">
        <w:rPr>
          <w:rFonts w:ascii="Times New Roman" w:eastAsia="Calibri" w:hAnsi="Times New Roman"/>
          <w:sz w:val="24"/>
          <w:szCs w:val="24"/>
        </w:rPr>
        <w:t xml:space="preserve"> трансекти): един трансект при кея под музея и 1 трансект в югоизточната част на езерото, под главния път за Силистра. В трансекта при кея са намерени 3 живи индивида от спиралината, а във втория трансект видът не е установен</w:t>
      </w:r>
      <w:r w:rsidRPr="00184B62">
        <w:rPr>
          <w:rFonts w:ascii="Times New Roman" w:eastAsia="Calibri" w:hAnsi="Times New Roman"/>
          <w:sz w:val="24"/>
          <w:szCs w:val="24"/>
          <w:lang w:val="en-US"/>
        </w:rPr>
        <w:t xml:space="preserve"> </w:t>
      </w:r>
      <w:r w:rsidRPr="00184B62">
        <w:rPr>
          <w:rFonts w:ascii="Times New Roman" w:hAnsi="Times New Roman"/>
          <w:sz w:val="24"/>
          <w:szCs w:val="24"/>
        </w:rPr>
        <w:t>(средно обилие 0,1</w:t>
      </w:r>
      <w:r w:rsidRPr="00184B62">
        <w:rPr>
          <w:rFonts w:ascii="Times New Roman" w:hAnsi="Times New Roman"/>
          <w:sz w:val="24"/>
          <w:szCs w:val="24"/>
          <w:lang w:val="en-US"/>
        </w:rPr>
        <w:t>5</w:t>
      </w:r>
      <w:r w:rsidRPr="00184B62">
        <w:rPr>
          <w:rFonts w:ascii="Times New Roman" w:hAnsi="Times New Roman"/>
          <w:sz w:val="24"/>
          <w:szCs w:val="24"/>
        </w:rPr>
        <w:t xml:space="preserve">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m</w:t>
      </w:r>
      <w:r w:rsidRPr="00184B62">
        <w:rPr>
          <w:rFonts w:ascii="Times New Roman" w:hAnsi="Times New Roman"/>
          <w:sz w:val="24"/>
          <w:szCs w:val="24"/>
          <w:vertAlign w:val="superscript"/>
        </w:rPr>
        <w:t>2</w:t>
      </w:r>
      <w:r w:rsidRPr="00184B62">
        <w:rPr>
          <w:rFonts w:ascii="Times New Roman" w:hAnsi="Times New Roman"/>
          <w:sz w:val="24"/>
          <w:szCs w:val="24"/>
        </w:rPr>
        <w:t xml:space="preserve"> или 1</w:t>
      </w:r>
      <w:r w:rsidRPr="00184B62">
        <w:rPr>
          <w:rFonts w:ascii="Times New Roman" w:hAnsi="Times New Roman"/>
          <w:sz w:val="24"/>
          <w:szCs w:val="24"/>
          <w:lang w:val="en-US"/>
        </w:rPr>
        <w:t>5</w:t>
      </w:r>
      <w:r w:rsidRPr="00184B62">
        <w:rPr>
          <w:rFonts w:ascii="Times New Roman" w:hAnsi="Times New Roman"/>
          <w:sz w:val="24"/>
          <w:szCs w:val="24"/>
        </w:rPr>
        <w:t>0</w:t>
      </w:r>
      <w:r w:rsidRPr="00184B62">
        <w:rPr>
          <w:rFonts w:ascii="Times New Roman" w:hAnsi="Times New Roman"/>
          <w:sz w:val="24"/>
          <w:szCs w:val="24"/>
          <w:lang w:val="en-US"/>
        </w:rPr>
        <w:t>0</w:t>
      </w:r>
      <w:r w:rsidRPr="00184B62">
        <w:rPr>
          <w:rFonts w:ascii="Times New Roman" w:hAnsi="Times New Roman"/>
          <w:sz w:val="24"/>
          <w:szCs w:val="24"/>
        </w:rPr>
        <w:t xml:space="preserve">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ha)</w:t>
      </w:r>
      <w:r w:rsidRPr="00184B62">
        <w:rPr>
          <w:rFonts w:ascii="Times New Roman" w:eastAsia="Calibri" w:hAnsi="Times New Roman"/>
          <w:sz w:val="24"/>
          <w:szCs w:val="24"/>
        </w:rPr>
        <w:t>.</w:t>
      </w:r>
    </w:p>
    <w:p w:rsidR="00184B62" w:rsidRPr="00184B62" w:rsidRDefault="00184B62" w:rsidP="005A0A3C">
      <w:pPr>
        <w:spacing w:after="0" w:line="240" w:lineRule="auto"/>
        <w:ind w:firstLine="709"/>
        <w:jc w:val="both"/>
        <w:rPr>
          <w:rFonts w:ascii="Times New Roman" w:eastAsia="Calibri" w:hAnsi="Times New Roman"/>
          <w:i/>
          <w:sz w:val="24"/>
          <w:szCs w:val="24"/>
        </w:rPr>
      </w:pPr>
      <w:r w:rsidRPr="00184B62">
        <w:rPr>
          <w:rFonts w:ascii="Times New Roman" w:hAnsi="Times New Roman"/>
          <w:sz w:val="24"/>
          <w:szCs w:val="24"/>
          <w:lang w:val="ru-RU"/>
        </w:rPr>
        <w:t>Данни</w:t>
      </w:r>
      <w:r w:rsidRPr="00184B62">
        <w:rPr>
          <w:rFonts w:ascii="Times New Roman" w:eastAsia="Calibri" w:hAnsi="Times New Roman"/>
          <w:i/>
          <w:sz w:val="24"/>
          <w:szCs w:val="24"/>
        </w:rPr>
        <w:t xml:space="preserve"> от теренните изследвания през 2021 г.</w:t>
      </w:r>
    </w:p>
    <w:p w:rsidR="00184B62" w:rsidRPr="00184B62" w:rsidRDefault="00184B62" w:rsidP="005A0A3C">
      <w:pPr>
        <w:spacing w:after="0" w:line="240" w:lineRule="auto"/>
        <w:ind w:firstLine="709"/>
        <w:jc w:val="both"/>
        <w:rPr>
          <w:rFonts w:ascii="Times New Roman" w:eastAsia="Calibri" w:hAnsi="Times New Roman"/>
          <w:sz w:val="24"/>
          <w:szCs w:val="24"/>
        </w:rPr>
      </w:pPr>
      <w:r w:rsidRPr="00184B62">
        <w:rPr>
          <w:rFonts w:ascii="Times New Roman" w:hAnsi="Times New Roman"/>
          <w:sz w:val="24"/>
          <w:szCs w:val="24"/>
          <w:lang w:val="ru-RU"/>
        </w:rPr>
        <w:t>През</w:t>
      </w:r>
      <w:r w:rsidRPr="00184B62">
        <w:rPr>
          <w:rFonts w:ascii="Times New Roman" w:eastAsia="Calibri" w:hAnsi="Times New Roman"/>
          <w:sz w:val="24"/>
          <w:szCs w:val="24"/>
        </w:rPr>
        <w:t xml:space="preserve"> м. август 2021 г. беше проведено теренно проучване в ЗЗ „Сребърна“ при сравнително ниско ниво на р. Дунав и подходящи условия за провеждането на изследвания. В езерото бяха проучени три 10 </w:t>
      </w:r>
      <w:r w:rsidRPr="00184B62">
        <w:rPr>
          <w:rFonts w:ascii="Times New Roman" w:eastAsia="Calibri" w:hAnsi="Times New Roman"/>
          <w:sz w:val="24"/>
          <w:szCs w:val="24"/>
          <w:lang w:val="en-US"/>
        </w:rPr>
        <w:t>m</w:t>
      </w:r>
      <w:r w:rsidRPr="00184B62">
        <w:rPr>
          <w:rFonts w:ascii="Times New Roman" w:eastAsia="Calibri" w:hAnsi="Times New Roman"/>
          <w:sz w:val="24"/>
          <w:szCs w:val="24"/>
        </w:rPr>
        <w:t xml:space="preserve"> трансекта: един трансект при кея под музея и 2 трансекта в югоизточната част на езерото, под главния път за Силистра. В трансекта при кея бяха намерени 4 живи индивида от спиралината, а в другите два трансекта видът не беше установен</w:t>
      </w:r>
      <w:r w:rsidRPr="00184B62">
        <w:rPr>
          <w:rFonts w:ascii="Times New Roman" w:eastAsia="Calibri" w:hAnsi="Times New Roman"/>
          <w:sz w:val="24"/>
          <w:szCs w:val="24"/>
          <w:lang w:val="en-US"/>
        </w:rPr>
        <w:t xml:space="preserve"> </w:t>
      </w:r>
      <w:r w:rsidRPr="00184B62">
        <w:rPr>
          <w:rFonts w:ascii="Times New Roman" w:hAnsi="Times New Roman"/>
          <w:sz w:val="24"/>
          <w:szCs w:val="24"/>
        </w:rPr>
        <w:t xml:space="preserve">(средно обилие 0,13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m</w:t>
      </w:r>
      <w:r w:rsidRPr="00184B62">
        <w:rPr>
          <w:rFonts w:ascii="Times New Roman" w:hAnsi="Times New Roman"/>
          <w:sz w:val="24"/>
          <w:szCs w:val="24"/>
          <w:vertAlign w:val="superscript"/>
        </w:rPr>
        <w:t>2</w:t>
      </w:r>
      <w:r w:rsidRPr="00184B62">
        <w:rPr>
          <w:rFonts w:ascii="Times New Roman" w:hAnsi="Times New Roman"/>
          <w:sz w:val="24"/>
          <w:szCs w:val="24"/>
        </w:rPr>
        <w:t xml:space="preserve"> или 130</w:t>
      </w:r>
      <w:r w:rsidRPr="00184B62">
        <w:rPr>
          <w:rFonts w:ascii="Times New Roman" w:hAnsi="Times New Roman"/>
          <w:sz w:val="24"/>
          <w:szCs w:val="24"/>
          <w:lang w:val="en-US"/>
        </w:rPr>
        <w:t>0</w:t>
      </w:r>
      <w:r w:rsidRPr="00184B62">
        <w:rPr>
          <w:rFonts w:ascii="Times New Roman" w:hAnsi="Times New Roman"/>
          <w:sz w:val="24"/>
          <w:szCs w:val="24"/>
        </w:rPr>
        <w:t xml:space="preserve">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ha)</w:t>
      </w:r>
      <w:r w:rsidRPr="00184B62">
        <w:rPr>
          <w:rFonts w:ascii="Times New Roman" w:eastAsia="Calibri" w:hAnsi="Times New Roman"/>
          <w:sz w:val="24"/>
          <w:szCs w:val="24"/>
        </w:rPr>
        <w:t>.</w:t>
      </w:r>
    </w:p>
    <w:p w:rsidR="00184B62" w:rsidRPr="00184B62" w:rsidRDefault="00184B62" w:rsidP="005A0A3C">
      <w:pPr>
        <w:spacing w:after="0" w:line="240" w:lineRule="auto"/>
        <w:ind w:firstLine="709"/>
        <w:jc w:val="both"/>
        <w:rPr>
          <w:rFonts w:ascii="Times New Roman" w:hAnsi="Times New Roman"/>
          <w:sz w:val="24"/>
          <w:szCs w:val="24"/>
        </w:rPr>
      </w:pPr>
      <w:r w:rsidRPr="00184B62">
        <w:rPr>
          <w:rFonts w:ascii="Times New Roman" w:hAnsi="Times New Roman"/>
          <w:sz w:val="24"/>
          <w:szCs w:val="24"/>
        </w:rPr>
        <w:t>Най-</w:t>
      </w:r>
      <w:r w:rsidRPr="00184B62">
        <w:rPr>
          <w:rFonts w:ascii="Times New Roman" w:hAnsi="Times New Roman"/>
          <w:sz w:val="24"/>
          <w:szCs w:val="24"/>
          <w:lang w:val="ru-RU"/>
        </w:rPr>
        <w:t>общо</w:t>
      </w:r>
      <w:r w:rsidRPr="00184B62">
        <w:rPr>
          <w:rFonts w:ascii="Times New Roman" w:hAnsi="Times New Roman"/>
          <w:sz w:val="24"/>
          <w:szCs w:val="24"/>
        </w:rPr>
        <w:t xml:space="preserve"> резултатите от всички изследвания показват, че безкилната спиралина се среща в ЗЗ „Сребърна“, но плътността на популацията ѝ е сравнително ниска - от 0,02 до 0,15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m</w:t>
      </w:r>
      <w:r w:rsidRPr="00184B62">
        <w:rPr>
          <w:rFonts w:ascii="Times New Roman" w:hAnsi="Times New Roman"/>
          <w:sz w:val="24"/>
          <w:szCs w:val="24"/>
          <w:vertAlign w:val="superscript"/>
        </w:rPr>
        <w:t>2</w:t>
      </w:r>
      <w:r w:rsidRPr="00184B62">
        <w:rPr>
          <w:rFonts w:ascii="Times New Roman" w:hAnsi="Times New Roman"/>
          <w:sz w:val="24"/>
          <w:szCs w:val="24"/>
        </w:rPr>
        <w:t xml:space="preserve"> (200-1500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ha</w:t>
      </w:r>
      <w:r w:rsidRPr="00184B62">
        <w:rPr>
          <w:rFonts w:ascii="Times New Roman" w:hAnsi="Times New Roman"/>
          <w:sz w:val="24"/>
          <w:szCs w:val="24"/>
        </w:rPr>
        <w:t>).</w:t>
      </w:r>
    </w:p>
    <w:p w:rsidR="00184B62" w:rsidRPr="00184B62" w:rsidRDefault="00184B62" w:rsidP="005A0A3C">
      <w:pPr>
        <w:spacing w:before="120" w:after="120"/>
        <w:rPr>
          <w:rFonts w:ascii="Times New Roman" w:hAnsi="Times New Roman"/>
          <w:b/>
          <w:sz w:val="24"/>
          <w:szCs w:val="24"/>
        </w:rPr>
      </w:pPr>
      <w:r w:rsidRPr="00184B62">
        <w:rPr>
          <w:rFonts w:ascii="Times New Roman" w:hAnsi="Times New Roman"/>
          <w:b/>
          <w:sz w:val="24"/>
          <w:szCs w:val="24"/>
          <w:lang w:val="en-US"/>
        </w:rPr>
        <w:t xml:space="preserve">6. </w:t>
      </w:r>
      <w:r w:rsidRPr="00184B62">
        <w:rPr>
          <w:rFonts w:ascii="Times New Roman" w:hAnsi="Times New Roman"/>
          <w:b/>
          <w:sz w:val="24"/>
          <w:szCs w:val="24"/>
        </w:rPr>
        <w:t>Цели за подобряване/поддържане на природозащитното състояние на вида в</w:t>
      </w:r>
      <w:r w:rsidRPr="00184B62">
        <w:rPr>
          <w:rFonts w:ascii="Times New Roman" w:hAnsi="Times New Roman"/>
          <w:b/>
          <w:sz w:val="24"/>
          <w:szCs w:val="24"/>
          <w:lang w:val="en-US"/>
        </w:rPr>
        <w:t xml:space="preserve"> </w:t>
      </w:r>
      <w:r w:rsidRPr="00184B62">
        <w:rPr>
          <w:rFonts w:ascii="Times New Roman" w:hAnsi="Times New Roman"/>
          <w:b/>
          <w:sz w:val="24"/>
          <w:szCs w:val="24"/>
        </w:rPr>
        <w:t>зоната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276"/>
        <w:gridCol w:w="2693"/>
        <w:gridCol w:w="1843"/>
      </w:tblGrid>
      <w:tr w:rsidR="00184B62" w:rsidRPr="00184B62" w:rsidTr="005A0A3C">
        <w:trPr>
          <w:tblHeader/>
        </w:trPr>
        <w:tc>
          <w:tcPr>
            <w:tcW w:w="1560" w:type="dxa"/>
            <w:shd w:val="clear" w:color="auto" w:fill="DEEAF6"/>
            <w:vAlign w:val="center"/>
          </w:tcPr>
          <w:p w:rsidR="00184B62" w:rsidRPr="00EC3027" w:rsidRDefault="00184B62" w:rsidP="00184B62">
            <w:pPr>
              <w:spacing w:after="0" w:line="240" w:lineRule="auto"/>
              <w:rPr>
                <w:rFonts w:ascii="Times New Roman" w:eastAsia="Calibri" w:hAnsi="Times New Roman"/>
                <w:b/>
                <w:bCs/>
                <w:noProof/>
                <w:sz w:val="20"/>
                <w:szCs w:val="20"/>
              </w:rPr>
            </w:pPr>
            <w:r w:rsidRPr="00EC3027">
              <w:rPr>
                <w:rFonts w:ascii="Times New Roman" w:eastAsia="Calibri" w:hAnsi="Times New Roman"/>
                <w:b/>
                <w:bCs/>
                <w:noProof/>
                <w:sz w:val="20"/>
                <w:szCs w:val="20"/>
              </w:rPr>
              <w:t>Параметър</w:t>
            </w:r>
          </w:p>
        </w:tc>
        <w:tc>
          <w:tcPr>
            <w:tcW w:w="1842" w:type="dxa"/>
            <w:shd w:val="clear" w:color="auto" w:fill="DEEAF6"/>
            <w:vAlign w:val="center"/>
          </w:tcPr>
          <w:p w:rsidR="00184B62" w:rsidRPr="00184B62" w:rsidRDefault="00184B62" w:rsidP="00184B62">
            <w:pPr>
              <w:spacing w:after="0" w:line="240" w:lineRule="auto"/>
              <w:rPr>
                <w:rFonts w:ascii="Times New Roman" w:eastAsia="Calibri" w:hAnsi="Times New Roman"/>
                <w:b/>
                <w:bCs/>
                <w:noProof/>
                <w:sz w:val="20"/>
                <w:szCs w:val="20"/>
              </w:rPr>
            </w:pPr>
            <w:r w:rsidRPr="00184B62">
              <w:rPr>
                <w:rFonts w:ascii="Times New Roman" w:eastAsia="Calibri" w:hAnsi="Times New Roman"/>
                <w:b/>
                <w:bCs/>
                <w:noProof/>
                <w:sz w:val="20"/>
                <w:szCs w:val="20"/>
              </w:rPr>
              <w:t>Мерна единица</w:t>
            </w:r>
          </w:p>
        </w:tc>
        <w:tc>
          <w:tcPr>
            <w:tcW w:w="1276" w:type="dxa"/>
            <w:shd w:val="clear" w:color="auto" w:fill="DEEAF6"/>
            <w:vAlign w:val="center"/>
          </w:tcPr>
          <w:p w:rsidR="00184B62" w:rsidRPr="00184B62" w:rsidRDefault="00184B62" w:rsidP="00184B62">
            <w:pPr>
              <w:spacing w:after="0" w:line="240" w:lineRule="auto"/>
              <w:rPr>
                <w:rFonts w:ascii="Times New Roman" w:eastAsia="Calibri" w:hAnsi="Times New Roman"/>
                <w:b/>
                <w:bCs/>
                <w:noProof/>
                <w:sz w:val="20"/>
                <w:szCs w:val="20"/>
              </w:rPr>
            </w:pPr>
            <w:r w:rsidRPr="00184B62">
              <w:rPr>
                <w:rFonts w:ascii="Times New Roman" w:eastAsia="Calibri" w:hAnsi="Times New Roman"/>
                <w:b/>
                <w:bCs/>
                <w:noProof/>
                <w:sz w:val="20"/>
                <w:szCs w:val="20"/>
              </w:rPr>
              <w:t>Целева стойност</w:t>
            </w:r>
          </w:p>
        </w:tc>
        <w:tc>
          <w:tcPr>
            <w:tcW w:w="2693" w:type="dxa"/>
            <w:shd w:val="clear" w:color="auto" w:fill="DEEAF6"/>
            <w:vAlign w:val="center"/>
          </w:tcPr>
          <w:p w:rsidR="00184B62" w:rsidRPr="00184B62" w:rsidRDefault="00184B62" w:rsidP="00184B62">
            <w:pPr>
              <w:spacing w:after="0" w:line="240" w:lineRule="auto"/>
              <w:rPr>
                <w:rFonts w:ascii="Times New Roman" w:eastAsia="Calibri" w:hAnsi="Times New Roman"/>
                <w:b/>
                <w:bCs/>
                <w:noProof/>
                <w:sz w:val="20"/>
                <w:szCs w:val="20"/>
              </w:rPr>
            </w:pPr>
            <w:r w:rsidRPr="00184B62">
              <w:rPr>
                <w:rFonts w:ascii="Times New Roman" w:eastAsia="Calibri" w:hAnsi="Times New Roman"/>
                <w:b/>
                <w:bCs/>
                <w:noProof/>
                <w:sz w:val="20"/>
                <w:szCs w:val="20"/>
              </w:rPr>
              <w:t>Допълнителна информация</w:t>
            </w:r>
          </w:p>
        </w:tc>
        <w:tc>
          <w:tcPr>
            <w:tcW w:w="1843" w:type="dxa"/>
            <w:shd w:val="clear" w:color="auto" w:fill="DEEAF6"/>
          </w:tcPr>
          <w:p w:rsidR="00184B62" w:rsidRPr="00184B62" w:rsidRDefault="00184B62" w:rsidP="00184B62">
            <w:pPr>
              <w:spacing w:after="0" w:line="240" w:lineRule="auto"/>
              <w:rPr>
                <w:rFonts w:ascii="Times New Roman" w:eastAsia="Calibri" w:hAnsi="Times New Roman"/>
                <w:b/>
                <w:bCs/>
                <w:noProof/>
                <w:sz w:val="20"/>
                <w:szCs w:val="20"/>
              </w:rPr>
            </w:pPr>
            <w:r w:rsidRPr="00184B62">
              <w:rPr>
                <w:rFonts w:ascii="Times New Roman" w:eastAsia="Calibri" w:hAnsi="Times New Roman"/>
                <w:b/>
                <w:bCs/>
                <w:noProof/>
                <w:sz w:val="20"/>
                <w:szCs w:val="20"/>
              </w:rPr>
              <w:t>Специфични природозащитни цели за защитената зона</w:t>
            </w:r>
          </w:p>
        </w:tc>
      </w:tr>
      <w:tr w:rsidR="00184B62" w:rsidRPr="00184B62" w:rsidTr="005A0A3C">
        <w:tc>
          <w:tcPr>
            <w:tcW w:w="1560" w:type="dxa"/>
            <w:shd w:val="clear" w:color="auto" w:fill="auto"/>
          </w:tcPr>
          <w:p w:rsidR="00184B62" w:rsidRPr="00EC3027" w:rsidRDefault="00184B62" w:rsidP="00184B62">
            <w:pPr>
              <w:contextualSpacing/>
              <w:rPr>
                <w:rFonts w:ascii="Times New Roman" w:hAnsi="Times New Roman"/>
                <w:b/>
                <w:sz w:val="20"/>
                <w:szCs w:val="20"/>
              </w:rPr>
            </w:pPr>
            <w:r w:rsidRPr="00EC3027">
              <w:rPr>
                <w:rFonts w:ascii="Times New Roman" w:hAnsi="Times New Roman"/>
                <w:b/>
                <w:sz w:val="20"/>
                <w:szCs w:val="20"/>
              </w:rPr>
              <w:t>Популация: Брой находища на вида в зоната</w:t>
            </w:r>
          </w:p>
        </w:tc>
        <w:tc>
          <w:tcPr>
            <w:tcW w:w="1842"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eastAsia="Calibri" w:hAnsi="Times New Roman"/>
                <w:sz w:val="20"/>
                <w:szCs w:val="20"/>
              </w:rPr>
              <w:t>Брой квадрати 1</w:t>
            </w:r>
            <w:r w:rsidRPr="00184B62">
              <w:rPr>
                <w:rFonts w:ascii="Times New Roman" w:eastAsia="Calibri" w:hAnsi="Times New Roman"/>
                <w:sz w:val="20"/>
                <w:szCs w:val="20"/>
                <w:lang w:val="en-US"/>
              </w:rPr>
              <w:t>x</w:t>
            </w:r>
            <w:r w:rsidRPr="00184B62">
              <w:rPr>
                <w:rFonts w:ascii="Times New Roman" w:eastAsia="Calibri" w:hAnsi="Times New Roman"/>
                <w:sz w:val="20"/>
                <w:szCs w:val="20"/>
              </w:rPr>
              <w:t xml:space="preserve">1 </w:t>
            </w:r>
            <w:r w:rsidRPr="00184B62">
              <w:rPr>
                <w:rFonts w:ascii="Times New Roman" w:eastAsia="Calibri" w:hAnsi="Times New Roman"/>
                <w:sz w:val="20"/>
                <w:szCs w:val="20"/>
                <w:lang w:val="en-US"/>
              </w:rPr>
              <w:t>km</w:t>
            </w:r>
            <w:r w:rsidRPr="00184B62">
              <w:rPr>
                <w:rFonts w:ascii="Times New Roman" w:eastAsia="Calibri" w:hAnsi="Times New Roman"/>
                <w:sz w:val="20"/>
                <w:szCs w:val="20"/>
              </w:rPr>
              <w:t xml:space="preserve"> с регистрация на индивиди или техни останки</w:t>
            </w:r>
          </w:p>
        </w:tc>
        <w:tc>
          <w:tcPr>
            <w:tcW w:w="1276"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t>Най-малко 2</w:t>
            </w:r>
          </w:p>
        </w:tc>
        <w:tc>
          <w:tcPr>
            <w:tcW w:w="2693" w:type="dxa"/>
            <w:shd w:val="clear" w:color="auto" w:fill="auto"/>
          </w:tcPr>
          <w:p w:rsidR="00184B62" w:rsidRPr="00184B62" w:rsidRDefault="00184B62" w:rsidP="00184B62">
            <w:pPr>
              <w:contextualSpacing/>
              <w:rPr>
                <w:rFonts w:ascii="Times New Roman" w:eastAsia="Calibri" w:hAnsi="Times New Roman"/>
                <w:sz w:val="20"/>
                <w:szCs w:val="20"/>
              </w:rPr>
            </w:pPr>
            <w:r w:rsidRPr="00184B62">
              <w:rPr>
                <w:rFonts w:ascii="Times New Roman" w:hAnsi="Times New Roman"/>
                <w:sz w:val="20"/>
                <w:szCs w:val="20"/>
              </w:rPr>
              <w:t xml:space="preserve">Съгласно специфичния доклад, публикуван на страницата на Информационната система за защитените зони от екологичната мрежа Натура 2000 </w:t>
            </w:r>
            <w:r w:rsidRPr="00184B62">
              <w:rPr>
                <w:rFonts w:ascii="Times New Roman" w:eastAsia="Calibri" w:hAnsi="Times New Roman"/>
                <w:sz w:val="20"/>
                <w:szCs w:val="20"/>
              </w:rPr>
              <w:t>видът е регистриран в 2 находища. При проведените изследвания през периода 2014-2021 г. не са регистрирани нови находища в зоната. Тук броят на находищата е дефиниран спрямо грид от 1</w:t>
            </w:r>
            <w:r w:rsidRPr="00184B62">
              <w:rPr>
                <w:rFonts w:ascii="Times New Roman" w:eastAsia="Calibri" w:hAnsi="Times New Roman"/>
                <w:sz w:val="20"/>
                <w:szCs w:val="20"/>
                <w:lang w:val="en-US"/>
              </w:rPr>
              <w:t>x</w:t>
            </w:r>
            <w:r w:rsidRPr="00184B62">
              <w:rPr>
                <w:rFonts w:ascii="Times New Roman" w:eastAsia="Calibri" w:hAnsi="Times New Roman"/>
                <w:sz w:val="20"/>
                <w:szCs w:val="20"/>
              </w:rPr>
              <w:t xml:space="preserve">1 </w:t>
            </w:r>
            <w:r w:rsidRPr="00184B62">
              <w:rPr>
                <w:rFonts w:ascii="Times New Roman" w:eastAsia="Calibri" w:hAnsi="Times New Roman"/>
                <w:sz w:val="20"/>
                <w:szCs w:val="20"/>
                <w:lang w:val="en-US"/>
              </w:rPr>
              <w:t>km</w:t>
            </w:r>
            <w:r w:rsidRPr="00184B62">
              <w:rPr>
                <w:rFonts w:ascii="Times New Roman" w:eastAsia="Calibri" w:hAnsi="Times New Roman"/>
                <w:sz w:val="20"/>
                <w:szCs w:val="20"/>
              </w:rPr>
              <w:t>, т.е. за находище считаме всеки линеен километър по течението на обитаван от вида лотичен или квадратен километър от лентичен воден обект.</w:t>
            </w:r>
          </w:p>
        </w:tc>
        <w:tc>
          <w:tcPr>
            <w:tcW w:w="184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lang w:eastAsia="en-GB"/>
              </w:rPr>
              <w:t>Поддържане най-малко на 2 квадрата със срещане на вида в защитената зона.</w:t>
            </w:r>
          </w:p>
        </w:tc>
      </w:tr>
      <w:tr w:rsidR="00184B62" w:rsidRPr="00184B62" w:rsidTr="005A0A3C">
        <w:tc>
          <w:tcPr>
            <w:tcW w:w="1560" w:type="dxa"/>
            <w:shd w:val="clear" w:color="auto" w:fill="auto"/>
          </w:tcPr>
          <w:p w:rsidR="00184B62" w:rsidRPr="00EC3027" w:rsidRDefault="00184B62" w:rsidP="00184B62">
            <w:pPr>
              <w:contextualSpacing/>
              <w:rPr>
                <w:rFonts w:ascii="Times New Roman" w:hAnsi="Times New Roman"/>
                <w:b/>
                <w:sz w:val="20"/>
                <w:szCs w:val="20"/>
              </w:rPr>
            </w:pPr>
            <w:r w:rsidRPr="00EC3027">
              <w:rPr>
                <w:rFonts w:ascii="Times New Roman" w:hAnsi="Times New Roman"/>
                <w:b/>
                <w:sz w:val="20"/>
                <w:szCs w:val="20"/>
              </w:rPr>
              <w:t>Популация: Плътност на популацията</w:t>
            </w:r>
          </w:p>
        </w:tc>
        <w:tc>
          <w:tcPr>
            <w:tcW w:w="1842" w:type="dxa"/>
            <w:shd w:val="clear" w:color="auto" w:fill="auto"/>
          </w:tcPr>
          <w:p w:rsidR="00184B62" w:rsidRPr="00184B62" w:rsidRDefault="00184B62" w:rsidP="00184B62">
            <w:pPr>
              <w:contextualSpacing/>
              <w:jc w:val="center"/>
              <w:rPr>
                <w:rFonts w:ascii="Times New Roman" w:eastAsia="Calibri" w:hAnsi="Times New Roman"/>
                <w:sz w:val="20"/>
                <w:szCs w:val="20"/>
              </w:rPr>
            </w:pPr>
            <w:r w:rsidRPr="00184B62">
              <w:rPr>
                <w:rFonts w:ascii="Times New Roman" w:eastAsia="Calibri" w:hAnsi="Times New Roman"/>
                <w:sz w:val="20"/>
                <w:szCs w:val="20"/>
              </w:rPr>
              <w:t xml:space="preserve">Брой </w:t>
            </w:r>
            <w:r w:rsidRPr="00184B62">
              <w:rPr>
                <w:rFonts w:ascii="Times New Roman" w:eastAsia="Calibri" w:hAnsi="Times New Roman"/>
                <w:sz w:val="20"/>
                <w:szCs w:val="20"/>
                <w:lang w:val="en-GB"/>
              </w:rPr>
              <w:t>индивиди/</w:t>
            </w:r>
            <w:r w:rsidRPr="00184B62">
              <w:rPr>
                <w:rFonts w:ascii="Times New Roman" w:eastAsia="Calibri" w:hAnsi="Times New Roman"/>
                <w:sz w:val="20"/>
                <w:szCs w:val="20"/>
                <w:lang w:val="en-US"/>
              </w:rPr>
              <w:t>m</w:t>
            </w:r>
            <w:r w:rsidRPr="00184B62">
              <w:rPr>
                <w:rFonts w:ascii="Times New Roman" w:eastAsia="Calibri" w:hAnsi="Times New Roman"/>
                <w:sz w:val="20"/>
                <w:szCs w:val="20"/>
                <w:vertAlign w:val="superscript"/>
              </w:rPr>
              <w:t>2</w:t>
            </w:r>
          </w:p>
          <w:p w:rsidR="00184B62" w:rsidRPr="00184B62" w:rsidRDefault="00184B62" w:rsidP="00184B62">
            <w:pPr>
              <w:snapToGrid w:val="0"/>
              <w:jc w:val="center"/>
              <w:rPr>
                <w:rFonts w:ascii="Times New Roman" w:hAnsi="Times New Roman"/>
                <w:sz w:val="20"/>
                <w:szCs w:val="20"/>
              </w:rPr>
            </w:pPr>
            <w:r w:rsidRPr="00184B62">
              <w:rPr>
                <w:rFonts w:ascii="Times New Roman" w:hAnsi="Times New Roman"/>
                <w:sz w:val="20"/>
                <w:szCs w:val="20"/>
              </w:rPr>
              <w:t>Реф. ст-ст:</w:t>
            </w:r>
          </w:p>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i/>
                <w:sz w:val="20"/>
                <w:szCs w:val="20"/>
                <w:lang w:val="en-US"/>
              </w:rPr>
              <w:t>Ab</w:t>
            </w:r>
            <w:r w:rsidRPr="00184B62">
              <w:rPr>
                <w:rFonts w:ascii="Times New Roman" w:hAnsi="Times New Roman"/>
                <w:sz w:val="20"/>
                <w:szCs w:val="20"/>
                <w:lang w:val="en-US"/>
              </w:rPr>
              <w:t xml:space="preserve"> = </w:t>
            </w:r>
            <w:r w:rsidRPr="00184B62">
              <w:rPr>
                <w:rFonts w:ascii="Times New Roman" w:hAnsi="Times New Roman"/>
                <w:sz w:val="20"/>
                <w:szCs w:val="20"/>
              </w:rPr>
              <w:t xml:space="preserve">0,02 </w:t>
            </w:r>
            <w:r w:rsidRPr="00184B62">
              <w:rPr>
                <w:rFonts w:ascii="Times New Roman" w:hAnsi="Times New Roman"/>
                <w:sz w:val="20"/>
                <w:szCs w:val="20"/>
                <w:lang w:val="en-US"/>
              </w:rPr>
              <w:t>ind</w:t>
            </w:r>
            <w:r w:rsidRPr="00184B62">
              <w:rPr>
                <w:rFonts w:ascii="Times New Roman" w:hAnsi="Times New Roman"/>
                <w:sz w:val="20"/>
                <w:szCs w:val="20"/>
              </w:rPr>
              <w:t>./</w:t>
            </w:r>
            <w:r w:rsidRPr="00184B62">
              <w:rPr>
                <w:rFonts w:ascii="Times New Roman" w:hAnsi="Times New Roman"/>
                <w:sz w:val="20"/>
                <w:szCs w:val="20"/>
                <w:lang w:val="en-US"/>
              </w:rPr>
              <w:t>m</w:t>
            </w:r>
            <w:r w:rsidRPr="00184B62">
              <w:rPr>
                <w:rFonts w:ascii="Times New Roman" w:hAnsi="Times New Roman"/>
                <w:sz w:val="20"/>
                <w:szCs w:val="20"/>
                <w:vertAlign w:val="superscript"/>
              </w:rPr>
              <w:t>2</w:t>
            </w:r>
            <w:r w:rsidRPr="00184B62">
              <w:rPr>
                <w:rFonts w:ascii="Times New Roman" w:hAnsi="Times New Roman"/>
                <w:sz w:val="20"/>
                <w:szCs w:val="20"/>
              </w:rPr>
              <w:t xml:space="preserve"> (</w:t>
            </w:r>
            <w:r w:rsidRPr="00184B62">
              <w:rPr>
                <w:rFonts w:ascii="Times New Roman" w:hAnsi="Times New Roman"/>
                <w:sz w:val="20"/>
                <w:szCs w:val="20"/>
                <w:lang w:val="en-US"/>
              </w:rPr>
              <w:t>±0,</w:t>
            </w:r>
            <w:r w:rsidRPr="00184B62">
              <w:rPr>
                <w:rFonts w:ascii="Times New Roman" w:hAnsi="Times New Roman"/>
                <w:sz w:val="20"/>
                <w:szCs w:val="20"/>
              </w:rPr>
              <w:t>01)</w:t>
            </w:r>
          </w:p>
        </w:tc>
        <w:tc>
          <w:tcPr>
            <w:tcW w:w="1276"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t>Ab ≥ 0,02</w:t>
            </w:r>
          </w:p>
        </w:tc>
        <w:tc>
          <w:tcPr>
            <w:tcW w:w="269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Плътността се определя като средна стойност от пробовземанията на единица площ от дъното на водоем (</w:t>
            </w:r>
            <w:r w:rsidRPr="00184B62">
              <w:rPr>
                <w:rFonts w:ascii="Times New Roman" w:eastAsia="Calibri" w:hAnsi="Times New Roman"/>
                <w:sz w:val="20"/>
                <w:szCs w:val="20"/>
                <w:lang w:val="en-US"/>
              </w:rPr>
              <w:t>m</w:t>
            </w:r>
            <w:r w:rsidRPr="00184B62">
              <w:rPr>
                <w:rFonts w:ascii="Times New Roman" w:eastAsia="Calibri" w:hAnsi="Times New Roman"/>
                <w:sz w:val="20"/>
                <w:szCs w:val="20"/>
                <w:vertAlign w:val="superscript"/>
              </w:rPr>
              <w:t>2</w:t>
            </w:r>
            <w:r w:rsidRPr="00184B62">
              <w:rPr>
                <w:rFonts w:ascii="Times New Roman" w:eastAsia="Calibri" w:hAnsi="Times New Roman"/>
                <w:sz w:val="20"/>
                <w:szCs w:val="20"/>
              </w:rPr>
              <w:t>) и екстраполация върху нефрагментирана част от местообитанието.</w:t>
            </w:r>
          </w:p>
        </w:tc>
        <w:tc>
          <w:tcPr>
            <w:tcW w:w="184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hAnsi="Times New Roman"/>
                <w:sz w:val="20"/>
                <w:szCs w:val="20"/>
              </w:rPr>
              <w:t>Поддържане плътността на популацията в находищата на вида.</w:t>
            </w:r>
          </w:p>
        </w:tc>
      </w:tr>
      <w:tr w:rsidR="00184B62" w:rsidRPr="00184B62" w:rsidTr="005A0A3C">
        <w:tc>
          <w:tcPr>
            <w:tcW w:w="1560" w:type="dxa"/>
            <w:shd w:val="clear" w:color="auto" w:fill="auto"/>
          </w:tcPr>
          <w:p w:rsidR="00184B62" w:rsidRPr="00EC3027" w:rsidRDefault="00184B62" w:rsidP="00184B62">
            <w:pPr>
              <w:contextualSpacing/>
              <w:rPr>
                <w:rFonts w:ascii="Times New Roman" w:hAnsi="Times New Roman"/>
                <w:b/>
                <w:sz w:val="20"/>
                <w:szCs w:val="20"/>
                <w:lang w:val="en-US"/>
              </w:rPr>
            </w:pPr>
            <w:r w:rsidRPr="00EC3027">
              <w:rPr>
                <w:rFonts w:ascii="Times New Roman" w:hAnsi="Times New Roman"/>
                <w:b/>
                <w:sz w:val="20"/>
                <w:szCs w:val="20"/>
              </w:rPr>
              <w:lastRenderedPageBreak/>
              <w:t>Местообитание: Обща площ на потенциалните местообитания в зоната</w:t>
            </w:r>
          </w:p>
        </w:tc>
        <w:tc>
          <w:tcPr>
            <w:tcW w:w="1842"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t>Хектар (ha)</w:t>
            </w:r>
          </w:p>
        </w:tc>
        <w:tc>
          <w:tcPr>
            <w:tcW w:w="1276"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t xml:space="preserve">Най-малко </w:t>
            </w:r>
            <w:r w:rsidRPr="00184B62">
              <w:rPr>
                <w:rFonts w:ascii="Times New Roman" w:hAnsi="Times New Roman"/>
                <w:sz w:val="20"/>
                <w:szCs w:val="20"/>
                <w:lang w:val="en-US"/>
              </w:rPr>
              <w:t>384</w:t>
            </w:r>
            <w:r w:rsidRPr="00184B62">
              <w:rPr>
                <w:rFonts w:ascii="Times New Roman" w:hAnsi="Times New Roman"/>
                <w:sz w:val="20"/>
                <w:szCs w:val="20"/>
              </w:rPr>
              <w:t>,</w:t>
            </w:r>
            <w:r w:rsidRPr="00184B62">
              <w:rPr>
                <w:rFonts w:ascii="Times New Roman" w:hAnsi="Times New Roman"/>
                <w:sz w:val="20"/>
                <w:szCs w:val="20"/>
                <w:lang w:val="en-US"/>
              </w:rPr>
              <w:t>54</w:t>
            </w:r>
            <w:r w:rsidRPr="00184B62">
              <w:rPr>
                <w:rFonts w:ascii="Times New Roman" w:hAnsi="Times New Roman"/>
                <w:sz w:val="20"/>
                <w:szCs w:val="20"/>
              </w:rPr>
              <w:t xml:space="preserve"> ha</w:t>
            </w:r>
          </w:p>
        </w:tc>
        <w:tc>
          <w:tcPr>
            <w:tcW w:w="269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 xml:space="preserve">Съгласно специфичния доклад за вида в зоната, публикуван  в „Информационна система за защитени зони от екологичната мрежа Натура 2000 на МОСВ“, площта на потенциалните местообитания на вида е </w:t>
            </w:r>
            <w:r w:rsidRPr="00184B62">
              <w:rPr>
                <w:rFonts w:ascii="Times New Roman" w:eastAsia="Calibri" w:hAnsi="Times New Roman"/>
                <w:sz w:val="20"/>
                <w:szCs w:val="20"/>
                <w:lang w:val="en-US"/>
              </w:rPr>
              <w:t>384</w:t>
            </w:r>
            <w:r w:rsidRPr="00184B62">
              <w:rPr>
                <w:rFonts w:ascii="Times New Roman" w:eastAsia="Calibri" w:hAnsi="Times New Roman"/>
                <w:sz w:val="20"/>
                <w:szCs w:val="20"/>
              </w:rPr>
              <w:t>,</w:t>
            </w:r>
            <w:r w:rsidRPr="00184B62">
              <w:rPr>
                <w:rFonts w:ascii="Times New Roman" w:eastAsia="Calibri" w:hAnsi="Times New Roman"/>
                <w:sz w:val="20"/>
                <w:szCs w:val="20"/>
                <w:lang w:val="en-US"/>
              </w:rPr>
              <w:t>54</w:t>
            </w:r>
            <w:r w:rsidRPr="00184B62">
              <w:rPr>
                <w:rFonts w:ascii="Times New Roman" w:eastAsia="Calibri" w:hAnsi="Times New Roman"/>
                <w:sz w:val="20"/>
                <w:szCs w:val="20"/>
              </w:rPr>
              <w:t xml:space="preserve"> ha.</w:t>
            </w:r>
          </w:p>
        </w:tc>
        <w:tc>
          <w:tcPr>
            <w:tcW w:w="184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hAnsi="Times New Roman"/>
                <w:sz w:val="20"/>
                <w:szCs w:val="20"/>
              </w:rPr>
              <w:t>Поддържане площта на потенциалните местообитания</w:t>
            </w:r>
          </w:p>
        </w:tc>
      </w:tr>
      <w:tr w:rsidR="00184B62" w:rsidRPr="00184B62" w:rsidTr="005A0A3C">
        <w:tc>
          <w:tcPr>
            <w:tcW w:w="1560" w:type="dxa"/>
            <w:shd w:val="clear" w:color="auto" w:fill="auto"/>
          </w:tcPr>
          <w:p w:rsidR="00184B62" w:rsidRPr="00EC3027" w:rsidRDefault="00184B62" w:rsidP="00184B62">
            <w:pPr>
              <w:ind w:right="-108"/>
              <w:contextualSpacing/>
              <w:rPr>
                <w:rFonts w:ascii="Times New Roman" w:hAnsi="Times New Roman"/>
                <w:b/>
                <w:sz w:val="20"/>
                <w:szCs w:val="20"/>
              </w:rPr>
            </w:pPr>
            <w:r w:rsidRPr="00EC3027">
              <w:rPr>
                <w:rFonts w:ascii="Times New Roman" w:hAnsi="Times New Roman"/>
                <w:b/>
                <w:sz w:val="20"/>
                <w:szCs w:val="20"/>
              </w:rPr>
              <w:t>Структура и функции на местообитанията: Цялост на местообитанието</w:t>
            </w:r>
          </w:p>
        </w:tc>
        <w:tc>
          <w:tcPr>
            <w:tcW w:w="1842"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t>Процент от местообитанията на вида</w:t>
            </w:r>
          </w:p>
        </w:tc>
        <w:tc>
          <w:tcPr>
            <w:tcW w:w="1276"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eastAsia="Calibri" w:hAnsi="Times New Roman"/>
                <w:sz w:val="20"/>
                <w:szCs w:val="20"/>
              </w:rPr>
              <w:t>Д</w:t>
            </w:r>
            <w:r w:rsidRPr="00184B62">
              <w:rPr>
                <w:rFonts w:ascii="Times New Roman" w:eastAsia="Calibri" w:hAnsi="Times New Roman"/>
                <w:sz w:val="20"/>
                <w:szCs w:val="20"/>
                <w:lang w:val="en-GB"/>
              </w:rPr>
              <w:t>о 1% от местообитанията на вида са засегнати</w:t>
            </w:r>
          </w:p>
        </w:tc>
        <w:tc>
          <w:tcPr>
            <w:tcW w:w="269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Според доклада, публикуван в „Информационна система за защитени зони от екологичната мрежа Натура 2000 на МОСВ“, обитаваните от вида местообитания не са увредени</w:t>
            </w:r>
            <w:r w:rsidRPr="00184B62">
              <w:rPr>
                <w:rFonts w:ascii="Times New Roman" w:eastAsia="Calibri" w:hAnsi="Times New Roman"/>
                <w:sz w:val="20"/>
                <w:szCs w:val="20"/>
                <w:lang w:val="en-US"/>
              </w:rPr>
              <w:t>.</w:t>
            </w:r>
            <w:r w:rsidRPr="00184B62">
              <w:rPr>
                <w:rFonts w:ascii="Times New Roman" w:eastAsia="Calibri" w:hAnsi="Times New Roman"/>
                <w:sz w:val="20"/>
                <w:szCs w:val="20"/>
              </w:rPr>
              <w:t xml:space="preserve"> За увреден участък ще считаме наличие на хидротехническо съоръжение или значителна промяна на брега и/или речното корито на един линеен километър по коритото или брега на обитаван от вида воден обект. Всяка промяна на брега се екстраполира като километър от местообитанието на вида,</w:t>
            </w:r>
            <w:r w:rsidRPr="00184B62">
              <w:rPr>
                <w:sz w:val="20"/>
                <w:szCs w:val="20"/>
              </w:rPr>
              <w:t xml:space="preserve"> </w:t>
            </w:r>
            <w:r w:rsidRPr="00184B62">
              <w:rPr>
                <w:rFonts w:ascii="Times New Roman" w:eastAsia="Calibri" w:hAnsi="Times New Roman"/>
                <w:sz w:val="20"/>
                <w:szCs w:val="20"/>
              </w:rPr>
              <w:t>съотнесен към площта на местообитанието в този участък.</w:t>
            </w:r>
          </w:p>
        </w:tc>
        <w:tc>
          <w:tcPr>
            <w:tcW w:w="1843" w:type="dxa"/>
            <w:shd w:val="clear" w:color="auto" w:fill="auto"/>
          </w:tcPr>
          <w:p w:rsidR="00184B62" w:rsidRPr="00184B62" w:rsidRDefault="00184B62" w:rsidP="00184B62">
            <w:pPr>
              <w:spacing w:before="120" w:after="120" w:line="240" w:lineRule="auto"/>
              <w:rPr>
                <w:rFonts w:ascii="Times New Roman" w:eastAsia="Calibri" w:hAnsi="Times New Roman"/>
                <w:sz w:val="20"/>
                <w:szCs w:val="20"/>
              </w:rPr>
            </w:pPr>
            <w:r w:rsidRPr="00184B62">
              <w:rPr>
                <w:rFonts w:ascii="Times New Roman" w:eastAsia="Calibri" w:hAnsi="Times New Roman"/>
                <w:sz w:val="20"/>
                <w:szCs w:val="20"/>
              </w:rPr>
              <w:t>Поддържане състоянието по структура и функции на местообитанието по следните целеви показатели:</w:t>
            </w:r>
          </w:p>
          <w:p w:rsidR="00184B62" w:rsidRPr="00184B62" w:rsidRDefault="00184B62" w:rsidP="00184B62">
            <w:pPr>
              <w:spacing w:before="120" w:after="120" w:line="240" w:lineRule="auto"/>
              <w:rPr>
                <w:rFonts w:ascii="Times New Roman" w:eastAsia="Calibri" w:hAnsi="Times New Roman"/>
                <w:sz w:val="20"/>
                <w:szCs w:val="20"/>
              </w:rPr>
            </w:pPr>
            <w:r w:rsidRPr="00184B62">
              <w:rPr>
                <w:rFonts w:ascii="Times New Roman" w:eastAsia="Calibri" w:hAnsi="Times New Roman"/>
                <w:sz w:val="20"/>
                <w:szCs w:val="20"/>
              </w:rPr>
              <w:t>1) Фрагментация на местообитанията – над 99% от местообитанията не са фрагментирани, т.е., водните тела не са прекъснати/преградени с хидротехнически съоръжения.</w:t>
            </w:r>
          </w:p>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2) Структура на местообитанията – над 99% от водните тела са в добро хидроморфологично състояние, т.е. брегът и дъното са в естествено състояние.</w:t>
            </w:r>
          </w:p>
        </w:tc>
      </w:tr>
      <w:tr w:rsidR="00184B62" w:rsidRPr="00184B62" w:rsidTr="005A0A3C">
        <w:tc>
          <w:tcPr>
            <w:tcW w:w="1560" w:type="dxa"/>
            <w:shd w:val="clear" w:color="auto" w:fill="auto"/>
          </w:tcPr>
          <w:p w:rsidR="00184B62" w:rsidRPr="00EC3027" w:rsidRDefault="00184B62" w:rsidP="00184B62">
            <w:pPr>
              <w:ind w:right="-108"/>
              <w:contextualSpacing/>
              <w:rPr>
                <w:rFonts w:ascii="Times New Roman" w:hAnsi="Times New Roman"/>
                <w:b/>
                <w:sz w:val="20"/>
                <w:szCs w:val="20"/>
              </w:rPr>
            </w:pPr>
            <w:r w:rsidRPr="00EC3027">
              <w:rPr>
                <w:rFonts w:ascii="Times New Roman" w:hAnsi="Times New Roman"/>
                <w:b/>
                <w:sz w:val="20"/>
                <w:szCs w:val="20"/>
              </w:rPr>
              <w:t>Структура и функции на местообитанията: Качество на водата</w:t>
            </w:r>
          </w:p>
        </w:tc>
        <w:tc>
          <w:tcPr>
            <w:tcW w:w="1842"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eastAsia="Calibri" w:hAnsi="Times New Roman"/>
                <w:sz w:val="20"/>
                <w:szCs w:val="20"/>
                <w:lang w:val="en-GB"/>
              </w:rPr>
              <w:t>Процент от местообитанията на вида в отлично (1) или добро (2) състояние по скалата, съгласно ПУРБ 2016-2021 г.</w:t>
            </w:r>
          </w:p>
        </w:tc>
        <w:tc>
          <w:tcPr>
            <w:tcW w:w="1276"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eastAsia="Calibri" w:hAnsi="Times New Roman"/>
                <w:sz w:val="20"/>
                <w:szCs w:val="20"/>
                <w:lang w:val="en-GB"/>
              </w:rPr>
              <w:t>0% от местообитанията на вида са засегнати</w:t>
            </w:r>
          </w:p>
        </w:tc>
        <w:tc>
          <w:tcPr>
            <w:tcW w:w="2693" w:type="dxa"/>
            <w:shd w:val="clear" w:color="auto" w:fill="auto"/>
          </w:tcPr>
          <w:p w:rsidR="00184B62" w:rsidRPr="00184B62" w:rsidRDefault="00184B62" w:rsidP="00184B62">
            <w:pPr>
              <w:rPr>
                <w:rFonts w:ascii="Times New Roman" w:eastAsia="Calibri" w:hAnsi="Times New Roman"/>
                <w:sz w:val="20"/>
                <w:szCs w:val="20"/>
                <w:lang w:val="en-GB"/>
              </w:rPr>
            </w:pPr>
            <w:r w:rsidRPr="00184B62">
              <w:rPr>
                <w:rFonts w:ascii="Times New Roman" w:eastAsia="Calibri" w:hAnsi="Times New Roman"/>
                <w:sz w:val="20"/>
                <w:szCs w:val="20"/>
                <w:lang w:val="en-GB"/>
              </w:rPr>
              <w:t xml:space="preserve">За увреден участък ще считаме наличие на замърсяване или източник/ци на замърсяване на един линеен километър от местообитанието на вида, съотнесен към площта на местообитанието в този </w:t>
            </w:r>
            <w:r w:rsidRPr="00184B62">
              <w:rPr>
                <w:rFonts w:ascii="Times New Roman" w:eastAsia="Calibri" w:hAnsi="Times New Roman"/>
                <w:sz w:val="20"/>
                <w:szCs w:val="20"/>
                <w:lang w:val="en-GB"/>
              </w:rPr>
              <w:lastRenderedPageBreak/>
              <w:t>участък.</w:t>
            </w:r>
          </w:p>
          <w:p w:rsidR="00184B62" w:rsidRPr="00184B62" w:rsidRDefault="00184B62" w:rsidP="00184B62">
            <w:pPr>
              <w:rPr>
                <w:rFonts w:ascii="Times New Roman" w:eastAsia="Calibri" w:hAnsi="Times New Roman"/>
                <w:sz w:val="20"/>
                <w:szCs w:val="20"/>
                <w:lang w:val="en-GB"/>
              </w:rPr>
            </w:pPr>
            <w:r w:rsidRPr="00184B62">
              <w:rPr>
                <w:rFonts w:ascii="Times New Roman" w:eastAsia="Calibri" w:hAnsi="Times New Roman"/>
                <w:sz w:val="20"/>
                <w:szCs w:val="20"/>
                <w:lang w:val="en-GB"/>
              </w:rPr>
              <w:t>Според доклада, публикуван в „Информационна система за защитени зони от екологичната мрежа Натура 2000 на МОСВ“,</w:t>
            </w:r>
            <w:r w:rsidRPr="00184B62">
              <w:rPr>
                <w:rFonts w:ascii="Times New Roman" w:eastAsia="Calibri" w:hAnsi="Times New Roman"/>
                <w:sz w:val="20"/>
                <w:szCs w:val="20"/>
              </w:rPr>
              <w:t xml:space="preserve"> обитаваните от вида местообитания в зоната не са увредени</w:t>
            </w:r>
            <w:r w:rsidRPr="00184B62">
              <w:rPr>
                <w:rFonts w:ascii="Times New Roman" w:eastAsia="Calibri" w:hAnsi="Times New Roman"/>
                <w:sz w:val="20"/>
                <w:szCs w:val="20"/>
                <w:lang w:val="en-GB"/>
              </w:rPr>
              <w:t xml:space="preserve"> по този параметър и </w:t>
            </w:r>
            <w:r w:rsidRPr="00184B62">
              <w:rPr>
                <w:rFonts w:ascii="Times New Roman" w:eastAsia="Calibri" w:hAnsi="Times New Roman"/>
                <w:sz w:val="20"/>
                <w:szCs w:val="20"/>
              </w:rPr>
              <w:t>те са оценени в благоприятно</w:t>
            </w:r>
            <w:r w:rsidRPr="00184B62">
              <w:rPr>
                <w:rFonts w:ascii="Times New Roman" w:eastAsia="Calibri" w:hAnsi="Times New Roman"/>
                <w:sz w:val="20"/>
                <w:szCs w:val="20"/>
                <w:lang w:val="en-GB"/>
              </w:rPr>
              <w:t xml:space="preserve"> състояние.</w:t>
            </w:r>
          </w:p>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От друга страна съгласно ПУРБ 2016-2021 г., екологичното състояние</w:t>
            </w:r>
            <w:r w:rsidRPr="00184B62">
              <w:rPr>
                <w:rFonts w:ascii="Times New Roman" w:eastAsia="Calibri" w:hAnsi="Times New Roman"/>
                <w:sz w:val="20"/>
                <w:szCs w:val="20"/>
                <w:lang w:val="en-GB"/>
              </w:rPr>
              <w:t xml:space="preserve"> на водата в </w:t>
            </w:r>
            <w:r w:rsidRPr="00184B62">
              <w:rPr>
                <w:rFonts w:ascii="Times New Roman" w:eastAsia="Calibri" w:hAnsi="Times New Roman"/>
                <w:sz w:val="20"/>
                <w:szCs w:val="20"/>
              </w:rPr>
              <w:t>ез. Сребърна</w:t>
            </w:r>
            <w:r w:rsidRPr="00184B62">
              <w:rPr>
                <w:rFonts w:ascii="Times New Roman" w:eastAsia="Calibri" w:hAnsi="Times New Roman"/>
                <w:sz w:val="20"/>
                <w:szCs w:val="20"/>
                <w:lang w:val="en-GB"/>
              </w:rPr>
              <w:t xml:space="preserve"> е определено </w:t>
            </w:r>
            <w:r w:rsidRPr="00184B62">
              <w:rPr>
                <w:rFonts w:ascii="Times New Roman" w:eastAsia="Calibri" w:hAnsi="Times New Roman"/>
                <w:sz w:val="20"/>
                <w:szCs w:val="20"/>
              </w:rPr>
              <w:t xml:space="preserve">с (3) </w:t>
            </w:r>
            <w:r w:rsidRPr="00184B62">
              <w:rPr>
                <w:rFonts w:ascii="Times New Roman" w:eastAsia="Calibri" w:hAnsi="Times New Roman"/>
                <w:sz w:val="20"/>
                <w:szCs w:val="20"/>
                <w:lang w:val="en-GB"/>
              </w:rPr>
              <w:t>като „умерено“</w:t>
            </w:r>
            <w:r w:rsidRPr="00184B62">
              <w:rPr>
                <w:rFonts w:ascii="Times New Roman" w:eastAsia="Calibri" w:hAnsi="Times New Roman"/>
                <w:sz w:val="20"/>
                <w:szCs w:val="20"/>
              </w:rPr>
              <w:t>, което говори, че по този параметър оценката би трябвало да бъде по-скоро неблагоприятно-незадоволително.</w:t>
            </w:r>
          </w:p>
        </w:tc>
        <w:tc>
          <w:tcPr>
            <w:tcW w:w="1843" w:type="dxa"/>
            <w:shd w:val="clear" w:color="auto" w:fill="auto"/>
          </w:tcPr>
          <w:p w:rsidR="00184B62" w:rsidRPr="00184B62" w:rsidRDefault="00184B62" w:rsidP="00184B62">
            <w:pPr>
              <w:spacing w:after="0" w:line="240" w:lineRule="auto"/>
              <w:contextualSpacing/>
              <w:rPr>
                <w:rFonts w:ascii="Times New Roman" w:hAnsi="Times New Roman"/>
                <w:sz w:val="20"/>
                <w:szCs w:val="20"/>
              </w:rPr>
            </w:pPr>
            <w:r w:rsidRPr="00184B62">
              <w:rPr>
                <w:rFonts w:ascii="Times New Roman" w:eastAsia="Calibri" w:hAnsi="Times New Roman"/>
                <w:sz w:val="20"/>
                <w:szCs w:val="20"/>
              </w:rPr>
              <w:lastRenderedPageBreak/>
              <w:t>Постигане целевата стойност по този параметър.</w:t>
            </w:r>
          </w:p>
        </w:tc>
      </w:tr>
    </w:tbl>
    <w:p w:rsidR="00184B62" w:rsidRPr="00184B62" w:rsidRDefault="00184B62" w:rsidP="00184B62">
      <w:pPr>
        <w:jc w:val="both"/>
      </w:pPr>
    </w:p>
    <w:p w:rsidR="00184B62" w:rsidRPr="00184B62" w:rsidRDefault="00184B62" w:rsidP="00184B62">
      <w:pPr>
        <w:jc w:val="both"/>
        <w:rPr>
          <w:b/>
        </w:rPr>
      </w:pPr>
      <w:r w:rsidRPr="00184B62">
        <w:rPr>
          <w:rFonts w:ascii="Times New Roman" w:eastAsia="Calibri" w:hAnsi="Times New Roman"/>
          <w:b/>
          <w:sz w:val="24"/>
          <w:szCs w:val="24"/>
        </w:rPr>
        <w:t>7. Необходимост от актуализация на СФ на защитената зона</w:t>
      </w:r>
    </w:p>
    <w:p w:rsidR="00184B62" w:rsidRPr="00184B62" w:rsidRDefault="00184B62" w:rsidP="00184B62">
      <w:pPr>
        <w:spacing w:before="120" w:after="120" w:line="240" w:lineRule="auto"/>
        <w:ind w:firstLine="709"/>
        <w:jc w:val="both"/>
        <w:rPr>
          <w:rFonts w:ascii="Times New Roman" w:eastAsia="Calibri" w:hAnsi="Times New Roman"/>
          <w:sz w:val="24"/>
          <w:szCs w:val="24"/>
        </w:rPr>
      </w:pPr>
      <w:r w:rsidRPr="00184B62">
        <w:rPr>
          <w:rFonts w:ascii="Times New Roman" w:eastAsia="Calibri" w:hAnsi="Times New Roman"/>
          <w:sz w:val="24"/>
          <w:szCs w:val="24"/>
        </w:rPr>
        <w:t xml:space="preserve">На този етап не се предлага промяна в </w:t>
      </w:r>
      <w:r w:rsidR="005A0A3C">
        <w:rPr>
          <w:rFonts w:ascii="Times New Roman" w:eastAsia="Calibri" w:hAnsi="Times New Roman"/>
          <w:sz w:val="24"/>
          <w:szCs w:val="24"/>
        </w:rPr>
        <w:t>СФ</w:t>
      </w:r>
      <w:r w:rsidRPr="00184B62">
        <w:rPr>
          <w:rFonts w:ascii="Times New Roman" w:eastAsia="Calibri" w:hAnsi="Times New Roman"/>
          <w:sz w:val="24"/>
          <w:szCs w:val="24"/>
        </w:rPr>
        <w:t>.</w:t>
      </w:r>
    </w:p>
    <w:p w:rsidR="00184B62" w:rsidRPr="00184B62" w:rsidRDefault="00184B62" w:rsidP="00184B62">
      <w:pPr>
        <w:spacing w:before="120" w:after="120" w:line="240" w:lineRule="auto"/>
        <w:jc w:val="both"/>
        <w:rPr>
          <w:rFonts w:ascii="Times New Roman" w:eastAsia="Calibri" w:hAnsi="Times New Roman"/>
          <w:sz w:val="24"/>
          <w:szCs w:val="24"/>
        </w:rPr>
      </w:pPr>
    </w:p>
    <w:tbl>
      <w:tblPr>
        <w:tblW w:w="93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016"/>
        <w:gridCol w:w="328"/>
        <w:gridCol w:w="483"/>
        <w:gridCol w:w="350"/>
        <w:gridCol w:w="716"/>
        <w:gridCol w:w="716"/>
        <w:gridCol w:w="634"/>
        <w:gridCol w:w="578"/>
        <w:gridCol w:w="839"/>
        <w:gridCol w:w="950"/>
        <w:gridCol w:w="622"/>
        <w:gridCol w:w="522"/>
        <w:gridCol w:w="579"/>
      </w:tblGrid>
      <w:tr w:rsidR="00184B62" w:rsidRPr="00184B62" w:rsidTr="005A0A3C">
        <w:tc>
          <w:tcPr>
            <w:tcW w:w="2861"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lang w:eastAsia="en-GB"/>
              </w:rPr>
            </w:pPr>
            <w:r w:rsidRPr="00184B62">
              <w:rPr>
                <w:rFonts w:ascii="Times New Roman" w:eastAsia="Calibri" w:hAnsi="Times New Roman"/>
                <w:b/>
                <w:lang w:eastAsia="en-GB"/>
              </w:rPr>
              <w:t>Species</w:t>
            </w:r>
          </w:p>
        </w:tc>
        <w:tc>
          <w:tcPr>
            <w:tcW w:w="2987"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lang w:eastAsia="en-GB"/>
              </w:rPr>
            </w:pPr>
            <w:r w:rsidRPr="00184B62">
              <w:rPr>
                <w:rFonts w:ascii="Times New Roman" w:eastAsia="Calibri" w:hAnsi="Times New Roman"/>
                <w:b/>
                <w:lang w:eastAsia="en-GB"/>
              </w:rPr>
              <w:t>Population in the site</w:t>
            </w:r>
          </w:p>
        </w:tc>
        <w:tc>
          <w:tcPr>
            <w:tcW w:w="3518"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lang w:eastAsia="en-GB"/>
              </w:rPr>
            </w:pPr>
            <w:r w:rsidRPr="00184B62">
              <w:rPr>
                <w:rFonts w:ascii="Times New Roman" w:eastAsia="Calibri" w:hAnsi="Times New Roman"/>
                <w:b/>
                <w:lang w:eastAsia="en-GB"/>
              </w:rPr>
              <w:t>Site assessment</w:t>
            </w:r>
          </w:p>
        </w:tc>
      </w:tr>
      <w:tr w:rsidR="00184B62" w:rsidRPr="00184B62" w:rsidTr="005A0A3C">
        <w:tc>
          <w:tcPr>
            <w:tcW w:w="373"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661"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016"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328"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483"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350"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225" w:type="dxa"/>
            <w:gridSpan w:val="2"/>
            <w:shd w:val="clear" w:color="auto" w:fill="D0CECE"/>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834"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578"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42"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950"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726" w:type="dxa"/>
            <w:gridSpan w:val="3"/>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c>
          <w:tcPr>
            <w:tcW w:w="373"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661"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016"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28"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83"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350"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594"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631"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834"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578"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42"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950"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62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2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58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c>
          <w:tcPr>
            <w:tcW w:w="37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I</w:t>
            </w:r>
          </w:p>
        </w:tc>
        <w:tc>
          <w:tcPr>
            <w:tcW w:w="661"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eastAsia="en-GB"/>
              </w:rPr>
              <w:t>4056</w:t>
            </w:r>
          </w:p>
        </w:tc>
        <w:tc>
          <w:tcPr>
            <w:tcW w:w="1016"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i/>
                <w:sz w:val="20"/>
                <w:szCs w:val="20"/>
                <w:lang w:val="en-US" w:eastAsia="en-GB"/>
              </w:rPr>
            </w:pPr>
            <w:r w:rsidRPr="00184B62">
              <w:rPr>
                <w:rFonts w:ascii="Times New Roman" w:eastAsia="Calibri" w:hAnsi="Times New Roman"/>
                <w:i/>
                <w:sz w:val="20"/>
                <w:szCs w:val="20"/>
                <w:lang w:val="en-US" w:eastAsia="en-GB"/>
              </w:rPr>
              <w:t>Anisus vorticulus</w:t>
            </w:r>
          </w:p>
        </w:tc>
        <w:tc>
          <w:tcPr>
            <w:tcW w:w="328"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8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p</w:t>
            </w:r>
          </w:p>
        </w:tc>
        <w:tc>
          <w:tcPr>
            <w:tcW w:w="594"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76908</w:t>
            </w:r>
          </w:p>
        </w:tc>
        <w:tc>
          <w:tcPr>
            <w:tcW w:w="631"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76908</w:t>
            </w:r>
          </w:p>
        </w:tc>
        <w:tc>
          <w:tcPr>
            <w:tcW w:w="834"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i</w:t>
            </w:r>
          </w:p>
        </w:tc>
        <w:tc>
          <w:tcPr>
            <w:tcW w:w="578"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R</w:t>
            </w:r>
          </w:p>
        </w:tc>
        <w:tc>
          <w:tcPr>
            <w:tcW w:w="84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M</w:t>
            </w:r>
          </w:p>
        </w:tc>
        <w:tc>
          <w:tcPr>
            <w:tcW w:w="9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A</w:t>
            </w:r>
          </w:p>
        </w:tc>
        <w:tc>
          <w:tcPr>
            <w:tcW w:w="62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A</w:t>
            </w:r>
          </w:p>
        </w:tc>
        <w:tc>
          <w:tcPr>
            <w:tcW w:w="52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A</w:t>
            </w:r>
          </w:p>
        </w:tc>
        <w:tc>
          <w:tcPr>
            <w:tcW w:w="58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A</w:t>
            </w:r>
          </w:p>
        </w:tc>
      </w:tr>
    </w:tbl>
    <w:p w:rsidR="00184B62" w:rsidRPr="00184B62" w:rsidRDefault="00184B62" w:rsidP="00184B62">
      <w:pPr>
        <w:spacing w:before="120" w:after="120" w:line="240" w:lineRule="auto"/>
        <w:jc w:val="both"/>
        <w:rPr>
          <w:rFonts w:ascii="Times New Roman" w:eastAsia="Calibri" w:hAnsi="Times New Roman"/>
          <w:sz w:val="24"/>
          <w:szCs w:val="24"/>
          <w:lang w:val="en-US"/>
        </w:rPr>
      </w:pPr>
    </w:p>
    <w:p w:rsidR="00184B62" w:rsidRPr="00184B62" w:rsidRDefault="00184B62" w:rsidP="00184B62">
      <w:pPr>
        <w:spacing w:before="120" w:after="120" w:line="240" w:lineRule="auto"/>
        <w:ind w:left="851" w:hanging="851"/>
        <w:jc w:val="both"/>
        <w:rPr>
          <w:rFonts w:ascii="Times New Roman" w:eastAsia="Calibri" w:hAnsi="Times New Roman"/>
          <w:b/>
          <w:sz w:val="24"/>
          <w:szCs w:val="24"/>
        </w:rPr>
      </w:pPr>
      <w:r w:rsidRPr="00184B62">
        <w:rPr>
          <w:rFonts w:ascii="Times New Roman" w:eastAsia="Calibri" w:hAnsi="Times New Roman"/>
          <w:b/>
          <w:sz w:val="24"/>
          <w:szCs w:val="24"/>
        </w:rPr>
        <w:t>8. Цитирана литерату</w:t>
      </w:r>
      <w:r w:rsidR="005A0A3C">
        <w:rPr>
          <w:rFonts w:ascii="Times New Roman" w:eastAsia="Calibri" w:hAnsi="Times New Roman"/>
          <w:b/>
          <w:sz w:val="24"/>
          <w:szCs w:val="24"/>
        </w:rPr>
        <w:t>ра</w:t>
      </w:r>
    </w:p>
    <w:p w:rsidR="00184B62" w:rsidRPr="00184B62" w:rsidRDefault="00184B62" w:rsidP="005A0A3C">
      <w:pPr>
        <w:spacing w:after="0" w:line="240" w:lineRule="auto"/>
        <w:ind w:left="709" w:hanging="709"/>
        <w:jc w:val="both"/>
        <w:rPr>
          <w:rFonts w:ascii="Times New Roman" w:hAnsi="Times New Roman"/>
          <w:noProof/>
          <w:sz w:val="24"/>
          <w:szCs w:val="24"/>
        </w:rPr>
      </w:pPr>
      <w:r w:rsidRPr="00184B62">
        <w:rPr>
          <w:rFonts w:ascii="Times New Roman" w:hAnsi="Times New Roman"/>
          <w:noProof/>
          <w:sz w:val="24"/>
          <w:szCs w:val="24"/>
        </w:rPr>
        <w:t>Георгиев</w:t>
      </w:r>
      <w:r w:rsidR="00B420C3">
        <w:rPr>
          <w:rFonts w:ascii="Times New Roman" w:hAnsi="Times New Roman"/>
          <w:noProof/>
          <w:sz w:val="24"/>
          <w:szCs w:val="24"/>
        </w:rPr>
        <w:t>,</w:t>
      </w:r>
      <w:r w:rsidRPr="00184B62">
        <w:rPr>
          <w:rFonts w:ascii="Times New Roman" w:hAnsi="Times New Roman"/>
          <w:noProof/>
          <w:sz w:val="24"/>
          <w:szCs w:val="24"/>
        </w:rPr>
        <w:t xml:space="preserve"> Д. 2013. Сладководните охлюви (Mollusca: Gastropoda) в България. – Дисертация, Пловдив: 420 с.</w:t>
      </w:r>
    </w:p>
    <w:p w:rsidR="00184B62" w:rsidRPr="00184B62" w:rsidRDefault="00184B62" w:rsidP="005A0A3C">
      <w:pPr>
        <w:spacing w:after="0" w:line="240" w:lineRule="auto"/>
        <w:ind w:left="709" w:hanging="709"/>
        <w:jc w:val="both"/>
        <w:rPr>
          <w:rFonts w:ascii="Times New Roman" w:hAnsi="Times New Roman"/>
          <w:noProof/>
          <w:sz w:val="24"/>
          <w:szCs w:val="24"/>
          <w:lang w:val="en-US"/>
        </w:rPr>
      </w:pPr>
      <w:r w:rsidRPr="00184B62">
        <w:rPr>
          <w:rFonts w:ascii="Times New Roman" w:hAnsi="Times New Roman"/>
          <w:noProof/>
          <w:sz w:val="24"/>
          <w:szCs w:val="24"/>
        </w:rPr>
        <w:t>Дренски</w:t>
      </w:r>
      <w:r w:rsidR="00B420C3">
        <w:rPr>
          <w:rFonts w:ascii="Times New Roman" w:hAnsi="Times New Roman"/>
          <w:noProof/>
          <w:sz w:val="24"/>
          <w:szCs w:val="24"/>
        </w:rPr>
        <w:t>,</w:t>
      </w:r>
      <w:r w:rsidRPr="00184B62">
        <w:rPr>
          <w:rFonts w:ascii="Times New Roman" w:hAnsi="Times New Roman"/>
          <w:noProof/>
          <w:sz w:val="24"/>
          <w:szCs w:val="24"/>
        </w:rPr>
        <w:t xml:space="preserve"> П. 1947. Състав и разпространение на сладководните Mollusca в България. Годишник на Софийския университет, Физико-математически факултет, 43, кн. 3, Естествена история: 33-54.</w:t>
      </w:r>
    </w:p>
    <w:p w:rsidR="00184B62" w:rsidRPr="00184B62" w:rsidRDefault="00184B62" w:rsidP="005A0A3C">
      <w:pPr>
        <w:spacing w:after="0" w:line="240" w:lineRule="auto"/>
        <w:ind w:left="709" w:hanging="709"/>
        <w:jc w:val="both"/>
        <w:rPr>
          <w:rFonts w:ascii="Times New Roman" w:eastAsia="Calibri" w:hAnsi="Times New Roman"/>
          <w:bCs/>
          <w:noProof/>
          <w:sz w:val="24"/>
          <w:szCs w:val="24"/>
          <w:lang w:val="en-US"/>
        </w:rPr>
      </w:pPr>
      <w:r w:rsidRPr="00184B62">
        <w:rPr>
          <w:rFonts w:ascii="Times New Roman" w:eastAsia="Calibri" w:hAnsi="Times New Roman"/>
          <w:bCs/>
          <w:noProof/>
          <w:sz w:val="24"/>
          <w:szCs w:val="24"/>
        </w:rPr>
        <w:t xml:space="preserve">Министерство на околната среда и водите (МОСВ). Информационна система за защитени зони от екологична мрежа Натура 2000. </w:t>
      </w:r>
      <w:hyperlink r:id="rId41" w:history="1">
        <w:r w:rsidRPr="00184B62">
          <w:rPr>
            <w:rFonts w:ascii="Times New Roman" w:eastAsia="Calibri" w:hAnsi="Times New Roman"/>
            <w:bCs/>
            <w:noProof/>
            <w:color w:val="184CF4"/>
            <w:sz w:val="24"/>
            <w:szCs w:val="24"/>
            <w:u w:val="single"/>
          </w:rPr>
          <w:t>http://natura2000.moew.government.bg/Home/Natura2000ProtectedSites</w:t>
        </w:r>
      </w:hyperlink>
      <w:r w:rsidRPr="00184B62">
        <w:rPr>
          <w:rFonts w:ascii="Times New Roman" w:eastAsia="Calibri" w:hAnsi="Times New Roman"/>
          <w:bCs/>
          <w:noProof/>
          <w:sz w:val="24"/>
          <w:szCs w:val="24"/>
        </w:rPr>
        <w:t xml:space="preserve">. Последно посетен на </w:t>
      </w:r>
      <w:r w:rsidRPr="00184B62">
        <w:rPr>
          <w:rFonts w:ascii="Times New Roman" w:eastAsia="Calibri" w:hAnsi="Times New Roman"/>
          <w:bCs/>
          <w:noProof/>
          <w:sz w:val="24"/>
          <w:szCs w:val="24"/>
          <w:lang w:val="en-US"/>
        </w:rPr>
        <w:t>02</w:t>
      </w:r>
      <w:r w:rsidRPr="00184B62">
        <w:rPr>
          <w:rFonts w:ascii="Times New Roman" w:eastAsia="Calibri" w:hAnsi="Times New Roman"/>
          <w:bCs/>
          <w:noProof/>
          <w:sz w:val="24"/>
          <w:szCs w:val="24"/>
        </w:rPr>
        <w:t>.1</w:t>
      </w:r>
      <w:r w:rsidRPr="00184B62">
        <w:rPr>
          <w:rFonts w:ascii="Times New Roman" w:eastAsia="Calibri" w:hAnsi="Times New Roman"/>
          <w:bCs/>
          <w:noProof/>
          <w:sz w:val="24"/>
          <w:szCs w:val="24"/>
          <w:lang w:val="en-US"/>
        </w:rPr>
        <w:t>1</w:t>
      </w:r>
      <w:r w:rsidRPr="00184B62">
        <w:rPr>
          <w:rFonts w:ascii="Times New Roman" w:eastAsia="Calibri" w:hAnsi="Times New Roman"/>
          <w:bCs/>
          <w:noProof/>
          <w:sz w:val="24"/>
          <w:szCs w:val="24"/>
        </w:rPr>
        <w:t>.2021</w:t>
      </w:r>
      <w:r w:rsidRPr="00184B62">
        <w:rPr>
          <w:rFonts w:ascii="Times New Roman" w:eastAsia="Calibri" w:hAnsi="Times New Roman"/>
          <w:bCs/>
          <w:noProof/>
          <w:sz w:val="24"/>
          <w:szCs w:val="24"/>
          <w:lang w:val="en-US"/>
        </w:rPr>
        <w:t>.</w:t>
      </w:r>
    </w:p>
    <w:p w:rsidR="00184B62" w:rsidRPr="00184B62" w:rsidRDefault="00184B62" w:rsidP="005A0A3C">
      <w:pPr>
        <w:spacing w:after="0" w:line="240" w:lineRule="auto"/>
        <w:ind w:left="709" w:hanging="709"/>
        <w:jc w:val="both"/>
        <w:rPr>
          <w:rFonts w:ascii="Times New Roman" w:hAnsi="Times New Roman"/>
          <w:sz w:val="24"/>
          <w:szCs w:val="24"/>
          <w:lang w:val="en-US"/>
        </w:rPr>
      </w:pPr>
      <w:r w:rsidRPr="00184B62">
        <w:rPr>
          <w:rFonts w:ascii="Times New Roman" w:eastAsia="Calibri" w:hAnsi="Times New Roman"/>
          <w:sz w:val="24"/>
          <w:szCs w:val="24"/>
        </w:rPr>
        <w:t xml:space="preserve">Проект </w:t>
      </w:r>
      <w:r w:rsidRPr="00184B62">
        <w:rPr>
          <w:rFonts w:ascii="Times New Roman" w:hAnsi="Times New Roman"/>
          <w:sz w:val="24"/>
          <w:szCs w:val="24"/>
          <w:lang w:val="ru-RU"/>
        </w:rPr>
        <w:t xml:space="preserve">№ 2601/30.07.2013 г. </w:t>
      </w:r>
      <w:r w:rsidRPr="00184B62">
        <w:rPr>
          <w:rFonts w:ascii="Times New Roman" w:hAnsi="Times New Roman"/>
          <w:sz w:val="24"/>
          <w:szCs w:val="24"/>
        </w:rPr>
        <w:t>"</w:t>
      </w:r>
      <w:r w:rsidRPr="00184B62">
        <w:rPr>
          <w:rFonts w:ascii="Times New Roman" w:hAnsi="Times New Roman"/>
          <w:sz w:val="24"/>
          <w:szCs w:val="24"/>
          <w:lang w:val="ru-RU"/>
        </w:rPr>
        <w:t>Теренни проучвания на разпространение и численост на безгръбначни животни</w:t>
      </w:r>
      <w:r w:rsidRPr="00184B62">
        <w:rPr>
          <w:rFonts w:ascii="Times New Roman" w:hAnsi="Times New Roman"/>
          <w:sz w:val="24"/>
          <w:szCs w:val="24"/>
        </w:rPr>
        <w:t>", финансиран от Изпълнителна агенция по околна среда (ИАОС).</w:t>
      </w:r>
    </w:p>
    <w:p w:rsidR="00184B62" w:rsidRPr="00184B62" w:rsidRDefault="00184B62" w:rsidP="005A0A3C">
      <w:pPr>
        <w:spacing w:after="0" w:line="240" w:lineRule="auto"/>
        <w:ind w:left="709" w:hanging="709"/>
        <w:jc w:val="both"/>
        <w:rPr>
          <w:rFonts w:ascii="Times New Roman" w:hAnsi="Times New Roman"/>
          <w:sz w:val="24"/>
          <w:szCs w:val="24"/>
        </w:rPr>
      </w:pPr>
      <w:r w:rsidRPr="00184B62">
        <w:rPr>
          <w:rFonts w:ascii="Times New Roman" w:hAnsi="Times New Roman"/>
          <w:noProof/>
          <w:sz w:val="24"/>
          <w:szCs w:val="24"/>
        </w:rPr>
        <w:t xml:space="preserve">Проект </w:t>
      </w:r>
      <w:r w:rsidRPr="00184B62">
        <w:rPr>
          <w:rFonts w:ascii="Times New Roman" w:hAnsi="Times New Roman"/>
          <w:sz w:val="24"/>
          <w:szCs w:val="24"/>
        </w:rPr>
        <w:t>Д-33-51/30.06.2015</w:t>
      </w:r>
      <w:r w:rsidRPr="00184B62">
        <w:rPr>
          <w:rFonts w:ascii="Times New Roman" w:hAnsi="Times New Roman"/>
          <w:noProof/>
          <w:sz w:val="24"/>
          <w:szCs w:val="24"/>
        </w:rPr>
        <w:t xml:space="preserve"> „</w:t>
      </w:r>
      <w:r w:rsidRPr="00184B62">
        <w:rPr>
          <w:rFonts w:ascii="Times New Roman" w:hAnsi="Times New Roman"/>
          <w:noProof/>
          <w:sz w:val="24"/>
          <w:szCs w:val="24"/>
          <w:lang w:val="ru-RU"/>
        </w:rPr>
        <w:t>Мрежата за инвазивни чужди видове в Югоизточна Европа – средство в подкрепа на управлението на чужди видове в България/</w:t>
      </w:r>
      <w:r w:rsidRPr="00184B62">
        <w:rPr>
          <w:rFonts w:ascii="Times New Roman" w:hAnsi="Times New Roman"/>
          <w:noProof/>
          <w:sz w:val="24"/>
          <w:szCs w:val="24"/>
        </w:rPr>
        <w:t>East and South European Network for Invasive Alien Species – a tool to support the management of alien species in Bulgaria</w:t>
      </w:r>
      <w:r w:rsidRPr="00184B62">
        <w:rPr>
          <w:rFonts w:ascii="Times New Roman" w:hAnsi="Times New Roman"/>
          <w:sz w:val="24"/>
          <w:szCs w:val="24"/>
        </w:rPr>
        <w:t xml:space="preserve"> (ESENIAS-TOOLS), финансиран от Финансовия механизъм на Европейското икономическо пространство (ФМ на ЕИП) 2009–2014, програма BG03 „Биологично разнообразие и екосистеми“.</w:t>
      </w:r>
    </w:p>
    <w:p w:rsidR="00184B62" w:rsidRPr="00184B62" w:rsidRDefault="00184B62" w:rsidP="005A0A3C">
      <w:pPr>
        <w:spacing w:after="0" w:line="240" w:lineRule="auto"/>
        <w:ind w:left="709" w:hanging="709"/>
        <w:jc w:val="both"/>
        <w:rPr>
          <w:rFonts w:ascii="Times New Roman" w:hAnsi="Times New Roman"/>
          <w:sz w:val="24"/>
          <w:szCs w:val="24"/>
        </w:rPr>
      </w:pPr>
      <w:r w:rsidRPr="00184B62">
        <w:rPr>
          <w:rFonts w:ascii="Times New Roman" w:hAnsi="Times New Roman"/>
          <w:sz w:val="24"/>
          <w:szCs w:val="24"/>
          <w:lang w:val="ru-RU"/>
        </w:rPr>
        <w:t xml:space="preserve">Проект </w:t>
      </w:r>
      <w:r w:rsidRPr="00184B62">
        <w:rPr>
          <w:rFonts w:ascii="Times New Roman" w:hAnsi="Times New Roman"/>
          <w:sz w:val="24"/>
          <w:szCs w:val="24"/>
        </w:rPr>
        <w:t>„</w:t>
      </w:r>
      <w:r w:rsidRPr="00184B62">
        <w:rPr>
          <w:rFonts w:ascii="Times New Roman" w:hAnsi="Times New Roman"/>
          <w:sz w:val="24"/>
          <w:szCs w:val="24"/>
          <w:lang w:val="ru-RU"/>
        </w:rPr>
        <w:t xml:space="preserve">Проучване и оценка на екологичното състояние на българския участък на р. Дунав в рамките на четвъртата международна програма </w:t>
      </w:r>
      <w:r w:rsidRPr="00184B62">
        <w:rPr>
          <w:rFonts w:ascii="Times New Roman" w:hAnsi="Times New Roman"/>
          <w:sz w:val="24"/>
          <w:szCs w:val="24"/>
        </w:rPr>
        <w:t>Joint</w:t>
      </w:r>
      <w:r w:rsidRPr="00184B62">
        <w:rPr>
          <w:rFonts w:ascii="Times New Roman" w:hAnsi="Times New Roman"/>
          <w:sz w:val="24"/>
          <w:szCs w:val="24"/>
          <w:lang w:val="ru-RU"/>
        </w:rPr>
        <w:t xml:space="preserve"> </w:t>
      </w:r>
      <w:r w:rsidRPr="00184B62">
        <w:rPr>
          <w:rFonts w:ascii="Times New Roman" w:hAnsi="Times New Roman"/>
          <w:sz w:val="24"/>
          <w:szCs w:val="24"/>
        </w:rPr>
        <w:t>Danube</w:t>
      </w:r>
      <w:r w:rsidRPr="00184B62">
        <w:rPr>
          <w:rFonts w:ascii="Times New Roman" w:hAnsi="Times New Roman"/>
          <w:sz w:val="24"/>
          <w:szCs w:val="24"/>
          <w:lang w:val="ru-RU"/>
        </w:rPr>
        <w:t xml:space="preserve"> </w:t>
      </w:r>
      <w:r w:rsidRPr="00184B62">
        <w:rPr>
          <w:rFonts w:ascii="Times New Roman" w:hAnsi="Times New Roman"/>
          <w:sz w:val="24"/>
          <w:szCs w:val="24"/>
        </w:rPr>
        <w:t>Survey</w:t>
      </w:r>
      <w:r w:rsidRPr="00184B62">
        <w:rPr>
          <w:rFonts w:ascii="Times New Roman" w:hAnsi="Times New Roman"/>
          <w:sz w:val="24"/>
          <w:szCs w:val="24"/>
          <w:lang w:val="ru-RU"/>
        </w:rPr>
        <w:t xml:space="preserve"> (</w:t>
      </w:r>
      <w:r w:rsidRPr="00184B62">
        <w:rPr>
          <w:rFonts w:ascii="Times New Roman" w:hAnsi="Times New Roman"/>
          <w:sz w:val="24"/>
          <w:szCs w:val="24"/>
        </w:rPr>
        <w:t>JDS</w:t>
      </w:r>
      <w:r w:rsidRPr="00184B62">
        <w:rPr>
          <w:rFonts w:ascii="Times New Roman" w:hAnsi="Times New Roman"/>
          <w:sz w:val="24"/>
          <w:szCs w:val="24"/>
          <w:lang w:val="ru-RU"/>
        </w:rPr>
        <w:t>4) през 2019 г.</w:t>
      </w:r>
      <w:r w:rsidRPr="00184B62">
        <w:rPr>
          <w:rFonts w:ascii="Times New Roman" w:hAnsi="Times New Roman"/>
          <w:sz w:val="24"/>
          <w:szCs w:val="24"/>
          <w:lang w:val="en-US"/>
        </w:rPr>
        <w:t>”</w:t>
      </w:r>
      <w:r w:rsidRPr="00184B62">
        <w:rPr>
          <w:rFonts w:ascii="Times New Roman" w:hAnsi="Times New Roman"/>
          <w:sz w:val="24"/>
          <w:szCs w:val="24"/>
        </w:rPr>
        <w:t>,</w:t>
      </w:r>
      <w:r w:rsidRPr="00184B62">
        <w:rPr>
          <w:rFonts w:ascii="Times New Roman" w:hAnsi="Times New Roman"/>
          <w:sz w:val="24"/>
          <w:szCs w:val="24"/>
          <w:lang w:val="ru-RU"/>
        </w:rPr>
        <w:t xml:space="preserve"> финансиран от ПУДООС.</w:t>
      </w:r>
    </w:p>
    <w:p w:rsidR="00184B62" w:rsidRPr="00184B62" w:rsidRDefault="00184B62" w:rsidP="005A0A3C">
      <w:pPr>
        <w:spacing w:after="0" w:line="240" w:lineRule="auto"/>
        <w:ind w:left="709" w:hanging="709"/>
        <w:jc w:val="both"/>
        <w:rPr>
          <w:rFonts w:ascii="Times New Roman" w:hAnsi="Times New Roman"/>
          <w:sz w:val="24"/>
          <w:szCs w:val="24"/>
          <w:lang w:eastAsia="bg-BG"/>
        </w:rPr>
      </w:pPr>
      <w:r w:rsidRPr="00184B62">
        <w:rPr>
          <w:rFonts w:ascii="Times New Roman" w:hAnsi="Times New Roman"/>
          <w:sz w:val="24"/>
          <w:szCs w:val="24"/>
          <w:lang w:eastAsia="bg-BG"/>
        </w:rPr>
        <w:t>Angelov</w:t>
      </w:r>
      <w:r w:rsidR="00B420C3">
        <w:rPr>
          <w:rFonts w:ascii="Times New Roman" w:hAnsi="Times New Roman"/>
          <w:sz w:val="24"/>
          <w:szCs w:val="24"/>
          <w:lang w:eastAsia="bg-BG"/>
        </w:rPr>
        <w:t>,</w:t>
      </w:r>
      <w:r w:rsidRPr="00184B62">
        <w:rPr>
          <w:rFonts w:ascii="Times New Roman" w:hAnsi="Times New Roman"/>
          <w:sz w:val="24"/>
          <w:szCs w:val="24"/>
          <w:lang w:eastAsia="bg-BG"/>
        </w:rPr>
        <w:t xml:space="preserve"> A. 2000. Catalogus faunae bulgaricae. 4. Mollusca: Gastropoda et Bivalvia aquae dulcis. Sofia, Pensoft, 57 p</w:t>
      </w:r>
      <w:r w:rsidRPr="00184B62">
        <w:rPr>
          <w:rFonts w:ascii="Times New Roman" w:hAnsi="Times New Roman"/>
          <w:sz w:val="24"/>
          <w:szCs w:val="24"/>
          <w:lang w:val="en-US" w:eastAsia="bg-BG"/>
        </w:rPr>
        <w:t>p</w:t>
      </w:r>
      <w:r w:rsidRPr="00184B62">
        <w:rPr>
          <w:rFonts w:ascii="Times New Roman" w:hAnsi="Times New Roman"/>
          <w:sz w:val="24"/>
          <w:szCs w:val="24"/>
          <w:lang w:eastAsia="bg-BG"/>
        </w:rPr>
        <w:t>.</w:t>
      </w:r>
    </w:p>
    <w:p w:rsidR="00184B62" w:rsidRPr="00184B62" w:rsidRDefault="00184B62" w:rsidP="005A0A3C">
      <w:pPr>
        <w:spacing w:after="0" w:line="240" w:lineRule="auto"/>
        <w:ind w:left="709" w:hanging="709"/>
        <w:jc w:val="both"/>
        <w:rPr>
          <w:rFonts w:ascii="Times New Roman" w:hAnsi="Times New Roman"/>
          <w:noProof/>
          <w:sz w:val="24"/>
          <w:szCs w:val="24"/>
          <w:lang w:val="en-US"/>
        </w:rPr>
      </w:pPr>
      <w:r w:rsidRPr="00184B62">
        <w:rPr>
          <w:rFonts w:ascii="Times New Roman" w:hAnsi="Times New Roman"/>
          <w:noProof/>
          <w:sz w:val="24"/>
          <w:szCs w:val="24"/>
        </w:rPr>
        <w:t>Büttner</w:t>
      </w:r>
      <w:r w:rsidR="00B420C3">
        <w:rPr>
          <w:rFonts w:ascii="Times New Roman" w:hAnsi="Times New Roman"/>
          <w:noProof/>
          <w:sz w:val="24"/>
          <w:szCs w:val="24"/>
        </w:rPr>
        <w:t>,</w:t>
      </w:r>
      <w:r w:rsidRPr="00184B62">
        <w:rPr>
          <w:rFonts w:ascii="Times New Roman" w:hAnsi="Times New Roman"/>
          <w:noProof/>
          <w:sz w:val="24"/>
          <w:szCs w:val="24"/>
        </w:rPr>
        <w:t xml:space="preserve"> K. 1928. Beitrag zur Molluskenfauna Bulgariens. Jahresbericht des Vereins für Naturkunde zu Zwickau, 1926/1928: 12-20.</w:t>
      </w:r>
    </w:p>
    <w:p w:rsidR="00184B62" w:rsidRPr="00184B62" w:rsidRDefault="00184B62" w:rsidP="005A0A3C">
      <w:pPr>
        <w:spacing w:after="0" w:line="240" w:lineRule="auto"/>
        <w:ind w:left="709" w:hanging="709"/>
        <w:jc w:val="both"/>
        <w:rPr>
          <w:rFonts w:ascii="Times New Roman" w:hAnsi="Times New Roman"/>
          <w:noProof/>
          <w:sz w:val="24"/>
          <w:szCs w:val="24"/>
          <w:lang w:val="en-US"/>
        </w:rPr>
      </w:pPr>
      <w:r w:rsidRPr="00184B62">
        <w:rPr>
          <w:rFonts w:ascii="Times New Roman" w:hAnsi="Times New Roman"/>
          <w:noProof/>
          <w:sz w:val="24"/>
          <w:szCs w:val="24"/>
        </w:rPr>
        <w:t xml:space="preserve">European commission. The State of Nature in the EU – Article 17 reporting. </w:t>
      </w:r>
      <w:hyperlink r:id="rId42" w:history="1">
        <w:r w:rsidRPr="00184B62">
          <w:rPr>
            <w:rFonts w:ascii="Times New Roman" w:hAnsi="Times New Roman"/>
            <w:color w:val="0000FF"/>
            <w:sz w:val="24"/>
            <w:szCs w:val="24"/>
            <w:u w:val="single"/>
            <w:shd w:val="clear" w:color="auto" w:fill="FFFFFF"/>
          </w:rPr>
          <w:t>https://nature-art17.eionet.europa.eu/article17/species/report/?period=5&amp;group=Molluscs&amp;country=BG&amp;region=</w:t>
        </w:r>
      </w:hyperlink>
      <w:r w:rsidRPr="00184B62">
        <w:rPr>
          <w:rFonts w:ascii="Times New Roman" w:hAnsi="Times New Roman"/>
          <w:noProof/>
          <w:sz w:val="24"/>
          <w:szCs w:val="24"/>
        </w:rPr>
        <w:t xml:space="preserve">. Last visited on </w:t>
      </w:r>
      <w:r w:rsidRPr="00184B62">
        <w:rPr>
          <w:rFonts w:ascii="Times New Roman" w:hAnsi="Times New Roman"/>
          <w:noProof/>
          <w:sz w:val="24"/>
          <w:szCs w:val="24"/>
          <w:lang w:val="en-US"/>
        </w:rPr>
        <w:t>01</w:t>
      </w:r>
      <w:r w:rsidRPr="00184B62">
        <w:rPr>
          <w:rFonts w:ascii="Times New Roman" w:hAnsi="Times New Roman"/>
          <w:noProof/>
          <w:sz w:val="24"/>
          <w:szCs w:val="24"/>
        </w:rPr>
        <w:t>.</w:t>
      </w:r>
      <w:r w:rsidRPr="00184B62">
        <w:rPr>
          <w:rFonts w:ascii="Times New Roman" w:hAnsi="Times New Roman"/>
          <w:noProof/>
          <w:sz w:val="24"/>
          <w:szCs w:val="24"/>
          <w:lang w:val="en-US"/>
        </w:rPr>
        <w:t>11</w:t>
      </w:r>
      <w:r w:rsidRPr="00184B62">
        <w:rPr>
          <w:rFonts w:ascii="Times New Roman" w:hAnsi="Times New Roman"/>
          <w:noProof/>
          <w:sz w:val="24"/>
          <w:szCs w:val="24"/>
        </w:rPr>
        <w:t>.2021.</w:t>
      </w:r>
    </w:p>
    <w:p w:rsidR="00184B62" w:rsidRPr="00184B62" w:rsidRDefault="00184B62" w:rsidP="005A0A3C">
      <w:pPr>
        <w:spacing w:after="0" w:line="240" w:lineRule="auto"/>
        <w:ind w:left="709" w:hanging="709"/>
        <w:jc w:val="both"/>
        <w:rPr>
          <w:rFonts w:ascii="Times New Roman" w:hAnsi="Times New Roman"/>
          <w:noProof/>
          <w:sz w:val="24"/>
          <w:szCs w:val="24"/>
          <w:lang w:val="en-US"/>
        </w:rPr>
      </w:pPr>
      <w:r w:rsidRPr="00184B62">
        <w:rPr>
          <w:rFonts w:ascii="Times New Roman" w:hAnsi="Times New Roman"/>
          <w:noProof/>
          <w:sz w:val="24"/>
          <w:szCs w:val="24"/>
        </w:rPr>
        <w:t>Petrbok J. 1941. Posttertiaria nonmarina mollusca bulgarica. Věstnik Královskê České Společnosti Nauk. Třida matemat.-přirodověd. Roĉnik: 1-39.</w:t>
      </w:r>
    </w:p>
    <w:p w:rsidR="00184B62" w:rsidRPr="00184B62" w:rsidRDefault="00184B62" w:rsidP="00184B62">
      <w:pPr>
        <w:spacing w:before="120" w:after="120" w:line="240" w:lineRule="auto"/>
        <w:ind w:left="709" w:hanging="709"/>
        <w:jc w:val="both"/>
        <w:rPr>
          <w:rFonts w:ascii="Times New Roman" w:eastAsia="Calibri" w:hAnsi="Times New Roman"/>
          <w:bCs/>
          <w:noProof/>
          <w:sz w:val="24"/>
          <w:szCs w:val="24"/>
          <w:lang w:val="en-US"/>
        </w:rPr>
      </w:pPr>
    </w:p>
    <w:p w:rsidR="00184B62" w:rsidRPr="00184B62" w:rsidRDefault="00184B62" w:rsidP="00184B62">
      <w:pPr>
        <w:spacing w:after="0" w:line="240" w:lineRule="auto"/>
        <w:ind w:left="709" w:hanging="709"/>
        <w:contextualSpacing/>
        <w:jc w:val="both"/>
        <w:rPr>
          <w:rFonts w:ascii="Times New Roman" w:hAnsi="Times New Roman"/>
          <w:bCs/>
          <w:sz w:val="24"/>
          <w:szCs w:val="24"/>
          <w:lang w:eastAsia="bg-BG"/>
        </w:rPr>
      </w:pPr>
      <w:bookmarkStart w:id="15" w:name="_Toc86569917"/>
      <w:r w:rsidRPr="00184B62">
        <w:rPr>
          <w:rFonts w:ascii="Times New Roman" w:hAnsi="Times New Roman"/>
          <w:bCs/>
          <w:i/>
          <w:sz w:val="24"/>
          <w:szCs w:val="24"/>
          <w:lang w:eastAsia="bg-BG"/>
        </w:rPr>
        <w:t>Автор:</w:t>
      </w:r>
      <w:r w:rsidRPr="00184B62">
        <w:rPr>
          <w:rFonts w:ascii="Times New Roman" w:hAnsi="Times New Roman"/>
          <w:bCs/>
          <w:sz w:val="24"/>
          <w:szCs w:val="24"/>
          <w:lang w:eastAsia="bg-BG"/>
        </w:rPr>
        <w:t xml:space="preserve"> Милчо Тодоров</w:t>
      </w:r>
      <w:bookmarkEnd w:id="15"/>
    </w:p>
    <w:p w:rsidR="00184B62" w:rsidRPr="0070678B" w:rsidRDefault="00184B62" w:rsidP="0070678B">
      <w:pPr>
        <w:rPr>
          <w:rFonts w:ascii="Times New Roman" w:hAnsi="Times New Roman"/>
          <w:color w:val="1F497D" w:themeColor="text2"/>
          <w:sz w:val="28"/>
          <w:szCs w:val="28"/>
        </w:rPr>
      </w:pPr>
    </w:p>
    <w:p w:rsidR="0070678B" w:rsidRDefault="00D77A67" w:rsidP="00EC3027">
      <w:pPr>
        <w:outlineLvl w:val="1"/>
        <w:rPr>
          <w:rFonts w:ascii="Times New Roman" w:hAnsi="Times New Roman"/>
          <w:i/>
          <w:color w:val="1F497D" w:themeColor="text2"/>
          <w:sz w:val="28"/>
          <w:szCs w:val="28"/>
        </w:rPr>
      </w:pPr>
      <w:bookmarkStart w:id="16" w:name="_Toc98838535"/>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1088 </w:t>
      </w:r>
      <w:r w:rsidR="0070678B" w:rsidRPr="00D77A67">
        <w:rPr>
          <w:rFonts w:ascii="Times New Roman" w:hAnsi="Times New Roman"/>
          <w:i/>
          <w:color w:val="1F497D" w:themeColor="text2"/>
          <w:sz w:val="28"/>
          <w:szCs w:val="28"/>
        </w:rPr>
        <w:t>Cerambyx ce</w:t>
      </w:r>
      <w:r w:rsidR="0070678B" w:rsidRPr="00D77A67">
        <w:rPr>
          <w:rFonts w:ascii="Times New Roman" w:hAnsi="Times New Roman"/>
          <w:i/>
          <w:color w:val="1F497D" w:themeColor="text2"/>
          <w:sz w:val="28"/>
          <w:szCs w:val="28"/>
          <w:lang w:val="en-US"/>
        </w:rPr>
        <w:t>rdo</w:t>
      </w:r>
      <w:bookmarkEnd w:id="16"/>
    </w:p>
    <w:p w:rsidR="00184B62" w:rsidRPr="00184B62" w:rsidRDefault="00184B62" w:rsidP="00184B62">
      <w:pPr>
        <w:spacing w:before="120" w:after="120" w:line="240" w:lineRule="auto"/>
        <w:rPr>
          <w:rFonts w:ascii="Times New Roman" w:eastAsia="Calibri" w:hAnsi="Times New Roman"/>
          <w:bCs/>
          <w:sz w:val="24"/>
          <w:szCs w:val="24"/>
        </w:rPr>
      </w:pPr>
      <w:r w:rsidRPr="00184B62">
        <w:rPr>
          <w:rFonts w:ascii="Times New Roman" w:eastAsia="Calibri" w:hAnsi="Times New Roman"/>
          <w:b/>
          <w:bCs/>
          <w:sz w:val="24"/>
          <w:szCs w:val="24"/>
        </w:rPr>
        <w:t>1. Код и наименование на вида:</w:t>
      </w:r>
      <w:r w:rsidRPr="00184B62">
        <w:rPr>
          <w:rFonts w:ascii="Times New Roman" w:eastAsia="Calibri" w:hAnsi="Times New Roman"/>
          <w:b/>
          <w:bCs/>
          <w:sz w:val="24"/>
          <w:szCs w:val="24"/>
          <w:lang w:val="en-US"/>
        </w:rPr>
        <w:t xml:space="preserve"> </w:t>
      </w:r>
      <w:r w:rsidRPr="00184B62">
        <w:rPr>
          <w:rFonts w:ascii="Times New Roman" w:eastAsia="Calibri" w:hAnsi="Times New Roman"/>
          <w:bCs/>
          <w:sz w:val="24"/>
          <w:szCs w:val="24"/>
        </w:rPr>
        <w:t xml:space="preserve">1088 </w:t>
      </w:r>
      <w:r w:rsidRPr="00184B62">
        <w:rPr>
          <w:rFonts w:ascii="Times New Roman" w:eastAsia="Calibri" w:hAnsi="Times New Roman"/>
          <w:bCs/>
          <w:i/>
          <w:sz w:val="24"/>
          <w:szCs w:val="24"/>
        </w:rPr>
        <w:t>Cerambyx cerdo</w:t>
      </w:r>
      <w:r w:rsidRPr="00184B62">
        <w:rPr>
          <w:rFonts w:ascii="Times New Roman" w:eastAsia="Calibri" w:hAnsi="Times New Roman"/>
          <w:bCs/>
          <w:sz w:val="24"/>
          <w:szCs w:val="24"/>
        </w:rPr>
        <w:t xml:space="preserve"> – Голям сечко</w:t>
      </w:r>
    </w:p>
    <w:p w:rsidR="00184B62" w:rsidRPr="00184B62" w:rsidRDefault="00184B62" w:rsidP="00184B62">
      <w:pPr>
        <w:spacing w:before="120" w:after="120" w:line="240" w:lineRule="auto"/>
        <w:rPr>
          <w:rFonts w:ascii="Times New Roman" w:eastAsia="Calibri" w:hAnsi="Times New Roman"/>
          <w:b/>
          <w:bCs/>
          <w:sz w:val="24"/>
          <w:szCs w:val="24"/>
        </w:rPr>
      </w:pPr>
      <w:r w:rsidRPr="00184B62">
        <w:rPr>
          <w:rFonts w:ascii="Times New Roman" w:eastAsia="Calibri" w:hAnsi="Times New Roman"/>
          <w:b/>
          <w:bCs/>
          <w:sz w:val="24"/>
          <w:szCs w:val="24"/>
        </w:rPr>
        <w:t>2. Кратка характеристика на целевия обект</w:t>
      </w:r>
    </w:p>
    <w:p w:rsidR="00184B62" w:rsidRPr="00184B62" w:rsidRDefault="00184B62" w:rsidP="005A0A3C">
      <w:pPr>
        <w:spacing w:after="0" w:line="240" w:lineRule="auto"/>
        <w:ind w:firstLine="720"/>
        <w:jc w:val="both"/>
        <w:rPr>
          <w:rFonts w:ascii="Times New Roman" w:eastAsia="Calibri" w:hAnsi="Times New Roman"/>
          <w:sz w:val="24"/>
          <w:lang w:eastAsia="en-GB"/>
        </w:rPr>
      </w:pPr>
      <w:r w:rsidRPr="00184B62">
        <w:rPr>
          <w:rFonts w:ascii="Times New Roman" w:eastAsia="Calibri" w:hAnsi="Times New Roman"/>
          <w:sz w:val="24"/>
          <w:lang w:eastAsia="en-GB"/>
        </w:rPr>
        <w:t xml:space="preserve">Големият сечко е сапроксилен вид, който обикновено се развива в мъртвата дървесината на стари дъбови дървета и други широколистни видове като кестени, бреза, върба, ясен, бряст, орех, лешник, рожков, бук, габър и др. Обикновено избира стари, гниещи дървета, като дъбове над 100 години с диаметър над 40 </w:t>
      </w:r>
      <w:r w:rsidRPr="00184B62">
        <w:rPr>
          <w:rFonts w:ascii="Times New Roman" w:eastAsia="Calibri" w:hAnsi="Times New Roman"/>
          <w:sz w:val="24"/>
          <w:lang w:val="en-US" w:eastAsia="en-GB"/>
        </w:rPr>
        <w:t>cm</w:t>
      </w:r>
      <w:r w:rsidRPr="00184B62">
        <w:rPr>
          <w:rFonts w:ascii="Times New Roman" w:eastAsia="Calibri" w:hAnsi="Times New Roman"/>
          <w:sz w:val="24"/>
          <w:lang w:eastAsia="en-GB"/>
        </w:rPr>
        <w:t>.</w:t>
      </w:r>
    </w:p>
    <w:p w:rsidR="00184B62" w:rsidRPr="00184B62" w:rsidRDefault="00184B62" w:rsidP="005A0A3C">
      <w:pPr>
        <w:spacing w:after="0" w:line="240" w:lineRule="auto"/>
        <w:ind w:firstLine="720"/>
        <w:jc w:val="both"/>
        <w:rPr>
          <w:rFonts w:ascii="Times New Roman" w:eastAsia="Calibri" w:hAnsi="Times New Roman"/>
          <w:sz w:val="24"/>
          <w:lang w:eastAsia="en-GB"/>
        </w:rPr>
      </w:pPr>
      <w:r w:rsidRPr="00184B62">
        <w:rPr>
          <w:rFonts w:ascii="Times New Roman" w:eastAsia="Calibri" w:hAnsi="Times New Roman"/>
          <w:sz w:val="24"/>
          <w:lang w:eastAsia="en-GB"/>
        </w:rPr>
        <w:t xml:space="preserve">Големият сечко е един от най-едрите бръмбари в България.  Достига до 54 </w:t>
      </w:r>
      <w:r w:rsidRPr="00184B62">
        <w:rPr>
          <w:rFonts w:ascii="Times New Roman" w:eastAsia="Calibri" w:hAnsi="Times New Roman"/>
          <w:sz w:val="24"/>
          <w:lang w:val="en-US" w:eastAsia="en-GB"/>
        </w:rPr>
        <w:t>mm</w:t>
      </w:r>
      <w:r w:rsidRPr="00184B62">
        <w:rPr>
          <w:rFonts w:ascii="Times New Roman" w:eastAsia="Calibri" w:hAnsi="Times New Roman"/>
          <w:sz w:val="24"/>
          <w:lang w:eastAsia="en-GB"/>
        </w:rPr>
        <w:t xml:space="preserve"> дължина.  Окраската му е кафяво черна, с просветления в края на надкрилията (елитрите). Тялото е относително тънко, с много дълги антени. При мъжките индивиди антените са по-дълги от самото тяло. Развитието на големия сечко отнема от 3 до 5 години. Женските отлагат до 300 яйца (май – юни) в части с мъртва дървесина на много стари живи дървета (обикновено в наранявания на стъблото или клоните). Ларвите се излюпват след около 10 дни. Ларвите от последния стадии правят ход в дървесината, който се отваря навън, в основата му има камера, където имагинират, като възрастните остават да презимуват в нея. Възрастните се появяват май-юни месец, копулират след няколко дни и живеят 3-5 седмици.</w:t>
      </w:r>
    </w:p>
    <w:p w:rsidR="00184B62" w:rsidRPr="00184B62" w:rsidRDefault="00184B62" w:rsidP="005A0A3C">
      <w:pPr>
        <w:spacing w:after="0" w:line="240" w:lineRule="auto"/>
        <w:ind w:firstLine="720"/>
        <w:jc w:val="both"/>
        <w:rPr>
          <w:rFonts w:ascii="Times New Roman" w:eastAsia="Calibri" w:hAnsi="Times New Roman"/>
          <w:sz w:val="24"/>
          <w:lang w:eastAsia="en-GB"/>
        </w:rPr>
      </w:pPr>
      <w:r w:rsidRPr="00184B62">
        <w:rPr>
          <w:rFonts w:ascii="Times New Roman" w:eastAsia="Calibri" w:hAnsi="Times New Roman"/>
          <w:sz w:val="24"/>
          <w:lang w:eastAsia="en-GB"/>
        </w:rPr>
        <w:t xml:space="preserve">Възрастните бръмбари са „слаби летци“ и рядко прелитат на повече от 500 </w:t>
      </w:r>
      <w:r w:rsidRPr="00184B62">
        <w:rPr>
          <w:rFonts w:ascii="Times New Roman" w:eastAsia="Calibri" w:hAnsi="Times New Roman"/>
          <w:sz w:val="24"/>
          <w:lang w:val="en-US" w:eastAsia="en-GB"/>
        </w:rPr>
        <w:t>m</w:t>
      </w:r>
      <w:r w:rsidRPr="00184B62">
        <w:rPr>
          <w:rFonts w:ascii="Times New Roman" w:eastAsia="Calibri" w:hAnsi="Times New Roman"/>
          <w:sz w:val="24"/>
          <w:lang w:eastAsia="en-GB"/>
        </w:rPr>
        <w:t xml:space="preserve"> от тяхното дърво. Активни са привечер и могат да се видят летящи бавно на около 4-5 </w:t>
      </w:r>
      <w:r w:rsidRPr="00184B62">
        <w:rPr>
          <w:rFonts w:ascii="Times New Roman" w:eastAsia="Calibri" w:hAnsi="Times New Roman"/>
          <w:sz w:val="24"/>
          <w:lang w:val="en-US" w:eastAsia="en-GB"/>
        </w:rPr>
        <w:t>m</w:t>
      </w:r>
      <w:r w:rsidRPr="00184B62">
        <w:rPr>
          <w:rFonts w:ascii="Times New Roman" w:eastAsia="Calibri" w:hAnsi="Times New Roman"/>
          <w:sz w:val="24"/>
          <w:lang w:eastAsia="en-GB"/>
        </w:rPr>
        <w:t xml:space="preserve"> височина. Възрастните са активни предимно привечер или през ранните часове на </w:t>
      </w:r>
      <w:r w:rsidRPr="00184B62">
        <w:rPr>
          <w:rFonts w:ascii="Times New Roman" w:eastAsia="Calibri" w:hAnsi="Times New Roman"/>
          <w:sz w:val="24"/>
          <w:lang w:eastAsia="en-GB"/>
        </w:rPr>
        <w:lastRenderedPageBreak/>
        <w:t>нощта. Понякога могат да бъдат забелязани активни през деня, през следобедните часове (Buse et al. 2008, Müller 1950).</w:t>
      </w:r>
    </w:p>
    <w:p w:rsidR="00184B62" w:rsidRPr="00184B62" w:rsidRDefault="00184B62" w:rsidP="005A0A3C">
      <w:pPr>
        <w:spacing w:after="0" w:line="240" w:lineRule="auto"/>
        <w:ind w:firstLine="720"/>
        <w:jc w:val="both"/>
        <w:rPr>
          <w:rFonts w:ascii="Times New Roman" w:eastAsia="Calibri" w:hAnsi="Times New Roman"/>
          <w:sz w:val="24"/>
          <w:lang w:eastAsia="en-GB"/>
        </w:rPr>
      </w:pPr>
      <w:r w:rsidRPr="00184B62">
        <w:rPr>
          <w:rFonts w:ascii="Times New Roman" w:eastAsia="Calibri" w:hAnsi="Times New Roman"/>
          <w:sz w:val="24"/>
          <w:lang w:eastAsia="en-GB"/>
        </w:rPr>
        <w:t xml:space="preserve">Колонизираните дървета могат да бъдат идентифицирани по видими дупки, направени от ларвите на ствола или дебели клони (Müller 2001). Тези дупки могат да съществуват в продължение на много години или дори десетилетия; типични признаци за скорошна активност са дървеното „брашно“ и свежите дупки с червено оцветени вътрешни страни (Buse et al. 2007). </w:t>
      </w:r>
    </w:p>
    <w:p w:rsidR="00184B62" w:rsidRPr="00184B62" w:rsidRDefault="00184B62" w:rsidP="005A0A3C">
      <w:pPr>
        <w:spacing w:after="0" w:line="240" w:lineRule="auto"/>
        <w:ind w:firstLine="720"/>
        <w:jc w:val="both"/>
        <w:rPr>
          <w:rFonts w:ascii="Times New Roman" w:eastAsia="Calibri" w:hAnsi="Times New Roman"/>
          <w:bCs/>
          <w:i/>
          <w:iCs/>
          <w:sz w:val="24"/>
          <w:lang w:eastAsia="en-GB"/>
        </w:rPr>
      </w:pPr>
      <w:r w:rsidRPr="00184B62">
        <w:rPr>
          <w:rFonts w:ascii="Times New Roman" w:eastAsia="Calibri" w:hAnsi="Times New Roman"/>
          <w:sz w:val="24"/>
          <w:lang w:eastAsia="en-GB"/>
        </w:rPr>
        <w:t xml:space="preserve">В България се среща предимно в северната и източните части на страната (поречието на р. Дунав, Лудогорието, Черноморското крайбрежие, Странджа), от където са и повечето находки. Установен е още в Малешевска планина, Западни Родопи и др. В северна България се среща от 0 до 700 </w:t>
      </w:r>
      <w:r w:rsidRPr="00184B62">
        <w:rPr>
          <w:rFonts w:ascii="Times New Roman" w:eastAsia="Calibri" w:hAnsi="Times New Roman"/>
          <w:sz w:val="24"/>
          <w:lang w:val="en-US" w:eastAsia="en-GB"/>
        </w:rPr>
        <w:t>m</w:t>
      </w:r>
      <w:r w:rsidRPr="00184B62">
        <w:rPr>
          <w:rFonts w:ascii="Times New Roman" w:eastAsia="Calibri" w:hAnsi="Times New Roman"/>
          <w:sz w:val="24"/>
          <w:lang w:eastAsia="en-GB"/>
        </w:rPr>
        <w:t xml:space="preserve">, в южна България – от 0 до 800 </w:t>
      </w:r>
      <w:r w:rsidRPr="00184B62">
        <w:rPr>
          <w:rFonts w:ascii="Times New Roman" w:eastAsia="Calibri" w:hAnsi="Times New Roman"/>
          <w:sz w:val="24"/>
          <w:lang w:val="en-US" w:eastAsia="en-GB"/>
        </w:rPr>
        <w:t>m</w:t>
      </w:r>
      <w:r w:rsidRPr="00184B62">
        <w:rPr>
          <w:rFonts w:ascii="Times New Roman" w:eastAsia="Calibri" w:hAnsi="Times New Roman"/>
          <w:sz w:val="24"/>
          <w:lang w:eastAsia="en-GB"/>
        </w:rPr>
        <w:t xml:space="preserve">, а в района на Славянка – докъм 900 </w:t>
      </w:r>
      <w:r w:rsidRPr="00184B62">
        <w:rPr>
          <w:rFonts w:ascii="Times New Roman" w:eastAsia="Calibri" w:hAnsi="Times New Roman"/>
          <w:sz w:val="24"/>
          <w:lang w:val="en-US" w:eastAsia="en-GB"/>
        </w:rPr>
        <w:t>m</w:t>
      </w:r>
      <w:r w:rsidRPr="00184B62">
        <w:rPr>
          <w:rFonts w:ascii="Times New Roman" w:eastAsia="Calibri" w:hAnsi="Times New Roman"/>
          <w:sz w:val="24"/>
          <w:lang w:eastAsia="en-GB"/>
        </w:rPr>
        <w:t xml:space="preserve"> надморска височина.</w:t>
      </w:r>
      <w:r w:rsidRPr="00184B62">
        <w:rPr>
          <w:rFonts w:ascii="Times New Roman" w:eastAsia="Calibri" w:hAnsi="Times New Roman"/>
          <w:bCs/>
          <w:i/>
          <w:iCs/>
          <w:sz w:val="24"/>
          <w:lang w:eastAsia="en-GB"/>
        </w:rPr>
        <w:t xml:space="preserve"> </w:t>
      </w:r>
    </w:p>
    <w:p w:rsidR="00184B62" w:rsidRPr="00184B62" w:rsidRDefault="00184B62" w:rsidP="005A0A3C">
      <w:pPr>
        <w:spacing w:after="0" w:line="240" w:lineRule="auto"/>
        <w:ind w:firstLine="720"/>
        <w:jc w:val="both"/>
        <w:rPr>
          <w:rFonts w:ascii="Times New Roman" w:eastAsia="Calibri" w:hAnsi="Times New Roman"/>
          <w:bCs/>
          <w:sz w:val="24"/>
          <w:lang w:eastAsia="en-GB"/>
        </w:rPr>
      </w:pPr>
      <w:r w:rsidRPr="00184B62">
        <w:rPr>
          <w:rFonts w:ascii="Times New Roman" w:eastAsia="Calibri" w:hAnsi="Times New Roman"/>
          <w:bCs/>
          <w:i/>
          <w:iCs/>
          <w:sz w:val="24"/>
          <w:lang w:eastAsia="en-GB"/>
        </w:rPr>
        <w:t xml:space="preserve">Cerambyx cerdo </w:t>
      </w:r>
      <w:r w:rsidRPr="00184B62">
        <w:rPr>
          <w:rFonts w:ascii="Times New Roman" w:eastAsia="Calibri" w:hAnsi="Times New Roman"/>
          <w:bCs/>
          <w:sz w:val="24"/>
          <w:lang w:eastAsia="en-GB"/>
        </w:rPr>
        <w:t xml:space="preserve">е включен в Приложения II и IV на Директива 92/43/ЕИО, заради стесняването на ареала на разпространението му. Видът не е включен в Червената книга на България </w:t>
      </w:r>
      <w:r w:rsidRPr="00184B62">
        <w:rPr>
          <w:rFonts w:ascii="Times New Roman" w:eastAsia="Calibri" w:hAnsi="Times New Roman"/>
          <w:bCs/>
          <w:sz w:val="24"/>
          <w:lang w:val="en-US" w:eastAsia="en-GB"/>
        </w:rPr>
        <w:t>(</w:t>
      </w:r>
      <w:r w:rsidRPr="00184B62">
        <w:rPr>
          <w:rFonts w:ascii="Times New Roman" w:eastAsia="Calibri" w:hAnsi="Times New Roman"/>
          <w:bCs/>
          <w:sz w:val="24"/>
          <w:lang w:eastAsia="en-GB"/>
        </w:rPr>
        <w:t>2011 г.</w:t>
      </w:r>
      <w:r w:rsidRPr="00184B62">
        <w:rPr>
          <w:rFonts w:ascii="Times New Roman" w:eastAsia="Calibri" w:hAnsi="Times New Roman"/>
          <w:bCs/>
          <w:sz w:val="24"/>
          <w:lang w:val="en-US" w:eastAsia="en-GB"/>
        </w:rPr>
        <w:t>)</w:t>
      </w:r>
      <w:r w:rsidRPr="00184B62">
        <w:rPr>
          <w:rFonts w:ascii="Times New Roman" w:eastAsia="Calibri" w:hAnsi="Times New Roman"/>
          <w:bCs/>
          <w:sz w:val="24"/>
          <w:lang w:eastAsia="en-GB"/>
        </w:rPr>
        <w:t>.</w:t>
      </w:r>
    </w:p>
    <w:p w:rsidR="00184B62" w:rsidRPr="00184B62" w:rsidRDefault="00184B62" w:rsidP="005A0A3C">
      <w:pPr>
        <w:spacing w:after="0" w:line="240" w:lineRule="auto"/>
        <w:ind w:firstLine="720"/>
        <w:jc w:val="both"/>
        <w:rPr>
          <w:rFonts w:ascii="Times New Roman" w:eastAsia="Calibri" w:hAnsi="Times New Roman"/>
          <w:sz w:val="24"/>
          <w:lang w:eastAsia="en-GB"/>
        </w:rPr>
      </w:pPr>
      <w:r w:rsidRPr="00184B62">
        <w:rPr>
          <w:rFonts w:ascii="Times New Roman" w:hAnsi="Times New Roman"/>
          <w:i/>
          <w:iCs/>
          <w:sz w:val="24"/>
          <w:szCs w:val="24"/>
        </w:rPr>
        <w:t>Х</w:t>
      </w:r>
      <w:r w:rsidR="001D13B2">
        <w:rPr>
          <w:rFonts w:ascii="Times New Roman" w:hAnsi="Times New Roman"/>
          <w:i/>
          <w:iCs/>
          <w:sz w:val="24"/>
          <w:szCs w:val="24"/>
        </w:rPr>
        <w:t>арактеристики на местообитаниет.</w:t>
      </w:r>
      <w:r w:rsidRPr="00184B62">
        <w:rPr>
          <w:rFonts w:ascii="Times New Roman" w:eastAsia="Calibri" w:hAnsi="Times New Roman"/>
          <w:sz w:val="24"/>
          <w:lang w:eastAsia="en-GB"/>
        </w:rPr>
        <w:t xml:space="preserve"> У нас е известен от широколистни гори (ясен (</w:t>
      </w:r>
      <w:r w:rsidRPr="00184B62">
        <w:rPr>
          <w:rFonts w:ascii="Times New Roman" w:eastAsia="Calibri" w:hAnsi="Times New Roman"/>
          <w:i/>
          <w:iCs/>
          <w:sz w:val="24"/>
          <w:lang w:eastAsia="en-GB"/>
        </w:rPr>
        <w:t>Fraxinus</w:t>
      </w:r>
      <w:r w:rsidRPr="00184B62">
        <w:rPr>
          <w:rFonts w:ascii="Times New Roman" w:eastAsia="Calibri" w:hAnsi="Times New Roman"/>
          <w:sz w:val="24"/>
          <w:lang w:eastAsia="en-GB"/>
        </w:rPr>
        <w:t>), бряст (</w:t>
      </w:r>
      <w:r w:rsidRPr="00184B62">
        <w:rPr>
          <w:rFonts w:ascii="Times New Roman" w:eastAsia="Calibri" w:hAnsi="Times New Roman"/>
          <w:i/>
          <w:iCs/>
          <w:sz w:val="24"/>
          <w:lang w:eastAsia="en-GB"/>
        </w:rPr>
        <w:t>Ulmus</w:t>
      </w:r>
      <w:r w:rsidRPr="00184B62">
        <w:rPr>
          <w:rFonts w:ascii="Times New Roman" w:eastAsia="Calibri" w:hAnsi="Times New Roman"/>
          <w:sz w:val="24"/>
          <w:lang w:eastAsia="en-GB"/>
        </w:rPr>
        <w:t>), върба (</w:t>
      </w:r>
      <w:r w:rsidRPr="00184B62">
        <w:rPr>
          <w:rFonts w:ascii="Times New Roman" w:eastAsia="Calibri" w:hAnsi="Times New Roman"/>
          <w:i/>
          <w:iCs/>
          <w:sz w:val="24"/>
          <w:lang w:eastAsia="en-GB"/>
        </w:rPr>
        <w:t>Salix</w:t>
      </w:r>
      <w:r w:rsidRPr="00184B62">
        <w:rPr>
          <w:rFonts w:ascii="Times New Roman" w:eastAsia="Calibri" w:hAnsi="Times New Roman"/>
          <w:sz w:val="24"/>
          <w:lang w:eastAsia="en-GB"/>
        </w:rPr>
        <w:t>) и много по-рядко кестен (</w:t>
      </w:r>
      <w:r w:rsidRPr="00184B62">
        <w:rPr>
          <w:rFonts w:ascii="Times New Roman" w:eastAsia="Calibri" w:hAnsi="Times New Roman"/>
          <w:i/>
          <w:iCs/>
          <w:sz w:val="24"/>
          <w:lang w:eastAsia="en-GB"/>
        </w:rPr>
        <w:t>Castanea sativa</w:t>
      </w:r>
      <w:r w:rsidRPr="00184B62">
        <w:rPr>
          <w:rFonts w:ascii="Times New Roman" w:eastAsia="Calibri" w:hAnsi="Times New Roman"/>
          <w:sz w:val="24"/>
          <w:lang w:eastAsia="en-GB"/>
        </w:rPr>
        <w:t>), бук (</w:t>
      </w:r>
      <w:r w:rsidRPr="00184B62">
        <w:rPr>
          <w:rFonts w:ascii="Times New Roman" w:eastAsia="Calibri" w:hAnsi="Times New Roman"/>
          <w:i/>
          <w:iCs/>
          <w:sz w:val="24"/>
          <w:lang w:eastAsia="en-GB"/>
        </w:rPr>
        <w:t>Fagus sylvatica</w:t>
      </w:r>
      <w:r w:rsidRPr="00184B62">
        <w:rPr>
          <w:rFonts w:ascii="Times New Roman" w:eastAsia="Calibri" w:hAnsi="Times New Roman"/>
          <w:sz w:val="24"/>
          <w:lang w:eastAsia="en-GB"/>
        </w:rPr>
        <w:t>) и бреза (</w:t>
      </w:r>
      <w:r w:rsidRPr="00184B62">
        <w:rPr>
          <w:rFonts w:ascii="Times New Roman" w:eastAsia="Calibri" w:hAnsi="Times New Roman"/>
          <w:i/>
          <w:iCs/>
          <w:sz w:val="24"/>
          <w:lang w:eastAsia="en-GB"/>
        </w:rPr>
        <w:t>Betula</w:t>
      </w:r>
      <w:r w:rsidRPr="00184B62">
        <w:rPr>
          <w:rFonts w:ascii="Times New Roman" w:eastAsia="Calibri" w:hAnsi="Times New Roman"/>
          <w:sz w:val="24"/>
          <w:lang w:eastAsia="en-GB"/>
        </w:rPr>
        <w:t xml:space="preserve">), като има изразено предпочитание към дъбовите </w:t>
      </w:r>
      <w:r w:rsidRPr="00184B62">
        <w:rPr>
          <w:rFonts w:ascii="Times New Roman" w:eastAsia="Calibri" w:hAnsi="Times New Roman"/>
          <w:sz w:val="24"/>
          <w:lang w:val="en-US" w:eastAsia="en-GB"/>
        </w:rPr>
        <w:t>(</w:t>
      </w:r>
      <w:r w:rsidRPr="00184B62">
        <w:rPr>
          <w:rFonts w:ascii="Times New Roman" w:eastAsia="Calibri" w:hAnsi="Times New Roman"/>
          <w:i/>
          <w:sz w:val="24"/>
          <w:lang w:val="en-US" w:eastAsia="en-GB"/>
        </w:rPr>
        <w:t>Quercus</w:t>
      </w:r>
      <w:r w:rsidRPr="00184B62">
        <w:rPr>
          <w:rFonts w:ascii="Times New Roman" w:eastAsia="Calibri" w:hAnsi="Times New Roman"/>
          <w:sz w:val="24"/>
          <w:lang w:val="en-US" w:eastAsia="en-GB"/>
        </w:rPr>
        <w:t xml:space="preserve"> sp.)</w:t>
      </w:r>
      <w:r w:rsidRPr="00184B62">
        <w:rPr>
          <w:rFonts w:ascii="Times New Roman" w:eastAsia="Calibri" w:hAnsi="Times New Roman"/>
          <w:sz w:val="24"/>
          <w:lang w:eastAsia="en-GB"/>
        </w:rPr>
        <w:t xml:space="preserve">. Както ларвата, така и възрастното са свързани с наличието на стари, загниващи, но все още живи дървета, като предпочитат такива, които са добре огрети от слънцето (Buse et al. 2007). Проучванията върху изискванията на </w:t>
      </w:r>
      <w:r w:rsidRPr="00184B62">
        <w:rPr>
          <w:rFonts w:ascii="Times New Roman" w:eastAsia="Calibri" w:hAnsi="Times New Roman"/>
          <w:i/>
          <w:iCs/>
          <w:sz w:val="24"/>
          <w:lang w:eastAsia="en-GB"/>
        </w:rPr>
        <w:t>C. cerdo</w:t>
      </w:r>
      <w:r w:rsidRPr="00184B62">
        <w:rPr>
          <w:rFonts w:ascii="Times New Roman" w:eastAsia="Calibri" w:hAnsi="Times New Roman"/>
          <w:sz w:val="24"/>
          <w:lang w:eastAsia="en-GB"/>
        </w:rPr>
        <w:t xml:space="preserve"> към местообитанията показват, че дебелината на кората на дърветата е един от най-значимите индикатори за присъствието на вида и увеличаването на възрастта и диаметъра на дъбовите дървета подобрява вероятността за появата му. Виталността на ствола и отвореността на местообитанията изглежда са други важни индикатори за присъствието на този бръмбар (Buse et al. 2007).</w:t>
      </w:r>
    </w:p>
    <w:p w:rsidR="00184B62" w:rsidRPr="00184B62" w:rsidRDefault="00184B62" w:rsidP="00184B62">
      <w:pPr>
        <w:spacing w:before="120" w:after="120" w:line="240" w:lineRule="auto"/>
        <w:jc w:val="both"/>
        <w:rPr>
          <w:rFonts w:ascii="Times New Roman" w:eastAsia="Calibri" w:hAnsi="Times New Roman"/>
          <w:b/>
          <w:bCs/>
          <w:sz w:val="24"/>
          <w:szCs w:val="24"/>
        </w:rPr>
      </w:pPr>
      <w:r w:rsidRPr="00184B62">
        <w:rPr>
          <w:rFonts w:ascii="Times New Roman" w:eastAsia="Calibri" w:hAnsi="Times New Roman"/>
          <w:b/>
          <w:bCs/>
          <w:sz w:val="24"/>
          <w:szCs w:val="24"/>
        </w:rPr>
        <w:t>3. Състояние на биогеографско ниво и разпространение в мрежата</w:t>
      </w:r>
    </w:p>
    <w:p w:rsidR="00184B62" w:rsidRDefault="00184B62" w:rsidP="00184B62">
      <w:pPr>
        <w:spacing w:before="120" w:after="120" w:line="240" w:lineRule="auto"/>
        <w:ind w:firstLine="720"/>
        <w:jc w:val="both"/>
        <w:rPr>
          <w:rFonts w:ascii="Times New Roman" w:eastAsia="Calibri" w:hAnsi="Times New Roman"/>
          <w:bCs/>
          <w:sz w:val="24"/>
          <w:lang w:eastAsia="en-GB"/>
        </w:rPr>
      </w:pPr>
      <w:r w:rsidRPr="00184B62">
        <w:rPr>
          <w:rFonts w:ascii="Times New Roman" w:eastAsia="Calibri" w:hAnsi="Times New Roman"/>
          <w:bCs/>
          <w:sz w:val="24"/>
          <w:lang w:eastAsia="en-GB"/>
        </w:rPr>
        <w:t xml:space="preserve">Съгласно докладването по чл. 17 на Директива за местообитанията през 2013 г.(за периода 2007-2012 г.), състоянието на вида в Алпийския и Черноморския биогеографски </w:t>
      </w:r>
      <w:r w:rsidR="005A0A3C">
        <w:rPr>
          <w:rFonts w:ascii="Times New Roman" w:eastAsia="Calibri" w:hAnsi="Times New Roman"/>
          <w:bCs/>
          <w:sz w:val="24"/>
          <w:lang w:eastAsia="en-GB"/>
        </w:rPr>
        <w:t>регони</w:t>
      </w:r>
      <w:r w:rsidRPr="00184B62">
        <w:rPr>
          <w:rFonts w:ascii="Times New Roman" w:eastAsia="Calibri" w:hAnsi="Times New Roman"/>
          <w:bCs/>
          <w:sz w:val="24"/>
          <w:lang w:eastAsia="en-GB"/>
        </w:rPr>
        <w:t xml:space="preserve"> е благоприятно (FV) по всички параметри, докато в Континенталния </w:t>
      </w:r>
      <w:r w:rsidR="005A0A3C">
        <w:rPr>
          <w:rFonts w:ascii="Times New Roman" w:eastAsia="Calibri" w:hAnsi="Times New Roman"/>
          <w:bCs/>
          <w:sz w:val="24"/>
          <w:lang w:eastAsia="en-GB"/>
        </w:rPr>
        <w:t>регион</w:t>
      </w:r>
      <w:r w:rsidRPr="00184B62">
        <w:rPr>
          <w:rFonts w:ascii="Times New Roman" w:eastAsia="Calibri" w:hAnsi="Times New Roman"/>
          <w:bCs/>
          <w:sz w:val="24"/>
          <w:lang w:eastAsia="en-GB"/>
        </w:rPr>
        <w:t xml:space="preserve"> параметрите перспективи и обща оценка са неблагоприятни-незадоволителни (U1). Впоследствие, при докладването по същата директива през 2019 г. </w:t>
      </w:r>
      <w:r w:rsidRPr="00184B62">
        <w:rPr>
          <w:rFonts w:ascii="Times New Roman" w:eastAsia="Calibri" w:hAnsi="Times New Roman"/>
          <w:bCs/>
          <w:sz w:val="24"/>
          <w:lang w:val="en-US" w:eastAsia="en-GB"/>
        </w:rPr>
        <w:t>(</w:t>
      </w:r>
      <w:r w:rsidRPr="00184B62">
        <w:rPr>
          <w:rFonts w:ascii="Times New Roman" w:eastAsia="Calibri" w:hAnsi="Times New Roman"/>
          <w:bCs/>
          <w:sz w:val="24"/>
          <w:lang w:eastAsia="en-GB"/>
        </w:rPr>
        <w:t>за периода 2013-2018 г.</w:t>
      </w:r>
      <w:r w:rsidRPr="00184B62">
        <w:rPr>
          <w:rFonts w:ascii="Times New Roman" w:eastAsia="Calibri" w:hAnsi="Times New Roman"/>
          <w:bCs/>
          <w:sz w:val="24"/>
          <w:lang w:val="en-US" w:eastAsia="en-GB"/>
        </w:rPr>
        <w:t>)</w:t>
      </w:r>
      <w:r w:rsidRPr="00184B62">
        <w:rPr>
          <w:rFonts w:ascii="Times New Roman" w:eastAsia="Calibri" w:hAnsi="Times New Roman"/>
          <w:bCs/>
          <w:sz w:val="24"/>
          <w:lang w:eastAsia="en-GB"/>
        </w:rPr>
        <w:t>, състоянието по всички параметри е променено на благоприятно. Заплахите и въздействията върху вида основно са: използване на химикали за растителна защита в горското стопанство, пожари, както и премахване на мъртви и умиращи дървета.</w:t>
      </w:r>
    </w:p>
    <w:p w:rsidR="00D374F5" w:rsidRDefault="00D374F5" w:rsidP="00D374F5">
      <w:pPr>
        <w:spacing w:before="120" w:after="120" w:line="240" w:lineRule="auto"/>
        <w:ind w:firstLine="720"/>
        <w:jc w:val="both"/>
        <w:rPr>
          <w:rFonts w:ascii="Times New Roman" w:eastAsia="Calibri" w:hAnsi="Times New Roman"/>
          <w:sz w:val="24"/>
          <w:szCs w:val="24"/>
        </w:rPr>
      </w:pPr>
      <w:r w:rsidRPr="00D374F5">
        <w:rPr>
          <w:rFonts w:ascii="Times New Roman" w:eastAsia="Calibri" w:hAnsi="Times New Roman"/>
          <w:bCs/>
          <w:sz w:val="24"/>
          <w:lang w:eastAsia="en-GB"/>
        </w:rPr>
        <w:t>В</w:t>
      </w:r>
      <w:r>
        <w:rPr>
          <w:rFonts w:ascii="Times New Roman" w:eastAsia="Calibri" w:hAnsi="Times New Roman"/>
          <w:sz w:val="24"/>
          <w:szCs w:val="24"/>
        </w:rPr>
        <w:t xml:space="preserve">идът е записан в Стандартните </w:t>
      </w:r>
      <w:r w:rsidRPr="00F62F40">
        <w:rPr>
          <w:rFonts w:ascii="Times New Roman" w:eastAsia="Calibri" w:hAnsi="Times New Roman"/>
          <w:sz w:val="24"/>
          <w:szCs w:val="24"/>
        </w:rPr>
        <w:t xml:space="preserve">формуляри за данни на </w:t>
      </w:r>
      <w:r>
        <w:rPr>
          <w:rFonts w:ascii="Times New Roman" w:eastAsia="Calibri" w:hAnsi="Times New Roman"/>
          <w:sz w:val="24"/>
          <w:szCs w:val="24"/>
        </w:rPr>
        <w:t>152 зони.</w:t>
      </w:r>
    </w:p>
    <w:p w:rsidR="00D374F5" w:rsidRPr="00184B62" w:rsidRDefault="00D374F5" w:rsidP="00184B62">
      <w:pPr>
        <w:spacing w:before="120" w:after="120" w:line="240" w:lineRule="auto"/>
        <w:ind w:firstLine="720"/>
        <w:jc w:val="both"/>
        <w:rPr>
          <w:rFonts w:ascii="Times New Roman" w:eastAsia="Calibri" w:hAnsi="Times New Roman"/>
          <w:bCs/>
          <w:sz w:val="24"/>
          <w:lang w:eastAsia="en-GB"/>
        </w:rPr>
      </w:pPr>
    </w:p>
    <w:p w:rsidR="00184B62" w:rsidRPr="00184B62" w:rsidRDefault="00184B62" w:rsidP="00184B62">
      <w:pPr>
        <w:spacing w:before="120" w:after="0" w:line="240" w:lineRule="auto"/>
        <w:jc w:val="both"/>
        <w:rPr>
          <w:rFonts w:ascii="Times New Roman" w:eastAsia="Calibri" w:hAnsi="Times New Roman"/>
          <w:b/>
          <w:sz w:val="24"/>
          <w:szCs w:val="24"/>
        </w:rPr>
      </w:pPr>
      <w:r w:rsidRPr="00184B62">
        <w:rPr>
          <w:rFonts w:ascii="Times New Roman" w:eastAsia="Calibri" w:hAnsi="Times New Roman"/>
          <w:b/>
          <w:sz w:val="24"/>
          <w:szCs w:val="24"/>
        </w:rPr>
        <w:t>4. Състояние на вида в защитена зона „Сребърна“</w:t>
      </w:r>
    </w:p>
    <w:p w:rsidR="00184B62" w:rsidRPr="00184B62" w:rsidRDefault="00184B62" w:rsidP="00184B62">
      <w:pPr>
        <w:spacing w:before="120" w:after="120" w:line="240" w:lineRule="auto"/>
        <w:ind w:firstLine="720"/>
        <w:jc w:val="both"/>
        <w:rPr>
          <w:rFonts w:ascii="Times New Roman" w:eastAsia="Calibri" w:hAnsi="Times New Roman"/>
          <w:bCs/>
          <w:sz w:val="24"/>
          <w:lang w:eastAsia="en-GB"/>
        </w:rPr>
      </w:pPr>
      <w:r w:rsidRPr="00184B62">
        <w:rPr>
          <w:rFonts w:ascii="Times New Roman" w:eastAsia="Calibri" w:hAnsi="Times New Roman"/>
          <w:bCs/>
          <w:sz w:val="24"/>
          <w:lang w:eastAsia="en-GB"/>
        </w:rPr>
        <w:t>Съгласно Стандартния формуляр за данни (</w:t>
      </w:r>
      <w:r w:rsidR="005A0A3C">
        <w:rPr>
          <w:rFonts w:ascii="Times New Roman" w:eastAsia="Calibri" w:hAnsi="Times New Roman"/>
          <w:bCs/>
          <w:sz w:val="24"/>
          <w:lang w:eastAsia="en-GB"/>
        </w:rPr>
        <w:t>СФ</w:t>
      </w:r>
      <w:r w:rsidRPr="00184B62">
        <w:rPr>
          <w:rFonts w:ascii="Times New Roman" w:eastAsia="Calibri" w:hAnsi="Times New Roman"/>
          <w:bCs/>
          <w:sz w:val="24"/>
          <w:lang w:eastAsia="en-GB"/>
        </w:rPr>
        <w:t xml:space="preserve">) за защитена зона Сребърна данните за вида в зоната са с лошо качество (DD), степента на опазване е „C“ (средно съхранение), популацията е неизолирана (оценка „С“), а общото състояние е „C“ (средна стойност). </w:t>
      </w: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736"/>
        <w:gridCol w:w="1086"/>
        <w:gridCol w:w="492"/>
        <w:gridCol w:w="556"/>
        <w:gridCol w:w="413"/>
        <w:gridCol w:w="774"/>
        <w:gridCol w:w="811"/>
        <w:gridCol w:w="700"/>
        <w:gridCol w:w="697"/>
        <w:gridCol w:w="899"/>
        <w:gridCol w:w="1084"/>
        <w:gridCol w:w="713"/>
        <w:gridCol w:w="565"/>
        <w:gridCol w:w="588"/>
      </w:tblGrid>
      <w:tr w:rsidR="00184B62" w:rsidRPr="00184B62" w:rsidTr="005A0A3C">
        <w:trPr>
          <w:jc w:val="center"/>
        </w:trPr>
        <w:tc>
          <w:tcPr>
            <w:tcW w:w="3266" w:type="dxa"/>
            <w:gridSpan w:val="5"/>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4294" w:type="dxa"/>
            <w:gridSpan w:val="6"/>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2950" w:type="dxa"/>
            <w:gridSpan w:val="4"/>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rPr>
          <w:trHeight w:val="617"/>
          <w:jc w:val="center"/>
        </w:trPr>
        <w:tc>
          <w:tcPr>
            <w:tcW w:w="39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3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08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 xml:space="preserve">Scientific </w:t>
            </w:r>
            <w:r w:rsidRPr="00184B62">
              <w:rPr>
                <w:rFonts w:ascii="Times New Roman" w:eastAsia="Calibri" w:hAnsi="Times New Roman"/>
                <w:b/>
                <w:sz w:val="20"/>
                <w:szCs w:val="20"/>
                <w:lang w:eastAsia="en-GB"/>
              </w:rPr>
              <w:lastRenderedPageBreak/>
              <w:t>Name</w:t>
            </w:r>
          </w:p>
        </w:tc>
        <w:tc>
          <w:tcPr>
            <w:tcW w:w="492"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lastRenderedPageBreak/>
              <w:t>S</w:t>
            </w:r>
          </w:p>
        </w:tc>
        <w:tc>
          <w:tcPr>
            <w:tcW w:w="55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413"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585" w:type="dxa"/>
            <w:gridSpan w:val="2"/>
            <w:shd w:val="clear" w:color="auto" w:fill="D9D9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70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69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99"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108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866" w:type="dxa"/>
            <w:gridSpan w:val="3"/>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rPr>
          <w:jc w:val="center"/>
        </w:trPr>
        <w:tc>
          <w:tcPr>
            <w:tcW w:w="39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3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08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92"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413"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77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811"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70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9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99"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108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713"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65"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588"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39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lastRenderedPageBreak/>
              <w:t>I</w:t>
            </w:r>
          </w:p>
        </w:tc>
        <w:tc>
          <w:tcPr>
            <w:tcW w:w="73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1088</w:t>
            </w:r>
          </w:p>
        </w:tc>
        <w:tc>
          <w:tcPr>
            <w:tcW w:w="1086" w:type="dxa"/>
            <w:shd w:val="clear" w:color="auto" w:fill="auto"/>
            <w:vAlign w:val="center"/>
          </w:tcPr>
          <w:p w:rsidR="00184B62" w:rsidRPr="00184B62" w:rsidRDefault="00184B62" w:rsidP="00184B62">
            <w:pPr>
              <w:spacing w:before="120" w:after="120" w:line="240" w:lineRule="auto"/>
              <w:jc w:val="both"/>
              <w:rPr>
                <w:rFonts w:ascii="Times New Roman" w:hAnsi="Times New Roman"/>
                <w:i/>
                <w:sz w:val="20"/>
                <w:szCs w:val="20"/>
                <w:lang w:val="en-US"/>
              </w:rPr>
            </w:pPr>
            <w:r w:rsidRPr="00184B62">
              <w:rPr>
                <w:rFonts w:ascii="Times New Roman" w:hAnsi="Times New Roman"/>
                <w:i/>
                <w:sz w:val="20"/>
                <w:szCs w:val="20"/>
                <w:lang w:val="en-US"/>
              </w:rPr>
              <w:t>Cerambyx cerdo</w:t>
            </w:r>
          </w:p>
        </w:tc>
        <w:tc>
          <w:tcPr>
            <w:tcW w:w="492"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55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413"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р</w:t>
            </w:r>
          </w:p>
        </w:tc>
        <w:tc>
          <w:tcPr>
            <w:tcW w:w="77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811"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70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697"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R</w:t>
            </w:r>
          </w:p>
        </w:tc>
        <w:tc>
          <w:tcPr>
            <w:tcW w:w="899"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DD</w:t>
            </w:r>
          </w:p>
        </w:tc>
        <w:tc>
          <w:tcPr>
            <w:tcW w:w="108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713"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565"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С</w:t>
            </w:r>
          </w:p>
        </w:tc>
        <w:tc>
          <w:tcPr>
            <w:tcW w:w="588"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lang w:val="en-US"/>
              </w:rPr>
              <w:t>C</w:t>
            </w:r>
          </w:p>
        </w:tc>
      </w:tr>
    </w:tbl>
    <w:p w:rsidR="00184B62" w:rsidRPr="00184B62" w:rsidRDefault="00184B62" w:rsidP="00184B62">
      <w:pPr>
        <w:spacing w:before="120" w:after="120" w:line="240" w:lineRule="auto"/>
        <w:jc w:val="both"/>
        <w:rPr>
          <w:rFonts w:ascii="Times New Roman" w:eastAsia="Calibri" w:hAnsi="Times New Roman"/>
          <w:sz w:val="24"/>
          <w:szCs w:val="24"/>
        </w:rPr>
      </w:pPr>
    </w:p>
    <w:p w:rsidR="00184B62" w:rsidRPr="00184B62" w:rsidRDefault="00184B62" w:rsidP="00184B62">
      <w:pPr>
        <w:spacing w:before="120" w:after="120" w:line="240" w:lineRule="auto"/>
        <w:jc w:val="both"/>
        <w:rPr>
          <w:rFonts w:ascii="Times New Roman" w:eastAsia="Calibri" w:hAnsi="Times New Roman"/>
          <w:sz w:val="24"/>
          <w:szCs w:val="24"/>
        </w:rPr>
      </w:pPr>
      <w:r w:rsidRPr="00184B62">
        <w:rPr>
          <w:rFonts w:ascii="Times New Roman" w:eastAsia="Calibri" w:hAnsi="Times New Roman"/>
          <w:b/>
          <w:sz w:val="24"/>
          <w:szCs w:val="24"/>
          <w:lang w:eastAsia="bg-BG"/>
        </w:rPr>
        <w:t>5. Анализ на наличната информация</w:t>
      </w:r>
    </w:p>
    <w:p w:rsidR="00184B62" w:rsidRPr="00184B62" w:rsidRDefault="00184B62" w:rsidP="005A0A3C">
      <w:pPr>
        <w:spacing w:after="0" w:line="240" w:lineRule="auto"/>
        <w:ind w:firstLine="720"/>
        <w:jc w:val="both"/>
        <w:rPr>
          <w:rFonts w:ascii="Times New Roman" w:eastAsia="Calibri" w:hAnsi="Times New Roman"/>
          <w:sz w:val="24"/>
          <w:lang w:eastAsia="en-GB"/>
        </w:rPr>
      </w:pPr>
      <w:r w:rsidRPr="00184B62">
        <w:rPr>
          <w:rFonts w:ascii="Times New Roman" w:eastAsia="Calibri" w:hAnsi="Times New Roman"/>
          <w:sz w:val="24"/>
          <w:lang w:eastAsia="en-GB"/>
        </w:rPr>
        <w:t xml:space="preserve">Съгласно специфичния доклад за вида в зоната, изготвен по проект </w:t>
      </w:r>
      <w:r w:rsidRPr="00184B62">
        <w:rPr>
          <w:rFonts w:ascii="Times New Roman" w:eastAsia="Calibri" w:hAnsi="Times New Roman"/>
          <w:sz w:val="24"/>
          <w:szCs w:val="24"/>
        </w:rPr>
        <w:t>„Картиране и определяне на природозащитното състояние на природни местообитания и видове - фаза I“, потенциалните му местообитания са предимно гори</w:t>
      </w:r>
      <w:r w:rsidRPr="00184B62">
        <w:rPr>
          <w:rFonts w:ascii="Times New Roman" w:eastAsia="Calibri" w:hAnsi="Times New Roman"/>
          <w:sz w:val="24"/>
          <w:lang w:eastAsia="en-GB"/>
        </w:rPr>
        <w:t xml:space="preserve">, </w:t>
      </w:r>
      <w:r w:rsidRPr="00184B62">
        <w:rPr>
          <w:rFonts w:ascii="Times New Roman" w:eastAsia="Calibri" w:hAnsi="Times New Roman"/>
          <w:sz w:val="24"/>
          <w:szCs w:val="24"/>
        </w:rPr>
        <w:t xml:space="preserve">заемащи площ от </w:t>
      </w:r>
      <w:r w:rsidRPr="00184B62">
        <w:rPr>
          <w:rFonts w:ascii="Times New Roman" w:eastAsia="Calibri" w:hAnsi="Times New Roman"/>
          <w:sz w:val="24"/>
          <w:lang w:val="en-GB" w:eastAsia="en-GB"/>
        </w:rPr>
        <w:t>18.27 ha</w:t>
      </w:r>
      <w:r w:rsidRPr="00184B62">
        <w:rPr>
          <w:rFonts w:ascii="Times New Roman" w:eastAsia="Calibri" w:hAnsi="Times New Roman"/>
          <w:sz w:val="24"/>
          <w:lang w:eastAsia="en-GB"/>
        </w:rPr>
        <w:t>, няма регистрирани находки</w:t>
      </w:r>
      <w:r w:rsidRPr="00184B62">
        <w:rPr>
          <w:rFonts w:ascii="Times New Roman" w:eastAsia="Calibri" w:hAnsi="Times New Roman"/>
          <w:sz w:val="24"/>
          <w:lang w:val="en-GB" w:eastAsia="en-GB"/>
        </w:rPr>
        <w:t xml:space="preserve">. </w:t>
      </w:r>
      <w:r w:rsidRPr="00184B62">
        <w:rPr>
          <w:rFonts w:ascii="Times New Roman" w:eastAsia="Calibri" w:hAnsi="Times New Roman"/>
          <w:sz w:val="24"/>
          <w:lang w:eastAsia="en-GB"/>
        </w:rPr>
        <w:t>Зоната е слабо пригодна за този вид, но намирането му е възможно и са необходими допълнителни проучвания.</w:t>
      </w:r>
    </w:p>
    <w:p w:rsidR="00184B62" w:rsidRPr="00184B62" w:rsidRDefault="00184B62" w:rsidP="005A0A3C">
      <w:pPr>
        <w:spacing w:after="0" w:line="240" w:lineRule="auto"/>
        <w:ind w:firstLine="720"/>
        <w:jc w:val="both"/>
        <w:rPr>
          <w:rFonts w:ascii="Times New Roman" w:eastAsia="Calibri" w:hAnsi="Times New Roman"/>
          <w:bCs/>
          <w:iCs/>
          <w:sz w:val="24"/>
          <w:szCs w:val="24"/>
        </w:rPr>
      </w:pPr>
      <w:r w:rsidRPr="00184B62">
        <w:rPr>
          <w:rFonts w:ascii="Times New Roman" w:eastAsia="Calibri" w:hAnsi="Times New Roman"/>
          <w:bCs/>
          <w:iCs/>
          <w:sz w:val="24"/>
          <w:szCs w:val="24"/>
        </w:rPr>
        <w:t>Параметрите за популация и местообитание и техните целеви стойности, са съобразени и съвместими с досега определените в Ръководството за оценка на благоприятно природозащитно състояние за типове природни местообитания и видове по НАТУРА 2000 в България</w:t>
      </w:r>
      <w:r w:rsidRPr="00184B62">
        <w:rPr>
          <w:rFonts w:ascii="Times New Roman" w:eastAsia="Calibri" w:hAnsi="Times New Roman"/>
          <w:bCs/>
          <w:iCs/>
          <w:sz w:val="24"/>
          <w:szCs w:val="24"/>
          <w:vertAlign w:val="superscript"/>
        </w:rPr>
        <w:footnoteReference w:id="1"/>
      </w:r>
      <w:r w:rsidRPr="00184B62">
        <w:rPr>
          <w:rFonts w:ascii="Times New Roman" w:eastAsia="Calibri" w:hAnsi="Times New Roman"/>
          <w:bCs/>
          <w:iCs/>
          <w:sz w:val="24"/>
          <w:szCs w:val="24"/>
        </w:rPr>
        <w:t>, Методиката за определяне на природозащитното състоянието на видовете</w:t>
      </w:r>
      <w:r w:rsidRPr="00184B62">
        <w:rPr>
          <w:rFonts w:ascii="Times New Roman" w:eastAsia="Calibri" w:hAnsi="Times New Roman"/>
          <w:bCs/>
          <w:iCs/>
          <w:sz w:val="24"/>
          <w:szCs w:val="24"/>
          <w:vertAlign w:val="superscript"/>
        </w:rPr>
        <w:footnoteReference w:id="2"/>
      </w:r>
      <w:r w:rsidRPr="00184B62">
        <w:rPr>
          <w:rFonts w:ascii="Times New Roman" w:eastAsia="Calibri" w:hAnsi="Times New Roman"/>
          <w:bCs/>
          <w:iCs/>
          <w:sz w:val="24"/>
          <w:szCs w:val="24"/>
        </w:rPr>
        <w:t xml:space="preserve">, както и Методиките за оценка на състоянието и мониторинг на вида </w:t>
      </w:r>
      <w:r w:rsidRPr="00184B62">
        <w:rPr>
          <w:rFonts w:ascii="Times New Roman" w:eastAsia="Calibri" w:hAnsi="Times New Roman"/>
          <w:bCs/>
          <w:iCs/>
          <w:sz w:val="24"/>
          <w:szCs w:val="24"/>
          <w:lang w:val="en-US"/>
        </w:rPr>
        <w:t>(</w:t>
      </w:r>
      <w:r w:rsidRPr="00184B62">
        <w:rPr>
          <w:rFonts w:ascii="Times New Roman" w:eastAsia="Calibri" w:hAnsi="Times New Roman"/>
          <w:bCs/>
          <w:iCs/>
          <w:sz w:val="24"/>
          <w:szCs w:val="24"/>
        </w:rPr>
        <w:t>Н</w:t>
      </w:r>
      <w:r w:rsidRPr="00184B62">
        <w:rPr>
          <w:rFonts w:ascii="Times New Roman" w:eastAsia="Calibri" w:hAnsi="Times New Roman"/>
          <w:bCs/>
          <w:iCs/>
          <w:sz w:val="24"/>
          <w:szCs w:val="24"/>
          <w:lang w:val="en-US"/>
        </w:rPr>
        <w:t>ационална система за мониторинг на биологичното разнообра</w:t>
      </w:r>
      <w:r w:rsidRPr="00184B62">
        <w:rPr>
          <w:rFonts w:ascii="Times New Roman" w:eastAsia="Calibri" w:hAnsi="Times New Roman"/>
          <w:bCs/>
          <w:iCs/>
          <w:sz w:val="24"/>
          <w:szCs w:val="24"/>
        </w:rPr>
        <w:t>зие</w:t>
      </w:r>
      <w:r w:rsidRPr="00184B62">
        <w:rPr>
          <w:rFonts w:ascii="Times New Roman" w:eastAsia="Calibri" w:hAnsi="Times New Roman"/>
          <w:bCs/>
          <w:iCs/>
          <w:sz w:val="24"/>
          <w:szCs w:val="24"/>
          <w:lang w:val="en-US"/>
        </w:rPr>
        <w:t>)</w:t>
      </w:r>
      <w:r w:rsidRPr="00184B62">
        <w:rPr>
          <w:rFonts w:ascii="Times New Roman" w:eastAsia="Calibri" w:hAnsi="Times New Roman"/>
          <w:bCs/>
          <w:iCs/>
          <w:sz w:val="24"/>
          <w:szCs w:val="24"/>
          <w:vertAlign w:val="superscript"/>
          <w:lang w:val="en-US"/>
        </w:rPr>
        <w:footnoteReference w:id="3"/>
      </w:r>
      <w:r w:rsidRPr="00184B62">
        <w:rPr>
          <w:rFonts w:ascii="Times New Roman" w:eastAsia="Calibri" w:hAnsi="Times New Roman"/>
          <w:bCs/>
          <w:iCs/>
          <w:sz w:val="24"/>
          <w:szCs w:val="24"/>
        </w:rPr>
        <w:t>. Предлаганите промени са с цел да бъдат по-добре отразени екологичните изисквания на даден вид, както и да бъде получена по-адекватна оценка за промените в неговото състояние и свързаните с това мерки и специфични цели в зоните.</w:t>
      </w:r>
    </w:p>
    <w:p w:rsidR="00184B62" w:rsidRPr="00184B62" w:rsidRDefault="00184B62" w:rsidP="005A0A3C">
      <w:pPr>
        <w:spacing w:after="0" w:line="240" w:lineRule="auto"/>
        <w:ind w:firstLine="720"/>
        <w:jc w:val="both"/>
        <w:rPr>
          <w:rFonts w:ascii="Times New Roman" w:eastAsia="Calibri" w:hAnsi="Times New Roman"/>
          <w:bCs/>
          <w:iCs/>
          <w:sz w:val="24"/>
          <w:szCs w:val="24"/>
        </w:rPr>
      </w:pPr>
      <w:r w:rsidRPr="00184B62">
        <w:rPr>
          <w:rFonts w:ascii="Times New Roman" w:eastAsia="Calibri" w:hAnsi="Times New Roman"/>
          <w:bCs/>
          <w:iCs/>
          <w:sz w:val="24"/>
          <w:szCs w:val="24"/>
        </w:rPr>
        <w:t>Предложената в предоставения от МОСВ доклад „Специфични цели за защитена зона за местообитанията BG0000366 „Кресна - Илинденци“ популационна единица „Брой заселени дървета в площта на подходящите местообитания на вида“ макар и изпълнима и използвана за докладване в други държавни, смятаме за неподходяща за територията на България. Причините за това са комплексни, но най-важните са:</w:t>
      </w:r>
    </w:p>
    <w:p w:rsidR="00184B62" w:rsidRPr="00184B62" w:rsidRDefault="00184B62" w:rsidP="005A0A3C">
      <w:pPr>
        <w:spacing w:after="0" w:line="240" w:lineRule="auto"/>
        <w:ind w:firstLine="720"/>
        <w:jc w:val="both"/>
        <w:rPr>
          <w:rFonts w:ascii="Times New Roman" w:eastAsia="Calibri" w:hAnsi="Times New Roman"/>
          <w:bCs/>
          <w:iCs/>
          <w:sz w:val="24"/>
          <w:szCs w:val="24"/>
        </w:rPr>
      </w:pPr>
      <w:r w:rsidRPr="00184B62">
        <w:rPr>
          <w:rFonts w:ascii="Times New Roman" w:eastAsia="Calibri" w:hAnsi="Times New Roman"/>
          <w:bCs/>
          <w:iCs/>
          <w:sz w:val="24"/>
          <w:szCs w:val="24"/>
        </w:rPr>
        <w:t>1. Оценката на този параметър изисква високо ниво на експертиза за коректно определяне на биотопните и залесени дървета</w:t>
      </w:r>
      <w:r w:rsidRPr="00184B62">
        <w:rPr>
          <w:rFonts w:ascii="Times New Roman" w:eastAsia="Calibri" w:hAnsi="Times New Roman"/>
          <w:bCs/>
          <w:iCs/>
          <w:sz w:val="24"/>
          <w:szCs w:val="24"/>
          <w:lang w:val="en-US"/>
        </w:rPr>
        <w:t xml:space="preserve">, </w:t>
      </w:r>
      <w:r w:rsidRPr="00184B62">
        <w:rPr>
          <w:rFonts w:ascii="Times New Roman" w:eastAsia="Calibri" w:hAnsi="Times New Roman"/>
          <w:bCs/>
          <w:iCs/>
          <w:sz w:val="24"/>
          <w:szCs w:val="24"/>
        </w:rPr>
        <w:t>съчетано със значително теренно усилие. Това би било пречка при въвеждане на неспециалисти (гражданска наука, горски стопанства, структурите на МОСВ по места и тн.) в мониторинговите дейности;</w:t>
      </w:r>
    </w:p>
    <w:p w:rsidR="00184B62" w:rsidRPr="00184B62" w:rsidRDefault="00184B62" w:rsidP="005A0A3C">
      <w:pPr>
        <w:spacing w:after="0" w:line="240" w:lineRule="auto"/>
        <w:ind w:firstLine="720"/>
        <w:jc w:val="both"/>
        <w:rPr>
          <w:rFonts w:ascii="Times New Roman" w:eastAsia="Calibri" w:hAnsi="Times New Roman"/>
          <w:bCs/>
          <w:iCs/>
          <w:sz w:val="24"/>
          <w:szCs w:val="24"/>
          <w:lang w:val="en-US"/>
        </w:rPr>
      </w:pPr>
      <w:r w:rsidRPr="00184B62">
        <w:rPr>
          <w:rFonts w:ascii="Times New Roman" w:eastAsia="Calibri" w:hAnsi="Times New Roman"/>
          <w:bCs/>
          <w:iCs/>
          <w:sz w:val="24"/>
          <w:szCs w:val="24"/>
        </w:rPr>
        <w:t>2. Оценката на „брой дървета“ макар и използвана и разрешена за докладване, е помощна и насочваща за определян</w:t>
      </w:r>
      <w:r w:rsidR="005A0A3C">
        <w:rPr>
          <w:rFonts w:ascii="Times New Roman" w:eastAsia="Calibri" w:hAnsi="Times New Roman"/>
          <w:bCs/>
          <w:iCs/>
          <w:sz w:val="24"/>
          <w:szCs w:val="24"/>
        </w:rPr>
        <w:t>е</w:t>
      </w:r>
      <w:r w:rsidRPr="00184B62">
        <w:rPr>
          <w:rFonts w:ascii="Times New Roman" w:eastAsia="Calibri" w:hAnsi="Times New Roman"/>
          <w:bCs/>
          <w:iCs/>
          <w:sz w:val="24"/>
          <w:szCs w:val="24"/>
        </w:rPr>
        <w:t xml:space="preserve"> на местата за мониторинг, поставяне на капани и провеждане на трансекти и в никакъв случай не се препоръчва като основна за оценка на популацията на </w:t>
      </w:r>
      <w:r w:rsidRPr="00184B62">
        <w:rPr>
          <w:rFonts w:ascii="Times New Roman" w:eastAsia="Calibri" w:hAnsi="Times New Roman"/>
          <w:bCs/>
          <w:i/>
          <w:iCs/>
          <w:sz w:val="24"/>
          <w:szCs w:val="24"/>
          <w:lang w:val="en-US"/>
        </w:rPr>
        <w:t>Cerambys cerdo</w:t>
      </w:r>
      <w:r w:rsidRPr="00184B62">
        <w:rPr>
          <w:rFonts w:ascii="Times New Roman" w:eastAsia="Calibri" w:hAnsi="Times New Roman"/>
          <w:bCs/>
          <w:iCs/>
          <w:sz w:val="24"/>
          <w:szCs w:val="24"/>
          <w:lang w:val="en-US"/>
        </w:rPr>
        <w:t xml:space="preserve">. </w:t>
      </w:r>
      <w:r w:rsidRPr="00184B62">
        <w:rPr>
          <w:rFonts w:ascii="Times New Roman" w:eastAsia="Calibri" w:hAnsi="Times New Roman"/>
          <w:bCs/>
          <w:iCs/>
          <w:sz w:val="24"/>
          <w:szCs w:val="24"/>
        </w:rPr>
        <w:t xml:space="preserve">В същото време, тя не предоставя достатъчна устойчивост на изследването, тъй като деградационните промени в обитаваните дървета могат да бъдат относително бързи и те да загубят своята стойност като индикативен обект само в рамките на няколко години </w:t>
      </w:r>
      <w:r w:rsidRPr="00184B62">
        <w:rPr>
          <w:rFonts w:ascii="Times New Roman" w:eastAsia="Calibri" w:hAnsi="Times New Roman"/>
          <w:bCs/>
          <w:iCs/>
          <w:sz w:val="24"/>
          <w:szCs w:val="24"/>
          <w:lang w:val="en-US"/>
        </w:rPr>
        <w:t>(De Zan</w:t>
      </w:r>
      <w:r w:rsidRPr="00184B62">
        <w:rPr>
          <w:rFonts w:ascii="Times New Roman" w:eastAsia="Calibri" w:hAnsi="Times New Roman"/>
          <w:bCs/>
          <w:iCs/>
          <w:sz w:val="24"/>
          <w:szCs w:val="24"/>
        </w:rPr>
        <w:t xml:space="preserve"> </w:t>
      </w:r>
      <w:r w:rsidRPr="00184B62">
        <w:rPr>
          <w:rFonts w:ascii="Times New Roman" w:eastAsia="Calibri" w:hAnsi="Times New Roman"/>
          <w:bCs/>
          <w:iCs/>
          <w:sz w:val="24"/>
          <w:szCs w:val="24"/>
          <w:lang w:val="en-US"/>
        </w:rPr>
        <w:t>et al. 2017).</w:t>
      </w:r>
    </w:p>
    <w:p w:rsidR="00184B62" w:rsidRPr="00184B62" w:rsidRDefault="00184B62" w:rsidP="005A0A3C">
      <w:pPr>
        <w:spacing w:after="0" w:line="240" w:lineRule="auto"/>
        <w:ind w:firstLine="720"/>
        <w:jc w:val="both"/>
        <w:rPr>
          <w:rFonts w:ascii="Times New Roman" w:eastAsia="Calibri" w:hAnsi="Times New Roman"/>
          <w:bCs/>
          <w:iCs/>
          <w:sz w:val="24"/>
          <w:szCs w:val="24"/>
        </w:rPr>
      </w:pPr>
      <w:r w:rsidRPr="00184B62">
        <w:rPr>
          <w:rFonts w:ascii="Times New Roman" w:eastAsia="Calibri" w:hAnsi="Times New Roman"/>
          <w:bCs/>
          <w:iCs/>
          <w:sz w:val="24"/>
          <w:szCs w:val="24"/>
        </w:rPr>
        <w:t>Поради това, като по-адекватна и отговаряща на досегашните практики за събиране и анализ на данни в България предлагаме мерната единица на параметъра за състояние на популацията да е „Брой квадрати с размер 1х1 km, с доказано присъствие на вида“. Минималният и максималният размер на популацията отговаря на известния брой квадрати, в които видът е регистриран.</w:t>
      </w:r>
    </w:p>
    <w:p w:rsidR="00184B62" w:rsidRPr="00184B62" w:rsidRDefault="00184B62" w:rsidP="005A0A3C">
      <w:pPr>
        <w:spacing w:before="120"/>
        <w:jc w:val="both"/>
        <w:rPr>
          <w:rFonts w:ascii="Times New Roman" w:hAnsi="Times New Roman"/>
          <w:b/>
          <w:sz w:val="24"/>
          <w:szCs w:val="24"/>
        </w:rPr>
      </w:pPr>
      <w:r w:rsidRPr="00184B62">
        <w:rPr>
          <w:rFonts w:ascii="Times New Roman" w:hAnsi="Times New Roman"/>
          <w:b/>
          <w:sz w:val="24"/>
          <w:szCs w:val="24"/>
        </w:rPr>
        <w:t>6. Цели за подобряване/поддържане на природозащитното състояние на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627"/>
        <w:gridCol w:w="1627"/>
        <w:gridCol w:w="2599"/>
        <w:gridCol w:w="1681"/>
      </w:tblGrid>
      <w:tr w:rsidR="00184B62" w:rsidRPr="00184B62" w:rsidTr="005A0A3C">
        <w:trPr>
          <w:tblHeader/>
          <w:jc w:val="center"/>
        </w:trPr>
        <w:tc>
          <w:tcPr>
            <w:tcW w:w="9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EC3027" w:rsidRDefault="00184B62" w:rsidP="00184B62">
            <w:pPr>
              <w:widowControl w:val="0"/>
              <w:spacing w:before="120" w:after="120" w:line="240" w:lineRule="auto"/>
              <w:jc w:val="center"/>
              <w:rPr>
                <w:rFonts w:ascii="Times New Roman" w:eastAsia="Calibri" w:hAnsi="Times New Roman"/>
                <w:b/>
                <w:bCs/>
                <w:sz w:val="20"/>
                <w:szCs w:val="20"/>
                <w:lang w:eastAsia="en-GB"/>
              </w:rPr>
            </w:pPr>
            <w:r w:rsidRPr="00EC3027">
              <w:rPr>
                <w:rFonts w:ascii="Times New Roman" w:eastAsia="Calibri" w:hAnsi="Times New Roman"/>
                <w:b/>
                <w:bCs/>
                <w:sz w:val="20"/>
                <w:szCs w:val="20"/>
                <w:lang w:eastAsia="en-GB"/>
              </w:rPr>
              <w:lastRenderedPageBreak/>
              <w:t>Параметър</w:t>
            </w:r>
          </w:p>
        </w:tc>
        <w:tc>
          <w:tcPr>
            <w:tcW w:w="8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184B62" w:rsidRDefault="00184B62" w:rsidP="00184B62">
            <w:pPr>
              <w:widowControl w:val="0"/>
              <w:spacing w:before="120" w:after="120" w:line="240" w:lineRule="auto"/>
              <w:ind w:left="-113" w:right="-170"/>
              <w:jc w:val="center"/>
              <w:rPr>
                <w:rFonts w:ascii="Times New Roman" w:eastAsia="Calibri" w:hAnsi="Times New Roman"/>
                <w:b/>
                <w:bCs/>
                <w:sz w:val="20"/>
                <w:szCs w:val="20"/>
                <w:lang w:val="en-GB" w:eastAsia="en-GB"/>
              </w:rPr>
            </w:pPr>
            <w:r w:rsidRPr="00184B62">
              <w:rPr>
                <w:rFonts w:ascii="Times New Roman" w:eastAsia="Calibri" w:hAnsi="Times New Roman"/>
                <w:b/>
                <w:bCs/>
                <w:sz w:val="20"/>
                <w:szCs w:val="20"/>
                <w:lang w:val="en-GB" w:eastAsia="en-GB"/>
              </w:rPr>
              <w:t>Мерна единица</w:t>
            </w:r>
          </w:p>
        </w:tc>
        <w:tc>
          <w:tcPr>
            <w:tcW w:w="8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184B62" w:rsidRDefault="00184B62" w:rsidP="00184B62">
            <w:pPr>
              <w:widowControl w:val="0"/>
              <w:spacing w:before="120" w:after="120" w:line="240" w:lineRule="auto"/>
              <w:jc w:val="center"/>
              <w:rPr>
                <w:rFonts w:ascii="Times New Roman" w:eastAsia="Calibri" w:hAnsi="Times New Roman"/>
                <w:b/>
                <w:bCs/>
                <w:sz w:val="20"/>
                <w:szCs w:val="20"/>
                <w:lang w:eastAsia="en-GB"/>
              </w:rPr>
            </w:pPr>
            <w:r w:rsidRPr="00184B62">
              <w:rPr>
                <w:rFonts w:ascii="Times New Roman" w:eastAsia="Calibri" w:hAnsi="Times New Roman"/>
                <w:b/>
                <w:bCs/>
                <w:sz w:val="20"/>
                <w:szCs w:val="20"/>
                <w:lang w:eastAsia="en-GB"/>
              </w:rPr>
              <w:t>Целева стойност</w:t>
            </w:r>
          </w:p>
        </w:tc>
        <w:tc>
          <w:tcPr>
            <w:tcW w:w="13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184B62" w:rsidRDefault="00184B62" w:rsidP="00184B62">
            <w:pPr>
              <w:widowControl w:val="0"/>
              <w:spacing w:before="120" w:after="120" w:line="240" w:lineRule="auto"/>
              <w:jc w:val="center"/>
              <w:rPr>
                <w:rFonts w:ascii="Times New Roman" w:hAnsi="Times New Roman"/>
                <w:b/>
                <w:bCs/>
                <w:sz w:val="20"/>
                <w:szCs w:val="20"/>
                <w:lang w:eastAsia="en-GB"/>
              </w:rPr>
            </w:pPr>
            <w:r w:rsidRPr="00184B62">
              <w:rPr>
                <w:rFonts w:ascii="Times New Roman" w:eastAsia="Calibri" w:hAnsi="Times New Roman"/>
                <w:b/>
                <w:sz w:val="20"/>
                <w:szCs w:val="20"/>
                <w:lang w:eastAsia="en-GB"/>
              </w:rPr>
              <w:t>Допълнителна информация</w:t>
            </w:r>
          </w:p>
        </w:tc>
        <w:tc>
          <w:tcPr>
            <w:tcW w:w="905"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84B62" w:rsidRPr="00184B62" w:rsidRDefault="00184B62" w:rsidP="00184B62">
            <w:pPr>
              <w:widowControl w:val="0"/>
              <w:spacing w:before="120" w:after="120" w:line="240" w:lineRule="auto"/>
              <w:jc w:val="center"/>
              <w:rPr>
                <w:rFonts w:ascii="Times New Roman" w:eastAsia="Calibri" w:hAnsi="Times New Roman"/>
                <w:b/>
                <w:sz w:val="20"/>
                <w:szCs w:val="20"/>
                <w:lang w:val="en-GB" w:eastAsia="en-GB"/>
              </w:rPr>
            </w:pPr>
            <w:r w:rsidRPr="00184B62">
              <w:rPr>
                <w:rFonts w:ascii="Times New Roman" w:eastAsia="Calibri" w:hAnsi="Times New Roman"/>
                <w:b/>
                <w:sz w:val="20"/>
                <w:szCs w:val="20"/>
                <w:lang w:eastAsia="en-GB"/>
              </w:rPr>
              <w:t>Специфични за зоната цели на опазване</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hideMark/>
          </w:tcPr>
          <w:p w:rsidR="00184B62" w:rsidRPr="00EC3027" w:rsidRDefault="00184B62" w:rsidP="00184B62">
            <w:pPr>
              <w:spacing w:before="120" w:after="120" w:line="240" w:lineRule="auto"/>
              <w:rPr>
                <w:rFonts w:ascii="Times New Roman" w:eastAsia="Calibri" w:hAnsi="Times New Roman"/>
                <w:b/>
                <w:sz w:val="20"/>
                <w:szCs w:val="20"/>
                <w:lang w:eastAsia="en-GB"/>
              </w:rPr>
            </w:pPr>
            <w:r w:rsidRPr="00EC3027">
              <w:rPr>
                <w:rFonts w:ascii="Times New Roman" w:eastAsia="Calibri" w:hAnsi="Times New Roman"/>
                <w:b/>
                <w:sz w:val="20"/>
                <w:szCs w:val="20"/>
                <w:lang w:eastAsia="en-GB"/>
              </w:rPr>
              <w:t>Популация: Пространствен обхват на популацията на вида</w:t>
            </w:r>
          </w:p>
        </w:tc>
        <w:tc>
          <w:tcPr>
            <w:tcW w:w="876"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lang w:val="en-GB" w:eastAsia="en-GB"/>
              </w:rPr>
            </w:pPr>
            <w:r w:rsidRPr="00184B62">
              <w:rPr>
                <w:rFonts w:ascii="Times New Roman" w:eastAsia="Calibri" w:hAnsi="Times New Roman"/>
                <w:sz w:val="20"/>
                <w:szCs w:val="20"/>
                <w:lang w:eastAsia="en-GB"/>
              </w:rPr>
              <w:t>Брой квадрати с размер 1х1 km, с доказано присъствие на вида -  живи индивиди или останки от възрастни индивиди, доказано обитавани дървета в подходящите местообитания за вида</w:t>
            </w:r>
          </w:p>
        </w:tc>
        <w:tc>
          <w:tcPr>
            <w:tcW w:w="876"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Неизвестна</w:t>
            </w:r>
          </w:p>
        </w:tc>
        <w:tc>
          <w:tcPr>
            <w:tcW w:w="1399"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 xml:space="preserve">Видът не </w:t>
            </w:r>
            <w:r w:rsidRPr="00184B62">
              <w:rPr>
                <w:rFonts w:ascii="Times New Roman" w:eastAsia="Calibri" w:hAnsi="Times New Roman"/>
                <w:sz w:val="20"/>
                <w:szCs w:val="20"/>
                <w:lang w:val="en-US" w:eastAsia="en-GB"/>
              </w:rPr>
              <w:t xml:space="preserve">e </w:t>
            </w:r>
            <w:r w:rsidRPr="00184B62">
              <w:rPr>
                <w:rFonts w:ascii="Times New Roman" w:eastAsia="Calibri" w:hAnsi="Times New Roman"/>
                <w:sz w:val="20"/>
                <w:szCs w:val="20"/>
                <w:lang w:eastAsia="en-GB"/>
              </w:rPr>
              <w:t>установен в зоната.</w:t>
            </w:r>
          </w:p>
        </w:tc>
        <w:tc>
          <w:tcPr>
            <w:tcW w:w="905"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lang w:val="en-GB" w:eastAsia="en-GB"/>
              </w:rPr>
            </w:pPr>
            <w:r w:rsidRPr="00184B62">
              <w:rPr>
                <w:rFonts w:ascii="Times New Roman" w:hAnsi="Times New Roman"/>
                <w:bCs/>
                <w:sz w:val="20"/>
                <w:szCs w:val="20"/>
              </w:rPr>
              <w:t>Междинна цел: Да се установи пространствения обхват на популацията, чрез провеждане на теренни проучвания, до 2025 г.</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EC3027" w:rsidRDefault="00184B62" w:rsidP="00184B62">
            <w:pPr>
              <w:spacing w:before="120" w:after="120" w:line="240" w:lineRule="auto"/>
              <w:rPr>
                <w:rFonts w:ascii="Times New Roman" w:eastAsia="Calibri" w:hAnsi="Times New Roman"/>
                <w:b/>
                <w:bCs/>
                <w:sz w:val="20"/>
                <w:szCs w:val="20"/>
                <w:lang w:eastAsia="en-GB"/>
              </w:rPr>
            </w:pPr>
            <w:r w:rsidRPr="00EC3027">
              <w:rPr>
                <w:rFonts w:ascii="Times New Roman" w:eastAsia="Calibri" w:hAnsi="Times New Roman"/>
                <w:b/>
                <w:sz w:val="20"/>
                <w:szCs w:val="20"/>
                <w:lang w:eastAsia="en-GB"/>
              </w:rPr>
              <w:t xml:space="preserve">Местообитание на вида: </w:t>
            </w:r>
            <w:r w:rsidRPr="00EC3027">
              <w:rPr>
                <w:rFonts w:ascii="Times New Roman" w:eastAsia="Calibri" w:hAnsi="Times New Roman"/>
                <w:b/>
                <w:bCs/>
                <w:sz w:val="20"/>
                <w:szCs w:val="20"/>
                <w:lang w:eastAsia="en-GB"/>
              </w:rPr>
              <w:t>Площ на подходящите местообитания за вида в защитената зона</w:t>
            </w:r>
          </w:p>
        </w:tc>
        <w:tc>
          <w:tcPr>
            <w:tcW w:w="876" w:type="pct"/>
            <w:tcBorders>
              <w:top w:val="single" w:sz="4" w:space="0" w:color="000001"/>
              <w:left w:val="single" w:sz="4" w:space="0" w:color="000001"/>
              <w:bottom w:val="single" w:sz="4" w:space="0" w:color="000001"/>
            </w:tcBorders>
            <w:shd w:val="clear" w:color="auto" w:fill="FFFFFF"/>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val="en-US" w:eastAsia="en-GB"/>
              </w:rPr>
              <w:t>ha</w:t>
            </w:r>
          </w:p>
        </w:tc>
        <w:tc>
          <w:tcPr>
            <w:tcW w:w="876" w:type="pct"/>
            <w:tcBorders>
              <w:top w:val="single" w:sz="4" w:space="0" w:color="000001"/>
              <w:left w:val="single" w:sz="4" w:space="0" w:color="000001"/>
              <w:bottom w:val="single" w:sz="4" w:space="0" w:color="000001"/>
            </w:tcBorders>
            <w:shd w:val="clear" w:color="auto" w:fill="FFFFFF"/>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 xml:space="preserve">Най-малко 18.27 </w:t>
            </w:r>
            <w:r w:rsidRPr="00184B62">
              <w:rPr>
                <w:rFonts w:ascii="Times New Roman" w:eastAsia="Calibri" w:hAnsi="Times New Roman"/>
                <w:sz w:val="20"/>
                <w:szCs w:val="20"/>
                <w:lang w:val="en-US" w:eastAsia="en-GB"/>
              </w:rPr>
              <w:t>ha</w:t>
            </w:r>
          </w:p>
        </w:tc>
        <w:tc>
          <w:tcPr>
            <w:tcW w:w="1399" w:type="pct"/>
            <w:tcBorders>
              <w:top w:val="single" w:sz="4" w:space="0" w:color="000001"/>
              <w:left w:val="single" w:sz="4" w:space="0" w:color="000001"/>
              <w:bottom w:val="single" w:sz="4" w:space="0" w:color="000001"/>
            </w:tcBorders>
            <w:shd w:val="clear" w:color="auto" w:fill="FFFFFF"/>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905" w:type="pct"/>
            <w:tcBorders>
              <w:top w:val="single" w:sz="4" w:space="0" w:color="000001"/>
              <w:left w:val="single" w:sz="4" w:space="0" w:color="000001"/>
              <w:bottom w:val="single" w:sz="4" w:space="0" w:color="000001"/>
              <w:right w:val="single" w:sz="4" w:space="0" w:color="000001"/>
            </w:tcBorders>
            <w:shd w:val="clear" w:color="auto" w:fill="FFFFFF"/>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Поддържане на площта на подходящите местообитания на вида в размер на най-малко 18.27 ha</w:t>
            </w:r>
          </w:p>
        </w:tc>
      </w:tr>
      <w:tr w:rsidR="00184B62" w:rsidRPr="00184B62" w:rsidTr="005A0A3C">
        <w:trPr>
          <w:jc w:val="center"/>
        </w:trPr>
        <w:tc>
          <w:tcPr>
            <w:tcW w:w="944" w:type="pct"/>
            <w:shd w:val="clear" w:color="auto" w:fill="auto"/>
            <w:hideMark/>
          </w:tcPr>
          <w:p w:rsidR="00184B62" w:rsidRPr="00EC3027" w:rsidRDefault="00184B62" w:rsidP="00184B62">
            <w:pPr>
              <w:spacing w:before="120" w:after="120" w:line="240" w:lineRule="auto"/>
              <w:rPr>
                <w:rFonts w:ascii="Times New Roman" w:eastAsia="Calibri" w:hAnsi="Times New Roman"/>
                <w:b/>
                <w:sz w:val="20"/>
                <w:szCs w:val="20"/>
                <w:lang w:eastAsia="en-GB"/>
              </w:rPr>
            </w:pPr>
            <w:r w:rsidRPr="00EC3027">
              <w:rPr>
                <w:rFonts w:ascii="Times New Roman" w:eastAsia="Calibri" w:hAnsi="Times New Roman"/>
                <w:b/>
                <w:sz w:val="20"/>
                <w:szCs w:val="20"/>
              </w:rPr>
              <w:t xml:space="preserve">Местообитание на вида: </w:t>
            </w:r>
            <w:r w:rsidRPr="00EC3027">
              <w:rPr>
                <w:rFonts w:ascii="Times New Roman" w:eastAsia="Calibri" w:hAnsi="Times New Roman"/>
                <w:b/>
                <w:bCs/>
                <w:sz w:val="20"/>
                <w:szCs w:val="20"/>
              </w:rPr>
              <w:t>Брой биотопни дъбови дървета</w:t>
            </w:r>
          </w:p>
        </w:tc>
        <w:tc>
          <w:tcPr>
            <w:tcW w:w="876" w:type="pct"/>
            <w:shd w:val="clear" w:color="auto" w:fill="auto"/>
            <w:hideMark/>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rPr>
              <w:t xml:space="preserve">Брой биотопни дъбови дървета, с дебелина на ствола най-малко 40 cm </w:t>
            </w:r>
            <w:r w:rsidRPr="00184B62">
              <w:rPr>
                <w:rFonts w:ascii="Times New Roman" w:eastAsia="Calibri" w:hAnsi="Times New Roman"/>
                <w:sz w:val="20"/>
                <w:szCs w:val="20"/>
                <w:lang w:val="en-US"/>
              </w:rPr>
              <w:t>(</w:t>
            </w:r>
            <w:r w:rsidRPr="00184B62">
              <w:rPr>
                <w:rFonts w:ascii="Times New Roman" w:eastAsia="Calibri" w:hAnsi="Times New Roman"/>
                <w:sz w:val="20"/>
                <w:szCs w:val="20"/>
              </w:rPr>
              <w:t>или по-стари от 100 г.</w:t>
            </w:r>
            <w:r w:rsidRPr="00184B62">
              <w:rPr>
                <w:rFonts w:ascii="Times New Roman" w:eastAsia="Calibri" w:hAnsi="Times New Roman"/>
                <w:sz w:val="20"/>
                <w:szCs w:val="20"/>
                <w:lang w:val="en-US"/>
              </w:rPr>
              <w:t>)</w:t>
            </w:r>
            <w:r w:rsidRPr="00184B62">
              <w:rPr>
                <w:rFonts w:ascii="Times New Roman" w:eastAsia="Calibri" w:hAnsi="Times New Roman"/>
                <w:sz w:val="20"/>
                <w:szCs w:val="20"/>
              </w:rPr>
              <w:t xml:space="preserve"> за хектар от подходящите местообитания на вида</w:t>
            </w:r>
          </w:p>
        </w:tc>
        <w:tc>
          <w:tcPr>
            <w:tcW w:w="876" w:type="pct"/>
            <w:shd w:val="clear" w:color="auto" w:fill="auto"/>
            <w:hideMark/>
          </w:tcPr>
          <w:p w:rsidR="00184B62" w:rsidRPr="00184B62" w:rsidRDefault="00184B62" w:rsidP="00184B62">
            <w:pPr>
              <w:spacing w:before="120" w:after="120" w:line="240" w:lineRule="auto"/>
              <w:jc w:val="center"/>
              <w:rPr>
                <w:rFonts w:ascii="Times New Roman" w:eastAsia="Calibri" w:hAnsi="Times New Roman"/>
                <w:sz w:val="20"/>
                <w:szCs w:val="20"/>
                <w:lang w:val="en-GB" w:eastAsia="en-GB"/>
              </w:rPr>
            </w:pPr>
            <w:r w:rsidRPr="00184B62">
              <w:rPr>
                <w:rFonts w:ascii="Times New Roman" w:eastAsia="Calibri" w:hAnsi="Times New Roman"/>
                <w:bCs/>
                <w:sz w:val="20"/>
                <w:szCs w:val="20"/>
              </w:rPr>
              <w:t>Най-малко 1 биотопно дърво, с дебелина на ствола най-малко 40 cm (или по-стари от 100 г.) за всеки хектар от подходящите местообитания на вида</w:t>
            </w:r>
          </w:p>
        </w:tc>
        <w:tc>
          <w:tcPr>
            <w:tcW w:w="1399" w:type="pct"/>
            <w:shd w:val="clear" w:color="auto" w:fill="auto"/>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Екологията на вида предполага разстоянието между две заселени/подходящи за заселване дървета да бъде не повече от 300 </w:t>
            </w:r>
            <w:r w:rsidRPr="00184B62">
              <w:rPr>
                <w:rFonts w:ascii="Times New Roman" w:eastAsia="Calibri" w:hAnsi="Times New Roman"/>
                <w:sz w:val="20"/>
                <w:szCs w:val="20"/>
                <w:lang w:val="en-US"/>
              </w:rPr>
              <w:t>m</w:t>
            </w:r>
            <w:r w:rsidRPr="00184B62">
              <w:rPr>
                <w:rFonts w:ascii="Times New Roman" w:eastAsia="Calibri" w:hAnsi="Times New Roman"/>
                <w:sz w:val="20"/>
                <w:szCs w:val="20"/>
              </w:rPr>
              <w:t>. В този контекст за оптимално за вида приемаме наличие на поне 1 биотопно дъбово дърво, отговарящо на тези изисквания, на хектар</w:t>
            </w:r>
            <w:r w:rsidRPr="00184B62">
              <w:rPr>
                <w:sz w:val="20"/>
                <w:szCs w:val="20"/>
              </w:rPr>
              <w:t xml:space="preserve"> </w:t>
            </w:r>
            <w:r w:rsidRPr="00184B62">
              <w:rPr>
                <w:rFonts w:ascii="Times New Roman" w:eastAsia="Calibri" w:hAnsi="Times New Roman"/>
                <w:sz w:val="20"/>
                <w:szCs w:val="20"/>
              </w:rPr>
              <w:t>от подходящите местообитания на вида.</w:t>
            </w:r>
          </w:p>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rPr>
              <w:t>В информацията в лесоустройствените проекти, липсват данни по този параметър. По тази причина не може да бъде установена настоящата стойност по този параметър. Тя би могла да бъде определена само след допълнителни, целенасочени теренни проучвания в зоната. Поради тази причина е формулирана междинна цел по този параметър за вида, в зоната.</w:t>
            </w:r>
          </w:p>
        </w:tc>
        <w:tc>
          <w:tcPr>
            <w:tcW w:w="905" w:type="pct"/>
            <w:hideMark/>
          </w:tcPr>
          <w:p w:rsidR="00184B62" w:rsidRPr="00184B62" w:rsidRDefault="00184B62" w:rsidP="00184B62">
            <w:pPr>
              <w:spacing w:before="120" w:after="120" w:line="240" w:lineRule="auto"/>
              <w:jc w:val="both"/>
              <w:rPr>
                <w:rFonts w:ascii="Times New Roman" w:eastAsia="Calibri" w:hAnsi="Times New Roman"/>
                <w:sz w:val="20"/>
                <w:szCs w:val="20"/>
                <w:lang w:val="en-GB" w:eastAsia="en-GB"/>
              </w:rPr>
            </w:pPr>
            <w:r w:rsidRPr="00184B62">
              <w:rPr>
                <w:rFonts w:ascii="Times New Roman" w:hAnsi="Times New Roman"/>
                <w:sz w:val="20"/>
                <w:szCs w:val="20"/>
              </w:rPr>
              <w:t xml:space="preserve">Междинна цел: Да се установи броя на биотопните дървета, с дебелина на ствола най-малко 40 cm </w:t>
            </w:r>
            <w:r w:rsidRPr="00184B62">
              <w:rPr>
                <w:rFonts w:ascii="Times New Roman" w:eastAsia="Calibri" w:hAnsi="Times New Roman"/>
                <w:bCs/>
                <w:sz w:val="20"/>
                <w:szCs w:val="20"/>
              </w:rPr>
              <w:t>(или по-стари от 100 г.)</w:t>
            </w:r>
            <w:r w:rsidRPr="00184B62">
              <w:rPr>
                <w:rFonts w:ascii="Times New Roman" w:hAnsi="Times New Roman"/>
                <w:sz w:val="20"/>
                <w:szCs w:val="20"/>
              </w:rPr>
              <w:t>, за всеки хектар от подходящите местообитания на вида, чрез провеждане на теренни проучвания до 2025 г.</w:t>
            </w:r>
          </w:p>
        </w:tc>
      </w:tr>
      <w:tr w:rsidR="00184B62" w:rsidRPr="00184B62" w:rsidTr="005A0A3C">
        <w:trPr>
          <w:jc w:val="center"/>
        </w:trPr>
        <w:tc>
          <w:tcPr>
            <w:tcW w:w="944" w:type="pct"/>
            <w:shd w:val="clear" w:color="auto" w:fill="auto"/>
          </w:tcPr>
          <w:p w:rsidR="00184B62" w:rsidRPr="00EC3027" w:rsidRDefault="00184B62" w:rsidP="00184B62">
            <w:pPr>
              <w:spacing w:before="120" w:after="120" w:line="240" w:lineRule="auto"/>
              <w:rPr>
                <w:rFonts w:ascii="Times New Roman" w:eastAsia="Calibri" w:hAnsi="Times New Roman"/>
                <w:b/>
                <w:sz w:val="20"/>
                <w:szCs w:val="20"/>
                <w:lang w:eastAsia="en-GB"/>
              </w:rPr>
            </w:pPr>
            <w:r w:rsidRPr="00EC3027">
              <w:rPr>
                <w:rFonts w:ascii="Times New Roman" w:eastAsia="Calibri" w:hAnsi="Times New Roman"/>
                <w:b/>
                <w:sz w:val="20"/>
                <w:szCs w:val="20"/>
              </w:rPr>
              <w:t xml:space="preserve">Местообитание </w:t>
            </w:r>
            <w:r w:rsidRPr="00EC3027">
              <w:rPr>
                <w:rFonts w:ascii="Times New Roman" w:eastAsia="Calibri" w:hAnsi="Times New Roman"/>
                <w:b/>
                <w:sz w:val="20"/>
                <w:szCs w:val="20"/>
              </w:rPr>
              <w:lastRenderedPageBreak/>
              <w:t xml:space="preserve">на вида: </w:t>
            </w:r>
            <w:r w:rsidRPr="00EC3027">
              <w:rPr>
                <w:rFonts w:ascii="Times New Roman" w:eastAsia="Calibri" w:hAnsi="Times New Roman"/>
                <w:b/>
                <w:bCs/>
                <w:sz w:val="20"/>
                <w:szCs w:val="20"/>
              </w:rPr>
              <w:t>Пространствена връзка между заселените/ подходящите за заселване дървета на вида</w:t>
            </w:r>
          </w:p>
        </w:tc>
        <w:tc>
          <w:tcPr>
            <w:tcW w:w="876" w:type="pct"/>
            <w:shd w:val="clear" w:color="auto" w:fill="auto"/>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lastRenderedPageBreak/>
              <w:t xml:space="preserve">Разстояние </w:t>
            </w:r>
            <w:r w:rsidRPr="00184B62">
              <w:rPr>
                <w:rFonts w:ascii="Times New Roman" w:eastAsia="Calibri" w:hAnsi="Times New Roman"/>
                <w:sz w:val="20"/>
                <w:szCs w:val="20"/>
              </w:rPr>
              <w:lastRenderedPageBreak/>
              <w:t xml:space="preserve">между две заселени/ подходящи за заселване от вида, дървета </w:t>
            </w:r>
          </w:p>
        </w:tc>
        <w:tc>
          <w:tcPr>
            <w:tcW w:w="876" w:type="pct"/>
            <w:shd w:val="clear" w:color="auto" w:fill="auto"/>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rPr>
              <w:lastRenderedPageBreak/>
              <w:t xml:space="preserve">Не повече от </w:t>
            </w:r>
            <w:r w:rsidRPr="00184B62">
              <w:rPr>
                <w:rFonts w:ascii="Times New Roman" w:eastAsia="Calibri" w:hAnsi="Times New Roman"/>
                <w:sz w:val="20"/>
                <w:szCs w:val="20"/>
              </w:rPr>
              <w:lastRenderedPageBreak/>
              <w:t xml:space="preserve">300 </w:t>
            </w:r>
            <w:r w:rsidRPr="00184B62">
              <w:rPr>
                <w:rFonts w:ascii="Times New Roman" w:eastAsia="Calibri" w:hAnsi="Times New Roman"/>
                <w:sz w:val="20"/>
                <w:szCs w:val="20"/>
                <w:lang w:val="en-US"/>
              </w:rPr>
              <w:t>m</w:t>
            </w:r>
          </w:p>
        </w:tc>
        <w:tc>
          <w:tcPr>
            <w:tcW w:w="1399" w:type="pct"/>
            <w:shd w:val="clear" w:color="auto" w:fill="auto"/>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lastRenderedPageBreak/>
              <w:t xml:space="preserve">Съгласно екологията на </w:t>
            </w:r>
            <w:r w:rsidRPr="00184B62">
              <w:rPr>
                <w:rFonts w:ascii="Times New Roman" w:eastAsia="Calibri" w:hAnsi="Times New Roman"/>
                <w:sz w:val="20"/>
                <w:szCs w:val="20"/>
              </w:rPr>
              <w:lastRenderedPageBreak/>
              <w:t xml:space="preserve">вида, разстоянието между две заселени/подходящи за заселва от вида дървета следва да е най-много 300 </w:t>
            </w:r>
            <w:r w:rsidRPr="00184B62">
              <w:rPr>
                <w:rFonts w:ascii="Times New Roman" w:eastAsia="Calibri" w:hAnsi="Times New Roman"/>
                <w:sz w:val="20"/>
                <w:szCs w:val="20"/>
                <w:lang w:val="en-US"/>
              </w:rPr>
              <w:t>m</w:t>
            </w:r>
            <w:r w:rsidRPr="00184B62">
              <w:rPr>
                <w:rFonts w:ascii="Times New Roman" w:eastAsia="Calibri" w:hAnsi="Times New Roman"/>
                <w:sz w:val="20"/>
                <w:szCs w:val="20"/>
              </w:rPr>
              <w:t>. Това би осигурило жизнеспособност на популацията на вида в зоната.</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В информацията в лесоустройствените проекти липсват данни за местоположението на биотопните дървета, отговарящи на екологичните изисквания на вида. По тази причина не може да бъде установена настоящата стойност по този параметър. Тя би могла да бъде определена само след допълнителни, целенасочени теренни проучвания в зоната. Поради тази причина е формулирана междинна цел по този параметър за вида, в зоната.</w:t>
            </w:r>
          </w:p>
        </w:tc>
        <w:tc>
          <w:tcPr>
            <w:tcW w:w="905" w:type="pct"/>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lastRenderedPageBreak/>
              <w:t xml:space="preserve">Междинна цел: </w:t>
            </w:r>
            <w:r w:rsidRPr="00184B62">
              <w:rPr>
                <w:rFonts w:ascii="Times New Roman" w:eastAsia="Calibri" w:hAnsi="Times New Roman"/>
                <w:sz w:val="20"/>
                <w:szCs w:val="20"/>
              </w:rPr>
              <w:lastRenderedPageBreak/>
              <w:t>Да се установи разстоянието между две заселени/ подходящи за заселване от вида дървета, в подходящите му местообитания, чрез провеждане на теренни проучвания до 2025 г.</w:t>
            </w:r>
          </w:p>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r>
    </w:tbl>
    <w:p w:rsidR="00184B62" w:rsidRPr="00184B62" w:rsidRDefault="00184B62" w:rsidP="00184B62">
      <w:pPr>
        <w:spacing w:before="120" w:after="120" w:line="240" w:lineRule="auto"/>
        <w:jc w:val="both"/>
        <w:rPr>
          <w:rFonts w:ascii="Times New Roman" w:eastAsia="Calibri" w:hAnsi="Times New Roman"/>
          <w:b/>
          <w:i/>
          <w:sz w:val="24"/>
          <w:szCs w:val="24"/>
        </w:rPr>
      </w:pPr>
    </w:p>
    <w:p w:rsidR="00184B62" w:rsidRPr="00184B62" w:rsidRDefault="00184B62" w:rsidP="00184B62">
      <w:pPr>
        <w:spacing w:before="120" w:after="120" w:line="240" w:lineRule="auto"/>
        <w:jc w:val="both"/>
        <w:rPr>
          <w:rFonts w:ascii="Times New Roman" w:eastAsia="Calibri" w:hAnsi="Times New Roman"/>
          <w:b/>
          <w:sz w:val="24"/>
          <w:szCs w:val="24"/>
          <w:lang w:eastAsia="bg-BG"/>
        </w:rPr>
      </w:pPr>
      <w:r w:rsidRPr="00184B62">
        <w:rPr>
          <w:rFonts w:ascii="Times New Roman" w:eastAsia="Calibri" w:hAnsi="Times New Roman"/>
          <w:b/>
          <w:sz w:val="24"/>
          <w:szCs w:val="24"/>
          <w:lang w:val="en-US" w:eastAsia="bg-BG"/>
        </w:rPr>
        <w:t>7</w:t>
      </w:r>
      <w:r w:rsidRPr="00184B62">
        <w:rPr>
          <w:rFonts w:ascii="Times New Roman" w:eastAsia="Calibri" w:hAnsi="Times New Roman"/>
          <w:b/>
          <w:sz w:val="24"/>
          <w:szCs w:val="24"/>
          <w:lang w:eastAsia="bg-BG"/>
        </w:rPr>
        <w:t>.  Необходимост от промени в СФ за защитената зона</w:t>
      </w:r>
    </w:p>
    <w:p w:rsidR="00184B62" w:rsidRPr="00184B62" w:rsidRDefault="00184B62" w:rsidP="00184B62">
      <w:pPr>
        <w:spacing w:before="120" w:after="120" w:line="240" w:lineRule="auto"/>
        <w:ind w:firstLine="720"/>
        <w:jc w:val="both"/>
        <w:rPr>
          <w:rFonts w:ascii="Times New Roman" w:hAnsi="Times New Roman"/>
          <w:sz w:val="24"/>
          <w:szCs w:val="24"/>
        </w:rPr>
      </w:pPr>
      <w:r w:rsidRPr="00184B62">
        <w:rPr>
          <w:rFonts w:ascii="Times New Roman" w:hAnsi="Times New Roman"/>
          <w:sz w:val="24"/>
          <w:szCs w:val="24"/>
        </w:rPr>
        <w:t xml:space="preserve">Предложените промени в </w:t>
      </w:r>
      <w:r w:rsidR="005A0A3C">
        <w:rPr>
          <w:rFonts w:ascii="Times New Roman" w:hAnsi="Times New Roman"/>
          <w:sz w:val="24"/>
          <w:szCs w:val="24"/>
        </w:rPr>
        <w:t>СФ</w:t>
      </w:r>
      <w:r w:rsidRPr="00184B62">
        <w:rPr>
          <w:rFonts w:ascii="Times New Roman" w:hAnsi="Times New Roman"/>
          <w:sz w:val="24"/>
          <w:szCs w:val="24"/>
        </w:rPr>
        <w:t xml:space="preserve"> не се дължат на промени в реалното състояние на вида в защитената зона, а са в резултат предложената промяна на единицата за оценка на популацията и доказаното му присъствие в зоната.</w:t>
      </w:r>
    </w:p>
    <w:p w:rsidR="00184B62" w:rsidRPr="00184B62" w:rsidRDefault="00184B62" w:rsidP="00184B62">
      <w:pPr>
        <w:spacing w:before="120" w:after="120" w:line="240" w:lineRule="auto"/>
        <w:ind w:firstLine="720"/>
        <w:jc w:val="both"/>
        <w:rPr>
          <w:rFonts w:ascii="Times New Roman" w:hAnsi="Times New Roman"/>
          <w:sz w:val="24"/>
          <w:szCs w:val="24"/>
        </w:rPr>
      </w:pPr>
      <w:r w:rsidRPr="00184B62">
        <w:rPr>
          <w:rFonts w:ascii="Times New Roman" w:hAnsi="Times New Roman"/>
          <w:sz w:val="24"/>
          <w:szCs w:val="24"/>
        </w:rPr>
        <w:t>Предложените промени са маркирани в червено.</w:t>
      </w: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735"/>
        <w:gridCol w:w="1085"/>
        <w:gridCol w:w="488"/>
        <w:gridCol w:w="554"/>
        <w:gridCol w:w="412"/>
        <w:gridCol w:w="610"/>
        <w:gridCol w:w="680"/>
        <w:gridCol w:w="844"/>
        <w:gridCol w:w="610"/>
        <w:gridCol w:w="839"/>
        <w:gridCol w:w="979"/>
        <w:gridCol w:w="851"/>
        <w:gridCol w:w="611"/>
        <w:gridCol w:w="611"/>
      </w:tblGrid>
      <w:tr w:rsidR="00184B62" w:rsidRPr="00184B62" w:rsidTr="00715A84">
        <w:trPr>
          <w:jc w:val="center"/>
        </w:trPr>
        <w:tc>
          <w:tcPr>
            <w:tcW w:w="3258" w:type="dxa"/>
            <w:gridSpan w:val="5"/>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3995" w:type="dxa"/>
            <w:gridSpan w:val="6"/>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3052" w:type="dxa"/>
            <w:gridSpan w:val="4"/>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715A84">
        <w:trPr>
          <w:trHeight w:val="617"/>
          <w:jc w:val="center"/>
        </w:trPr>
        <w:tc>
          <w:tcPr>
            <w:tcW w:w="39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35"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085"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488"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55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412"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290" w:type="dxa"/>
            <w:gridSpan w:val="2"/>
            <w:shd w:val="clear" w:color="auto" w:fill="D9D9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84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61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39"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979"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2073" w:type="dxa"/>
            <w:gridSpan w:val="3"/>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715A84">
        <w:trPr>
          <w:jc w:val="center"/>
        </w:trPr>
        <w:tc>
          <w:tcPr>
            <w:tcW w:w="39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35"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085"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88"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412"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1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68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84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1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39"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979"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851"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611"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611"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715A84">
        <w:trPr>
          <w:jc w:val="center"/>
        </w:trPr>
        <w:tc>
          <w:tcPr>
            <w:tcW w:w="39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I</w:t>
            </w:r>
          </w:p>
        </w:tc>
        <w:tc>
          <w:tcPr>
            <w:tcW w:w="735"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lang w:val="en-US"/>
              </w:rPr>
              <w:t>10</w:t>
            </w:r>
            <w:r w:rsidRPr="00184B62">
              <w:rPr>
                <w:rFonts w:ascii="Times New Roman" w:hAnsi="Times New Roman"/>
                <w:sz w:val="20"/>
                <w:szCs w:val="20"/>
              </w:rPr>
              <w:t>88</w:t>
            </w:r>
          </w:p>
        </w:tc>
        <w:tc>
          <w:tcPr>
            <w:tcW w:w="1085" w:type="dxa"/>
            <w:shd w:val="clear" w:color="auto" w:fill="auto"/>
            <w:vAlign w:val="center"/>
          </w:tcPr>
          <w:p w:rsidR="00184B62" w:rsidRPr="00184B62" w:rsidRDefault="00184B62" w:rsidP="00184B62">
            <w:pPr>
              <w:spacing w:before="120" w:after="120" w:line="240" w:lineRule="auto"/>
              <w:jc w:val="both"/>
              <w:rPr>
                <w:rFonts w:ascii="Times New Roman" w:hAnsi="Times New Roman"/>
                <w:i/>
                <w:sz w:val="20"/>
                <w:szCs w:val="20"/>
                <w:lang w:val="en-US"/>
              </w:rPr>
            </w:pPr>
            <w:r w:rsidRPr="00184B62">
              <w:rPr>
                <w:rFonts w:ascii="Times New Roman" w:hAnsi="Times New Roman"/>
                <w:i/>
                <w:sz w:val="20"/>
                <w:szCs w:val="20"/>
                <w:lang w:val="en-US"/>
              </w:rPr>
              <w:t>Cerambyx cerdo</w:t>
            </w:r>
          </w:p>
        </w:tc>
        <w:tc>
          <w:tcPr>
            <w:tcW w:w="488"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55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412"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р</w:t>
            </w:r>
          </w:p>
        </w:tc>
        <w:tc>
          <w:tcPr>
            <w:tcW w:w="610" w:type="dxa"/>
            <w:shd w:val="clear" w:color="auto" w:fill="auto"/>
            <w:vAlign w:val="center"/>
          </w:tcPr>
          <w:p w:rsidR="00184B62" w:rsidRPr="00184B62" w:rsidRDefault="00184B62" w:rsidP="00184B62">
            <w:pPr>
              <w:spacing w:before="120" w:after="120" w:line="240" w:lineRule="auto"/>
              <w:jc w:val="both"/>
              <w:rPr>
                <w:rFonts w:ascii="Times New Roman" w:hAnsi="Times New Roman"/>
                <w:color w:val="FF0000"/>
                <w:sz w:val="20"/>
                <w:szCs w:val="20"/>
                <w:lang w:val="en-US"/>
              </w:rPr>
            </w:pPr>
          </w:p>
        </w:tc>
        <w:tc>
          <w:tcPr>
            <w:tcW w:w="680" w:type="dxa"/>
            <w:shd w:val="clear" w:color="auto" w:fill="auto"/>
            <w:vAlign w:val="center"/>
          </w:tcPr>
          <w:p w:rsidR="00184B62" w:rsidRPr="00184B62" w:rsidRDefault="00184B62" w:rsidP="00184B62">
            <w:pPr>
              <w:spacing w:before="120" w:after="120" w:line="240" w:lineRule="auto"/>
              <w:jc w:val="both"/>
              <w:rPr>
                <w:rFonts w:ascii="Times New Roman" w:hAnsi="Times New Roman"/>
                <w:color w:val="FF0000"/>
                <w:sz w:val="20"/>
                <w:szCs w:val="20"/>
                <w:lang w:val="en-US"/>
              </w:rPr>
            </w:pPr>
          </w:p>
        </w:tc>
        <w:tc>
          <w:tcPr>
            <w:tcW w:w="84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eastAsia="Calibri" w:hAnsi="Times New Roman"/>
                <w:color w:val="FF0000"/>
                <w:sz w:val="20"/>
                <w:szCs w:val="20"/>
                <w:lang w:val="en-US" w:eastAsia="en-GB"/>
              </w:rPr>
              <w:t>grid 1x1 km</w:t>
            </w:r>
          </w:p>
        </w:tc>
        <w:tc>
          <w:tcPr>
            <w:tcW w:w="61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R</w:t>
            </w:r>
          </w:p>
        </w:tc>
        <w:tc>
          <w:tcPr>
            <w:tcW w:w="839"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DD</w:t>
            </w:r>
          </w:p>
        </w:tc>
        <w:tc>
          <w:tcPr>
            <w:tcW w:w="979"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851"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611"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С</w:t>
            </w:r>
          </w:p>
        </w:tc>
        <w:tc>
          <w:tcPr>
            <w:tcW w:w="611"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lang w:val="en-US"/>
              </w:rPr>
              <w:t>C</w:t>
            </w:r>
          </w:p>
        </w:tc>
      </w:tr>
    </w:tbl>
    <w:p w:rsidR="00184B62" w:rsidRPr="00184B62" w:rsidRDefault="00184B62" w:rsidP="00184B62">
      <w:pPr>
        <w:spacing w:before="120" w:after="120" w:line="240" w:lineRule="auto"/>
        <w:jc w:val="both"/>
        <w:rPr>
          <w:rFonts w:ascii="Times New Roman" w:hAnsi="Times New Roman"/>
          <w:sz w:val="24"/>
          <w:szCs w:val="24"/>
        </w:rPr>
      </w:pPr>
    </w:p>
    <w:p w:rsidR="00184B62" w:rsidRPr="00184B62" w:rsidRDefault="00184B62" w:rsidP="00184B62">
      <w:pPr>
        <w:spacing w:before="120" w:after="120" w:line="240" w:lineRule="auto"/>
        <w:jc w:val="both"/>
        <w:rPr>
          <w:rFonts w:ascii="Times New Roman" w:eastAsia="Calibri" w:hAnsi="Times New Roman"/>
          <w:b/>
          <w:bCs/>
          <w:sz w:val="24"/>
          <w:szCs w:val="24"/>
        </w:rPr>
      </w:pPr>
      <w:r w:rsidRPr="00184B62">
        <w:rPr>
          <w:rFonts w:ascii="Times New Roman" w:eastAsia="Calibri" w:hAnsi="Times New Roman"/>
          <w:b/>
          <w:bCs/>
          <w:sz w:val="24"/>
          <w:szCs w:val="24"/>
          <w:lang w:val="en-US"/>
        </w:rPr>
        <w:t>8</w:t>
      </w:r>
      <w:r w:rsidRPr="00184B62">
        <w:rPr>
          <w:rFonts w:ascii="Times New Roman" w:eastAsia="Calibri" w:hAnsi="Times New Roman"/>
          <w:b/>
          <w:bCs/>
          <w:sz w:val="24"/>
          <w:szCs w:val="24"/>
        </w:rPr>
        <w:t>. Цитирана литература</w:t>
      </w:r>
    </w:p>
    <w:p w:rsidR="00184B62" w:rsidRPr="00184B62" w:rsidRDefault="00184B62" w:rsidP="00715A84">
      <w:pPr>
        <w:spacing w:after="0" w:line="240" w:lineRule="auto"/>
        <w:ind w:left="720" w:hanging="720"/>
        <w:jc w:val="both"/>
        <w:rPr>
          <w:rFonts w:ascii="Times New Roman" w:hAnsi="Times New Roman"/>
          <w:sz w:val="24"/>
          <w:szCs w:val="24"/>
        </w:rPr>
      </w:pPr>
      <w:r w:rsidRPr="00184B62">
        <w:rPr>
          <w:rFonts w:ascii="Times New Roman" w:hAnsi="Times New Roman"/>
          <w:sz w:val="24"/>
          <w:szCs w:val="24"/>
        </w:rPr>
        <w:t xml:space="preserve">Buse, J., Ranius, T., Assmann, T. </w:t>
      </w:r>
      <w:r w:rsidRPr="00184B62">
        <w:rPr>
          <w:rFonts w:ascii="Times New Roman" w:hAnsi="Times New Roman"/>
          <w:sz w:val="24"/>
          <w:szCs w:val="24"/>
          <w:lang w:val="en-US"/>
        </w:rPr>
        <w:t>(</w:t>
      </w:r>
      <w:r w:rsidRPr="00184B62">
        <w:rPr>
          <w:rFonts w:ascii="Times New Roman" w:hAnsi="Times New Roman"/>
          <w:sz w:val="24"/>
          <w:szCs w:val="24"/>
        </w:rPr>
        <w:t>2008</w:t>
      </w:r>
      <w:r w:rsidRPr="00184B62">
        <w:rPr>
          <w:rFonts w:ascii="Times New Roman" w:hAnsi="Times New Roman"/>
          <w:sz w:val="24"/>
          <w:szCs w:val="24"/>
          <w:lang w:val="en-US"/>
        </w:rPr>
        <w:t>)</w:t>
      </w:r>
      <w:r w:rsidRPr="00184B62">
        <w:rPr>
          <w:rFonts w:ascii="Times New Roman" w:hAnsi="Times New Roman"/>
          <w:sz w:val="24"/>
          <w:szCs w:val="24"/>
        </w:rPr>
        <w:t>. An endangered longhorn beetle associated with old oaks and its possible role as an ecosystem engineer. Conservation Biology, 22(2): 329-337.</w:t>
      </w:r>
    </w:p>
    <w:p w:rsidR="00184B62" w:rsidRPr="00184B62" w:rsidRDefault="00184B62" w:rsidP="00715A84">
      <w:pPr>
        <w:spacing w:after="0" w:line="240" w:lineRule="auto"/>
        <w:ind w:left="720" w:hanging="720"/>
        <w:jc w:val="both"/>
        <w:rPr>
          <w:rFonts w:ascii="Times New Roman" w:hAnsi="Times New Roman"/>
          <w:sz w:val="24"/>
          <w:szCs w:val="24"/>
        </w:rPr>
      </w:pPr>
      <w:r w:rsidRPr="00184B62">
        <w:rPr>
          <w:rFonts w:ascii="Times New Roman" w:hAnsi="Times New Roman"/>
          <w:sz w:val="24"/>
          <w:szCs w:val="24"/>
        </w:rPr>
        <w:lastRenderedPageBreak/>
        <w:t xml:space="preserve">Buse, J., Schröder, B., Assmann, T. </w:t>
      </w:r>
      <w:r w:rsidRPr="00184B62">
        <w:rPr>
          <w:rFonts w:ascii="Times New Roman" w:hAnsi="Times New Roman"/>
          <w:sz w:val="24"/>
          <w:szCs w:val="24"/>
          <w:lang w:val="en-US"/>
        </w:rPr>
        <w:t>(</w:t>
      </w:r>
      <w:r w:rsidRPr="00184B62">
        <w:rPr>
          <w:rFonts w:ascii="Times New Roman" w:hAnsi="Times New Roman"/>
          <w:sz w:val="24"/>
          <w:szCs w:val="24"/>
        </w:rPr>
        <w:t>2007</w:t>
      </w:r>
      <w:r w:rsidRPr="00184B62">
        <w:rPr>
          <w:rFonts w:ascii="Times New Roman" w:hAnsi="Times New Roman"/>
          <w:sz w:val="24"/>
          <w:szCs w:val="24"/>
          <w:lang w:val="en-US"/>
        </w:rPr>
        <w:t>).</w:t>
      </w:r>
      <w:r w:rsidRPr="00184B62">
        <w:rPr>
          <w:rFonts w:ascii="Times New Roman" w:hAnsi="Times New Roman"/>
          <w:sz w:val="24"/>
          <w:szCs w:val="24"/>
        </w:rPr>
        <w:t xml:space="preserve"> Modelling habitat and spatial distribution of an endangered longhorn beetle–a case study for saproxylic insect conservation. Biological Conservation, 137(3): 372-381.</w:t>
      </w:r>
    </w:p>
    <w:p w:rsidR="00184B62" w:rsidRPr="00184B62" w:rsidRDefault="00184B62" w:rsidP="00715A84">
      <w:pPr>
        <w:spacing w:after="0" w:line="240" w:lineRule="auto"/>
        <w:ind w:left="720" w:hanging="720"/>
        <w:jc w:val="both"/>
        <w:rPr>
          <w:rFonts w:ascii="Times New Roman" w:hAnsi="Times New Roman"/>
          <w:sz w:val="24"/>
          <w:szCs w:val="24"/>
        </w:rPr>
      </w:pPr>
      <w:r w:rsidRPr="00184B62">
        <w:rPr>
          <w:rFonts w:ascii="Times New Roman" w:hAnsi="Times New Roman"/>
          <w:sz w:val="24"/>
          <w:szCs w:val="24"/>
        </w:rPr>
        <w:t xml:space="preserve">De Zan, L.R., Bardiani, M., Antonini, G., Campanaro, A., Chiari, S., Mancini, E., Maura, M., Sabatelli, S., Solano, E., Zauli, A., Peverieri, G.S. </w:t>
      </w:r>
      <w:r w:rsidRPr="00184B62">
        <w:rPr>
          <w:rFonts w:ascii="Times New Roman" w:hAnsi="Times New Roman"/>
          <w:sz w:val="24"/>
          <w:szCs w:val="24"/>
          <w:lang w:val="en-US"/>
        </w:rPr>
        <w:t>(</w:t>
      </w:r>
      <w:r w:rsidRPr="00184B62">
        <w:rPr>
          <w:rFonts w:ascii="Times New Roman" w:hAnsi="Times New Roman"/>
          <w:sz w:val="24"/>
          <w:szCs w:val="24"/>
        </w:rPr>
        <w:t>2017</w:t>
      </w:r>
      <w:r w:rsidRPr="00184B62">
        <w:rPr>
          <w:rFonts w:ascii="Times New Roman" w:hAnsi="Times New Roman"/>
          <w:sz w:val="24"/>
          <w:szCs w:val="24"/>
          <w:lang w:val="en-US"/>
        </w:rPr>
        <w:t>)</w:t>
      </w:r>
      <w:r w:rsidRPr="00184B62">
        <w:rPr>
          <w:rFonts w:ascii="Times New Roman" w:hAnsi="Times New Roman"/>
          <w:sz w:val="24"/>
          <w:szCs w:val="24"/>
        </w:rPr>
        <w:t xml:space="preserve">. Guidelines for the monitoring of </w:t>
      </w:r>
      <w:r w:rsidRPr="00184B62">
        <w:rPr>
          <w:rFonts w:ascii="Times New Roman" w:hAnsi="Times New Roman"/>
          <w:i/>
          <w:sz w:val="24"/>
          <w:szCs w:val="24"/>
        </w:rPr>
        <w:t>Cerambyx cerdo</w:t>
      </w:r>
      <w:r w:rsidRPr="00184B62">
        <w:rPr>
          <w:rFonts w:ascii="Times New Roman" w:hAnsi="Times New Roman"/>
          <w:sz w:val="24"/>
          <w:szCs w:val="24"/>
        </w:rPr>
        <w:t>. Nature Conservation, 20: 129-164.</w:t>
      </w:r>
    </w:p>
    <w:p w:rsidR="00184B62" w:rsidRPr="00184B62" w:rsidRDefault="00184B62" w:rsidP="00715A84">
      <w:pPr>
        <w:spacing w:after="0" w:line="240" w:lineRule="auto"/>
        <w:ind w:left="720" w:hanging="720"/>
        <w:jc w:val="both"/>
        <w:rPr>
          <w:rFonts w:ascii="Times New Roman" w:hAnsi="Times New Roman"/>
          <w:sz w:val="24"/>
          <w:szCs w:val="24"/>
        </w:rPr>
      </w:pPr>
      <w:r w:rsidRPr="00184B62">
        <w:rPr>
          <w:rFonts w:ascii="Times New Roman" w:hAnsi="Times New Roman"/>
          <w:sz w:val="24"/>
          <w:szCs w:val="24"/>
        </w:rPr>
        <w:t>Müller</w:t>
      </w:r>
      <w:r w:rsidRPr="00184B62">
        <w:rPr>
          <w:rFonts w:ascii="Times New Roman" w:hAnsi="Times New Roman"/>
          <w:sz w:val="24"/>
          <w:szCs w:val="24"/>
          <w:lang w:val="en-US"/>
        </w:rPr>
        <w:t>,</w:t>
      </w:r>
      <w:r w:rsidRPr="00184B62">
        <w:rPr>
          <w:rFonts w:ascii="Times New Roman" w:hAnsi="Times New Roman"/>
          <w:sz w:val="24"/>
          <w:szCs w:val="24"/>
        </w:rPr>
        <w:t xml:space="preserve"> G</w:t>
      </w:r>
      <w:r w:rsidRPr="00184B62">
        <w:rPr>
          <w:rFonts w:ascii="Times New Roman" w:hAnsi="Times New Roman"/>
          <w:sz w:val="24"/>
          <w:szCs w:val="24"/>
          <w:lang w:val="en-US"/>
        </w:rPr>
        <w:t>.</w:t>
      </w:r>
      <w:r w:rsidRPr="00184B62">
        <w:rPr>
          <w:rFonts w:ascii="Times New Roman" w:hAnsi="Times New Roman"/>
          <w:sz w:val="24"/>
          <w:szCs w:val="24"/>
        </w:rPr>
        <w:t xml:space="preserve"> (1950)</w:t>
      </w:r>
      <w:r w:rsidRPr="00184B62">
        <w:rPr>
          <w:rFonts w:ascii="Times New Roman" w:hAnsi="Times New Roman"/>
          <w:sz w:val="24"/>
          <w:szCs w:val="24"/>
          <w:lang w:val="en-US"/>
        </w:rPr>
        <w:t>.</w:t>
      </w:r>
      <w:r w:rsidRPr="00184B62">
        <w:rPr>
          <w:rFonts w:ascii="Times New Roman" w:hAnsi="Times New Roman"/>
          <w:sz w:val="24"/>
          <w:szCs w:val="24"/>
        </w:rPr>
        <w:t xml:space="preserve"> I coleotteri della Venezia Giulia, Vol. II Coleoptera Phytophaga (Cerambycidae, Chrysomelidae, Bruchidae). Centro Sperimentale Agrario e Forestale Trieste, pubblicazione n. 4 (1949–1953). La Editoriale Libraria, Trieste, Italy, 685</w:t>
      </w:r>
      <w:r w:rsidRPr="00184B62">
        <w:rPr>
          <w:rFonts w:ascii="Times New Roman" w:hAnsi="Times New Roman"/>
          <w:sz w:val="24"/>
          <w:szCs w:val="24"/>
          <w:lang w:val="en-US"/>
        </w:rPr>
        <w:t xml:space="preserve"> pp</w:t>
      </w:r>
      <w:r w:rsidRPr="00184B62">
        <w:rPr>
          <w:rFonts w:ascii="Times New Roman" w:hAnsi="Times New Roman"/>
          <w:sz w:val="24"/>
          <w:szCs w:val="24"/>
        </w:rPr>
        <w:t>.</w:t>
      </w:r>
    </w:p>
    <w:p w:rsidR="00184B62" w:rsidRPr="00184B62" w:rsidRDefault="00184B62" w:rsidP="00715A84">
      <w:pPr>
        <w:spacing w:after="0" w:line="240" w:lineRule="auto"/>
        <w:ind w:left="720" w:hanging="720"/>
        <w:jc w:val="both"/>
        <w:rPr>
          <w:rFonts w:ascii="Times New Roman" w:hAnsi="Times New Roman"/>
          <w:sz w:val="24"/>
          <w:szCs w:val="24"/>
        </w:rPr>
      </w:pPr>
      <w:r w:rsidRPr="00184B62">
        <w:rPr>
          <w:rFonts w:ascii="Times New Roman" w:hAnsi="Times New Roman"/>
          <w:sz w:val="24"/>
          <w:szCs w:val="24"/>
        </w:rPr>
        <w:t>Müller</w:t>
      </w:r>
      <w:r w:rsidRPr="00184B62">
        <w:rPr>
          <w:rFonts w:ascii="Times New Roman" w:hAnsi="Times New Roman"/>
          <w:sz w:val="24"/>
          <w:szCs w:val="24"/>
          <w:lang w:val="en-US"/>
        </w:rPr>
        <w:t>,</w:t>
      </w:r>
      <w:r w:rsidRPr="00184B62">
        <w:rPr>
          <w:rFonts w:ascii="Times New Roman" w:hAnsi="Times New Roman"/>
          <w:sz w:val="24"/>
          <w:szCs w:val="24"/>
        </w:rPr>
        <w:t xml:space="preserve"> T</w:t>
      </w:r>
      <w:r w:rsidRPr="00184B62">
        <w:rPr>
          <w:rFonts w:ascii="Times New Roman" w:hAnsi="Times New Roman"/>
          <w:sz w:val="24"/>
          <w:szCs w:val="24"/>
          <w:lang w:val="en-US"/>
        </w:rPr>
        <w:t>.</w:t>
      </w:r>
      <w:r w:rsidRPr="00184B62">
        <w:rPr>
          <w:rFonts w:ascii="Times New Roman" w:hAnsi="Times New Roman"/>
          <w:sz w:val="24"/>
          <w:szCs w:val="24"/>
        </w:rPr>
        <w:t xml:space="preserve"> (2001)</w:t>
      </w:r>
      <w:r w:rsidRPr="00184B62">
        <w:rPr>
          <w:rFonts w:ascii="Times New Roman" w:hAnsi="Times New Roman"/>
          <w:sz w:val="24"/>
          <w:szCs w:val="24"/>
          <w:lang w:val="en-US"/>
        </w:rPr>
        <w:t>.</w:t>
      </w:r>
      <w:r w:rsidRPr="00184B62">
        <w:rPr>
          <w:rFonts w:ascii="Times New Roman" w:hAnsi="Times New Roman"/>
          <w:sz w:val="24"/>
          <w:szCs w:val="24"/>
        </w:rPr>
        <w:t xml:space="preserve"> Heldbock (</w:t>
      </w:r>
      <w:r w:rsidRPr="00184B62">
        <w:rPr>
          <w:rFonts w:ascii="Times New Roman" w:hAnsi="Times New Roman"/>
          <w:i/>
          <w:sz w:val="24"/>
          <w:szCs w:val="24"/>
        </w:rPr>
        <w:t>Cerambyx cerdo</w:t>
      </w:r>
      <w:r w:rsidRPr="00184B62">
        <w:rPr>
          <w:rFonts w:ascii="Times New Roman" w:hAnsi="Times New Roman"/>
          <w:sz w:val="24"/>
          <w:szCs w:val="24"/>
        </w:rPr>
        <w:t>). Angewandte Landschaftsökologie</w:t>
      </w:r>
      <w:r w:rsidRPr="00184B62">
        <w:rPr>
          <w:rFonts w:ascii="Times New Roman" w:hAnsi="Times New Roman"/>
          <w:sz w:val="24"/>
          <w:szCs w:val="24"/>
          <w:lang w:val="en-US"/>
        </w:rPr>
        <w:t>,</w:t>
      </w:r>
      <w:r w:rsidRPr="00184B62">
        <w:rPr>
          <w:rFonts w:ascii="Times New Roman" w:hAnsi="Times New Roman"/>
          <w:sz w:val="24"/>
          <w:szCs w:val="24"/>
        </w:rPr>
        <w:t xml:space="preserve"> 42: 287–295.</w:t>
      </w:r>
    </w:p>
    <w:p w:rsidR="00715A84" w:rsidRDefault="00715A84" w:rsidP="00715A84">
      <w:pPr>
        <w:spacing w:before="120" w:after="0" w:line="240" w:lineRule="auto"/>
        <w:ind w:left="709" w:hanging="709"/>
        <w:contextualSpacing/>
        <w:jc w:val="both"/>
        <w:rPr>
          <w:rFonts w:ascii="Times New Roman" w:hAnsi="Times New Roman"/>
          <w:bCs/>
          <w:i/>
          <w:sz w:val="24"/>
          <w:szCs w:val="24"/>
          <w:lang w:eastAsia="bg-BG"/>
        </w:rPr>
      </w:pPr>
    </w:p>
    <w:p w:rsidR="00184B62" w:rsidRPr="00184B62" w:rsidRDefault="00184B62" w:rsidP="00715A84">
      <w:pPr>
        <w:spacing w:before="120" w:after="0" w:line="240" w:lineRule="auto"/>
        <w:ind w:left="709" w:hanging="709"/>
        <w:contextualSpacing/>
        <w:jc w:val="both"/>
        <w:rPr>
          <w:rFonts w:ascii="Times New Roman" w:hAnsi="Times New Roman"/>
          <w:bCs/>
          <w:sz w:val="24"/>
          <w:szCs w:val="24"/>
          <w:lang w:eastAsia="bg-BG"/>
        </w:rPr>
      </w:pPr>
      <w:r w:rsidRPr="00184B62">
        <w:rPr>
          <w:rFonts w:ascii="Times New Roman" w:hAnsi="Times New Roman"/>
          <w:bCs/>
          <w:i/>
          <w:sz w:val="24"/>
          <w:szCs w:val="24"/>
          <w:lang w:eastAsia="bg-BG"/>
        </w:rPr>
        <w:t>Автор:</w:t>
      </w:r>
      <w:r w:rsidRPr="00184B62">
        <w:rPr>
          <w:rFonts w:ascii="Times New Roman" w:hAnsi="Times New Roman"/>
          <w:bCs/>
          <w:sz w:val="24"/>
          <w:szCs w:val="24"/>
          <w:lang w:eastAsia="bg-BG"/>
        </w:rPr>
        <w:t xml:space="preserve"> Ростислав Бекчиев</w:t>
      </w:r>
    </w:p>
    <w:p w:rsidR="00184B62" w:rsidRDefault="00184B62">
      <w:pPr>
        <w:rPr>
          <w:rFonts w:ascii="Times New Roman" w:hAnsi="Times New Roman"/>
          <w:color w:val="1F497D" w:themeColor="text2"/>
          <w:sz w:val="28"/>
          <w:szCs w:val="28"/>
        </w:rPr>
      </w:pPr>
    </w:p>
    <w:p w:rsidR="00715A84" w:rsidRPr="00184B62" w:rsidRDefault="00715A84">
      <w:pPr>
        <w:rPr>
          <w:rFonts w:ascii="Times New Roman" w:hAnsi="Times New Roman"/>
          <w:color w:val="1F497D" w:themeColor="text2"/>
          <w:sz w:val="28"/>
          <w:szCs w:val="28"/>
        </w:rPr>
      </w:pPr>
    </w:p>
    <w:p w:rsidR="0070678B" w:rsidRDefault="00D77A67" w:rsidP="00EC3027">
      <w:pPr>
        <w:outlineLvl w:val="1"/>
        <w:rPr>
          <w:rFonts w:ascii="Times New Roman" w:hAnsi="Times New Roman"/>
          <w:i/>
          <w:color w:val="1F497D" w:themeColor="text2"/>
          <w:sz w:val="28"/>
          <w:szCs w:val="28"/>
        </w:rPr>
      </w:pPr>
      <w:bookmarkStart w:id="17" w:name="_Toc98838536"/>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4045 </w:t>
      </w:r>
      <w:r w:rsidR="0070678B" w:rsidRPr="00D77A67">
        <w:rPr>
          <w:rFonts w:ascii="Times New Roman" w:hAnsi="Times New Roman"/>
          <w:i/>
          <w:color w:val="1F497D" w:themeColor="text2"/>
          <w:sz w:val="28"/>
          <w:szCs w:val="28"/>
        </w:rPr>
        <w:t>Coenagrion ornatum</w:t>
      </w:r>
      <w:bookmarkEnd w:id="17"/>
    </w:p>
    <w:p w:rsidR="00184B62" w:rsidRPr="00184B62" w:rsidRDefault="00184B62" w:rsidP="00184B62">
      <w:pPr>
        <w:spacing w:after="0" w:line="240" w:lineRule="auto"/>
        <w:jc w:val="both"/>
        <w:rPr>
          <w:rFonts w:ascii="Times New Roman" w:eastAsia="Calibri" w:hAnsi="Times New Roman"/>
          <w:sz w:val="24"/>
          <w:szCs w:val="24"/>
        </w:rPr>
      </w:pPr>
      <w:r w:rsidRPr="00184B62">
        <w:rPr>
          <w:rFonts w:ascii="Times New Roman" w:eastAsia="Calibri" w:hAnsi="Times New Roman"/>
          <w:b/>
          <w:sz w:val="24"/>
          <w:szCs w:val="24"/>
        </w:rPr>
        <w:t>1. Код и наименование на вида:</w:t>
      </w:r>
      <w:r w:rsidRPr="00184B62">
        <w:rPr>
          <w:rFonts w:ascii="Times New Roman" w:eastAsia="Calibri" w:hAnsi="Times New Roman"/>
          <w:b/>
          <w:sz w:val="24"/>
          <w:szCs w:val="24"/>
          <w:lang w:val="en-US"/>
        </w:rPr>
        <w:t xml:space="preserve"> </w:t>
      </w:r>
      <w:r w:rsidRPr="00184B62">
        <w:rPr>
          <w:rFonts w:ascii="Times New Roman" w:eastAsia="Calibri" w:hAnsi="Times New Roman"/>
          <w:sz w:val="24"/>
          <w:szCs w:val="24"/>
        </w:rPr>
        <w:t xml:space="preserve">4045 </w:t>
      </w:r>
      <w:r w:rsidRPr="00184B62">
        <w:rPr>
          <w:rFonts w:ascii="Times New Roman" w:eastAsia="Calibri" w:hAnsi="Times New Roman"/>
          <w:i/>
          <w:sz w:val="24"/>
          <w:szCs w:val="24"/>
        </w:rPr>
        <w:t>Coenagrion ornatum</w:t>
      </w:r>
      <w:r w:rsidRPr="00184B62">
        <w:rPr>
          <w:rFonts w:ascii="Times New Roman" w:eastAsia="Calibri" w:hAnsi="Times New Roman"/>
          <w:sz w:val="24"/>
          <w:szCs w:val="24"/>
          <w:lang w:val="en-US"/>
        </w:rPr>
        <w:t xml:space="preserve"> – </w:t>
      </w:r>
      <w:r w:rsidRPr="00184B62">
        <w:rPr>
          <w:rFonts w:ascii="Times New Roman" w:eastAsia="Calibri" w:hAnsi="Times New Roman"/>
          <w:sz w:val="24"/>
          <w:szCs w:val="24"/>
        </w:rPr>
        <w:t>Ценагрион</w:t>
      </w:r>
    </w:p>
    <w:p w:rsidR="00184B62" w:rsidRPr="00184B62" w:rsidRDefault="00184B62" w:rsidP="00184B62">
      <w:pPr>
        <w:spacing w:before="120" w:after="120" w:line="240" w:lineRule="auto"/>
        <w:rPr>
          <w:rFonts w:ascii="Times New Roman" w:eastAsia="Calibri" w:hAnsi="Times New Roman"/>
          <w:b/>
          <w:bCs/>
          <w:sz w:val="24"/>
          <w:szCs w:val="24"/>
        </w:rPr>
      </w:pPr>
      <w:r w:rsidRPr="00184B62">
        <w:rPr>
          <w:rFonts w:ascii="Times New Roman" w:eastAsia="Calibri" w:hAnsi="Times New Roman"/>
          <w:b/>
          <w:bCs/>
          <w:sz w:val="24"/>
          <w:szCs w:val="24"/>
        </w:rPr>
        <w:t>2. Кратка характеристика на целевия обект</w:t>
      </w:r>
    </w:p>
    <w:p w:rsidR="00184B62" w:rsidRPr="00184B62" w:rsidRDefault="00184B62" w:rsidP="00184B62">
      <w:pPr>
        <w:spacing w:after="0" w:line="240" w:lineRule="auto"/>
        <w:ind w:firstLine="360"/>
        <w:jc w:val="both"/>
        <w:rPr>
          <w:rFonts w:ascii="Times New Roman" w:eastAsia="Calibri" w:hAnsi="Times New Roman"/>
          <w:sz w:val="24"/>
          <w:szCs w:val="24"/>
        </w:rPr>
      </w:pPr>
      <w:r w:rsidRPr="00184B62">
        <w:rPr>
          <w:rFonts w:ascii="Times New Roman" w:eastAsia="Calibri" w:hAnsi="Times New Roman"/>
          <w:sz w:val="24"/>
          <w:szCs w:val="24"/>
        </w:rPr>
        <w:t xml:space="preserve">Комбинацията от следните белези разграничава вида от другите видове водни кончета разпространени в България: еднакви по форма предно и задно крило и размах на крилата под 45 mm; птеростигмата на крилата къса (дълга колкото широка); дължината на тялото под 35 mm; петната на главата зад очите с назъбен заден ръб; мъжките индивиди със синьо коремче, с черно напетняване, с характерно черно петно на втория абдоминален тергит и с къси и заоблени дорзални анални придатъци; женските индивиди с тъмна задна част на главата около тилния отвор и широка синя основа на всеки сегмент и черно напетняване в останалата част на сегмента. Ларвата е практически неразличима по морфологични белези от другите видове на родовете </w:t>
      </w:r>
      <w:r w:rsidRPr="00184B62">
        <w:rPr>
          <w:rFonts w:ascii="Times New Roman" w:eastAsia="Calibri" w:hAnsi="Times New Roman"/>
          <w:i/>
          <w:sz w:val="24"/>
          <w:szCs w:val="24"/>
          <w:lang w:val="en-US"/>
        </w:rPr>
        <w:t>Coenagrion</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и </w:t>
      </w:r>
      <w:r w:rsidRPr="00184B62">
        <w:rPr>
          <w:rFonts w:ascii="Times New Roman" w:eastAsia="Calibri" w:hAnsi="Times New Roman"/>
          <w:i/>
          <w:sz w:val="24"/>
          <w:szCs w:val="24"/>
          <w:lang w:val="en-US"/>
        </w:rPr>
        <w:t>Cercion</w:t>
      </w:r>
      <w:r w:rsidRPr="00184B62">
        <w:rPr>
          <w:rFonts w:ascii="Times New Roman" w:eastAsia="Calibri" w:hAnsi="Times New Roman"/>
          <w:sz w:val="24"/>
          <w:szCs w:val="24"/>
          <w:lang w:val="en-US"/>
        </w:rPr>
        <w:t xml:space="preserve"> (Gerken &amp; Sternberg, 1999) </w:t>
      </w:r>
      <w:r w:rsidRPr="00184B62">
        <w:rPr>
          <w:rFonts w:ascii="Times New Roman" w:eastAsia="Calibri" w:hAnsi="Times New Roman"/>
          <w:sz w:val="24"/>
          <w:szCs w:val="24"/>
        </w:rPr>
        <w:t xml:space="preserve">и регистрирането и за в услуга на картиране и определяне на ПС на вида е нецелесъобразно. Възрастната форма е морфологично близка и често смесвана с видовете </w:t>
      </w:r>
      <w:r w:rsidRPr="00184B62">
        <w:rPr>
          <w:rFonts w:ascii="Times New Roman" w:eastAsia="Calibri" w:hAnsi="Times New Roman"/>
          <w:i/>
          <w:sz w:val="24"/>
          <w:szCs w:val="24"/>
          <w:lang w:val="en-US"/>
        </w:rPr>
        <w:t>Platycnemis</w:t>
      </w:r>
      <w:r w:rsidRPr="00184B62">
        <w:rPr>
          <w:rFonts w:ascii="Times New Roman" w:eastAsia="Calibri" w:hAnsi="Times New Roman"/>
          <w:sz w:val="24"/>
          <w:szCs w:val="24"/>
          <w:lang w:val="en-US"/>
        </w:rPr>
        <w:t xml:space="preserve"> </w:t>
      </w:r>
      <w:r w:rsidRPr="00184B62">
        <w:rPr>
          <w:rFonts w:ascii="Times New Roman" w:eastAsia="Calibri" w:hAnsi="Times New Roman"/>
          <w:i/>
          <w:sz w:val="24"/>
          <w:szCs w:val="24"/>
          <w:lang w:val="en-US"/>
        </w:rPr>
        <w:t>pennipes</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/възрастните мъжки са много близки по оцветяването на коремчето до възрастните женски на този вид, но последният има широки, листовидни задни тибии/, </w:t>
      </w:r>
      <w:r w:rsidRPr="00184B62">
        <w:rPr>
          <w:rFonts w:ascii="Times New Roman" w:eastAsia="Calibri" w:hAnsi="Times New Roman"/>
          <w:i/>
          <w:sz w:val="24"/>
          <w:szCs w:val="24"/>
          <w:lang w:val="en-US"/>
        </w:rPr>
        <w:t>Coenagrion hastulatm</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и </w:t>
      </w:r>
      <w:r w:rsidRPr="00184B62">
        <w:rPr>
          <w:rFonts w:ascii="Times New Roman" w:eastAsia="Calibri" w:hAnsi="Times New Roman"/>
          <w:i/>
          <w:sz w:val="24"/>
          <w:szCs w:val="24"/>
          <w:lang w:val="en-US"/>
        </w:rPr>
        <w:t>Coenagrion lunulatum</w:t>
      </w:r>
      <w:r w:rsidRPr="00184B62">
        <w:rPr>
          <w:rFonts w:ascii="Times New Roman" w:eastAsia="Calibri" w:hAnsi="Times New Roman"/>
          <w:sz w:val="24"/>
          <w:szCs w:val="24"/>
        </w:rPr>
        <w:t xml:space="preserve"> /където разликите са във формата на черните петна на втория и третия тергити/</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Видът </w:t>
      </w:r>
      <w:r w:rsidRPr="00184B62">
        <w:rPr>
          <w:rFonts w:ascii="Times New Roman" w:eastAsia="Calibri" w:hAnsi="Times New Roman"/>
          <w:sz w:val="24"/>
          <w:szCs w:val="24"/>
          <w:lang w:val="en-US"/>
        </w:rPr>
        <w:t xml:space="preserve">обитава бавнотечащи водоеми. Ларвата му е лимнофилна, фитофилна и се среща в обраслите с подводна плаваща растителност постоянни водоеми. Предпочита места във водоеми, където става втока и оттока на водата с ширина до 2 m и дълбочина до 1 m. </w:t>
      </w:r>
      <w:r w:rsidRPr="00184B62">
        <w:rPr>
          <w:rFonts w:ascii="Times New Roman" w:eastAsia="Calibri" w:hAnsi="Times New Roman"/>
          <w:sz w:val="24"/>
          <w:szCs w:val="24"/>
        </w:rPr>
        <w:t>Възрастната форма предпочита слънчеви участъци с буйна водна и крайбрежна растителност. Сравнително чест вид в низинните и хълмисти райони на България. Общото му разпространение обхваща Централна и Югоизточна Европа (Dijkstra &amp; Lewington, 2006) и на изток достига до Ирак. Засенчването, като резултат от обрастване с дървесна и храстова растителност и особено обрастването на брега и коритото с тръстика са основни отрицателно действащи фактори (Waldhauser &amp; Mikát 2010). Възрастните индивиди са силно уседнали, като средно се придвижват около 11 метра за целия си живот (Tichanek &amp; Tropek 2016). Това позволява сравнително точно регистриране на популационната плътност по трансект в началото на периода на активност (предимно през юни).</w:t>
      </w:r>
    </w:p>
    <w:p w:rsidR="00184B62" w:rsidRPr="00184B62" w:rsidRDefault="00184B62" w:rsidP="00184B62">
      <w:pPr>
        <w:spacing w:after="0" w:line="240" w:lineRule="auto"/>
        <w:ind w:firstLine="360"/>
        <w:jc w:val="both"/>
        <w:rPr>
          <w:rFonts w:ascii="Times New Roman" w:eastAsia="Calibri" w:hAnsi="Times New Roman"/>
          <w:sz w:val="24"/>
          <w:szCs w:val="24"/>
        </w:rPr>
      </w:pPr>
      <w:r w:rsidRPr="00184B62">
        <w:rPr>
          <w:rFonts w:ascii="Times New Roman" w:eastAsia="Calibri" w:hAnsi="Times New Roman"/>
          <w:i/>
          <w:sz w:val="24"/>
          <w:szCs w:val="24"/>
        </w:rPr>
        <w:lastRenderedPageBreak/>
        <w:t>Coenagrion ornatum</w:t>
      </w:r>
      <w:r w:rsidRPr="00184B62">
        <w:rPr>
          <w:rFonts w:ascii="Times New Roman" w:eastAsia="Calibri" w:hAnsi="Times New Roman"/>
          <w:sz w:val="24"/>
          <w:szCs w:val="24"/>
        </w:rPr>
        <w:t xml:space="preserve"> е включен в Приложение 2 на Директива за местообитанията, поради силното намаляване на популациите му в Европа през ХХ век. Видът не е включен в Червената книга на България (2011 г.).</w:t>
      </w:r>
    </w:p>
    <w:p w:rsidR="00184B62" w:rsidRPr="00184B62" w:rsidRDefault="00184B62" w:rsidP="00184B62">
      <w:pPr>
        <w:spacing w:before="120" w:after="120" w:line="240" w:lineRule="auto"/>
        <w:jc w:val="both"/>
        <w:rPr>
          <w:rFonts w:ascii="Times New Roman" w:eastAsia="Calibri" w:hAnsi="Times New Roman"/>
          <w:b/>
          <w:bCs/>
          <w:sz w:val="24"/>
          <w:szCs w:val="24"/>
        </w:rPr>
      </w:pPr>
      <w:r w:rsidRPr="00184B62">
        <w:rPr>
          <w:rFonts w:ascii="Times New Roman" w:eastAsia="Calibri" w:hAnsi="Times New Roman"/>
          <w:b/>
          <w:bCs/>
          <w:sz w:val="24"/>
          <w:szCs w:val="24"/>
        </w:rPr>
        <w:t>3. Състояние на биогеографско ниво и разпространение в мрежата</w:t>
      </w:r>
    </w:p>
    <w:p w:rsidR="00184B62" w:rsidRDefault="00184B62" w:rsidP="00184B62">
      <w:pPr>
        <w:spacing w:after="160" w:line="240" w:lineRule="auto"/>
        <w:ind w:firstLine="360"/>
        <w:jc w:val="both"/>
        <w:rPr>
          <w:rFonts w:ascii="Times New Roman" w:eastAsia="Calibri" w:hAnsi="Times New Roman"/>
          <w:sz w:val="24"/>
          <w:szCs w:val="24"/>
        </w:rPr>
      </w:pPr>
      <w:r w:rsidRPr="00184B62">
        <w:rPr>
          <w:rFonts w:ascii="Times New Roman" w:eastAsia="Calibri" w:hAnsi="Times New Roman"/>
          <w:sz w:val="24"/>
          <w:szCs w:val="24"/>
        </w:rPr>
        <w:t xml:space="preserve">Съгласно докладванията по Директива за местообитанията през 2013 г., състоянието на вида е благоприятно по всички параметри (FV) във всички биогеографски </w:t>
      </w:r>
      <w:r w:rsidR="00715A84">
        <w:rPr>
          <w:rFonts w:ascii="Times New Roman" w:eastAsia="Calibri" w:hAnsi="Times New Roman"/>
          <w:sz w:val="24"/>
          <w:szCs w:val="24"/>
        </w:rPr>
        <w:t>региони</w:t>
      </w:r>
      <w:r w:rsidRPr="00184B62">
        <w:rPr>
          <w:rFonts w:ascii="Times New Roman" w:eastAsia="Calibri" w:hAnsi="Times New Roman"/>
          <w:sz w:val="24"/>
          <w:szCs w:val="24"/>
        </w:rPr>
        <w:t xml:space="preserve">. При докладването през 2019 г. (за периода 2013-2018 г.), състоянието е запазено, с изключение на параметър популация за Алпийския </w:t>
      </w:r>
      <w:r w:rsidR="00715A84">
        <w:rPr>
          <w:rFonts w:ascii="Times New Roman" w:eastAsia="Calibri" w:hAnsi="Times New Roman"/>
          <w:sz w:val="24"/>
          <w:szCs w:val="24"/>
        </w:rPr>
        <w:t>регион</w:t>
      </w:r>
      <w:r w:rsidRPr="00184B62">
        <w:rPr>
          <w:rFonts w:ascii="Times New Roman" w:eastAsia="Calibri" w:hAnsi="Times New Roman"/>
          <w:sz w:val="24"/>
          <w:szCs w:val="24"/>
        </w:rPr>
        <w:t>, който е докладван в неизвестно състояние. Като обща заплаха  посочен бариерният ефект.</w:t>
      </w:r>
    </w:p>
    <w:p w:rsidR="00D374F5" w:rsidRDefault="00D374F5" w:rsidP="00D374F5">
      <w:pPr>
        <w:spacing w:after="160" w:line="240" w:lineRule="auto"/>
        <w:ind w:firstLine="360"/>
        <w:jc w:val="both"/>
        <w:rPr>
          <w:rFonts w:ascii="Times New Roman" w:eastAsia="Calibri" w:hAnsi="Times New Roman"/>
          <w:sz w:val="24"/>
          <w:szCs w:val="24"/>
        </w:rPr>
      </w:pPr>
      <w:r>
        <w:rPr>
          <w:rFonts w:ascii="Times New Roman" w:eastAsia="Calibri" w:hAnsi="Times New Roman"/>
          <w:sz w:val="24"/>
          <w:szCs w:val="24"/>
        </w:rPr>
        <w:t xml:space="preserve">Видът е записан в Стандартните </w:t>
      </w:r>
      <w:r w:rsidRPr="00F62F40">
        <w:rPr>
          <w:rFonts w:ascii="Times New Roman" w:eastAsia="Calibri" w:hAnsi="Times New Roman"/>
          <w:sz w:val="24"/>
          <w:szCs w:val="24"/>
        </w:rPr>
        <w:t xml:space="preserve">формуляри за данни на </w:t>
      </w:r>
      <w:r>
        <w:rPr>
          <w:rFonts w:ascii="Times New Roman" w:eastAsia="Calibri" w:hAnsi="Times New Roman"/>
          <w:sz w:val="24"/>
          <w:szCs w:val="24"/>
        </w:rPr>
        <w:t>40 зони.</w:t>
      </w:r>
    </w:p>
    <w:p w:rsidR="00184B62" w:rsidRPr="00184B62" w:rsidRDefault="00184B62" w:rsidP="00184B62">
      <w:pPr>
        <w:spacing w:before="120" w:after="120" w:line="240" w:lineRule="auto"/>
        <w:jc w:val="both"/>
        <w:rPr>
          <w:rFonts w:ascii="Times New Roman" w:eastAsia="Calibri" w:hAnsi="Times New Roman"/>
          <w:b/>
          <w:bCs/>
          <w:sz w:val="24"/>
          <w:szCs w:val="24"/>
        </w:rPr>
      </w:pPr>
      <w:r w:rsidRPr="00184B62">
        <w:rPr>
          <w:rFonts w:ascii="Times New Roman" w:eastAsia="Calibri" w:hAnsi="Times New Roman"/>
          <w:b/>
          <w:bCs/>
          <w:sz w:val="24"/>
          <w:szCs w:val="24"/>
        </w:rPr>
        <w:t>4. Състояние на вида в защитена зона „Сребърна“</w:t>
      </w:r>
    </w:p>
    <w:p w:rsidR="00184B62" w:rsidRPr="00184B62" w:rsidRDefault="00184B62" w:rsidP="00184B62">
      <w:pPr>
        <w:spacing w:after="0" w:line="240" w:lineRule="auto"/>
        <w:ind w:firstLine="360"/>
        <w:jc w:val="both"/>
        <w:rPr>
          <w:rFonts w:ascii="Times New Roman" w:eastAsia="Calibri" w:hAnsi="Times New Roman"/>
          <w:sz w:val="24"/>
          <w:szCs w:val="24"/>
        </w:rPr>
      </w:pPr>
      <w:r w:rsidRPr="00184B62">
        <w:rPr>
          <w:rFonts w:ascii="Times New Roman" w:eastAsia="Calibri" w:hAnsi="Times New Roman"/>
          <w:sz w:val="24"/>
          <w:szCs w:val="24"/>
        </w:rPr>
        <w:t>Съгласно Стандартния формуляр за данни (</w:t>
      </w:r>
      <w:r w:rsidR="005A0A3C">
        <w:rPr>
          <w:rFonts w:ascii="Times New Roman" w:eastAsia="Calibri" w:hAnsi="Times New Roman"/>
          <w:sz w:val="24"/>
          <w:szCs w:val="24"/>
        </w:rPr>
        <w:t>СФ</w:t>
      </w:r>
      <w:r w:rsidRPr="00184B62">
        <w:rPr>
          <w:rFonts w:ascii="Times New Roman" w:eastAsia="Calibri" w:hAnsi="Times New Roman"/>
          <w:sz w:val="24"/>
          <w:szCs w:val="24"/>
        </w:rPr>
        <w:t>) за защитена зона „Сребърна“, видът е рядък „R“, данните за вида в зоната са с добро качество „G“, оценката за популация е „</w:t>
      </w:r>
      <w:r w:rsidRPr="00184B62">
        <w:rPr>
          <w:rFonts w:ascii="Times New Roman" w:eastAsia="Calibri" w:hAnsi="Times New Roman"/>
          <w:sz w:val="24"/>
          <w:szCs w:val="24"/>
          <w:lang w:val="en-US"/>
        </w:rPr>
        <w:t>D</w:t>
      </w:r>
      <w:r w:rsidRPr="00184B62">
        <w:rPr>
          <w:rFonts w:ascii="Times New Roman" w:eastAsia="Calibri" w:hAnsi="Times New Roman"/>
          <w:sz w:val="24"/>
          <w:szCs w:val="24"/>
        </w:rPr>
        <w:t xml:space="preserve">“ </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незначителна (поради много ниската стойност на съотношението между размера на популацията на обекта и популацията на територията на страната – по-малко от 0,1%</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(0,036). По неактуализирани данни за оценката на мясното степента на опазване е „А“ (отлично съхранение), популацията е изолирана (оценка „А“) и общата оценка е „А“. Видът е в благоприятно състояние в зоната.</w:t>
      </w:r>
    </w:p>
    <w:p w:rsidR="00184B62" w:rsidRPr="00184B62" w:rsidRDefault="00184B62" w:rsidP="00184B62">
      <w:pPr>
        <w:spacing w:after="0" w:line="240" w:lineRule="auto"/>
        <w:ind w:firstLine="360"/>
        <w:jc w:val="both"/>
        <w:rPr>
          <w:rFonts w:ascii="Times New Roman" w:eastAsia="Calibri" w:hAnsi="Times New Roman"/>
          <w:sz w:val="24"/>
          <w:szCs w:val="24"/>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717"/>
        <w:gridCol w:w="1172"/>
        <w:gridCol w:w="450"/>
        <w:gridCol w:w="537"/>
        <w:gridCol w:w="397"/>
        <w:gridCol w:w="722"/>
        <w:gridCol w:w="758"/>
        <w:gridCol w:w="938"/>
        <w:gridCol w:w="666"/>
        <w:gridCol w:w="884"/>
        <w:gridCol w:w="1050"/>
        <w:gridCol w:w="690"/>
        <w:gridCol w:w="554"/>
        <w:gridCol w:w="585"/>
      </w:tblGrid>
      <w:tr w:rsidR="00184B62" w:rsidRPr="00184B62" w:rsidTr="005A0A3C">
        <w:trPr>
          <w:jc w:val="center"/>
        </w:trPr>
        <w:tc>
          <w:tcPr>
            <w:tcW w:w="3266" w:type="dxa"/>
            <w:gridSpan w:val="5"/>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4294" w:type="dxa"/>
            <w:gridSpan w:val="6"/>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2950" w:type="dxa"/>
            <w:gridSpan w:val="4"/>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rPr>
          <w:trHeight w:val="617"/>
          <w:jc w:val="center"/>
        </w:trPr>
        <w:tc>
          <w:tcPr>
            <w:tcW w:w="39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3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08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492"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55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413"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585" w:type="dxa"/>
            <w:gridSpan w:val="2"/>
            <w:shd w:val="clear" w:color="auto" w:fill="D9D9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70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69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99"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108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866" w:type="dxa"/>
            <w:gridSpan w:val="3"/>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rPr>
          <w:jc w:val="center"/>
        </w:trPr>
        <w:tc>
          <w:tcPr>
            <w:tcW w:w="39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3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08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92"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413"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77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811"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70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9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99"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108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713"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65"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588"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39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I</w:t>
            </w:r>
          </w:p>
        </w:tc>
        <w:tc>
          <w:tcPr>
            <w:tcW w:w="73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4045</w:t>
            </w:r>
          </w:p>
        </w:tc>
        <w:tc>
          <w:tcPr>
            <w:tcW w:w="1086" w:type="dxa"/>
            <w:shd w:val="clear" w:color="auto" w:fill="auto"/>
            <w:vAlign w:val="center"/>
          </w:tcPr>
          <w:p w:rsidR="00184B62" w:rsidRPr="00184B62" w:rsidRDefault="00184B62" w:rsidP="00184B62">
            <w:pPr>
              <w:spacing w:before="120" w:after="120" w:line="240" w:lineRule="auto"/>
              <w:jc w:val="both"/>
              <w:rPr>
                <w:rFonts w:ascii="Times New Roman" w:hAnsi="Times New Roman"/>
                <w:i/>
                <w:sz w:val="20"/>
                <w:szCs w:val="20"/>
                <w:lang w:val="en-US"/>
              </w:rPr>
            </w:pPr>
            <w:r w:rsidRPr="00184B62">
              <w:rPr>
                <w:rFonts w:ascii="Times New Roman" w:hAnsi="Times New Roman"/>
                <w:i/>
                <w:sz w:val="20"/>
                <w:szCs w:val="20"/>
                <w:lang w:val="en-US"/>
              </w:rPr>
              <w:t>Coenagrion ornatum</w:t>
            </w:r>
          </w:p>
        </w:tc>
        <w:tc>
          <w:tcPr>
            <w:tcW w:w="492"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55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413"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р</w:t>
            </w:r>
          </w:p>
        </w:tc>
        <w:tc>
          <w:tcPr>
            <w:tcW w:w="77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1</w:t>
            </w:r>
          </w:p>
        </w:tc>
        <w:tc>
          <w:tcPr>
            <w:tcW w:w="811"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1</w:t>
            </w:r>
          </w:p>
        </w:tc>
        <w:tc>
          <w:tcPr>
            <w:tcW w:w="70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localities</w:t>
            </w:r>
          </w:p>
        </w:tc>
        <w:tc>
          <w:tcPr>
            <w:tcW w:w="697"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R</w:t>
            </w:r>
          </w:p>
        </w:tc>
        <w:tc>
          <w:tcPr>
            <w:tcW w:w="899"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G</w:t>
            </w:r>
          </w:p>
        </w:tc>
        <w:tc>
          <w:tcPr>
            <w:tcW w:w="108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713"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A</w:t>
            </w:r>
          </w:p>
        </w:tc>
        <w:tc>
          <w:tcPr>
            <w:tcW w:w="565"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A</w:t>
            </w:r>
          </w:p>
        </w:tc>
        <w:tc>
          <w:tcPr>
            <w:tcW w:w="588"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lang w:val="en-US"/>
              </w:rPr>
              <w:t>A</w:t>
            </w:r>
          </w:p>
        </w:tc>
      </w:tr>
    </w:tbl>
    <w:p w:rsidR="00184B62" w:rsidRPr="00184B62" w:rsidRDefault="00184B62" w:rsidP="00184B62">
      <w:pPr>
        <w:spacing w:after="0" w:line="240" w:lineRule="auto"/>
        <w:ind w:firstLine="360"/>
        <w:jc w:val="both"/>
        <w:rPr>
          <w:rFonts w:ascii="Times New Roman" w:eastAsia="Calibri" w:hAnsi="Times New Roman"/>
          <w:b/>
          <w:sz w:val="24"/>
          <w:szCs w:val="24"/>
        </w:rPr>
      </w:pPr>
    </w:p>
    <w:p w:rsidR="00184B62" w:rsidRPr="00184B62" w:rsidRDefault="00184B62" w:rsidP="00184B62">
      <w:pPr>
        <w:spacing w:before="120" w:after="120" w:line="240" w:lineRule="auto"/>
        <w:jc w:val="both"/>
        <w:rPr>
          <w:rFonts w:ascii="Times New Roman" w:eastAsia="Calibri" w:hAnsi="Times New Roman"/>
          <w:sz w:val="24"/>
          <w:szCs w:val="24"/>
        </w:rPr>
      </w:pPr>
      <w:r w:rsidRPr="00184B62">
        <w:rPr>
          <w:rFonts w:ascii="Times New Roman" w:eastAsia="Calibri" w:hAnsi="Times New Roman"/>
          <w:b/>
          <w:sz w:val="24"/>
          <w:szCs w:val="24"/>
          <w:lang w:eastAsia="bg-BG"/>
        </w:rPr>
        <w:t>5. Анализ на наличната информация</w:t>
      </w:r>
    </w:p>
    <w:p w:rsidR="00184B62" w:rsidRPr="00184B62" w:rsidRDefault="00184B62" w:rsidP="00184B62">
      <w:pPr>
        <w:spacing w:after="0" w:line="240" w:lineRule="auto"/>
        <w:ind w:firstLine="360"/>
        <w:jc w:val="both"/>
        <w:rPr>
          <w:rFonts w:ascii="Times New Roman" w:eastAsia="Calibri" w:hAnsi="Times New Roman"/>
          <w:sz w:val="24"/>
          <w:szCs w:val="24"/>
        </w:rPr>
      </w:pPr>
      <w:r w:rsidRPr="00184B62">
        <w:rPr>
          <w:rFonts w:ascii="Times New Roman" w:eastAsia="Calibri" w:hAnsi="Times New Roman"/>
          <w:sz w:val="24"/>
          <w:szCs w:val="24"/>
        </w:rPr>
        <w:t>Видът не е регистриран в зоната с конкретни находища, въпреки достатъчно големия брой подходящи местообитания за него.</w:t>
      </w:r>
    </w:p>
    <w:p w:rsidR="00184B62" w:rsidRPr="00184B62" w:rsidRDefault="00184B62" w:rsidP="00184B62">
      <w:pPr>
        <w:spacing w:after="0" w:line="240" w:lineRule="auto"/>
        <w:ind w:firstLine="360"/>
        <w:jc w:val="both"/>
        <w:rPr>
          <w:rFonts w:ascii="Times New Roman" w:eastAsia="Calibri" w:hAnsi="Times New Roman"/>
          <w:sz w:val="24"/>
          <w:szCs w:val="24"/>
        </w:rPr>
      </w:pPr>
      <w:r w:rsidRPr="00184B62">
        <w:rPr>
          <w:rFonts w:ascii="Times New Roman" w:eastAsia="Calibri" w:hAnsi="Times New Roman"/>
          <w:sz w:val="24"/>
          <w:szCs w:val="24"/>
        </w:rPr>
        <w:t>Подходящите местообитания на вида са оценени на 194,41 ha (специфичен доклад за вида в защитената зона, публикуван на страницата на Информационната система на защитените зони от екологичната мрежа Натура 2000), което считаме за обзорно отразяващо разпространението на вида.</w:t>
      </w:r>
    </w:p>
    <w:p w:rsidR="00184B62" w:rsidRPr="00184B62" w:rsidRDefault="00184B62" w:rsidP="00184B62">
      <w:pPr>
        <w:spacing w:after="0" w:line="240" w:lineRule="auto"/>
        <w:ind w:firstLine="360"/>
        <w:jc w:val="both"/>
        <w:rPr>
          <w:rFonts w:ascii="Times New Roman" w:eastAsia="Calibri" w:hAnsi="Times New Roman"/>
          <w:sz w:val="24"/>
          <w:szCs w:val="24"/>
        </w:rPr>
      </w:pPr>
      <w:r w:rsidRPr="00184B62">
        <w:rPr>
          <w:rFonts w:ascii="Times New Roman" w:eastAsia="Calibri" w:hAnsi="Times New Roman"/>
          <w:sz w:val="24"/>
          <w:szCs w:val="24"/>
        </w:rPr>
        <w:t>Параметрите за ценагриона и техните целеви стойности, определени в Ръководството за оценка на благоприятно природозащитно състояние за типове природни местообитания и видове по НАТУРА 2000 в България, Методиката за определяне на природозащитното състоянието на видовете, както и Методиките за оценка на състоянието и мониторинг на вида (Национална система за мониторинг на биологичното разнообразие), не позволяват да се формулират специфични цели за вида, поради недостатъчна степен на отразяване на екологичните му изисквания и недостатъчна проученост на микрохабитатните преференции при ларвалната форма на вида на регионално ниво и като цяло.</w:t>
      </w:r>
    </w:p>
    <w:p w:rsidR="00184B62" w:rsidRPr="00184B62" w:rsidRDefault="00184B62" w:rsidP="00184B62">
      <w:pPr>
        <w:spacing w:after="0" w:line="240" w:lineRule="auto"/>
        <w:ind w:left="750"/>
        <w:contextualSpacing/>
        <w:jc w:val="both"/>
        <w:rPr>
          <w:rFonts w:ascii="Times New Roman" w:eastAsia="Calibri" w:hAnsi="Times New Roman"/>
          <w:b/>
          <w:sz w:val="24"/>
          <w:szCs w:val="24"/>
        </w:rPr>
      </w:pPr>
    </w:p>
    <w:p w:rsidR="00184B62" w:rsidRPr="00184B62" w:rsidRDefault="00184B62" w:rsidP="00184B62">
      <w:pPr>
        <w:jc w:val="both"/>
        <w:rPr>
          <w:rFonts w:ascii="Times New Roman" w:hAnsi="Times New Roman"/>
          <w:b/>
          <w:sz w:val="24"/>
          <w:szCs w:val="24"/>
          <w:lang w:val="en-US"/>
        </w:rPr>
      </w:pPr>
      <w:r w:rsidRPr="00184B62">
        <w:rPr>
          <w:rFonts w:ascii="Times New Roman" w:hAnsi="Times New Roman"/>
          <w:b/>
          <w:sz w:val="24"/>
          <w:szCs w:val="24"/>
        </w:rPr>
        <w:lastRenderedPageBreak/>
        <w:t>6. Цели за подобряване/поддържане на природозащитното състояние на вида в зоната</w:t>
      </w:r>
    </w:p>
    <w:p w:rsidR="00184B62" w:rsidRPr="00184B62" w:rsidRDefault="00184B62" w:rsidP="00184B62">
      <w:pPr>
        <w:spacing w:after="0" w:line="240" w:lineRule="auto"/>
        <w:ind w:firstLine="708"/>
        <w:jc w:val="both"/>
        <w:rPr>
          <w:rFonts w:ascii="Times New Roman" w:eastAsia="Calibri" w:hAnsi="Times New Roman"/>
          <w:sz w:val="24"/>
          <w:szCs w:val="24"/>
        </w:rPr>
      </w:pPr>
      <w:r w:rsidRPr="00184B62">
        <w:rPr>
          <w:rFonts w:ascii="Times New Roman" w:eastAsia="Calibri" w:hAnsi="Times New Roman"/>
          <w:sz w:val="24"/>
          <w:szCs w:val="24"/>
        </w:rPr>
        <w:t>Специфичните цели за вида в защитената зона са формулирани на базата на анализ на екологията на вида (виж цитираната литература).</w:t>
      </w:r>
    </w:p>
    <w:p w:rsidR="00184B62" w:rsidRPr="00184B62" w:rsidRDefault="00184B62" w:rsidP="00184B62">
      <w:pPr>
        <w:spacing w:after="0" w:line="240" w:lineRule="auto"/>
        <w:ind w:firstLine="708"/>
        <w:jc w:val="both"/>
        <w:rPr>
          <w:rFonts w:ascii="Times New Roman" w:eastAsia="Calibri"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627"/>
        <w:gridCol w:w="1124"/>
        <w:gridCol w:w="2833"/>
        <w:gridCol w:w="1950"/>
      </w:tblGrid>
      <w:tr w:rsidR="00184B62" w:rsidRPr="00715A84" w:rsidTr="005A0A3C">
        <w:trPr>
          <w:tblHeader/>
          <w:jc w:val="center"/>
        </w:trPr>
        <w:tc>
          <w:tcPr>
            <w:tcW w:w="944"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184B62" w:rsidRPr="003A4F26" w:rsidRDefault="00184B62" w:rsidP="00184B62">
            <w:pPr>
              <w:widowControl w:val="0"/>
              <w:spacing w:before="100" w:beforeAutospacing="1" w:after="100" w:afterAutospacing="1" w:line="240" w:lineRule="auto"/>
              <w:jc w:val="center"/>
              <w:rPr>
                <w:rFonts w:ascii="Times New Roman" w:hAnsi="Times New Roman"/>
                <w:b/>
                <w:bCs/>
                <w:sz w:val="20"/>
                <w:szCs w:val="20"/>
              </w:rPr>
            </w:pPr>
            <w:r w:rsidRPr="003A4F26">
              <w:rPr>
                <w:rFonts w:ascii="Times New Roman" w:hAnsi="Times New Roman"/>
                <w:b/>
                <w:bCs/>
                <w:sz w:val="20"/>
                <w:szCs w:val="20"/>
              </w:rPr>
              <w:t>Параметър</w:t>
            </w:r>
          </w:p>
        </w:tc>
        <w:tc>
          <w:tcPr>
            <w:tcW w:w="876"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184B62" w:rsidRPr="00715A84" w:rsidRDefault="00184B62" w:rsidP="00184B62">
            <w:pPr>
              <w:widowControl w:val="0"/>
              <w:spacing w:before="100" w:beforeAutospacing="1" w:after="100" w:afterAutospacing="1" w:line="240" w:lineRule="auto"/>
              <w:jc w:val="center"/>
              <w:rPr>
                <w:rFonts w:ascii="Times New Roman" w:hAnsi="Times New Roman"/>
                <w:b/>
                <w:bCs/>
                <w:sz w:val="20"/>
                <w:szCs w:val="20"/>
              </w:rPr>
            </w:pPr>
            <w:r w:rsidRPr="00715A84">
              <w:rPr>
                <w:rFonts w:ascii="Times New Roman" w:hAnsi="Times New Roman"/>
                <w:b/>
                <w:bCs/>
                <w:sz w:val="20"/>
                <w:szCs w:val="20"/>
              </w:rPr>
              <w:t xml:space="preserve">Мерна единица </w:t>
            </w:r>
          </w:p>
        </w:tc>
        <w:tc>
          <w:tcPr>
            <w:tcW w:w="605"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184B62" w:rsidRPr="00715A84" w:rsidRDefault="00184B62" w:rsidP="00184B62">
            <w:pPr>
              <w:widowControl w:val="0"/>
              <w:spacing w:before="100" w:beforeAutospacing="1" w:after="100" w:afterAutospacing="1" w:line="240" w:lineRule="auto"/>
              <w:jc w:val="center"/>
              <w:rPr>
                <w:rFonts w:ascii="Times New Roman" w:hAnsi="Times New Roman"/>
                <w:b/>
                <w:bCs/>
                <w:sz w:val="20"/>
                <w:szCs w:val="20"/>
              </w:rPr>
            </w:pPr>
            <w:r w:rsidRPr="00715A84">
              <w:rPr>
                <w:rFonts w:ascii="Times New Roman" w:hAnsi="Times New Roman"/>
                <w:b/>
                <w:bCs/>
                <w:sz w:val="20"/>
                <w:szCs w:val="20"/>
              </w:rPr>
              <w:t xml:space="preserve">Целева стойност </w:t>
            </w:r>
          </w:p>
        </w:tc>
        <w:tc>
          <w:tcPr>
            <w:tcW w:w="1525"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184B62" w:rsidRPr="00715A84" w:rsidRDefault="00184B62" w:rsidP="00184B62">
            <w:pPr>
              <w:widowControl w:val="0"/>
              <w:spacing w:before="100" w:beforeAutospacing="1" w:after="100" w:afterAutospacing="1" w:line="240" w:lineRule="auto"/>
              <w:jc w:val="center"/>
              <w:rPr>
                <w:rFonts w:ascii="Times New Roman" w:hAnsi="Times New Roman"/>
                <w:b/>
                <w:bCs/>
                <w:sz w:val="20"/>
                <w:szCs w:val="20"/>
              </w:rPr>
            </w:pPr>
            <w:r w:rsidRPr="00715A84">
              <w:rPr>
                <w:rFonts w:ascii="Times New Roman" w:hAnsi="Times New Roman"/>
                <w:b/>
                <w:bCs/>
                <w:sz w:val="20"/>
                <w:szCs w:val="20"/>
              </w:rPr>
              <w:t xml:space="preserve">Допълнителна информация </w:t>
            </w:r>
          </w:p>
        </w:tc>
        <w:tc>
          <w:tcPr>
            <w:tcW w:w="1050"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184B62" w:rsidRPr="00715A84" w:rsidRDefault="00184B62" w:rsidP="00184B62">
            <w:pPr>
              <w:widowControl w:val="0"/>
              <w:spacing w:before="100" w:beforeAutospacing="1" w:after="100" w:afterAutospacing="1" w:line="240" w:lineRule="auto"/>
              <w:jc w:val="center"/>
              <w:rPr>
                <w:rFonts w:ascii="Times New Roman" w:hAnsi="Times New Roman"/>
                <w:b/>
                <w:bCs/>
                <w:sz w:val="20"/>
                <w:szCs w:val="20"/>
              </w:rPr>
            </w:pPr>
            <w:r w:rsidRPr="00715A84">
              <w:rPr>
                <w:rFonts w:ascii="Times New Roman" w:hAnsi="Times New Roman"/>
                <w:b/>
                <w:bCs/>
                <w:sz w:val="20"/>
                <w:szCs w:val="20"/>
              </w:rPr>
              <w:t xml:space="preserve">Специфични за зоната цели за опазване </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lang w:eastAsia="en-GB"/>
              </w:rPr>
            </w:pPr>
            <w:r w:rsidRPr="003A4F26">
              <w:rPr>
                <w:rFonts w:ascii="Times New Roman" w:eastAsia="Calibri" w:hAnsi="Times New Roman"/>
                <w:b/>
                <w:sz w:val="20"/>
                <w:szCs w:val="20"/>
                <w:lang w:eastAsia="en-GB"/>
              </w:rPr>
              <w:t xml:space="preserve">Популация: </w:t>
            </w:r>
            <w:r w:rsidRPr="003A4F26">
              <w:rPr>
                <w:rFonts w:ascii="Times New Roman" w:eastAsia="Calibri" w:hAnsi="Times New Roman"/>
                <w:b/>
                <w:bCs/>
                <w:sz w:val="20"/>
                <w:szCs w:val="20"/>
              </w:rPr>
              <w:t>Пространствен обхват на популацията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Брой клетки от грид 1х1 km с доказано присъствие на вида</w:t>
            </w:r>
          </w:p>
        </w:tc>
        <w:tc>
          <w:tcPr>
            <w:tcW w:w="60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минимум 1</w:t>
            </w:r>
          </w:p>
          <w:p w:rsidR="00184B62" w:rsidRPr="00184B62" w:rsidRDefault="00184B62" w:rsidP="00184B62">
            <w:pPr>
              <w:spacing w:before="120" w:after="120" w:line="240" w:lineRule="auto"/>
              <w:jc w:val="center"/>
              <w:rPr>
                <w:rFonts w:ascii="Times New Roman" w:eastAsia="Calibri" w:hAnsi="Times New Roman"/>
                <w:sz w:val="20"/>
                <w:szCs w:val="20"/>
                <w:highlight w:val="yellow"/>
              </w:rPr>
            </w:pPr>
          </w:p>
        </w:tc>
        <w:tc>
          <w:tcPr>
            <w:tcW w:w="152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Целевата стойност следва да представлява сумата на всички уникални квадрати от UTM грид с резолюция 1х1 км, в които видът е установяван поне веднъж. В рамките на зоната видът е регистриран в едно находище. </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За повишаване на информацията за вида в зоната е важно да се проведат допълнителни теренни проучвания, поради което е формулирана междинна цел.</w:t>
            </w:r>
          </w:p>
        </w:tc>
        <w:tc>
          <w:tcPr>
            <w:tcW w:w="1050"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Поддържане пространствения обхват на популацията в размер на най-малко 1 UTM квадрат 1х1 km с доказано присъствие на вида.</w:t>
            </w:r>
          </w:p>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Междинна цел: Да се установи пространствения обхват на популацията в южната част на зоната, чрез провеждане на теренни проучвания, до 2025 г.</w:t>
            </w:r>
          </w:p>
          <w:p w:rsidR="00184B62" w:rsidRPr="00184B62" w:rsidRDefault="00184B62" w:rsidP="00184B62">
            <w:pPr>
              <w:spacing w:before="120" w:after="120" w:line="240" w:lineRule="auto"/>
              <w:jc w:val="both"/>
              <w:rPr>
                <w:rFonts w:ascii="Times New Roman" w:eastAsia="Calibri" w:hAnsi="Times New Roman"/>
                <w:sz w:val="20"/>
                <w:szCs w:val="20"/>
              </w:rPr>
            </w:pP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lang w:eastAsia="en-GB"/>
              </w:rPr>
            </w:pPr>
            <w:r w:rsidRPr="003A4F26">
              <w:rPr>
                <w:rFonts w:ascii="Times New Roman" w:eastAsia="Calibri" w:hAnsi="Times New Roman"/>
                <w:b/>
                <w:sz w:val="20"/>
                <w:szCs w:val="20"/>
                <w:lang w:eastAsia="en-GB"/>
              </w:rPr>
              <w:t xml:space="preserve">Популация: </w:t>
            </w:r>
            <w:r w:rsidRPr="003A4F26">
              <w:rPr>
                <w:rFonts w:ascii="Times New Roman" w:eastAsia="Calibri" w:hAnsi="Times New Roman"/>
                <w:b/>
                <w:bCs/>
                <w:sz w:val="20"/>
                <w:szCs w:val="20"/>
                <w:lang w:eastAsia="en-GB"/>
              </w:rPr>
              <w:t>Относителна плътност на популацията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lang w:eastAsia="en-GB"/>
              </w:rPr>
              <w:t>Брой индивиди на 100 метров трансект</w:t>
            </w:r>
          </w:p>
        </w:tc>
        <w:tc>
          <w:tcPr>
            <w:tcW w:w="60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lang w:eastAsia="en-GB"/>
              </w:rPr>
              <w:t>Неизвестна</w:t>
            </w:r>
          </w:p>
        </w:tc>
        <w:tc>
          <w:tcPr>
            <w:tcW w:w="152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Според доклада, публикуван  в „Информационна система за защитени зони от екологичната мрежа Натура 2000 на МОСВ“, обилието на вида е изчислена на 0,01 – индекс, основан на базата на брой уловени или наблюдавани екземпляри за един час обследване на трансект от брега на водоем. Липсват референтни стойности за обилие на национално ниво.</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Съгласно Методиката за мониторинг на вида (Национална система за мониторинг на биологичното разнообразие), мониторингът се извършва с трансектен метод. Съгласно същата методика, референтна стойност за популация се изчислява в  индивиди/</w:t>
            </w:r>
            <w:r w:rsidRPr="00184B62">
              <w:rPr>
                <w:rFonts w:ascii="Times New Roman" w:eastAsia="Calibri" w:hAnsi="Times New Roman"/>
                <w:sz w:val="20"/>
                <w:szCs w:val="20"/>
                <w:lang w:val="en-US"/>
              </w:rPr>
              <w:t>km</w:t>
            </w:r>
            <w:r w:rsidRPr="00184B62">
              <w:rPr>
                <w:rFonts w:ascii="Times New Roman" w:eastAsia="Calibri" w:hAnsi="Times New Roman"/>
                <w:sz w:val="20"/>
                <w:szCs w:val="20"/>
                <w:vertAlign w:val="superscript"/>
              </w:rPr>
              <w:t>2</w:t>
            </w:r>
            <w:r w:rsidRPr="00184B62">
              <w:rPr>
                <w:rFonts w:ascii="Times New Roman" w:eastAsia="Calibri" w:hAnsi="Times New Roman"/>
                <w:sz w:val="20"/>
                <w:szCs w:val="20"/>
              </w:rPr>
              <w:t xml:space="preserve">, но за зоната не е изчислена, </w:t>
            </w:r>
            <w:r w:rsidRPr="00184B62">
              <w:rPr>
                <w:rFonts w:ascii="Times New Roman" w:eastAsia="Calibri" w:hAnsi="Times New Roman"/>
                <w:sz w:val="20"/>
                <w:szCs w:val="20"/>
              </w:rPr>
              <w:lastRenderedPageBreak/>
              <w:t>поради липса на данни.</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И двата подхода за набиране на данни за относителната плътност на популацията показват недостатъчно добри резултати, предвид малкия обем на набраните данни. По-целесъобразно е мерната единица за параметъра да бъде брой индивиди / 100 m линеен участък от брега на реката. </w:t>
            </w:r>
          </w:p>
          <w:p w:rsidR="00184B62" w:rsidRPr="00184B62" w:rsidRDefault="00184B62" w:rsidP="00184B62">
            <w:pPr>
              <w:spacing w:before="120" w:after="120" w:line="240" w:lineRule="auto"/>
              <w:jc w:val="both"/>
              <w:rPr>
                <w:rFonts w:ascii="Times New Roman" w:eastAsia="Calibri" w:hAnsi="Times New Roman"/>
                <w:sz w:val="20"/>
                <w:szCs w:val="20"/>
                <w:lang w:val="en-US"/>
              </w:rPr>
            </w:pPr>
            <w:r w:rsidRPr="00184B62">
              <w:rPr>
                <w:rFonts w:ascii="Times New Roman" w:eastAsia="Calibri" w:hAnsi="Times New Roman"/>
                <w:sz w:val="20"/>
                <w:szCs w:val="20"/>
              </w:rPr>
              <w:t xml:space="preserve">До момента не са налице данни за определяне на целевата стойност на параметъра, както и на настоящата му стойност в защитената зона. По тази причина е предвидена междинна цел. </w:t>
            </w:r>
          </w:p>
        </w:tc>
        <w:tc>
          <w:tcPr>
            <w:tcW w:w="1050"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lastRenderedPageBreak/>
              <w:t>Междинна цел: Да се установи целевата и настоящата относителна плътност на популацията на вида в защитената зона чрез провеждане на теренни проучвания до 2025 г.</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bCs/>
                <w:sz w:val="20"/>
                <w:szCs w:val="20"/>
                <w:lang w:eastAsia="en-GB"/>
              </w:rPr>
            </w:pPr>
            <w:r w:rsidRPr="003A4F26">
              <w:rPr>
                <w:rFonts w:ascii="Times New Roman" w:eastAsia="Calibri" w:hAnsi="Times New Roman"/>
                <w:b/>
                <w:sz w:val="20"/>
                <w:szCs w:val="20"/>
                <w:lang w:eastAsia="en-GB"/>
              </w:rPr>
              <w:lastRenderedPageBreak/>
              <w:t xml:space="preserve">Местообитание на вида: </w:t>
            </w:r>
            <w:r w:rsidRPr="003A4F26">
              <w:rPr>
                <w:rFonts w:ascii="Times New Roman" w:eastAsia="Calibri" w:hAnsi="Times New Roman"/>
                <w:b/>
                <w:bCs/>
                <w:sz w:val="20"/>
                <w:szCs w:val="20"/>
                <w:lang w:eastAsia="en-GB"/>
              </w:rPr>
              <w:t>Площ на подходящите местообитания на вида в зоната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val="en-US" w:eastAsia="en-GB"/>
              </w:rPr>
              <w:t>ha</w:t>
            </w:r>
          </w:p>
        </w:tc>
        <w:tc>
          <w:tcPr>
            <w:tcW w:w="60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Най-малко 470</w:t>
            </w:r>
            <w:r w:rsidRPr="00184B62">
              <w:rPr>
                <w:rFonts w:ascii="Times New Roman" w:eastAsia="Calibri" w:hAnsi="Times New Roman"/>
                <w:sz w:val="20"/>
                <w:szCs w:val="20"/>
                <w:lang w:val="en-US" w:eastAsia="en-GB"/>
              </w:rPr>
              <w:t xml:space="preserve"> ha</w:t>
            </w:r>
          </w:p>
        </w:tc>
        <w:tc>
          <w:tcPr>
            <w:tcW w:w="152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Според доклада, публикуван  в „Информационна система за защитени зони от екологичната мрежа Натура 2000 на МОСВ“, Оптималните местообитания на вида са оценени на 13,43 % от общата площ на зоната – 194.41 </w:t>
            </w:r>
            <w:r w:rsidRPr="00184B62">
              <w:rPr>
                <w:rFonts w:ascii="Times New Roman" w:eastAsia="Calibri" w:hAnsi="Times New Roman"/>
                <w:sz w:val="20"/>
                <w:szCs w:val="20"/>
                <w:lang w:val="en-US"/>
              </w:rPr>
              <w:t>ha</w:t>
            </w:r>
            <w:r w:rsidRPr="00184B62">
              <w:rPr>
                <w:rFonts w:ascii="Times New Roman" w:eastAsia="Calibri" w:hAnsi="Times New Roman"/>
                <w:sz w:val="20"/>
                <w:szCs w:val="20"/>
              </w:rPr>
              <w:t xml:space="preserve"> (специфичен доклад за вида в защитената зона, публикуван на страницата на Информационната система на защитените зони от екологичната мрежа Натура 2000), което считаме за по-точно отразяващо разпространението на вида. </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С цел прецизиране площта на местообитанията на вида  е формулирана междинна цел.</w:t>
            </w:r>
          </w:p>
        </w:tc>
        <w:tc>
          <w:tcPr>
            <w:tcW w:w="1050"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Поддържане на площта на подходящите местообитания на вида в защитената зона в размер на най-малко 470 ha.</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Междинна цел: да се прецизира площта на местообитанията на вида на основата на теренни изследвания до 2025 г.</w:t>
            </w:r>
          </w:p>
          <w:p w:rsidR="00184B62" w:rsidRPr="00184B62" w:rsidRDefault="00184B62" w:rsidP="00184B62">
            <w:pPr>
              <w:spacing w:before="120" w:after="120" w:line="240" w:lineRule="auto"/>
              <w:jc w:val="both"/>
              <w:rPr>
                <w:rFonts w:ascii="Times New Roman" w:eastAsia="Calibri" w:hAnsi="Times New Roman"/>
                <w:sz w:val="20"/>
                <w:szCs w:val="20"/>
              </w:rPr>
            </w:pP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t xml:space="preserve">Местообитание на вида: </w:t>
            </w:r>
            <w:r w:rsidRPr="003A4F26">
              <w:rPr>
                <w:rFonts w:ascii="Times New Roman" w:eastAsia="Calibri" w:hAnsi="Times New Roman"/>
                <w:b/>
                <w:bCs/>
                <w:sz w:val="20"/>
                <w:szCs w:val="20"/>
              </w:rPr>
              <w:t xml:space="preserve">Качество на подходящото местообитание на вида – покритие на брега на водното тяло с дървесна растителност </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 от дължината на брега или леглото на водното тяло, покрита с дървесна растителност или обрасла с тръстика</w:t>
            </w:r>
          </w:p>
        </w:tc>
        <w:tc>
          <w:tcPr>
            <w:tcW w:w="60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Най-много 30%</w:t>
            </w:r>
          </w:p>
        </w:tc>
        <w:tc>
          <w:tcPr>
            <w:tcW w:w="152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Видът предпочита открити и огрени от слънце местообитания.</w:t>
            </w:r>
          </w:p>
        </w:tc>
        <w:tc>
          <w:tcPr>
            <w:tcW w:w="1050"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Поддържане на не повече от </w:t>
            </w:r>
            <w:r w:rsidRPr="00184B62">
              <w:rPr>
                <w:rFonts w:ascii="Times New Roman" w:eastAsia="Calibri" w:hAnsi="Times New Roman"/>
                <w:sz w:val="20"/>
                <w:szCs w:val="20"/>
                <w:lang w:val="en-US"/>
              </w:rPr>
              <w:t>3</w:t>
            </w:r>
            <w:r w:rsidRPr="00184B62">
              <w:rPr>
                <w:rFonts w:ascii="Times New Roman" w:eastAsia="Calibri" w:hAnsi="Times New Roman"/>
                <w:sz w:val="20"/>
                <w:szCs w:val="20"/>
              </w:rPr>
              <w:t>0% от дължината на брега на водното тяло, да е покрита с дървесна растителност.</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t xml:space="preserve">Местообитание на вида: </w:t>
            </w:r>
            <w:r w:rsidRPr="003A4F26">
              <w:rPr>
                <w:rFonts w:ascii="Times New Roman" w:eastAsia="Calibri" w:hAnsi="Times New Roman"/>
                <w:b/>
                <w:bCs/>
                <w:sz w:val="20"/>
                <w:szCs w:val="20"/>
              </w:rPr>
              <w:lastRenderedPageBreak/>
              <w:t xml:space="preserve">Качество на подходящото местообитание на вида – </w:t>
            </w:r>
            <w:r w:rsidRPr="003A4F26">
              <w:rPr>
                <w:rFonts w:ascii="Times New Roman" w:hAnsi="Times New Roman"/>
                <w:b/>
                <w:sz w:val="20"/>
                <w:szCs w:val="20"/>
              </w:rPr>
              <w:t>хидроморфологично състояние на водните тела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hAnsi="Times New Roman"/>
                <w:sz w:val="20"/>
                <w:szCs w:val="20"/>
              </w:rPr>
              <w:lastRenderedPageBreak/>
              <w:t xml:space="preserve">Наличие/ Отсъствие на </w:t>
            </w:r>
            <w:r w:rsidRPr="00184B62">
              <w:rPr>
                <w:rFonts w:ascii="Times New Roman" w:hAnsi="Times New Roman"/>
                <w:sz w:val="20"/>
                <w:szCs w:val="20"/>
              </w:rPr>
              <w:lastRenderedPageBreak/>
              <w:t>морфологични промени</w:t>
            </w:r>
          </w:p>
        </w:tc>
        <w:tc>
          <w:tcPr>
            <w:tcW w:w="60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hAnsi="Times New Roman"/>
                <w:sz w:val="20"/>
                <w:szCs w:val="20"/>
              </w:rPr>
              <w:lastRenderedPageBreak/>
              <w:t xml:space="preserve">Отсъствие на </w:t>
            </w:r>
            <w:r w:rsidRPr="00184B62">
              <w:rPr>
                <w:rFonts w:ascii="Times New Roman" w:hAnsi="Times New Roman"/>
                <w:sz w:val="20"/>
                <w:szCs w:val="20"/>
              </w:rPr>
              <w:lastRenderedPageBreak/>
              <w:t>морфологични промени в речното корито</w:t>
            </w:r>
          </w:p>
        </w:tc>
        <w:tc>
          <w:tcPr>
            <w:tcW w:w="152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lastRenderedPageBreak/>
              <w:t xml:space="preserve">Морфологични промени в речното корито, са промени, </w:t>
            </w:r>
            <w:r w:rsidRPr="00184B62">
              <w:rPr>
                <w:rFonts w:ascii="Times New Roman" w:hAnsi="Times New Roman"/>
                <w:sz w:val="20"/>
                <w:szCs w:val="20"/>
              </w:rPr>
              <w:lastRenderedPageBreak/>
              <w:t>които могат да доведат до вкопаване на речното корито, промяна в речния субстрат  и деструкция на местообитанията на вида.</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hAnsi="Times New Roman"/>
                <w:sz w:val="20"/>
                <w:szCs w:val="20"/>
              </w:rPr>
              <w:t>Не са налице и данни за подобни изменения от мониторинга по РДВ на МОСВ. В този контекст състоянието по този параметър е благоприятно.</w:t>
            </w:r>
          </w:p>
        </w:tc>
        <w:tc>
          <w:tcPr>
            <w:tcW w:w="1050"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hAnsi="Times New Roman"/>
                <w:sz w:val="20"/>
                <w:szCs w:val="20"/>
              </w:rPr>
              <w:lastRenderedPageBreak/>
              <w:t xml:space="preserve">Поддържане на състоянието на </w:t>
            </w:r>
            <w:r w:rsidRPr="00184B62">
              <w:rPr>
                <w:rFonts w:ascii="Times New Roman" w:hAnsi="Times New Roman"/>
                <w:sz w:val="20"/>
                <w:szCs w:val="20"/>
              </w:rPr>
              <w:lastRenderedPageBreak/>
              <w:t>подходящото местообитание на вида в защитената зона при отсъствие на морфологични промени в речното корито</w:t>
            </w:r>
          </w:p>
        </w:tc>
      </w:tr>
    </w:tbl>
    <w:p w:rsidR="00184B62" w:rsidRPr="00184B62" w:rsidRDefault="00184B62" w:rsidP="00184B62">
      <w:pPr>
        <w:spacing w:before="120" w:after="120" w:line="240" w:lineRule="auto"/>
        <w:jc w:val="both"/>
        <w:rPr>
          <w:rFonts w:ascii="Times New Roman" w:eastAsia="Calibri" w:hAnsi="Times New Roman"/>
          <w:b/>
          <w:sz w:val="24"/>
          <w:szCs w:val="24"/>
        </w:rPr>
      </w:pPr>
    </w:p>
    <w:p w:rsidR="00184B62" w:rsidRPr="00184B62" w:rsidRDefault="00184B62" w:rsidP="00184B62">
      <w:pPr>
        <w:spacing w:before="120" w:after="120" w:line="240" w:lineRule="auto"/>
        <w:jc w:val="both"/>
        <w:rPr>
          <w:rFonts w:ascii="Times New Roman" w:eastAsia="Calibri" w:hAnsi="Times New Roman"/>
          <w:b/>
          <w:sz w:val="24"/>
          <w:szCs w:val="24"/>
        </w:rPr>
      </w:pPr>
      <w:r w:rsidRPr="00184B62">
        <w:rPr>
          <w:rFonts w:ascii="Times New Roman" w:eastAsia="Calibri" w:hAnsi="Times New Roman"/>
          <w:b/>
          <w:sz w:val="24"/>
          <w:szCs w:val="24"/>
          <w:lang w:val="en-US"/>
        </w:rPr>
        <w:t xml:space="preserve">7. </w:t>
      </w:r>
      <w:r w:rsidRPr="00184B62">
        <w:rPr>
          <w:rFonts w:ascii="Times New Roman" w:eastAsia="Calibri" w:hAnsi="Times New Roman"/>
          <w:b/>
          <w:sz w:val="24"/>
          <w:szCs w:val="24"/>
        </w:rPr>
        <w:t>Необходимост от актуализация на СФ на защитената зона</w:t>
      </w:r>
    </w:p>
    <w:p w:rsidR="00184B62" w:rsidRPr="00184B62" w:rsidRDefault="00184B62" w:rsidP="00184B62">
      <w:pPr>
        <w:spacing w:before="120" w:after="12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 xml:space="preserve">Необходима е промяна в </w:t>
      </w:r>
      <w:r w:rsidR="005A0A3C">
        <w:rPr>
          <w:rFonts w:ascii="Times New Roman" w:eastAsia="Calibri" w:hAnsi="Times New Roman"/>
          <w:sz w:val="24"/>
          <w:szCs w:val="24"/>
        </w:rPr>
        <w:t>СФ</w:t>
      </w:r>
      <w:r w:rsidRPr="00184B62">
        <w:rPr>
          <w:rFonts w:ascii="Times New Roman" w:eastAsia="Calibri" w:hAnsi="Times New Roman"/>
          <w:sz w:val="24"/>
          <w:szCs w:val="24"/>
        </w:rPr>
        <w:t>. Промяната се налага поради необходимостта да се промени единицата за популация.</w:t>
      </w:r>
    </w:p>
    <w:p w:rsidR="00184B62" w:rsidRPr="00184B62" w:rsidRDefault="00184B62" w:rsidP="00184B62">
      <w:pPr>
        <w:spacing w:before="120" w:after="120" w:line="240" w:lineRule="auto"/>
        <w:ind w:firstLine="720"/>
        <w:jc w:val="both"/>
        <w:rPr>
          <w:rFonts w:ascii="Times New Roman" w:eastAsia="Calibri" w:hAnsi="Times New Roman"/>
          <w:sz w:val="24"/>
          <w:szCs w:val="24"/>
          <w:lang w:eastAsia="en-GB"/>
        </w:rPr>
      </w:pPr>
      <w:r w:rsidRPr="00184B62">
        <w:rPr>
          <w:rFonts w:ascii="Times New Roman" w:eastAsia="Calibri" w:hAnsi="Times New Roman"/>
          <w:sz w:val="24"/>
          <w:lang w:eastAsia="en-GB"/>
        </w:rPr>
        <w:t>Предложените промени са маркирани в червено.</w:t>
      </w: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717"/>
        <w:gridCol w:w="1172"/>
        <w:gridCol w:w="450"/>
        <w:gridCol w:w="537"/>
        <w:gridCol w:w="397"/>
        <w:gridCol w:w="722"/>
        <w:gridCol w:w="758"/>
        <w:gridCol w:w="938"/>
        <w:gridCol w:w="666"/>
        <w:gridCol w:w="884"/>
        <w:gridCol w:w="1050"/>
        <w:gridCol w:w="690"/>
        <w:gridCol w:w="554"/>
        <w:gridCol w:w="585"/>
      </w:tblGrid>
      <w:tr w:rsidR="00184B62" w:rsidRPr="00184B62" w:rsidTr="005A0A3C">
        <w:trPr>
          <w:jc w:val="center"/>
        </w:trPr>
        <w:tc>
          <w:tcPr>
            <w:tcW w:w="3266" w:type="dxa"/>
            <w:gridSpan w:val="5"/>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4365" w:type="dxa"/>
            <w:gridSpan w:val="6"/>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2879" w:type="dxa"/>
            <w:gridSpan w:val="4"/>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rPr>
          <w:trHeight w:val="617"/>
          <w:jc w:val="center"/>
        </w:trPr>
        <w:tc>
          <w:tcPr>
            <w:tcW w:w="39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1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172"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45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53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39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480" w:type="dxa"/>
            <w:gridSpan w:val="2"/>
            <w:shd w:val="clear" w:color="auto" w:fill="D9D9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938"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66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8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105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829" w:type="dxa"/>
            <w:gridSpan w:val="3"/>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rPr>
          <w:jc w:val="center"/>
        </w:trPr>
        <w:tc>
          <w:tcPr>
            <w:tcW w:w="39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1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172"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5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3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39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722"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758"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938"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6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8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105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69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5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585"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39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I</w:t>
            </w:r>
          </w:p>
        </w:tc>
        <w:tc>
          <w:tcPr>
            <w:tcW w:w="717"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4045</w:t>
            </w:r>
          </w:p>
        </w:tc>
        <w:tc>
          <w:tcPr>
            <w:tcW w:w="1172" w:type="dxa"/>
            <w:shd w:val="clear" w:color="auto" w:fill="auto"/>
            <w:vAlign w:val="center"/>
          </w:tcPr>
          <w:p w:rsidR="00184B62" w:rsidRPr="00184B62" w:rsidRDefault="00184B62" w:rsidP="00184B62">
            <w:pPr>
              <w:spacing w:before="120" w:after="120" w:line="240" w:lineRule="auto"/>
              <w:jc w:val="both"/>
              <w:rPr>
                <w:rFonts w:ascii="Times New Roman" w:hAnsi="Times New Roman"/>
                <w:i/>
                <w:sz w:val="20"/>
                <w:szCs w:val="20"/>
                <w:lang w:val="en-US"/>
              </w:rPr>
            </w:pPr>
            <w:r w:rsidRPr="00184B62">
              <w:rPr>
                <w:rFonts w:ascii="Times New Roman" w:hAnsi="Times New Roman"/>
                <w:i/>
                <w:sz w:val="20"/>
                <w:szCs w:val="20"/>
                <w:lang w:val="en-US"/>
              </w:rPr>
              <w:t>Coenagrion ornatum</w:t>
            </w:r>
          </w:p>
        </w:tc>
        <w:tc>
          <w:tcPr>
            <w:tcW w:w="45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537"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397"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р</w:t>
            </w:r>
          </w:p>
        </w:tc>
        <w:tc>
          <w:tcPr>
            <w:tcW w:w="722"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1</w:t>
            </w:r>
          </w:p>
        </w:tc>
        <w:tc>
          <w:tcPr>
            <w:tcW w:w="758"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1</w:t>
            </w:r>
          </w:p>
        </w:tc>
        <w:tc>
          <w:tcPr>
            <w:tcW w:w="938"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eastAsia="Calibri" w:hAnsi="Times New Roman"/>
                <w:color w:val="FF0000"/>
                <w:sz w:val="20"/>
                <w:szCs w:val="20"/>
                <w:lang w:val="en-US" w:eastAsia="en-GB"/>
              </w:rPr>
              <w:t>grid 1x1 km</w:t>
            </w:r>
          </w:p>
        </w:tc>
        <w:tc>
          <w:tcPr>
            <w:tcW w:w="66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R</w:t>
            </w:r>
          </w:p>
        </w:tc>
        <w:tc>
          <w:tcPr>
            <w:tcW w:w="88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G</w:t>
            </w:r>
          </w:p>
        </w:tc>
        <w:tc>
          <w:tcPr>
            <w:tcW w:w="105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69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A</w:t>
            </w:r>
          </w:p>
        </w:tc>
        <w:tc>
          <w:tcPr>
            <w:tcW w:w="55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A</w:t>
            </w:r>
          </w:p>
        </w:tc>
        <w:tc>
          <w:tcPr>
            <w:tcW w:w="585"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lang w:val="en-US"/>
              </w:rPr>
              <w:t>A</w:t>
            </w:r>
          </w:p>
        </w:tc>
      </w:tr>
    </w:tbl>
    <w:p w:rsidR="00184B62" w:rsidRPr="00184B62" w:rsidRDefault="00184B62" w:rsidP="00184B62">
      <w:pPr>
        <w:spacing w:before="120" w:after="120" w:line="240" w:lineRule="auto"/>
        <w:jc w:val="both"/>
        <w:rPr>
          <w:rFonts w:ascii="Times New Roman" w:eastAsia="Calibri" w:hAnsi="Times New Roman"/>
          <w:b/>
          <w:sz w:val="24"/>
          <w:szCs w:val="24"/>
        </w:rPr>
      </w:pPr>
      <w:r w:rsidRPr="00184B62">
        <w:rPr>
          <w:rFonts w:ascii="Times New Roman" w:eastAsia="Calibri" w:hAnsi="Times New Roman"/>
          <w:b/>
          <w:sz w:val="24"/>
          <w:szCs w:val="24"/>
          <w:lang w:val="en-US"/>
        </w:rPr>
        <w:t xml:space="preserve">8. </w:t>
      </w:r>
      <w:r w:rsidRPr="00184B62">
        <w:rPr>
          <w:rFonts w:ascii="Times New Roman" w:eastAsia="Calibri" w:hAnsi="Times New Roman"/>
          <w:b/>
          <w:sz w:val="24"/>
          <w:szCs w:val="24"/>
        </w:rPr>
        <w:t>Цитирана литература</w:t>
      </w:r>
    </w:p>
    <w:p w:rsidR="00184B62" w:rsidRPr="00184B62" w:rsidRDefault="00184B62" w:rsidP="00184B62">
      <w:pPr>
        <w:spacing w:after="0" w:line="240" w:lineRule="auto"/>
        <w:ind w:left="709" w:hanging="709"/>
        <w:rPr>
          <w:rFonts w:ascii="Times New Roman" w:eastAsia="Calibri" w:hAnsi="Times New Roman"/>
          <w:sz w:val="24"/>
          <w:szCs w:val="24"/>
        </w:rPr>
      </w:pPr>
      <w:r w:rsidRPr="00184B62">
        <w:rPr>
          <w:rFonts w:ascii="Times New Roman" w:eastAsia="Calibri" w:hAnsi="Times New Roman"/>
          <w:sz w:val="24"/>
          <w:szCs w:val="24"/>
          <w:lang w:val="en-US"/>
        </w:rPr>
        <w:t>Dijkstra, K.-D., Lewington, R. 2006. Field Guide to the Dragonflies of Britain and Europe. British Wildlife Publishing; 1-320.</w:t>
      </w:r>
    </w:p>
    <w:p w:rsidR="00184B62" w:rsidRPr="00184B62" w:rsidRDefault="00184B62" w:rsidP="00184B62">
      <w:pPr>
        <w:spacing w:after="0" w:line="240" w:lineRule="auto"/>
        <w:ind w:left="709" w:hanging="709"/>
        <w:rPr>
          <w:rFonts w:ascii="Times New Roman" w:eastAsia="Calibri" w:hAnsi="Times New Roman"/>
          <w:sz w:val="24"/>
          <w:szCs w:val="24"/>
          <w:lang w:val="en-US"/>
        </w:rPr>
      </w:pPr>
      <w:r w:rsidRPr="00184B62">
        <w:rPr>
          <w:rFonts w:ascii="Times New Roman" w:eastAsia="Calibri" w:hAnsi="Times New Roman"/>
          <w:sz w:val="24"/>
          <w:szCs w:val="24"/>
          <w:lang w:val="en-US"/>
        </w:rPr>
        <w:t>Gerken, B., Sternberg, K. 1999. Die Exuvien europäischer Libellen (Insecta: Odonata). Höxter. Jena: i-vi &amp; 1-354.</w:t>
      </w:r>
    </w:p>
    <w:p w:rsidR="00184B62" w:rsidRPr="00184B62" w:rsidRDefault="00184B62" w:rsidP="00184B62">
      <w:pPr>
        <w:spacing w:after="0" w:line="240" w:lineRule="auto"/>
        <w:ind w:left="709" w:hanging="709"/>
        <w:rPr>
          <w:rFonts w:ascii="Times New Roman" w:eastAsia="Calibri" w:hAnsi="Times New Roman"/>
          <w:sz w:val="24"/>
          <w:szCs w:val="24"/>
        </w:rPr>
      </w:pPr>
      <w:r w:rsidRPr="00184B62">
        <w:rPr>
          <w:rFonts w:ascii="Times New Roman" w:eastAsia="Calibri" w:hAnsi="Times New Roman"/>
          <w:sz w:val="24"/>
          <w:szCs w:val="24"/>
        </w:rPr>
        <w:t xml:space="preserve">Tichanek, F., Tropek, R. 2016. Sex-specific spatial patterns in the threatened damselfly </w:t>
      </w:r>
      <w:r w:rsidRPr="00184B62">
        <w:rPr>
          <w:rFonts w:ascii="Times New Roman" w:eastAsia="Calibri" w:hAnsi="Times New Roman"/>
          <w:i/>
          <w:sz w:val="24"/>
          <w:szCs w:val="24"/>
        </w:rPr>
        <w:t>Coenagrion ornatum</w:t>
      </w:r>
      <w:r w:rsidRPr="00184B62">
        <w:rPr>
          <w:rFonts w:ascii="Times New Roman" w:eastAsia="Calibri" w:hAnsi="Times New Roman"/>
          <w:sz w:val="24"/>
          <w:szCs w:val="24"/>
        </w:rPr>
        <w:t>: implications for the species’ conservation and monitoring. Journal of Insect Conservation, 20: 1107-1112.</w:t>
      </w:r>
    </w:p>
    <w:p w:rsidR="00184B62" w:rsidRPr="00184B62" w:rsidRDefault="00184B62" w:rsidP="00184B62">
      <w:pPr>
        <w:spacing w:after="0" w:line="240" w:lineRule="auto"/>
        <w:ind w:left="709" w:hanging="709"/>
        <w:rPr>
          <w:rFonts w:ascii="Times New Roman" w:eastAsia="Calibri" w:hAnsi="Times New Roman"/>
          <w:sz w:val="24"/>
          <w:szCs w:val="24"/>
        </w:rPr>
      </w:pPr>
      <w:r w:rsidRPr="00184B62">
        <w:rPr>
          <w:rFonts w:ascii="Times New Roman" w:eastAsia="Calibri" w:hAnsi="Times New Roman"/>
          <w:sz w:val="24"/>
          <w:szCs w:val="24"/>
        </w:rPr>
        <w:t>Waldhauser, M.</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Mikát, M. 2010. New records of </w:t>
      </w:r>
      <w:r w:rsidRPr="00184B62">
        <w:rPr>
          <w:rFonts w:ascii="Times New Roman" w:eastAsia="Calibri" w:hAnsi="Times New Roman"/>
          <w:i/>
          <w:sz w:val="24"/>
          <w:szCs w:val="24"/>
        </w:rPr>
        <w:t>Coenagrion ornatum</w:t>
      </w:r>
      <w:r w:rsidRPr="00184B62">
        <w:rPr>
          <w:rFonts w:ascii="Times New Roman" w:eastAsia="Calibri" w:hAnsi="Times New Roman"/>
          <w:sz w:val="24"/>
          <w:szCs w:val="24"/>
        </w:rPr>
        <w:t xml:space="preserve"> in the Czech Republic (Odonata: coenagrionidae). Libellula, 29</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(1/2): 29-46.</w:t>
      </w:r>
    </w:p>
    <w:p w:rsidR="00184B62" w:rsidRPr="00184B62" w:rsidRDefault="00184B62" w:rsidP="00184B62">
      <w:pPr>
        <w:spacing w:after="0" w:line="240" w:lineRule="auto"/>
        <w:ind w:left="709" w:hanging="709"/>
        <w:rPr>
          <w:rFonts w:ascii="Times New Roman" w:eastAsia="Calibri" w:hAnsi="Times New Roman"/>
          <w:sz w:val="24"/>
          <w:szCs w:val="24"/>
        </w:rPr>
      </w:pPr>
    </w:p>
    <w:p w:rsidR="00184B62" w:rsidRPr="00184B62" w:rsidRDefault="00184B62" w:rsidP="00184B62">
      <w:pPr>
        <w:spacing w:after="0" w:line="240" w:lineRule="auto"/>
        <w:ind w:left="709" w:hanging="709"/>
        <w:contextualSpacing/>
        <w:jc w:val="both"/>
        <w:rPr>
          <w:rFonts w:ascii="Times New Roman" w:hAnsi="Times New Roman"/>
          <w:bCs/>
          <w:sz w:val="24"/>
          <w:szCs w:val="24"/>
          <w:lang w:eastAsia="bg-BG"/>
        </w:rPr>
      </w:pPr>
      <w:r w:rsidRPr="00184B62">
        <w:rPr>
          <w:rFonts w:ascii="Times New Roman" w:hAnsi="Times New Roman"/>
          <w:bCs/>
          <w:i/>
          <w:sz w:val="24"/>
          <w:szCs w:val="24"/>
          <w:lang w:eastAsia="bg-BG"/>
        </w:rPr>
        <w:t>Автор:</w:t>
      </w:r>
      <w:r w:rsidRPr="00184B62">
        <w:rPr>
          <w:rFonts w:ascii="Times New Roman" w:hAnsi="Times New Roman"/>
          <w:bCs/>
          <w:sz w:val="24"/>
          <w:szCs w:val="24"/>
          <w:lang w:eastAsia="bg-BG"/>
        </w:rPr>
        <w:t xml:space="preserve"> Тошко Любомиров</w:t>
      </w:r>
    </w:p>
    <w:p w:rsidR="00184B62" w:rsidRPr="00184B62" w:rsidRDefault="00184B62" w:rsidP="00184B62">
      <w:pPr>
        <w:spacing w:after="0" w:line="240" w:lineRule="auto"/>
        <w:ind w:left="709" w:hanging="709"/>
        <w:rPr>
          <w:rFonts w:ascii="Times New Roman" w:eastAsia="Calibri" w:hAnsi="Times New Roman"/>
          <w:sz w:val="24"/>
          <w:szCs w:val="24"/>
          <w:highlight w:val="yellow"/>
        </w:rPr>
      </w:pPr>
    </w:p>
    <w:p w:rsidR="00184B62" w:rsidRPr="0070678B" w:rsidRDefault="00184B62" w:rsidP="0070678B">
      <w:pPr>
        <w:rPr>
          <w:rFonts w:ascii="Times New Roman" w:hAnsi="Times New Roman"/>
          <w:color w:val="1F497D" w:themeColor="text2"/>
          <w:sz w:val="28"/>
          <w:szCs w:val="28"/>
        </w:rPr>
      </w:pPr>
    </w:p>
    <w:p w:rsidR="0070678B" w:rsidRDefault="00D77A67" w:rsidP="003A4F26">
      <w:pPr>
        <w:outlineLvl w:val="1"/>
        <w:rPr>
          <w:rFonts w:ascii="Times New Roman" w:hAnsi="Times New Roman"/>
          <w:i/>
          <w:color w:val="1F497D" w:themeColor="text2"/>
          <w:sz w:val="28"/>
          <w:szCs w:val="28"/>
        </w:rPr>
      </w:pPr>
      <w:bookmarkStart w:id="18" w:name="_Toc98838537"/>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1083 </w:t>
      </w:r>
      <w:r w:rsidR="0070678B" w:rsidRPr="00D77A67">
        <w:rPr>
          <w:rFonts w:ascii="Times New Roman" w:hAnsi="Times New Roman"/>
          <w:i/>
          <w:color w:val="1F497D" w:themeColor="text2"/>
          <w:sz w:val="28"/>
          <w:szCs w:val="28"/>
        </w:rPr>
        <w:t>Lucanus cervus</w:t>
      </w:r>
      <w:bookmarkEnd w:id="18"/>
    </w:p>
    <w:p w:rsidR="00184B62" w:rsidRPr="00184B62" w:rsidRDefault="00184B62" w:rsidP="00184B62">
      <w:pPr>
        <w:spacing w:before="120" w:after="120" w:line="240" w:lineRule="auto"/>
        <w:rPr>
          <w:rFonts w:ascii="Times New Roman" w:eastAsia="Calibri" w:hAnsi="Times New Roman"/>
          <w:bCs/>
          <w:sz w:val="24"/>
          <w:szCs w:val="24"/>
        </w:rPr>
      </w:pPr>
      <w:r w:rsidRPr="00184B62">
        <w:rPr>
          <w:rFonts w:ascii="Times New Roman" w:eastAsia="Calibri" w:hAnsi="Times New Roman"/>
          <w:b/>
          <w:bCs/>
          <w:sz w:val="24"/>
          <w:szCs w:val="24"/>
        </w:rPr>
        <w:t>1. Код и наименование на вида:</w:t>
      </w:r>
      <w:r w:rsidRPr="00184B62">
        <w:rPr>
          <w:rFonts w:ascii="Times New Roman" w:eastAsia="Calibri" w:hAnsi="Times New Roman"/>
          <w:b/>
          <w:bCs/>
          <w:sz w:val="24"/>
          <w:szCs w:val="24"/>
          <w:lang w:val="en-US"/>
        </w:rPr>
        <w:t xml:space="preserve"> </w:t>
      </w:r>
      <w:r w:rsidRPr="00184B62">
        <w:rPr>
          <w:rFonts w:ascii="Times New Roman" w:eastAsia="Calibri" w:hAnsi="Times New Roman"/>
          <w:bCs/>
          <w:sz w:val="24"/>
          <w:szCs w:val="24"/>
        </w:rPr>
        <w:t xml:space="preserve">1083 </w:t>
      </w:r>
      <w:r w:rsidRPr="00184B62">
        <w:rPr>
          <w:rFonts w:ascii="Times New Roman" w:eastAsia="Calibri" w:hAnsi="Times New Roman"/>
          <w:bCs/>
          <w:i/>
          <w:sz w:val="24"/>
          <w:szCs w:val="24"/>
          <w:lang w:val="en-US"/>
        </w:rPr>
        <w:t>Lucanus cervus</w:t>
      </w:r>
      <w:r w:rsidRPr="00184B62">
        <w:rPr>
          <w:rFonts w:ascii="Times New Roman" w:eastAsia="Calibri" w:hAnsi="Times New Roman"/>
          <w:bCs/>
          <w:sz w:val="24"/>
          <w:szCs w:val="24"/>
        </w:rPr>
        <w:t xml:space="preserve"> – Еленов рогач</w:t>
      </w:r>
    </w:p>
    <w:p w:rsidR="00184B62" w:rsidRPr="00184B62" w:rsidRDefault="00184B62" w:rsidP="00184B62">
      <w:pPr>
        <w:spacing w:before="120" w:after="120" w:line="240" w:lineRule="auto"/>
        <w:rPr>
          <w:rFonts w:ascii="Times New Roman" w:eastAsia="Calibri" w:hAnsi="Times New Roman"/>
          <w:b/>
          <w:bCs/>
          <w:sz w:val="24"/>
          <w:szCs w:val="24"/>
        </w:rPr>
      </w:pPr>
      <w:r w:rsidRPr="00184B62">
        <w:rPr>
          <w:rFonts w:ascii="Times New Roman" w:eastAsia="Calibri" w:hAnsi="Times New Roman"/>
          <w:b/>
          <w:bCs/>
          <w:sz w:val="24"/>
          <w:szCs w:val="24"/>
        </w:rPr>
        <w:t>2. Кратка характеристика на целевия обект</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lastRenderedPageBreak/>
        <w:t>Еленовият рогач е едно от най-добре познатите на широката аудитория видове насекоми. Политипичен вид, чиито популации се срещат в Европа, Турция, Сирия, Ливан и Израел. Обитава най-често покрайнините (екотона) на просветлени широколистни и смесени гори.</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Еленовият рогач е най-едрият бръмбар в България, достигайки до 90 mm дължина. Има добре изразен полов диморфизъм – мъжките имат по-големи размери, широка глава, силно развити и удължени горни челюсти. Мъжките индивиди водят борби за надмощие с помощта на силно развитите си челюсти при намиране на женска. Ларвата се развива обикновено 5-6 (максимално до 8) години в гнила дървесина на дънери, пънове и</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корени. Възрастните бръмбари най-често се наблюдават през ранното лято. Те са активни привечер и в ранните часове на нощта като летят и могат да се видят често привлечени от различни източници на светлина. </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Бръмбърът-рогач обитава широколистни гори от низините докъм 1000</w:t>
      </w:r>
      <w:r w:rsidRPr="00184B62">
        <w:t xml:space="preserve"> </w:t>
      </w:r>
      <w:r w:rsidRPr="00184B62">
        <w:rPr>
          <w:rFonts w:ascii="Times New Roman" w:eastAsia="Calibri" w:hAnsi="Times New Roman"/>
          <w:sz w:val="24"/>
          <w:szCs w:val="24"/>
          <w:lang w:val="en-US"/>
        </w:rPr>
        <w:t>m н.в.</w:t>
      </w:r>
      <w:r w:rsidRPr="00184B62">
        <w:rPr>
          <w:rFonts w:ascii="Times New Roman" w:eastAsia="Calibri" w:hAnsi="Times New Roman"/>
          <w:sz w:val="24"/>
          <w:szCs w:val="24"/>
        </w:rPr>
        <w:t xml:space="preserve">, рядко по-високо в южните части на България. Ларвите се развиват в гниеща дървесина на нивото на почвата (често в контакт с нея) (в паднали дънери или коренища на мъртви дървета) от разнообразни видове дървета от родовете </w:t>
      </w:r>
      <w:r w:rsidRPr="00184B62">
        <w:rPr>
          <w:rFonts w:ascii="Times New Roman" w:eastAsia="Calibri" w:hAnsi="Times New Roman"/>
          <w:i/>
          <w:sz w:val="24"/>
          <w:szCs w:val="24"/>
        </w:rPr>
        <w:t>Quercus, Fagus, Salix, Populus, Tilia, Aesculus, Ulmus, P</w:t>
      </w:r>
      <w:r w:rsidRPr="00184B62">
        <w:rPr>
          <w:rFonts w:ascii="Times New Roman" w:eastAsia="Calibri" w:hAnsi="Times New Roman"/>
          <w:i/>
          <w:sz w:val="24"/>
          <w:szCs w:val="24"/>
          <w:lang w:val="en-US"/>
        </w:rPr>
        <w:t>y</w:t>
      </w:r>
      <w:r w:rsidRPr="00184B62">
        <w:rPr>
          <w:rFonts w:ascii="Times New Roman" w:eastAsia="Calibri" w:hAnsi="Times New Roman"/>
          <w:i/>
          <w:sz w:val="24"/>
          <w:szCs w:val="24"/>
        </w:rPr>
        <w:t>rus, Prunus, Fraxinus</w:t>
      </w:r>
      <w:r w:rsidRPr="00184B62">
        <w:rPr>
          <w:rFonts w:ascii="Times New Roman" w:eastAsia="Calibri" w:hAnsi="Times New Roman"/>
          <w:sz w:val="24"/>
          <w:szCs w:val="24"/>
        </w:rPr>
        <w:t xml:space="preserve"> и дори </w:t>
      </w:r>
      <w:r w:rsidRPr="00184B62">
        <w:rPr>
          <w:rFonts w:ascii="Times New Roman" w:eastAsia="Calibri" w:hAnsi="Times New Roman"/>
          <w:i/>
          <w:sz w:val="24"/>
          <w:szCs w:val="24"/>
        </w:rPr>
        <w:t>Castanea</w:t>
      </w:r>
      <w:r w:rsidRPr="00184B62">
        <w:rPr>
          <w:rFonts w:ascii="Times New Roman" w:eastAsia="Calibri" w:hAnsi="Times New Roman"/>
          <w:sz w:val="24"/>
          <w:szCs w:val="24"/>
        </w:rPr>
        <w:t xml:space="preserve">, </w:t>
      </w:r>
      <w:r w:rsidRPr="00184B62">
        <w:rPr>
          <w:rFonts w:ascii="Times New Roman" w:eastAsia="Calibri" w:hAnsi="Times New Roman"/>
          <w:i/>
          <w:sz w:val="24"/>
          <w:szCs w:val="24"/>
        </w:rPr>
        <w:t>Alnus</w:t>
      </w:r>
      <w:r w:rsidRPr="00184B62">
        <w:rPr>
          <w:rFonts w:ascii="Times New Roman" w:eastAsia="Calibri" w:hAnsi="Times New Roman"/>
          <w:sz w:val="24"/>
          <w:szCs w:val="24"/>
        </w:rPr>
        <w:t xml:space="preserve"> и </w:t>
      </w:r>
      <w:r w:rsidRPr="00184B62">
        <w:rPr>
          <w:rFonts w:ascii="Times New Roman" w:eastAsia="Calibri" w:hAnsi="Times New Roman"/>
          <w:i/>
          <w:sz w:val="24"/>
          <w:szCs w:val="24"/>
        </w:rPr>
        <w:t>Pinus</w:t>
      </w:r>
      <w:r w:rsidRPr="00184B62">
        <w:rPr>
          <w:rFonts w:ascii="Times New Roman" w:eastAsia="Calibri" w:hAnsi="Times New Roman"/>
          <w:sz w:val="24"/>
          <w:szCs w:val="24"/>
        </w:rPr>
        <w:t xml:space="preserve"> (</w:t>
      </w:r>
      <w:r w:rsidRPr="00184B62">
        <w:rPr>
          <w:rFonts w:ascii="Times New Roman" w:eastAsia="Calibri" w:hAnsi="Times New Roman"/>
          <w:sz w:val="24"/>
          <w:szCs w:val="24"/>
          <w:lang w:val="en-US"/>
        </w:rPr>
        <w:t>Bardiani et al. 2017</w:t>
      </w:r>
      <w:r w:rsidRPr="00184B62">
        <w:rPr>
          <w:rFonts w:ascii="Times New Roman" w:eastAsia="Calibri" w:hAnsi="Times New Roman"/>
          <w:sz w:val="24"/>
          <w:szCs w:val="24"/>
        </w:rPr>
        <w:t>). Ларвите се хранят с разлагащата се дървесина на дървото. Хранителните качества на различните дървесни видове изглежда играят някаква роля при избора, въпреки че може би решаващ е стадият на разпадане на дървесината чрез подготвящото действие на гъбите (доколко от значение е и видът на гъбата все още е неизвестно). Възрастните имагинират обикновено през май и се срещат до септември, в зависимост от надморската височина и географската ширина. Възрастните са най-активни при здрач, като в пика на размножаването мъжките летят масово през нощта (обикновено през юни). След копулацията, женските дълбаят дълги галерии в земята близо до подходящ хранителен източник (мъртва дървесина) (Harvey et al. 2011). След снасянето на яйцата женските умират</w:t>
      </w:r>
      <w:r w:rsidRPr="00184B62">
        <w:rPr>
          <w:rFonts w:ascii="Times New Roman" w:eastAsia="Calibri" w:hAnsi="Times New Roman"/>
          <w:sz w:val="24"/>
          <w:szCs w:val="24"/>
          <w:lang w:val="en-US"/>
        </w:rPr>
        <w:t xml:space="preserve"> (Franciscolo 1997)</w:t>
      </w:r>
      <w:r w:rsidRPr="00184B62">
        <w:rPr>
          <w:rFonts w:ascii="Times New Roman" w:eastAsia="Calibri" w:hAnsi="Times New Roman"/>
          <w:sz w:val="24"/>
          <w:szCs w:val="24"/>
        </w:rPr>
        <w:t>. Развитието на ларвата е между 3 и 6 години, обикновено 4 (Harvey et al. 2011), след което какавидирането става в почвата. Продължителността на живот на възрастните е между 2 и 3 месеца (Harvey et al. 2011). Видът като цяло е способен и склонен да лети. Според Bardiani et al. (2017), възрастните обитават територия с площ 7600-14500</w:t>
      </w:r>
      <w:r w:rsidRPr="00184B62">
        <w:t xml:space="preserve"> </w:t>
      </w:r>
      <w:r w:rsidRPr="00184B62">
        <w:rPr>
          <w:rFonts w:ascii="Times New Roman" w:eastAsia="Calibri" w:hAnsi="Times New Roman"/>
          <w:sz w:val="24"/>
          <w:szCs w:val="24"/>
        </w:rPr>
        <w:t>m</w:t>
      </w:r>
      <w:r w:rsidRPr="00184B62">
        <w:rPr>
          <w:rFonts w:ascii="Times New Roman" w:eastAsia="Calibri" w:hAnsi="Times New Roman"/>
          <w:sz w:val="24"/>
          <w:szCs w:val="24"/>
          <w:vertAlign w:val="superscript"/>
        </w:rPr>
        <w:t>2</w:t>
      </w:r>
      <w:r w:rsidRPr="00184B62">
        <w:rPr>
          <w:rFonts w:ascii="Times New Roman" w:eastAsia="Calibri" w:hAnsi="Times New Roman"/>
          <w:sz w:val="24"/>
          <w:szCs w:val="24"/>
        </w:rPr>
        <w:t xml:space="preserve"> за мъжките и 3500-9500  m</w:t>
      </w:r>
      <w:r w:rsidRPr="00184B62">
        <w:rPr>
          <w:rFonts w:ascii="Times New Roman" w:eastAsia="Calibri" w:hAnsi="Times New Roman"/>
          <w:sz w:val="24"/>
          <w:szCs w:val="24"/>
          <w:vertAlign w:val="superscript"/>
        </w:rPr>
        <w:t>2</w:t>
      </w:r>
      <w:r w:rsidRPr="00184B62">
        <w:rPr>
          <w:rFonts w:ascii="Times New Roman" w:eastAsia="Calibri" w:hAnsi="Times New Roman"/>
          <w:sz w:val="24"/>
          <w:szCs w:val="24"/>
        </w:rPr>
        <w:t xml:space="preserve"> за женските, а площта на сърцевинните участъци е 3400 (женски) – 3850 (мъжки) </w:t>
      </w:r>
      <w:r w:rsidRPr="00184B62">
        <w:rPr>
          <w:rFonts w:ascii="Times New Roman" w:eastAsia="Calibri" w:hAnsi="Times New Roman"/>
          <w:sz w:val="24"/>
          <w:szCs w:val="24"/>
          <w:lang w:val="en-US"/>
        </w:rPr>
        <w:t>m</w:t>
      </w:r>
      <w:r w:rsidRPr="00184B62">
        <w:rPr>
          <w:rFonts w:ascii="Times New Roman" w:eastAsia="Calibri" w:hAnsi="Times New Roman"/>
          <w:sz w:val="24"/>
          <w:szCs w:val="24"/>
          <w:vertAlign w:val="superscript"/>
          <w:lang w:val="en-US"/>
        </w:rPr>
        <w:t>2</w:t>
      </w:r>
      <w:r w:rsidRPr="00184B62">
        <w:rPr>
          <w:rFonts w:ascii="Times New Roman" w:eastAsia="Calibri" w:hAnsi="Times New Roman"/>
          <w:sz w:val="24"/>
          <w:szCs w:val="24"/>
        </w:rPr>
        <w:t>. Така, възрастните екземпляри има най-голяма вероятност да се придвижват в кръг с диаметър средно 68 метра.</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 xml:space="preserve">Според Kuźmiński </w:t>
      </w:r>
      <w:r w:rsidRPr="00184B62">
        <w:rPr>
          <w:rFonts w:ascii="Times New Roman" w:eastAsia="Calibri" w:hAnsi="Times New Roman"/>
          <w:sz w:val="24"/>
          <w:szCs w:val="24"/>
          <w:lang w:val="en-US"/>
        </w:rPr>
        <w:t xml:space="preserve">et al. (2020) </w:t>
      </w:r>
      <w:r w:rsidRPr="00184B62">
        <w:rPr>
          <w:rFonts w:ascii="Times New Roman" w:eastAsia="Calibri" w:hAnsi="Times New Roman"/>
          <w:sz w:val="24"/>
          <w:szCs w:val="24"/>
        </w:rPr>
        <w:t>в Централна Европа (Полша), бръмбарът рогач предпочита обширни горски комплекси с гъста гора и значителен дял на дъбови дървета над 80 години. Според същите автори, опазването на вида трябва да се фокусира върху стари дъбови гори, в които не се премахва мъртвата дървесина. В други изследвания, се показва че този вид не е толкова силно привързан към дъбовите гори и тяхната възраст, а по-скоро са важни количествата мъртва дървесина, съотношението между горски и открити площи, температурата и влажността в даден регион (Méndez et al. 2017).</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i/>
          <w:sz w:val="24"/>
          <w:szCs w:val="24"/>
          <w:lang w:val="en-US"/>
        </w:rPr>
        <w:t>Lucanus cervus</w:t>
      </w:r>
      <w:r w:rsidRPr="00184B62">
        <w:rPr>
          <w:rFonts w:ascii="Times New Roman" w:eastAsia="Calibri" w:hAnsi="Times New Roman"/>
          <w:sz w:val="24"/>
          <w:szCs w:val="24"/>
        </w:rPr>
        <w:t xml:space="preserve"> е включен в Приложения II и IV на Директива 92/43/ЕИО. Видът не е включен в Червената книга на България (2011 г.).</w:t>
      </w:r>
    </w:p>
    <w:p w:rsidR="00184B62" w:rsidRPr="00184B62" w:rsidRDefault="00184B62" w:rsidP="00715A84">
      <w:pPr>
        <w:spacing w:after="0" w:line="240" w:lineRule="auto"/>
        <w:ind w:firstLine="720"/>
        <w:jc w:val="both"/>
        <w:rPr>
          <w:rFonts w:ascii="Times New Roman" w:eastAsia="Calibri" w:hAnsi="Times New Roman"/>
          <w:b/>
          <w:sz w:val="24"/>
          <w:szCs w:val="24"/>
        </w:rPr>
      </w:pPr>
      <w:r w:rsidRPr="00184B62">
        <w:rPr>
          <w:rFonts w:ascii="Times New Roman" w:hAnsi="Times New Roman"/>
          <w:i/>
          <w:iCs/>
          <w:sz w:val="24"/>
          <w:szCs w:val="24"/>
        </w:rPr>
        <w:t>Характеристики на местообитанието:</w:t>
      </w:r>
      <w:r w:rsidRPr="00184B62">
        <w:rPr>
          <w:rFonts w:ascii="Times New Roman" w:eastAsia="Calibri" w:hAnsi="Times New Roman"/>
          <w:sz w:val="24"/>
          <w:lang w:eastAsia="en-GB"/>
        </w:rPr>
        <w:t xml:space="preserve"> </w:t>
      </w:r>
      <w:r w:rsidRPr="00184B62">
        <w:rPr>
          <w:rFonts w:ascii="Times New Roman" w:eastAsia="Calibri" w:hAnsi="Times New Roman"/>
          <w:sz w:val="24"/>
          <w:szCs w:val="24"/>
        </w:rPr>
        <w:t xml:space="preserve">Бръмбарът рогач (еленов рогач) е широко разпространен в цялата страна докъм 1000-1400 </w:t>
      </w:r>
      <w:r w:rsidRPr="00184B62">
        <w:rPr>
          <w:rFonts w:ascii="Times New Roman" w:eastAsia="Calibri" w:hAnsi="Times New Roman"/>
          <w:sz w:val="24"/>
          <w:szCs w:val="24"/>
          <w:lang w:val="en-US"/>
        </w:rPr>
        <w:t>m</w:t>
      </w:r>
      <w:r w:rsidRPr="00184B62">
        <w:rPr>
          <w:rFonts w:ascii="Times New Roman" w:eastAsia="Calibri" w:hAnsi="Times New Roman"/>
          <w:sz w:val="24"/>
          <w:szCs w:val="24"/>
        </w:rPr>
        <w:t xml:space="preserve"> н.в. Обитава най-често просветлени широколистни и смесени гори с участие на дъб (</w:t>
      </w:r>
      <w:r w:rsidRPr="00184B62">
        <w:rPr>
          <w:rFonts w:ascii="Times New Roman" w:eastAsia="Calibri" w:hAnsi="Times New Roman"/>
          <w:i/>
          <w:sz w:val="24"/>
          <w:szCs w:val="24"/>
        </w:rPr>
        <w:t>Quercus</w:t>
      </w:r>
      <w:r w:rsidRPr="00184B62">
        <w:rPr>
          <w:rFonts w:ascii="Times New Roman" w:eastAsia="Calibri" w:hAnsi="Times New Roman"/>
          <w:sz w:val="24"/>
          <w:szCs w:val="24"/>
        </w:rPr>
        <w:t>), липа (</w:t>
      </w:r>
      <w:r w:rsidRPr="00184B62">
        <w:rPr>
          <w:rFonts w:ascii="Times New Roman" w:eastAsia="Calibri" w:hAnsi="Times New Roman"/>
          <w:i/>
          <w:sz w:val="24"/>
          <w:szCs w:val="24"/>
        </w:rPr>
        <w:t>Tilia</w:t>
      </w:r>
      <w:r w:rsidRPr="00184B62">
        <w:rPr>
          <w:rFonts w:ascii="Times New Roman" w:eastAsia="Calibri" w:hAnsi="Times New Roman"/>
          <w:sz w:val="24"/>
          <w:szCs w:val="24"/>
        </w:rPr>
        <w:t>), бук (</w:t>
      </w:r>
      <w:r w:rsidRPr="00184B62">
        <w:rPr>
          <w:rFonts w:ascii="Times New Roman" w:eastAsia="Calibri" w:hAnsi="Times New Roman"/>
          <w:i/>
          <w:sz w:val="24"/>
          <w:szCs w:val="24"/>
        </w:rPr>
        <w:t>Fagus</w:t>
      </w:r>
      <w:r w:rsidRPr="00184B62">
        <w:rPr>
          <w:rFonts w:ascii="Times New Roman" w:eastAsia="Calibri" w:hAnsi="Times New Roman"/>
          <w:sz w:val="24"/>
          <w:szCs w:val="24"/>
        </w:rPr>
        <w:t>), върба (</w:t>
      </w:r>
      <w:r w:rsidRPr="00184B62">
        <w:rPr>
          <w:rFonts w:ascii="Times New Roman" w:eastAsia="Calibri" w:hAnsi="Times New Roman"/>
          <w:i/>
          <w:sz w:val="24"/>
          <w:szCs w:val="24"/>
        </w:rPr>
        <w:t>Salix</w:t>
      </w:r>
      <w:r w:rsidRPr="00184B62">
        <w:rPr>
          <w:rFonts w:ascii="Times New Roman" w:eastAsia="Calibri" w:hAnsi="Times New Roman"/>
          <w:sz w:val="24"/>
          <w:szCs w:val="24"/>
        </w:rPr>
        <w:t>), топола (</w:t>
      </w:r>
      <w:r w:rsidRPr="00184B62">
        <w:rPr>
          <w:rFonts w:ascii="Times New Roman" w:eastAsia="Calibri" w:hAnsi="Times New Roman"/>
          <w:i/>
          <w:sz w:val="24"/>
          <w:szCs w:val="24"/>
        </w:rPr>
        <w:t>Populus</w:t>
      </w:r>
      <w:r w:rsidRPr="00184B62">
        <w:rPr>
          <w:rFonts w:ascii="Times New Roman" w:eastAsia="Calibri" w:hAnsi="Times New Roman"/>
          <w:sz w:val="24"/>
          <w:szCs w:val="24"/>
        </w:rPr>
        <w:t xml:space="preserve">). Видът е донякъде зависим от гори от стари дървета с възможно най-голям дял мъртви дървета, предимно пънове (с диаметър &gt; 40 см). </w:t>
      </w:r>
    </w:p>
    <w:p w:rsidR="00184B62" w:rsidRPr="00184B62" w:rsidRDefault="00184B62" w:rsidP="00184B62">
      <w:pPr>
        <w:spacing w:before="120" w:after="120" w:line="240" w:lineRule="auto"/>
        <w:jc w:val="both"/>
        <w:rPr>
          <w:rFonts w:ascii="Times New Roman" w:eastAsia="Calibri" w:hAnsi="Times New Roman"/>
          <w:b/>
          <w:bCs/>
          <w:sz w:val="24"/>
          <w:szCs w:val="24"/>
        </w:rPr>
      </w:pPr>
      <w:r w:rsidRPr="00184B62">
        <w:rPr>
          <w:rFonts w:ascii="Times New Roman" w:eastAsia="Calibri" w:hAnsi="Times New Roman"/>
          <w:b/>
          <w:bCs/>
          <w:sz w:val="24"/>
          <w:szCs w:val="24"/>
        </w:rPr>
        <w:lastRenderedPageBreak/>
        <w:t>3. Състояние на биогеографско ниво и разпространение в мрежата</w:t>
      </w:r>
    </w:p>
    <w:p w:rsidR="00184B62" w:rsidRDefault="00184B62" w:rsidP="00184B62">
      <w:pPr>
        <w:spacing w:before="120" w:after="12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 xml:space="preserve">Съгласно докладването по чл. 17 на Директива за местообитанията през 2013 г. </w:t>
      </w:r>
      <w:r w:rsidRPr="00184B62">
        <w:rPr>
          <w:rFonts w:ascii="Times New Roman" w:eastAsia="Calibri" w:hAnsi="Times New Roman"/>
          <w:sz w:val="24"/>
          <w:szCs w:val="24"/>
          <w:lang w:val="en-US"/>
        </w:rPr>
        <w:t>(</w:t>
      </w:r>
      <w:r w:rsidRPr="00184B62">
        <w:rPr>
          <w:rFonts w:ascii="Times New Roman" w:eastAsia="Calibri" w:hAnsi="Times New Roman"/>
          <w:sz w:val="24"/>
          <w:szCs w:val="24"/>
        </w:rPr>
        <w:t>за периода 2007-2012 г.</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състоянието на вида е благоприятно по всички параметри (FV) във всички биогеографски </w:t>
      </w:r>
      <w:r w:rsidR="00715A84">
        <w:rPr>
          <w:rFonts w:ascii="Times New Roman" w:eastAsia="Calibri" w:hAnsi="Times New Roman"/>
          <w:sz w:val="24"/>
          <w:szCs w:val="24"/>
        </w:rPr>
        <w:t>региони</w:t>
      </w:r>
      <w:r w:rsidRPr="00184B62">
        <w:rPr>
          <w:rFonts w:ascii="Times New Roman" w:eastAsia="Calibri" w:hAnsi="Times New Roman"/>
          <w:sz w:val="24"/>
          <w:szCs w:val="24"/>
        </w:rPr>
        <w:t xml:space="preserve">. При докладването по същата директива през 2019 г. </w:t>
      </w:r>
      <w:r w:rsidRPr="00184B62">
        <w:rPr>
          <w:rFonts w:ascii="Times New Roman" w:eastAsia="Calibri" w:hAnsi="Times New Roman"/>
          <w:sz w:val="24"/>
          <w:szCs w:val="24"/>
          <w:lang w:val="en-US"/>
        </w:rPr>
        <w:t>(</w:t>
      </w:r>
      <w:r w:rsidRPr="00184B62">
        <w:rPr>
          <w:rFonts w:ascii="Times New Roman" w:eastAsia="Calibri" w:hAnsi="Times New Roman"/>
          <w:sz w:val="24"/>
          <w:szCs w:val="24"/>
        </w:rPr>
        <w:t>за периода 2013-2018 г.</w:t>
      </w:r>
      <w:r w:rsidRPr="00184B62">
        <w:rPr>
          <w:rFonts w:ascii="Times New Roman" w:eastAsia="Calibri" w:hAnsi="Times New Roman"/>
          <w:sz w:val="24"/>
          <w:szCs w:val="24"/>
          <w:lang w:val="en-US"/>
        </w:rPr>
        <w:t>)</w:t>
      </w:r>
      <w:r w:rsidRPr="00184B62">
        <w:rPr>
          <w:rFonts w:ascii="Times New Roman" w:eastAsia="Calibri" w:hAnsi="Times New Roman"/>
          <w:sz w:val="24"/>
          <w:szCs w:val="24"/>
        </w:rPr>
        <w:t>, състоянието единствено по параметър популация за алпийския район е променен на неизвестен.</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Посочени са следните по-значими заплахи за вида: използване на пестициди, пожари, сечи и изнасяне на мъртвата дървесина.</w:t>
      </w:r>
    </w:p>
    <w:p w:rsidR="00D374F5" w:rsidRPr="00184B62" w:rsidRDefault="00D374F5" w:rsidP="00184B62">
      <w:pPr>
        <w:spacing w:before="120" w:after="120" w:line="240" w:lineRule="auto"/>
        <w:ind w:firstLine="720"/>
        <w:jc w:val="both"/>
        <w:rPr>
          <w:rFonts w:ascii="Times New Roman" w:eastAsia="Calibri" w:hAnsi="Times New Roman"/>
          <w:sz w:val="24"/>
          <w:szCs w:val="24"/>
        </w:rPr>
      </w:pPr>
      <w:r>
        <w:rPr>
          <w:rFonts w:ascii="Times New Roman" w:eastAsia="Calibri" w:hAnsi="Times New Roman"/>
          <w:sz w:val="24"/>
          <w:szCs w:val="24"/>
        </w:rPr>
        <w:t xml:space="preserve">Видът е записан в Стандартните </w:t>
      </w:r>
      <w:r w:rsidRPr="00F62F40">
        <w:rPr>
          <w:rFonts w:ascii="Times New Roman" w:eastAsia="Calibri" w:hAnsi="Times New Roman"/>
          <w:sz w:val="24"/>
          <w:szCs w:val="24"/>
        </w:rPr>
        <w:t xml:space="preserve">формуляри за данни на </w:t>
      </w:r>
      <w:r>
        <w:rPr>
          <w:rFonts w:ascii="Times New Roman" w:eastAsia="Calibri" w:hAnsi="Times New Roman"/>
          <w:sz w:val="24"/>
          <w:szCs w:val="24"/>
        </w:rPr>
        <w:t>172 зони.</w:t>
      </w:r>
    </w:p>
    <w:p w:rsidR="00184B62" w:rsidRPr="00184B62" w:rsidRDefault="00184B62" w:rsidP="00184B62">
      <w:pPr>
        <w:spacing w:before="120" w:after="0" w:line="240" w:lineRule="auto"/>
        <w:jc w:val="both"/>
        <w:rPr>
          <w:rFonts w:ascii="Times New Roman" w:eastAsia="Calibri" w:hAnsi="Times New Roman"/>
          <w:b/>
          <w:sz w:val="24"/>
          <w:szCs w:val="24"/>
        </w:rPr>
      </w:pPr>
      <w:r w:rsidRPr="00184B62">
        <w:rPr>
          <w:rFonts w:ascii="Times New Roman" w:eastAsia="Calibri" w:hAnsi="Times New Roman"/>
          <w:b/>
          <w:sz w:val="24"/>
          <w:szCs w:val="24"/>
        </w:rPr>
        <w:t>4. Състояние на вида в защитена зона „Сребърна“</w:t>
      </w:r>
    </w:p>
    <w:p w:rsidR="00184B62" w:rsidRPr="00184B62" w:rsidRDefault="00184B62" w:rsidP="00184B62">
      <w:pPr>
        <w:spacing w:before="120" w:after="12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Съгласно Стандартния формуляр за данни (</w:t>
      </w:r>
      <w:r w:rsidR="005A0A3C">
        <w:rPr>
          <w:rFonts w:ascii="Times New Roman" w:eastAsia="Calibri" w:hAnsi="Times New Roman"/>
          <w:sz w:val="24"/>
          <w:szCs w:val="24"/>
        </w:rPr>
        <w:t>СФ</w:t>
      </w:r>
      <w:r w:rsidRPr="00184B62">
        <w:rPr>
          <w:rFonts w:ascii="Times New Roman" w:eastAsia="Calibri" w:hAnsi="Times New Roman"/>
          <w:sz w:val="24"/>
          <w:szCs w:val="24"/>
        </w:rPr>
        <w:t>) за защитена зона Сребърна, данните за вида в зоната са със средно качество, степента на опазване е „</w:t>
      </w:r>
      <w:r w:rsidRPr="00184B62">
        <w:rPr>
          <w:rFonts w:ascii="Times New Roman" w:eastAsia="Calibri" w:hAnsi="Times New Roman"/>
          <w:sz w:val="24"/>
          <w:szCs w:val="24"/>
          <w:lang w:val="en-US"/>
        </w:rPr>
        <w:t>C</w:t>
      </w:r>
      <w:r w:rsidRPr="00184B62">
        <w:rPr>
          <w:rFonts w:ascii="Times New Roman" w:eastAsia="Calibri" w:hAnsi="Times New Roman"/>
          <w:sz w:val="24"/>
          <w:szCs w:val="24"/>
        </w:rPr>
        <w:t>“ (средно съхранение), популацията е неизолирана (оценка „</w:t>
      </w:r>
      <w:r w:rsidRPr="00184B62">
        <w:rPr>
          <w:rFonts w:ascii="Times New Roman" w:eastAsia="Calibri" w:hAnsi="Times New Roman"/>
          <w:sz w:val="24"/>
          <w:szCs w:val="24"/>
          <w:lang w:val="en-US"/>
        </w:rPr>
        <w:t>B</w:t>
      </w:r>
      <w:r w:rsidRPr="00184B62">
        <w:rPr>
          <w:rFonts w:ascii="Times New Roman" w:eastAsia="Calibri" w:hAnsi="Times New Roman"/>
          <w:sz w:val="24"/>
          <w:szCs w:val="24"/>
        </w:rPr>
        <w:t>“), а общото състояние е „</w:t>
      </w:r>
      <w:r w:rsidRPr="00184B62">
        <w:rPr>
          <w:rFonts w:ascii="Times New Roman" w:eastAsia="Calibri" w:hAnsi="Times New Roman"/>
          <w:sz w:val="24"/>
          <w:szCs w:val="24"/>
          <w:lang w:val="en-US"/>
        </w:rPr>
        <w:t>B</w:t>
      </w:r>
      <w:r w:rsidRPr="00184B62">
        <w:rPr>
          <w:rFonts w:ascii="Times New Roman" w:eastAsia="Calibri" w:hAnsi="Times New Roman"/>
          <w:sz w:val="24"/>
          <w:szCs w:val="24"/>
        </w:rPr>
        <w:t xml:space="preserve">“ (добро). </w:t>
      </w:r>
    </w:p>
    <w:p w:rsidR="00184B62" w:rsidRPr="00184B62" w:rsidRDefault="00184B62" w:rsidP="00184B62">
      <w:pPr>
        <w:spacing w:before="120" w:after="120" w:line="240" w:lineRule="auto"/>
        <w:jc w:val="both"/>
        <w:rPr>
          <w:rFonts w:ascii="Times New Roman" w:eastAsia="Calibri" w:hAnsi="Times New Roman"/>
          <w:sz w:val="24"/>
          <w:szCs w:val="24"/>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736"/>
        <w:gridCol w:w="1086"/>
        <w:gridCol w:w="492"/>
        <w:gridCol w:w="556"/>
        <w:gridCol w:w="413"/>
        <w:gridCol w:w="774"/>
        <w:gridCol w:w="811"/>
        <w:gridCol w:w="700"/>
        <w:gridCol w:w="697"/>
        <w:gridCol w:w="899"/>
        <w:gridCol w:w="1084"/>
        <w:gridCol w:w="713"/>
        <w:gridCol w:w="565"/>
        <w:gridCol w:w="588"/>
      </w:tblGrid>
      <w:tr w:rsidR="00184B62" w:rsidRPr="00184B62" w:rsidTr="005A0A3C">
        <w:trPr>
          <w:jc w:val="center"/>
        </w:trPr>
        <w:tc>
          <w:tcPr>
            <w:tcW w:w="3266" w:type="dxa"/>
            <w:gridSpan w:val="5"/>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4294" w:type="dxa"/>
            <w:gridSpan w:val="6"/>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2950" w:type="dxa"/>
            <w:gridSpan w:val="4"/>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rPr>
          <w:trHeight w:val="617"/>
          <w:jc w:val="center"/>
        </w:trPr>
        <w:tc>
          <w:tcPr>
            <w:tcW w:w="39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3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08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492"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55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413"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585" w:type="dxa"/>
            <w:gridSpan w:val="2"/>
            <w:shd w:val="clear" w:color="auto" w:fill="D9D9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70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69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99"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108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866" w:type="dxa"/>
            <w:gridSpan w:val="3"/>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rPr>
          <w:jc w:val="center"/>
        </w:trPr>
        <w:tc>
          <w:tcPr>
            <w:tcW w:w="39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3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08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92"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413"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77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811"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70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9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99"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108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713"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65"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588"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39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I</w:t>
            </w:r>
          </w:p>
        </w:tc>
        <w:tc>
          <w:tcPr>
            <w:tcW w:w="73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10</w:t>
            </w:r>
            <w:r w:rsidRPr="00184B62">
              <w:rPr>
                <w:rFonts w:ascii="Times New Roman" w:hAnsi="Times New Roman"/>
                <w:sz w:val="20"/>
                <w:szCs w:val="20"/>
              </w:rPr>
              <w:t>8</w:t>
            </w:r>
            <w:r w:rsidRPr="00184B62">
              <w:rPr>
                <w:rFonts w:ascii="Times New Roman" w:hAnsi="Times New Roman"/>
                <w:sz w:val="20"/>
                <w:szCs w:val="20"/>
                <w:lang w:val="en-US"/>
              </w:rPr>
              <w:t>3</w:t>
            </w:r>
          </w:p>
        </w:tc>
        <w:tc>
          <w:tcPr>
            <w:tcW w:w="1086" w:type="dxa"/>
            <w:shd w:val="clear" w:color="auto" w:fill="auto"/>
            <w:vAlign w:val="center"/>
          </w:tcPr>
          <w:p w:rsidR="00184B62" w:rsidRPr="00184B62" w:rsidRDefault="00184B62" w:rsidP="00184B62">
            <w:pPr>
              <w:spacing w:before="120" w:after="120" w:line="240" w:lineRule="auto"/>
              <w:jc w:val="both"/>
              <w:rPr>
                <w:rFonts w:ascii="Times New Roman" w:hAnsi="Times New Roman"/>
                <w:i/>
                <w:sz w:val="20"/>
                <w:szCs w:val="20"/>
                <w:lang w:val="en-US"/>
              </w:rPr>
            </w:pPr>
            <w:r w:rsidRPr="00184B62">
              <w:rPr>
                <w:rFonts w:ascii="Times New Roman" w:hAnsi="Times New Roman"/>
                <w:i/>
                <w:sz w:val="20"/>
                <w:szCs w:val="20"/>
                <w:lang w:val="en-US"/>
              </w:rPr>
              <w:t>Lucanus cervus</w:t>
            </w:r>
          </w:p>
        </w:tc>
        <w:tc>
          <w:tcPr>
            <w:tcW w:w="492"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55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413"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р</w:t>
            </w:r>
          </w:p>
        </w:tc>
        <w:tc>
          <w:tcPr>
            <w:tcW w:w="77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42878</w:t>
            </w:r>
          </w:p>
        </w:tc>
        <w:tc>
          <w:tcPr>
            <w:tcW w:w="811"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84349</w:t>
            </w:r>
          </w:p>
        </w:tc>
        <w:tc>
          <w:tcPr>
            <w:tcW w:w="70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i</w:t>
            </w:r>
          </w:p>
        </w:tc>
        <w:tc>
          <w:tcPr>
            <w:tcW w:w="697"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R</w:t>
            </w:r>
          </w:p>
        </w:tc>
        <w:tc>
          <w:tcPr>
            <w:tcW w:w="899"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M</w:t>
            </w:r>
          </w:p>
        </w:tc>
        <w:tc>
          <w:tcPr>
            <w:tcW w:w="108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713"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lang w:val="en-US"/>
              </w:rPr>
              <w:t>B</w:t>
            </w:r>
          </w:p>
        </w:tc>
        <w:tc>
          <w:tcPr>
            <w:tcW w:w="565"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С</w:t>
            </w:r>
          </w:p>
        </w:tc>
        <w:tc>
          <w:tcPr>
            <w:tcW w:w="588"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B</w:t>
            </w:r>
          </w:p>
        </w:tc>
      </w:tr>
    </w:tbl>
    <w:p w:rsidR="00184B62" w:rsidRPr="00184B62" w:rsidRDefault="00184B62" w:rsidP="00184B62">
      <w:pPr>
        <w:spacing w:before="120" w:after="120" w:line="240" w:lineRule="auto"/>
        <w:jc w:val="both"/>
        <w:rPr>
          <w:rFonts w:ascii="Times New Roman" w:eastAsia="Calibri" w:hAnsi="Times New Roman"/>
          <w:sz w:val="24"/>
          <w:szCs w:val="24"/>
        </w:rPr>
      </w:pPr>
    </w:p>
    <w:p w:rsidR="00184B62" w:rsidRPr="00184B62" w:rsidRDefault="00184B62" w:rsidP="00184B62">
      <w:pPr>
        <w:spacing w:before="120" w:after="120" w:line="240" w:lineRule="auto"/>
        <w:jc w:val="both"/>
        <w:rPr>
          <w:rFonts w:ascii="Times New Roman" w:eastAsia="Calibri" w:hAnsi="Times New Roman"/>
          <w:sz w:val="24"/>
          <w:szCs w:val="24"/>
        </w:rPr>
      </w:pPr>
      <w:r w:rsidRPr="00184B62">
        <w:rPr>
          <w:rFonts w:ascii="Times New Roman" w:eastAsia="Calibri" w:hAnsi="Times New Roman"/>
          <w:b/>
          <w:sz w:val="24"/>
          <w:szCs w:val="24"/>
          <w:lang w:eastAsia="bg-BG"/>
        </w:rPr>
        <w:t>5. Анализ на наличната информация</w:t>
      </w:r>
    </w:p>
    <w:p w:rsidR="00184B62" w:rsidRPr="00184B62" w:rsidRDefault="00184B62" w:rsidP="00715A84">
      <w:pPr>
        <w:spacing w:after="0" w:line="240" w:lineRule="auto"/>
        <w:ind w:firstLine="720"/>
        <w:jc w:val="both"/>
        <w:rPr>
          <w:rFonts w:ascii="Times New Roman" w:eastAsia="Calibri" w:hAnsi="Times New Roman"/>
          <w:sz w:val="24"/>
          <w:szCs w:val="24"/>
          <w:lang w:val="en-US"/>
        </w:rPr>
      </w:pPr>
      <w:r w:rsidRPr="00184B62">
        <w:rPr>
          <w:rFonts w:ascii="Times New Roman" w:eastAsia="Calibri" w:hAnsi="Times New Roman"/>
          <w:sz w:val="24"/>
          <w:szCs w:val="24"/>
        </w:rPr>
        <w:t xml:space="preserve">До момента видът е установен в  двадесет и пет находища в зоната (две от тях са нови - 44.104926°,  27.086005°;  44.106547°,  27.084363°) а определената в </w:t>
      </w:r>
      <w:r w:rsidR="005A0A3C">
        <w:rPr>
          <w:rFonts w:ascii="Times New Roman" w:eastAsia="Calibri" w:hAnsi="Times New Roman"/>
          <w:sz w:val="24"/>
          <w:szCs w:val="24"/>
        </w:rPr>
        <w:t>СФ</w:t>
      </w:r>
      <w:r w:rsidRPr="00184B62">
        <w:rPr>
          <w:rFonts w:ascii="Times New Roman" w:eastAsia="Calibri" w:hAnsi="Times New Roman"/>
          <w:sz w:val="24"/>
          <w:szCs w:val="24"/>
        </w:rPr>
        <w:t xml:space="preserve"> численост на вида е между 42878</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и 84349 броя. Съгласно специфичния доклад за вида в защитената зона площта на потенциалните му местообитания е 290.22 </w:t>
      </w:r>
      <w:r w:rsidRPr="00184B62">
        <w:rPr>
          <w:rFonts w:ascii="Times New Roman" w:eastAsia="Calibri" w:hAnsi="Times New Roman"/>
          <w:sz w:val="24"/>
          <w:szCs w:val="24"/>
          <w:lang w:val="en-US"/>
        </w:rPr>
        <w:t>ha</w:t>
      </w:r>
      <w:r w:rsidRPr="00184B62">
        <w:rPr>
          <w:rFonts w:ascii="Times New Roman" w:eastAsia="Calibri" w:hAnsi="Times New Roman"/>
          <w:sz w:val="24"/>
          <w:szCs w:val="24"/>
        </w:rPr>
        <w:t xml:space="preserve">. Посочената площ е определена като покрайнините (екотоните) на просветлени широколистни и смесени гори. </w:t>
      </w:r>
    </w:p>
    <w:p w:rsidR="00184B62" w:rsidRPr="00184B62" w:rsidRDefault="00184B62" w:rsidP="00715A84">
      <w:pPr>
        <w:spacing w:after="0" w:line="240" w:lineRule="auto"/>
        <w:ind w:firstLine="720"/>
        <w:jc w:val="both"/>
        <w:rPr>
          <w:rFonts w:ascii="Times New Roman" w:eastAsia="Calibri" w:hAnsi="Times New Roman"/>
          <w:bCs/>
          <w:iCs/>
          <w:sz w:val="24"/>
          <w:szCs w:val="24"/>
        </w:rPr>
      </w:pPr>
      <w:r w:rsidRPr="00184B62">
        <w:rPr>
          <w:rFonts w:ascii="Times New Roman" w:eastAsia="Calibri" w:hAnsi="Times New Roman"/>
          <w:bCs/>
          <w:iCs/>
          <w:sz w:val="24"/>
          <w:szCs w:val="24"/>
        </w:rPr>
        <w:t>Параметрите за популация и местообитание и техните целеви стойности, са съобразени и съвместими с досега определените в Ръководството за оценка на благоприятно природозащитно състояние за типове природни местообитания и видове по НАТУРА 2000 в България</w:t>
      </w:r>
      <w:r w:rsidRPr="00184B62">
        <w:rPr>
          <w:rFonts w:ascii="Times New Roman" w:eastAsia="Calibri" w:hAnsi="Times New Roman"/>
          <w:bCs/>
          <w:iCs/>
          <w:sz w:val="24"/>
          <w:szCs w:val="24"/>
          <w:vertAlign w:val="superscript"/>
        </w:rPr>
        <w:footnoteReference w:id="4"/>
      </w:r>
      <w:r w:rsidRPr="00184B62">
        <w:rPr>
          <w:rFonts w:ascii="Times New Roman" w:eastAsia="Calibri" w:hAnsi="Times New Roman"/>
          <w:bCs/>
          <w:iCs/>
          <w:sz w:val="24"/>
          <w:szCs w:val="24"/>
        </w:rPr>
        <w:t>, Методиката за определяне на природозащитното състоянието на видовете</w:t>
      </w:r>
      <w:r w:rsidRPr="00184B62">
        <w:rPr>
          <w:rFonts w:ascii="Times New Roman" w:eastAsia="Calibri" w:hAnsi="Times New Roman"/>
          <w:bCs/>
          <w:iCs/>
          <w:sz w:val="24"/>
          <w:szCs w:val="24"/>
          <w:vertAlign w:val="superscript"/>
        </w:rPr>
        <w:footnoteReference w:id="5"/>
      </w:r>
      <w:r w:rsidRPr="00184B62">
        <w:rPr>
          <w:rFonts w:ascii="Times New Roman" w:eastAsia="Calibri" w:hAnsi="Times New Roman"/>
          <w:bCs/>
          <w:iCs/>
          <w:sz w:val="24"/>
          <w:szCs w:val="24"/>
        </w:rPr>
        <w:t xml:space="preserve">, както и Методиките за оценка на състоянието и мониторинг на вида </w:t>
      </w:r>
      <w:r w:rsidRPr="00184B62">
        <w:rPr>
          <w:rFonts w:ascii="Times New Roman" w:eastAsia="Calibri" w:hAnsi="Times New Roman"/>
          <w:bCs/>
          <w:iCs/>
          <w:sz w:val="24"/>
          <w:szCs w:val="24"/>
          <w:lang w:val="en-US"/>
        </w:rPr>
        <w:t>(</w:t>
      </w:r>
      <w:r w:rsidRPr="00184B62">
        <w:rPr>
          <w:rFonts w:ascii="Times New Roman" w:eastAsia="Calibri" w:hAnsi="Times New Roman"/>
          <w:bCs/>
          <w:iCs/>
          <w:sz w:val="24"/>
          <w:szCs w:val="24"/>
        </w:rPr>
        <w:t>Н</w:t>
      </w:r>
      <w:r w:rsidRPr="00184B62">
        <w:rPr>
          <w:rFonts w:ascii="Times New Roman" w:eastAsia="Calibri" w:hAnsi="Times New Roman"/>
          <w:bCs/>
          <w:iCs/>
          <w:sz w:val="24"/>
          <w:szCs w:val="24"/>
          <w:lang w:val="en-US"/>
        </w:rPr>
        <w:t>ационална система за мониторинг на биологичното разнообра</w:t>
      </w:r>
      <w:r w:rsidRPr="00184B62">
        <w:rPr>
          <w:rFonts w:ascii="Times New Roman" w:eastAsia="Calibri" w:hAnsi="Times New Roman"/>
          <w:bCs/>
          <w:iCs/>
          <w:sz w:val="24"/>
          <w:szCs w:val="24"/>
        </w:rPr>
        <w:t>зие</w:t>
      </w:r>
      <w:r w:rsidRPr="00184B62">
        <w:rPr>
          <w:rFonts w:ascii="Times New Roman" w:eastAsia="Calibri" w:hAnsi="Times New Roman"/>
          <w:bCs/>
          <w:iCs/>
          <w:sz w:val="24"/>
          <w:szCs w:val="24"/>
          <w:lang w:val="en-US"/>
        </w:rPr>
        <w:t>)</w:t>
      </w:r>
      <w:r w:rsidRPr="00184B62">
        <w:rPr>
          <w:rFonts w:ascii="Times New Roman" w:eastAsia="Calibri" w:hAnsi="Times New Roman"/>
          <w:bCs/>
          <w:iCs/>
          <w:sz w:val="24"/>
          <w:szCs w:val="24"/>
          <w:vertAlign w:val="superscript"/>
          <w:lang w:val="en-US"/>
        </w:rPr>
        <w:footnoteReference w:id="6"/>
      </w:r>
      <w:r w:rsidRPr="00184B62">
        <w:rPr>
          <w:rFonts w:ascii="Times New Roman" w:eastAsia="Calibri" w:hAnsi="Times New Roman"/>
          <w:bCs/>
          <w:iCs/>
          <w:sz w:val="24"/>
          <w:szCs w:val="24"/>
        </w:rPr>
        <w:t>. Предлаганите промени са с цел да бъдат по-добре отразени екологичните изисквания на даден вид, както и да бъде получена по-адекватна оценка за промените в неговото състояние и свързаните с това мерки и специфични цели в зоните.</w:t>
      </w:r>
    </w:p>
    <w:p w:rsidR="00184B62" w:rsidRPr="00184B62" w:rsidRDefault="00184B62" w:rsidP="00715A84">
      <w:pPr>
        <w:spacing w:after="0" w:line="240" w:lineRule="auto"/>
        <w:ind w:firstLine="720"/>
        <w:jc w:val="both"/>
        <w:rPr>
          <w:rFonts w:ascii="Times New Roman" w:eastAsia="Calibri" w:hAnsi="Times New Roman"/>
          <w:bCs/>
          <w:iCs/>
          <w:sz w:val="24"/>
          <w:szCs w:val="24"/>
        </w:rPr>
      </w:pPr>
      <w:r w:rsidRPr="00184B62">
        <w:rPr>
          <w:rFonts w:ascii="Times New Roman" w:eastAsia="Calibri" w:hAnsi="Times New Roman"/>
          <w:sz w:val="24"/>
          <w:szCs w:val="24"/>
        </w:rPr>
        <w:t xml:space="preserve">Специфичните цели за вида в защитената зона са формулирани на базата на задълбочен анализ на екологията на вида и направени научни изследвания в Европа </w:t>
      </w:r>
      <w:r w:rsidRPr="00184B62">
        <w:rPr>
          <w:rFonts w:ascii="Times New Roman" w:eastAsia="Calibri" w:hAnsi="Times New Roman"/>
          <w:sz w:val="24"/>
          <w:szCs w:val="24"/>
          <w:lang w:val="en-US"/>
        </w:rPr>
        <w:lastRenderedPageBreak/>
        <w:t>(</w:t>
      </w:r>
      <w:r w:rsidRPr="00184B62">
        <w:rPr>
          <w:rFonts w:ascii="Times New Roman" w:eastAsia="Calibri" w:hAnsi="Times New Roman"/>
          <w:sz w:val="24"/>
          <w:szCs w:val="24"/>
        </w:rPr>
        <w:t>виж цитираната литература</w:t>
      </w:r>
      <w:r w:rsidRPr="00184B62">
        <w:rPr>
          <w:rFonts w:ascii="Times New Roman" w:eastAsia="Calibri" w:hAnsi="Times New Roman"/>
          <w:sz w:val="24"/>
          <w:szCs w:val="24"/>
          <w:lang w:val="en-US"/>
        </w:rPr>
        <w:t>)</w:t>
      </w:r>
      <w:r w:rsidRPr="00184B62">
        <w:rPr>
          <w:rFonts w:ascii="Times New Roman" w:eastAsia="Calibri" w:hAnsi="Times New Roman"/>
          <w:sz w:val="24"/>
          <w:szCs w:val="24"/>
        </w:rPr>
        <w:t>. Параметрите и специфичните цели са представени в таблицата по-долу.</w:t>
      </w:r>
    </w:p>
    <w:p w:rsidR="00184B62" w:rsidRPr="00184B62" w:rsidRDefault="00184B62" w:rsidP="00715A84">
      <w:pPr>
        <w:spacing w:before="120"/>
        <w:jc w:val="both"/>
        <w:rPr>
          <w:rFonts w:ascii="Times New Roman" w:hAnsi="Times New Roman"/>
          <w:b/>
          <w:sz w:val="24"/>
          <w:szCs w:val="24"/>
        </w:rPr>
      </w:pPr>
      <w:r w:rsidRPr="00184B62">
        <w:rPr>
          <w:rFonts w:ascii="Times New Roman" w:hAnsi="Times New Roman"/>
          <w:b/>
          <w:sz w:val="24"/>
          <w:szCs w:val="24"/>
        </w:rPr>
        <w:t>6. Цели за подобряване/поддържане на природозащитното състояние на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627"/>
        <w:gridCol w:w="1627"/>
        <w:gridCol w:w="2140"/>
        <w:gridCol w:w="2140"/>
      </w:tblGrid>
      <w:tr w:rsidR="00184B62" w:rsidRPr="00715A84" w:rsidTr="00715A84">
        <w:trPr>
          <w:tblHeader/>
          <w:jc w:val="center"/>
        </w:trPr>
        <w:tc>
          <w:tcPr>
            <w:tcW w:w="9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3A4F26" w:rsidRDefault="00184B62" w:rsidP="00184B62">
            <w:pPr>
              <w:widowControl w:val="0"/>
              <w:spacing w:before="120" w:after="120" w:line="240" w:lineRule="auto"/>
              <w:jc w:val="center"/>
              <w:rPr>
                <w:rFonts w:ascii="Times New Roman" w:hAnsi="Times New Roman"/>
                <w:b/>
                <w:bCs/>
                <w:sz w:val="20"/>
                <w:szCs w:val="20"/>
              </w:rPr>
            </w:pPr>
            <w:r w:rsidRPr="003A4F26">
              <w:rPr>
                <w:rFonts w:ascii="Times New Roman" w:hAnsi="Times New Roman"/>
                <w:b/>
                <w:bCs/>
                <w:sz w:val="20"/>
                <w:szCs w:val="20"/>
              </w:rPr>
              <w:t>Параметър</w:t>
            </w:r>
          </w:p>
        </w:tc>
        <w:tc>
          <w:tcPr>
            <w:tcW w:w="8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715A84" w:rsidRDefault="00184B62" w:rsidP="00184B62">
            <w:pPr>
              <w:widowControl w:val="0"/>
              <w:spacing w:before="120" w:after="120" w:line="240" w:lineRule="auto"/>
              <w:jc w:val="center"/>
              <w:rPr>
                <w:rFonts w:ascii="Times New Roman" w:hAnsi="Times New Roman"/>
                <w:b/>
                <w:bCs/>
                <w:sz w:val="20"/>
                <w:szCs w:val="20"/>
              </w:rPr>
            </w:pPr>
            <w:r w:rsidRPr="00715A84">
              <w:rPr>
                <w:rFonts w:ascii="Times New Roman" w:hAnsi="Times New Roman"/>
                <w:b/>
                <w:bCs/>
                <w:sz w:val="20"/>
                <w:szCs w:val="20"/>
              </w:rPr>
              <w:t xml:space="preserve">Мерна единица </w:t>
            </w:r>
          </w:p>
        </w:tc>
        <w:tc>
          <w:tcPr>
            <w:tcW w:w="8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715A84" w:rsidRDefault="00184B62" w:rsidP="00184B62">
            <w:pPr>
              <w:widowControl w:val="0"/>
              <w:spacing w:before="120" w:after="120" w:line="240" w:lineRule="auto"/>
              <w:jc w:val="center"/>
              <w:rPr>
                <w:rFonts w:ascii="Times New Roman" w:hAnsi="Times New Roman"/>
                <w:b/>
                <w:bCs/>
                <w:sz w:val="20"/>
                <w:szCs w:val="20"/>
              </w:rPr>
            </w:pPr>
            <w:r w:rsidRPr="00715A84">
              <w:rPr>
                <w:rFonts w:ascii="Times New Roman" w:hAnsi="Times New Roman"/>
                <w:b/>
                <w:bCs/>
                <w:sz w:val="20"/>
                <w:szCs w:val="20"/>
              </w:rPr>
              <w:t xml:space="preserve">Целева стойност </w:t>
            </w: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715A84" w:rsidRDefault="00184B62" w:rsidP="00184B62">
            <w:pPr>
              <w:widowControl w:val="0"/>
              <w:spacing w:before="120" w:after="120" w:line="240" w:lineRule="auto"/>
              <w:jc w:val="center"/>
              <w:rPr>
                <w:rFonts w:ascii="Times New Roman" w:hAnsi="Times New Roman"/>
                <w:b/>
                <w:bCs/>
                <w:sz w:val="20"/>
                <w:szCs w:val="20"/>
              </w:rPr>
            </w:pPr>
            <w:r w:rsidRPr="00715A84">
              <w:rPr>
                <w:rFonts w:ascii="Times New Roman" w:hAnsi="Times New Roman"/>
                <w:b/>
                <w:bCs/>
                <w:sz w:val="20"/>
                <w:szCs w:val="20"/>
              </w:rPr>
              <w:t xml:space="preserve">Допълнителна информация </w:t>
            </w: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715A84" w:rsidRDefault="00184B62" w:rsidP="00184B62">
            <w:pPr>
              <w:widowControl w:val="0"/>
              <w:spacing w:before="120" w:after="120" w:line="240" w:lineRule="auto"/>
              <w:jc w:val="center"/>
              <w:rPr>
                <w:rFonts w:ascii="Times New Roman" w:hAnsi="Times New Roman"/>
                <w:b/>
                <w:bCs/>
                <w:sz w:val="20"/>
                <w:szCs w:val="20"/>
              </w:rPr>
            </w:pPr>
            <w:r w:rsidRPr="00715A84">
              <w:rPr>
                <w:rFonts w:ascii="Times New Roman" w:hAnsi="Times New Roman"/>
                <w:b/>
                <w:bCs/>
                <w:sz w:val="20"/>
                <w:szCs w:val="20"/>
              </w:rPr>
              <w:t xml:space="preserve">Специфични за зоната цели за опазване </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lang w:eastAsia="en-GB"/>
              </w:rPr>
            </w:pPr>
            <w:r w:rsidRPr="003A4F26">
              <w:rPr>
                <w:rFonts w:ascii="Times New Roman" w:eastAsia="Calibri" w:hAnsi="Times New Roman"/>
                <w:b/>
                <w:sz w:val="20"/>
                <w:szCs w:val="20"/>
                <w:lang w:eastAsia="en-GB"/>
              </w:rPr>
              <w:t>Популация: Пространствен обхват на популацията на вида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lang w:val="en-GB" w:eastAsia="en-GB"/>
              </w:rPr>
            </w:pPr>
            <w:r w:rsidRPr="00184B62">
              <w:rPr>
                <w:rFonts w:ascii="Times New Roman" w:eastAsia="Calibri" w:hAnsi="Times New Roman"/>
                <w:sz w:val="20"/>
                <w:szCs w:val="20"/>
                <w:lang w:eastAsia="en-GB"/>
              </w:rPr>
              <w:t>Брой квадрати с размер 1х1 km, с доказано присъствие на вида -  живи индивиди или останки от възрастни индивиди, доказано обитавани дървета в подходящите местообитания за вида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Неизвестна</w:t>
            </w:r>
          </w:p>
        </w:tc>
        <w:tc>
          <w:tcPr>
            <w:tcW w:w="1152"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rPr>
                <w:rFonts w:ascii="Times New Roman" w:eastAsia="Calibri" w:hAnsi="Times New Roman"/>
                <w:sz w:val="20"/>
                <w:szCs w:val="20"/>
                <w:lang w:eastAsia="en-GB"/>
              </w:rPr>
            </w:pPr>
            <w:r w:rsidRPr="00184B62">
              <w:rPr>
                <w:rFonts w:ascii="Times New Roman" w:eastAsia="Calibri" w:hAnsi="Times New Roman"/>
                <w:sz w:val="20"/>
                <w:szCs w:val="20"/>
                <w:lang w:eastAsia="en-GB"/>
              </w:rPr>
              <w:t>Присъствието на вида е доказано само в 3 квадрата (специфичен доклад за вида, публикуван на интернет страницата на Информационната система за защитените зони в екологичната мрежа Натура 2000) и. настоящото проучване.</w:t>
            </w:r>
          </w:p>
        </w:tc>
        <w:tc>
          <w:tcPr>
            <w:tcW w:w="1152"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hAnsi="Times New Roman"/>
                <w:bCs/>
                <w:sz w:val="20"/>
                <w:szCs w:val="20"/>
              </w:rPr>
            </w:pPr>
            <w:r w:rsidRPr="00184B62">
              <w:rPr>
                <w:rFonts w:ascii="Times New Roman" w:hAnsi="Times New Roman"/>
                <w:bCs/>
                <w:sz w:val="20"/>
                <w:szCs w:val="20"/>
              </w:rPr>
              <w:t>Поддържане на популацията в 3 квадрат с размер 1х1 km, с доказано присъствие на вида.</w:t>
            </w:r>
          </w:p>
          <w:p w:rsidR="00184B62" w:rsidRPr="00184B62" w:rsidRDefault="00184B62" w:rsidP="00184B62">
            <w:pPr>
              <w:spacing w:before="120" w:after="120" w:line="240" w:lineRule="auto"/>
              <w:jc w:val="both"/>
              <w:rPr>
                <w:rFonts w:ascii="Times New Roman" w:eastAsia="Calibri" w:hAnsi="Times New Roman"/>
                <w:sz w:val="20"/>
                <w:szCs w:val="20"/>
                <w:lang w:val="en-GB" w:eastAsia="en-GB"/>
              </w:rPr>
            </w:pPr>
            <w:r w:rsidRPr="00184B62">
              <w:rPr>
                <w:rFonts w:ascii="Times New Roman" w:hAnsi="Times New Roman"/>
                <w:bCs/>
                <w:sz w:val="20"/>
                <w:szCs w:val="20"/>
              </w:rPr>
              <w:t>Междинна цел: Да се установи пространствения обхват на популацията, чрез провеждане на теренни проучвания, до 2025 г.</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hideMark/>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t xml:space="preserve">Местообитание на вида: </w:t>
            </w:r>
            <w:r w:rsidRPr="003A4F26">
              <w:rPr>
                <w:rFonts w:ascii="Times New Roman" w:eastAsia="Calibri" w:hAnsi="Times New Roman"/>
                <w:b/>
                <w:bCs/>
                <w:sz w:val="20"/>
                <w:szCs w:val="20"/>
              </w:rPr>
              <w:t>Площ на подходящите местообитания на вида в зоната</w:t>
            </w:r>
          </w:p>
        </w:tc>
        <w:tc>
          <w:tcPr>
            <w:tcW w:w="876"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ha</w:t>
            </w:r>
          </w:p>
        </w:tc>
        <w:tc>
          <w:tcPr>
            <w:tcW w:w="876"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 xml:space="preserve">Най-малко   290.22 ha </w:t>
            </w:r>
          </w:p>
        </w:tc>
        <w:tc>
          <w:tcPr>
            <w:tcW w:w="1152"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p>
        </w:tc>
        <w:tc>
          <w:tcPr>
            <w:tcW w:w="1152"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Поддържане на площта на подходящите местообитания на вида в зоната в размер от най-малко 290.22 ha </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hideMark/>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t xml:space="preserve">Местообитание на вида: </w:t>
            </w:r>
            <w:r w:rsidRPr="003A4F26">
              <w:rPr>
                <w:rFonts w:ascii="Times New Roman" w:eastAsia="Calibri" w:hAnsi="Times New Roman"/>
                <w:b/>
                <w:bCs/>
                <w:sz w:val="20"/>
                <w:szCs w:val="20"/>
              </w:rPr>
              <w:t>Наличие на биотопни дървета в подходящите местообитания на вида</w:t>
            </w:r>
          </w:p>
        </w:tc>
        <w:tc>
          <w:tcPr>
            <w:tcW w:w="876"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Брой / ha</w:t>
            </w:r>
          </w:p>
        </w:tc>
        <w:tc>
          <w:tcPr>
            <w:tcW w:w="876"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rPr>
                <w:rFonts w:ascii="Times New Roman" w:eastAsia="Calibri" w:hAnsi="Times New Roman"/>
                <w:sz w:val="20"/>
                <w:szCs w:val="20"/>
                <w:lang w:val="en-US"/>
              </w:rPr>
            </w:pPr>
            <w:r w:rsidRPr="00184B62">
              <w:rPr>
                <w:rFonts w:ascii="Times New Roman" w:eastAsia="Calibri" w:hAnsi="Times New Roman"/>
                <w:sz w:val="20"/>
                <w:szCs w:val="20"/>
              </w:rPr>
              <w:t xml:space="preserve">Най-малко </w:t>
            </w:r>
            <w:r w:rsidRPr="00184B62">
              <w:rPr>
                <w:rFonts w:ascii="Times New Roman" w:eastAsia="Calibri" w:hAnsi="Times New Roman"/>
                <w:sz w:val="20"/>
                <w:szCs w:val="20"/>
                <w:lang w:val="en-US"/>
              </w:rPr>
              <w:t>2</w:t>
            </w:r>
            <w:r w:rsidRPr="00184B62">
              <w:rPr>
                <w:rFonts w:ascii="Times New Roman" w:eastAsia="Calibri" w:hAnsi="Times New Roman"/>
                <w:sz w:val="20"/>
                <w:szCs w:val="20"/>
              </w:rPr>
              <w:t xml:space="preserve"> биотопни дървета на хектар</w:t>
            </w:r>
            <w:r w:rsidRPr="00184B62">
              <w:rPr>
                <w:sz w:val="20"/>
                <w:szCs w:val="20"/>
              </w:rPr>
              <w:t xml:space="preserve"> </w:t>
            </w:r>
            <w:r w:rsidRPr="00184B62">
              <w:rPr>
                <w:rFonts w:ascii="Times New Roman" w:eastAsia="Calibri" w:hAnsi="Times New Roman"/>
                <w:sz w:val="20"/>
                <w:szCs w:val="20"/>
              </w:rPr>
              <w:t>в подходящите местообитания на вида</w:t>
            </w:r>
            <w:r w:rsidRPr="00184B62">
              <w:rPr>
                <w:rFonts w:ascii="Times New Roman" w:eastAsia="Calibri" w:hAnsi="Times New Roman"/>
                <w:sz w:val="20"/>
                <w:szCs w:val="20"/>
                <w:lang w:val="en-US"/>
              </w:rPr>
              <w:t>.</w:t>
            </w:r>
          </w:p>
        </w:tc>
        <w:tc>
          <w:tcPr>
            <w:tcW w:w="1152"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Целевата стойност на показателя е съобразена с екологичните изисквания на вида.Видът като цяло е способен и склонен да лети, което резултира във възможността за активно търсене на места за хранене. Площта на сърцевинните участъци е 3400 (женски) – 3850 (мъжки) m</w:t>
            </w:r>
            <w:r w:rsidRPr="00184B62">
              <w:rPr>
                <w:rFonts w:ascii="Times New Roman" w:eastAsia="Calibri" w:hAnsi="Times New Roman"/>
                <w:sz w:val="20"/>
                <w:szCs w:val="20"/>
                <w:vertAlign w:val="superscript"/>
              </w:rPr>
              <w:t>2</w:t>
            </w:r>
            <w:r w:rsidRPr="00184B62">
              <w:rPr>
                <w:rFonts w:ascii="Times New Roman" w:eastAsia="Calibri" w:hAnsi="Times New Roman"/>
                <w:sz w:val="20"/>
                <w:szCs w:val="20"/>
              </w:rPr>
              <w:t xml:space="preserve">. Така, възрастните екземпляри се придвижват с най-голяма вероятност в кръг с диаметър средно 68 метра. Предвид възрастовата структура (основно </w:t>
            </w:r>
            <w:r w:rsidRPr="00184B62">
              <w:rPr>
                <w:rFonts w:ascii="Times New Roman" w:eastAsia="Calibri" w:hAnsi="Times New Roman"/>
                <w:sz w:val="20"/>
                <w:szCs w:val="20"/>
              </w:rPr>
              <w:lastRenderedPageBreak/>
              <w:t>млади тополи, върба и по-рядко дъб и габър) не се посочва определена възраст на биотопните дървета. Такава трябва да бъде установена при провеждане на мониторинговите проучвания.</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Липсват данни за броя на биотопните дървета на хектар в подходящите местообитания на вида в защитената зона. В тази връзка е определена междинна цел.</w:t>
            </w:r>
          </w:p>
          <w:p w:rsidR="00184B62" w:rsidRPr="00184B62" w:rsidRDefault="00184B62" w:rsidP="00184B62">
            <w:pPr>
              <w:spacing w:before="120" w:after="120" w:line="240" w:lineRule="auto"/>
              <w:jc w:val="both"/>
              <w:rPr>
                <w:rFonts w:ascii="Times New Roman" w:eastAsia="Calibri" w:hAnsi="Times New Roman"/>
                <w:sz w:val="20"/>
                <w:szCs w:val="20"/>
              </w:rPr>
            </w:pPr>
          </w:p>
        </w:tc>
        <w:tc>
          <w:tcPr>
            <w:tcW w:w="1152"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hAnsi="Times New Roman"/>
                <w:sz w:val="20"/>
                <w:szCs w:val="20"/>
              </w:rPr>
              <w:lastRenderedPageBreak/>
              <w:t>Междинна цел: Да се определи броя на биотопните дървета на хектар в подходящите местообитания на вида в защитената зона чрез теренни проучвания, до 2025 г.</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hideMark/>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lastRenderedPageBreak/>
              <w:t xml:space="preserve">Местообитание на вида: </w:t>
            </w:r>
            <w:r w:rsidRPr="003A4F26">
              <w:rPr>
                <w:rFonts w:ascii="Times New Roman" w:eastAsia="Calibri" w:hAnsi="Times New Roman"/>
                <w:b/>
                <w:bCs/>
                <w:sz w:val="20"/>
                <w:szCs w:val="20"/>
              </w:rPr>
              <w:t>Количество мъртва дървесина в подходящите местообитания на вида</w:t>
            </w:r>
          </w:p>
        </w:tc>
        <w:tc>
          <w:tcPr>
            <w:tcW w:w="876"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 xml:space="preserve">Брой мъртви дървета на хектар, с дебелина над 40 </w:t>
            </w:r>
            <w:r w:rsidRPr="00184B62">
              <w:rPr>
                <w:rFonts w:ascii="Times New Roman" w:eastAsia="Calibri" w:hAnsi="Times New Roman"/>
                <w:sz w:val="20"/>
                <w:szCs w:val="20"/>
                <w:lang w:val="en-US"/>
              </w:rPr>
              <w:t>cm</w:t>
            </w:r>
            <w:r w:rsidRPr="00184B62">
              <w:rPr>
                <w:rFonts w:ascii="Times New Roman" w:eastAsia="Calibri" w:hAnsi="Times New Roman"/>
                <w:sz w:val="20"/>
                <w:szCs w:val="20"/>
              </w:rPr>
              <w:t xml:space="preserve"> в подходящите местообитания на вида</w:t>
            </w:r>
          </w:p>
        </w:tc>
        <w:tc>
          <w:tcPr>
            <w:tcW w:w="876"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Най-малко 4 броя мъртви дървета на хектар, с дебелина над 40 cm в подходящите местообитания на вида</w:t>
            </w:r>
          </w:p>
        </w:tc>
        <w:tc>
          <w:tcPr>
            <w:tcW w:w="1152"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Целевата стойност на показателя е съобразена с екологичните изисквания на вида. Ларвите се развиват в гниеща дървесина на нивото на почвата (често в контакт с нея) (в паднали дънери или коренища на мъртви дървета). </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Липсват данни за броя на мъртвите дървета на хектар с дебелина над 40 </w:t>
            </w:r>
            <w:r w:rsidRPr="00184B62">
              <w:rPr>
                <w:rFonts w:ascii="Times New Roman" w:eastAsia="Calibri" w:hAnsi="Times New Roman"/>
                <w:sz w:val="20"/>
                <w:szCs w:val="20"/>
                <w:lang w:val="en-US"/>
              </w:rPr>
              <w:t>cm</w:t>
            </w:r>
            <w:r w:rsidRPr="00184B62">
              <w:rPr>
                <w:rFonts w:ascii="Times New Roman" w:eastAsia="Calibri" w:hAnsi="Times New Roman"/>
                <w:sz w:val="20"/>
                <w:szCs w:val="20"/>
              </w:rPr>
              <w:t xml:space="preserve"> в подходящите местообитания на вида в защитената зона. По данни за горските местообитания на дъба, количеството на мъртвата дървесина е много ниско. Това предопределя необходимостта от подобряване на състоянието на вида по този параметър.</w:t>
            </w:r>
          </w:p>
        </w:tc>
        <w:tc>
          <w:tcPr>
            <w:tcW w:w="1152"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Установяване на количеството мъртви дървета на хектар. Запазване на възрастовата структура на горските масиви в зоната и осигуряване на плавен преход между насажденията. </w:t>
            </w:r>
          </w:p>
        </w:tc>
      </w:tr>
    </w:tbl>
    <w:p w:rsidR="00184B62" w:rsidRPr="00184B62" w:rsidRDefault="00184B62" w:rsidP="00184B62">
      <w:pPr>
        <w:spacing w:before="120" w:after="120" w:line="240" w:lineRule="auto"/>
        <w:jc w:val="both"/>
        <w:rPr>
          <w:rFonts w:ascii="Times New Roman" w:eastAsia="Calibri" w:hAnsi="Times New Roman"/>
          <w:b/>
          <w:sz w:val="24"/>
          <w:szCs w:val="24"/>
        </w:rPr>
      </w:pPr>
    </w:p>
    <w:p w:rsidR="00184B62" w:rsidRPr="00184B62" w:rsidRDefault="00184B62" w:rsidP="00184B62">
      <w:pPr>
        <w:spacing w:before="120" w:after="120" w:line="240" w:lineRule="auto"/>
        <w:jc w:val="both"/>
        <w:rPr>
          <w:rFonts w:ascii="Times New Roman" w:eastAsia="Calibri" w:hAnsi="Times New Roman"/>
          <w:b/>
          <w:sz w:val="24"/>
          <w:szCs w:val="24"/>
          <w:lang w:eastAsia="bg-BG"/>
        </w:rPr>
      </w:pPr>
      <w:r w:rsidRPr="00184B62">
        <w:rPr>
          <w:rFonts w:ascii="Times New Roman" w:eastAsia="Calibri" w:hAnsi="Times New Roman"/>
          <w:b/>
          <w:sz w:val="24"/>
          <w:szCs w:val="24"/>
          <w:lang w:val="en-US" w:eastAsia="bg-BG"/>
        </w:rPr>
        <w:t>7</w:t>
      </w:r>
      <w:r w:rsidRPr="00184B62">
        <w:rPr>
          <w:rFonts w:ascii="Times New Roman" w:eastAsia="Calibri" w:hAnsi="Times New Roman"/>
          <w:b/>
          <w:sz w:val="24"/>
          <w:szCs w:val="24"/>
          <w:lang w:eastAsia="bg-BG"/>
        </w:rPr>
        <w:t>.  Необходимост от промени в СФ за защитената зона</w:t>
      </w:r>
    </w:p>
    <w:p w:rsidR="00184B62" w:rsidRPr="00184B62" w:rsidRDefault="00184B62" w:rsidP="00184B62">
      <w:pPr>
        <w:spacing w:before="120" w:after="120" w:line="240" w:lineRule="auto"/>
        <w:jc w:val="both"/>
        <w:rPr>
          <w:rFonts w:ascii="Times New Roman" w:eastAsia="Calibri" w:hAnsi="Times New Roman"/>
          <w:sz w:val="24"/>
          <w:szCs w:val="24"/>
        </w:rPr>
      </w:pPr>
      <w:r w:rsidRPr="00184B62">
        <w:rPr>
          <w:rFonts w:ascii="Times New Roman" w:eastAsia="Calibri" w:hAnsi="Times New Roman"/>
          <w:sz w:val="24"/>
          <w:szCs w:val="24"/>
        </w:rPr>
        <w:lastRenderedPageBreak/>
        <w:t xml:space="preserve">Необходима е промяна в </w:t>
      </w:r>
      <w:r w:rsidR="005A0A3C">
        <w:rPr>
          <w:rFonts w:ascii="Times New Roman" w:eastAsia="Calibri" w:hAnsi="Times New Roman"/>
          <w:sz w:val="24"/>
          <w:szCs w:val="24"/>
        </w:rPr>
        <w:t>СФ</w:t>
      </w:r>
      <w:r w:rsidRPr="00184B62">
        <w:rPr>
          <w:rFonts w:ascii="Times New Roman" w:eastAsia="Calibri" w:hAnsi="Times New Roman"/>
          <w:sz w:val="24"/>
          <w:szCs w:val="24"/>
        </w:rPr>
        <w:t>. Промяната се налага поради необходимостта да се промени единицата за популация.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2"/>
        <w:gridCol w:w="328"/>
        <w:gridCol w:w="483"/>
        <w:gridCol w:w="350"/>
        <w:gridCol w:w="572"/>
        <w:gridCol w:w="606"/>
        <w:gridCol w:w="594"/>
        <w:gridCol w:w="578"/>
        <w:gridCol w:w="840"/>
        <w:gridCol w:w="950"/>
        <w:gridCol w:w="622"/>
        <w:gridCol w:w="522"/>
        <w:gridCol w:w="578"/>
      </w:tblGrid>
      <w:tr w:rsidR="00184B62" w:rsidRPr="00184B62" w:rsidTr="003A4F26">
        <w:trPr>
          <w:jc w:val="center"/>
        </w:trPr>
        <w:tc>
          <w:tcPr>
            <w:tcW w:w="1657" w:type="pct"/>
            <w:gridSpan w:val="5"/>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1905" w:type="pct"/>
            <w:gridSpan w:val="6"/>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1438" w:type="pct"/>
            <w:gridSpan w:val="4"/>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3A4F26">
        <w:trPr>
          <w:jc w:val="center"/>
        </w:trPr>
        <w:tc>
          <w:tcPr>
            <w:tcW w:w="200"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356"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664"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177"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260"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188"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634" w:type="pct"/>
            <w:gridSpan w:val="2"/>
            <w:shd w:val="clear" w:color="auto" w:fill="D9D9D9" w:themeFill="background1" w:themeFillShade="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320"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311"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452"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511" w:type="pc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927" w:type="pct"/>
            <w:gridSpan w:val="3"/>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3A4F26">
        <w:trPr>
          <w:jc w:val="center"/>
        </w:trPr>
        <w:tc>
          <w:tcPr>
            <w:tcW w:w="200"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56"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664"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77"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260"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188"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308" w:type="pc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326" w:type="pc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320"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311"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452"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511" w:type="pc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335" w:type="pc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281" w:type="pc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311" w:type="pc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200"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I</w:t>
            </w:r>
          </w:p>
        </w:tc>
        <w:tc>
          <w:tcPr>
            <w:tcW w:w="356"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1083</w:t>
            </w:r>
          </w:p>
        </w:tc>
        <w:tc>
          <w:tcPr>
            <w:tcW w:w="664"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i/>
                <w:sz w:val="20"/>
                <w:szCs w:val="20"/>
                <w:lang w:eastAsia="en-GB"/>
              </w:rPr>
            </w:pPr>
            <w:r w:rsidRPr="00184B62">
              <w:rPr>
                <w:rFonts w:ascii="Times New Roman" w:eastAsia="Calibri" w:hAnsi="Times New Roman"/>
                <w:i/>
                <w:sz w:val="20"/>
                <w:szCs w:val="20"/>
                <w:lang w:eastAsia="en-GB"/>
              </w:rPr>
              <w:t>Lucanus cervus</w:t>
            </w:r>
          </w:p>
        </w:tc>
        <w:tc>
          <w:tcPr>
            <w:tcW w:w="177"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260"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88"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08" w:type="pct"/>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3</w:t>
            </w:r>
          </w:p>
        </w:tc>
        <w:tc>
          <w:tcPr>
            <w:tcW w:w="326" w:type="pct"/>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3</w:t>
            </w:r>
          </w:p>
        </w:tc>
        <w:tc>
          <w:tcPr>
            <w:tcW w:w="320" w:type="pct"/>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color w:val="FF0000"/>
                <w:sz w:val="20"/>
                <w:szCs w:val="20"/>
                <w:lang w:val="en-US" w:eastAsia="en-GB"/>
              </w:rPr>
            </w:pPr>
            <w:r w:rsidRPr="00184B62">
              <w:rPr>
                <w:rFonts w:ascii="Times New Roman" w:eastAsia="Calibri" w:hAnsi="Times New Roman"/>
                <w:color w:val="FF0000"/>
                <w:sz w:val="20"/>
                <w:szCs w:val="20"/>
                <w:lang w:val="en-US" w:eastAsia="en-GB"/>
              </w:rPr>
              <w:t>grid 1x1 km</w:t>
            </w:r>
          </w:p>
        </w:tc>
        <w:tc>
          <w:tcPr>
            <w:tcW w:w="311"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R</w:t>
            </w:r>
          </w:p>
        </w:tc>
        <w:tc>
          <w:tcPr>
            <w:tcW w:w="452"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M</w:t>
            </w:r>
          </w:p>
        </w:tc>
        <w:tc>
          <w:tcPr>
            <w:tcW w:w="511"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C</w:t>
            </w:r>
          </w:p>
        </w:tc>
        <w:tc>
          <w:tcPr>
            <w:tcW w:w="335"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B</w:t>
            </w:r>
          </w:p>
        </w:tc>
        <w:tc>
          <w:tcPr>
            <w:tcW w:w="281"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С</w:t>
            </w:r>
          </w:p>
        </w:tc>
        <w:tc>
          <w:tcPr>
            <w:tcW w:w="311"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B</w:t>
            </w:r>
          </w:p>
        </w:tc>
      </w:tr>
    </w:tbl>
    <w:p w:rsidR="00184B62" w:rsidRPr="00184B62" w:rsidRDefault="00184B62" w:rsidP="00184B62">
      <w:pPr>
        <w:spacing w:before="120" w:after="120" w:line="240" w:lineRule="auto"/>
        <w:jc w:val="both"/>
        <w:rPr>
          <w:rFonts w:ascii="Times New Roman" w:eastAsia="Calibri" w:hAnsi="Times New Roman"/>
          <w:sz w:val="24"/>
          <w:szCs w:val="24"/>
        </w:rPr>
      </w:pPr>
    </w:p>
    <w:p w:rsidR="00184B62" w:rsidRPr="00184B62" w:rsidRDefault="00184B62" w:rsidP="00184B62">
      <w:pPr>
        <w:spacing w:before="120" w:after="120" w:line="240" w:lineRule="auto"/>
        <w:jc w:val="both"/>
        <w:rPr>
          <w:rFonts w:ascii="Times New Roman" w:eastAsia="Calibri" w:hAnsi="Times New Roman"/>
          <w:b/>
          <w:bCs/>
          <w:sz w:val="24"/>
          <w:szCs w:val="24"/>
        </w:rPr>
      </w:pPr>
      <w:r w:rsidRPr="00184B62">
        <w:rPr>
          <w:rFonts w:ascii="Times New Roman" w:eastAsia="Calibri" w:hAnsi="Times New Roman"/>
          <w:b/>
          <w:bCs/>
          <w:sz w:val="24"/>
          <w:szCs w:val="24"/>
          <w:lang w:val="en-US"/>
        </w:rPr>
        <w:t>8</w:t>
      </w:r>
      <w:r w:rsidRPr="00184B62">
        <w:rPr>
          <w:rFonts w:ascii="Times New Roman" w:eastAsia="Calibri" w:hAnsi="Times New Roman"/>
          <w:b/>
          <w:bCs/>
          <w:sz w:val="24"/>
          <w:szCs w:val="24"/>
        </w:rPr>
        <w:t>. Цитирана литература</w:t>
      </w:r>
    </w:p>
    <w:p w:rsidR="00184B62" w:rsidRPr="00184B62" w:rsidRDefault="00184B62" w:rsidP="00715A84">
      <w:pPr>
        <w:spacing w:after="0" w:line="240" w:lineRule="auto"/>
        <w:ind w:left="720" w:hanging="720"/>
        <w:jc w:val="both"/>
        <w:rPr>
          <w:rFonts w:ascii="Times New Roman" w:eastAsia="Calibri" w:hAnsi="Times New Roman"/>
          <w:sz w:val="24"/>
          <w:szCs w:val="24"/>
        </w:rPr>
      </w:pPr>
      <w:r w:rsidRPr="00184B62">
        <w:rPr>
          <w:rFonts w:ascii="Times New Roman" w:eastAsia="Calibri" w:hAnsi="Times New Roman"/>
          <w:sz w:val="24"/>
          <w:szCs w:val="24"/>
        </w:rPr>
        <w:t>Bardiani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 Chiari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S</w:t>
      </w:r>
      <w:r w:rsidRPr="00184B62">
        <w:rPr>
          <w:rFonts w:ascii="Times New Roman" w:eastAsia="Calibri" w:hAnsi="Times New Roman"/>
          <w:sz w:val="24"/>
          <w:szCs w:val="24"/>
          <w:lang w:val="en-US"/>
        </w:rPr>
        <w:t>.</w:t>
      </w:r>
      <w:r w:rsidRPr="00184B62">
        <w:rPr>
          <w:rFonts w:ascii="Times New Roman" w:eastAsia="Calibri" w:hAnsi="Times New Roman"/>
          <w:sz w:val="24"/>
          <w:szCs w:val="24"/>
        </w:rPr>
        <w:t>, Maurizi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E</w:t>
      </w:r>
      <w:r w:rsidRPr="00184B62">
        <w:rPr>
          <w:rFonts w:ascii="Times New Roman" w:eastAsia="Calibri" w:hAnsi="Times New Roman"/>
          <w:sz w:val="24"/>
          <w:szCs w:val="24"/>
          <w:lang w:val="en-US"/>
        </w:rPr>
        <w:t>.</w:t>
      </w:r>
      <w:r w:rsidRPr="00184B62">
        <w:rPr>
          <w:rFonts w:ascii="Times New Roman" w:eastAsia="Calibri" w:hAnsi="Times New Roman"/>
          <w:sz w:val="24"/>
          <w:szCs w:val="24"/>
        </w:rPr>
        <w:t>, Tini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 Toni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I</w:t>
      </w:r>
      <w:r w:rsidRPr="00184B62">
        <w:rPr>
          <w:rFonts w:ascii="Times New Roman" w:eastAsia="Calibri" w:hAnsi="Times New Roman"/>
          <w:sz w:val="24"/>
          <w:szCs w:val="24"/>
          <w:lang w:val="en-US"/>
        </w:rPr>
        <w:t>.</w:t>
      </w:r>
      <w:r w:rsidRPr="00184B62">
        <w:rPr>
          <w:rFonts w:ascii="Times New Roman" w:eastAsia="Calibri" w:hAnsi="Times New Roman"/>
          <w:sz w:val="24"/>
          <w:szCs w:val="24"/>
        </w:rPr>
        <w:t>, Zauli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A</w:t>
      </w:r>
      <w:r w:rsidRPr="00184B62">
        <w:rPr>
          <w:rFonts w:ascii="Times New Roman" w:eastAsia="Calibri" w:hAnsi="Times New Roman"/>
          <w:sz w:val="24"/>
          <w:szCs w:val="24"/>
          <w:lang w:val="en-US"/>
        </w:rPr>
        <w:t>.</w:t>
      </w:r>
      <w:r w:rsidRPr="00184B62">
        <w:rPr>
          <w:rFonts w:ascii="Times New Roman" w:eastAsia="Calibri" w:hAnsi="Times New Roman"/>
          <w:sz w:val="24"/>
          <w:szCs w:val="24"/>
        </w:rPr>
        <w:t>, Campanaro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A</w:t>
      </w:r>
      <w:r w:rsidRPr="00184B62">
        <w:rPr>
          <w:rFonts w:ascii="Times New Roman" w:eastAsia="Calibri" w:hAnsi="Times New Roman"/>
          <w:sz w:val="24"/>
          <w:szCs w:val="24"/>
          <w:lang w:val="en-US"/>
        </w:rPr>
        <w:t>.</w:t>
      </w:r>
      <w:r w:rsidRPr="00184B62">
        <w:rPr>
          <w:rFonts w:ascii="Times New Roman" w:eastAsia="Calibri" w:hAnsi="Times New Roman"/>
          <w:sz w:val="24"/>
          <w:szCs w:val="24"/>
        </w:rPr>
        <w:t>, Carpaneto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G</w:t>
      </w:r>
      <w:r w:rsidRPr="00184B62">
        <w:rPr>
          <w:rFonts w:ascii="Times New Roman" w:eastAsia="Calibri" w:hAnsi="Times New Roman"/>
          <w:sz w:val="24"/>
          <w:szCs w:val="24"/>
          <w:lang w:val="en-US"/>
        </w:rPr>
        <w:t>.</w:t>
      </w:r>
      <w:r w:rsidRPr="00184B62">
        <w:rPr>
          <w:rFonts w:ascii="Times New Roman" w:eastAsia="Calibri" w:hAnsi="Times New Roman"/>
          <w:sz w:val="24"/>
          <w:szCs w:val="24"/>
        </w:rPr>
        <w:t>M</w:t>
      </w:r>
      <w:r w:rsidRPr="00184B62">
        <w:rPr>
          <w:rFonts w:ascii="Times New Roman" w:eastAsia="Calibri" w:hAnsi="Times New Roman"/>
          <w:sz w:val="24"/>
          <w:szCs w:val="24"/>
          <w:lang w:val="en-US"/>
        </w:rPr>
        <w:t>.</w:t>
      </w:r>
      <w:r w:rsidRPr="00184B62">
        <w:rPr>
          <w:rFonts w:ascii="Times New Roman" w:eastAsia="Calibri" w:hAnsi="Times New Roman"/>
          <w:sz w:val="24"/>
          <w:szCs w:val="24"/>
        </w:rPr>
        <w:t>, Audisio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P</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(2017)</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Guidelines for the monitoring of </w:t>
      </w:r>
      <w:r w:rsidRPr="00184B62">
        <w:rPr>
          <w:rFonts w:ascii="Times New Roman" w:eastAsia="Calibri" w:hAnsi="Times New Roman"/>
          <w:i/>
          <w:sz w:val="24"/>
          <w:szCs w:val="24"/>
        </w:rPr>
        <w:t>Lucanus cervus</w:t>
      </w:r>
      <w:r w:rsidRPr="00184B62">
        <w:rPr>
          <w:rFonts w:ascii="Times New Roman" w:eastAsia="Calibri" w:hAnsi="Times New Roman"/>
          <w:sz w:val="24"/>
          <w:szCs w:val="24"/>
        </w:rPr>
        <w:t>. In: Carpaneto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G</w:t>
      </w:r>
      <w:r w:rsidRPr="00184B62">
        <w:rPr>
          <w:rFonts w:ascii="Times New Roman" w:eastAsia="Calibri" w:hAnsi="Times New Roman"/>
          <w:sz w:val="24"/>
          <w:szCs w:val="24"/>
          <w:lang w:val="en-US"/>
        </w:rPr>
        <w:t>.</w:t>
      </w:r>
      <w:r w:rsidRPr="00184B62">
        <w:rPr>
          <w:rFonts w:ascii="Times New Roman" w:eastAsia="Calibri" w:hAnsi="Times New Roman"/>
          <w:sz w:val="24"/>
          <w:szCs w:val="24"/>
        </w:rPr>
        <w:t>M</w:t>
      </w:r>
      <w:r w:rsidRPr="00184B62">
        <w:rPr>
          <w:rFonts w:ascii="Times New Roman" w:eastAsia="Calibri" w:hAnsi="Times New Roman"/>
          <w:sz w:val="24"/>
          <w:szCs w:val="24"/>
          <w:lang w:val="en-US"/>
        </w:rPr>
        <w:t>.</w:t>
      </w:r>
      <w:r w:rsidRPr="00184B62">
        <w:rPr>
          <w:rFonts w:ascii="Times New Roman" w:eastAsia="Calibri" w:hAnsi="Times New Roman"/>
          <w:sz w:val="24"/>
          <w:szCs w:val="24"/>
        </w:rPr>
        <w:t>, Audisio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P</w:t>
      </w:r>
      <w:r w:rsidRPr="00184B62">
        <w:rPr>
          <w:rFonts w:ascii="Times New Roman" w:eastAsia="Calibri" w:hAnsi="Times New Roman"/>
          <w:sz w:val="24"/>
          <w:szCs w:val="24"/>
          <w:lang w:val="en-US"/>
        </w:rPr>
        <w:t>.</w:t>
      </w:r>
      <w:r w:rsidRPr="00184B62">
        <w:rPr>
          <w:rFonts w:ascii="Times New Roman" w:eastAsia="Calibri" w:hAnsi="Times New Roman"/>
          <w:sz w:val="24"/>
          <w:szCs w:val="24"/>
        </w:rPr>
        <w:t>, Bologna</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A</w:t>
      </w:r>
      <w:r w:rsidRPr="00184B62">
        <w:rPr>
          <w:rFonts w:ascii="Times New Roman" w:eastAsia="Calibri" w:hAnsi="Times New Roman"/>
          <w:sz w:val="24"/>
          <w:szCs w:val="24"/>
          <w:lang w:val="en-US"/>
        </w:rPr>
        <w:t>.</w:t>
      </w:r>
      <w:r w:rsidRPr="00184B62">
        <w:rPr>
          <w:rFonts w:ascii="Times New Roman" w:eastAsia="Calibri" w:hAnsi="Times New Roman"/>
          <w:sz w:val="24"/>
          <w:szCs w:val="24"/>
        </w:rPr>
        <w:t>, Roversi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P</w:t>
      </w:r>
      <w:r w:rsidRPr="00184B62">
        <w:rPr>
          <w:rFonts w:ascii="Times New Roman" w:eastAsia="Calibri" w:hAnsi="Times New Roman"/>
          <w:sz w:val="24"/>
          <w:szCs w:val="24"/>
          <w:lang w:val="en-US"/>
        </w:rPr>
        <w:t>.</w:t>
      </w:r>
      <w:r w:rsidRPr="00184B62">
        <w:rPr>
          <w:rFonts w:ascii="Times New Roman" w:eastAsia="Calibri" w:hAnsi="Times New Roman"/>
          <w:sz w:val="24"/>
          <w:szCs w:val="24"/>
        </w:rPr>
        <w:t>F</w:t>
      </w:r>
      <w:r w:rsidRPr="00184B62">
        <w:rPr>
          <w:rFonts w:ascii="Times New Roman" w:eastAsia="Calibri" w:hAnsi="Times New Roman"/>
          <w:sz w:val="24"/>
          <w:szCs w:val="24"/>
          <w:lang w:val="en-US"/>
        </w:rPr>
        <w:t>.</w:t>
      </w:r>
      <w:r w:rsidRPr="00184B62">
        <w:rPr>
          <w:rFonts w:ascii="Times New Roman" w:eastAsia="Calibri" w:hAnsi="Times New Roman"/>
          <w:sz w:val="24"/>
          <w:szCs w:val="24"/>
        </w:rPr>
        <w:t>, Mason</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F</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(Eds)/ Guidelines for the Monitoring of the Saproxylic Beetles protected in Europe. Nature Conservation 20: 37–78.</w:t>
      </w:r>
    </w:p>
    <w:p w:rsidR="00184B62" w:rsidRPr="00184B62" w:rsidRDefault="00184B62" w:rsidP="00715A84">
      <w:pPr>
        <w:spacing w:after="0" w:line="240" w:lineRule="auto"/>
        <w:ind w:left="720" w:hanging="720"/>
        <w:jc w:val="both"/>
        <w:rPr>
          <w:rFonts w:ascii="Times New Roman" w:eastAsia="Calibri" w:hAnsi="Times New Roman"/>
          <w:sz w:val="24"/>
          <w:szCs w:val="24"/>
        </w:rPr>
      </w:pPr>
      <w:r w:rsidRPr="00184B62">
        <w:rPr>
          <w:rFonts w:ascii="Times New Roman" w:eastAsia="Calibri" w:hAnsi="Times New Roman"/>
          <w:sz w:val="24"/>
          <w:szCs w:val="24"/>
        </w:rPr>
        <w:t>Franciscolo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M.E. </w:t>
      </w:r>
      <w:r w:rsidRPr="00184B62">
        <w:rPr>
          <w:rFonts w:ascii="Times New Roman" w:eastAsia="Calibri" w:hAnsi="Times New Roman"/>
          <w:sz w:val="24"/>
          <w:szCs w:val="24"/>
          <w:lang w:val="en-US"/>
        </w:rPr>
        <w:t>(</w:t>
      </w:r>
      <w:r w:rsidRPr="00184B62">
        <w:rPr>
          <w:rFonts w:ascii="Times New Roman" w:eastAsia="Calibri" w:hAnsi="Times New Roman"/>
          <w:sz w:val="24"/>
          <w:szCs w:val="24"/>
        </w:rPr>
        <w:t>1997</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Coleoptera Lucanidae. Fauna d'Italia, XXXV. Calderini, Bologna, 228 pp. </w:t>
      </w:r>
    </w:p>
    <w:p w:rsidR="00184B62" w:rsidRPr="00184B62" w:rsidRDefault="00184B62" w:rsidP="00715A84">
      <w:pPr>
        <w:spacing w:after="0" w:line="240" w:lineRule="auto"/>
        <w:ind w:left="720" w:hanging="720"/>
        <w:jc w:val="both"/>
        <w:rPr>
          <w:rFonts w:ascii="Times New Roman" w:eastAsia="Calibri" w:hAnsi="Times New Roman"/>
          <w:sz w:val="24"/>
          <w:szCs w:val="24"/>
        </w:rPr>
      </w:pPr>
      <w:r w:rsidRPr="00184B62">
        <w:rPr>
          <w:rFonts w:ascii="Times New Roman" w:eastAsia="Calibri" w:hAnsi="Times New Roman"/>
          <w:sz w:val="24"/>
          <w:szCs w:val="24"/>
        </w:rPr>
        <w:t>Harvey</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D</w:t>
      </w:r>
      <w:r w:rsidRPr="00184B62">
        <w:rPr>
          <w:rFonts w:ascii="Times New Roman" w:eastAsia="Calibri" w:hAnsi="Times New Roman"/>
          <w:sz w:val="24"/>
          <w:szCs w:val="24"/>
          <w:lang w:val="en-US"/>
        </w:rPr>
        <w:t>.</w:t>
      </w:r>
      <w:r w:rsidRPr="00184B62">
        <w:rPr>
          <w:rFonts w:ascii="Times New Roman" w:eastAsia="Calibri" w:hAnsi="Times New Roman"/>
          <w:sz w:val="24"/>
          <w:szCs w:val="24"/>
        </w:rPr>
        <w:t>J</w:t>
      </w:r>
      <w:r w:rsidRPr="00184B62">
        <w:rPr>
          <w:rFonts w:ascii="Times New Roman" w:eastAsia="Calibri" w:hAnsi="Times New Roman"/>
          <w:sz w:val="24"/>
          <w:szCs w:val="24"/>
          <w:lang w:val="en-US"/>
        </w:rPr>
        <w:t>.</w:t>
      </w:r>
      <w:r w:rsidRPr="00184B62">
        <w:rPr>
          <w:rFonts w:ascii="Times New Roman" w:eastAsia="Calibri" w:hAnsi="Times New Roman"/>
          <w:sz w:val="24"/>
          <w:szCs w:val="24"/>
        </w:rPr>
        <w:t>, Gange</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A</w:t>
      </w:r>
      <w:r w:rsidRPr="00184B62">
        <w:rPr>
          <w:rFonts w:ascii="Times New Roman" w:eastAsia="Calibri" w:hAnsi="Times New Roman"/>
          <w:sz w:val="24"/>
          <w:szCs w:val="24"/>
          <w:lang w:val="en-US"/>
        </w:rPr>
        <w:t>.</w:t>
      </w:r>
      <w:r w:rsidRPr="00184B62">
        <w:rPr>
          <w:rFonts w:ascii="Times New Roman" w:eastAsia="Calibri" w:hAnsi="Times New Roman"/>
          <w:sz w:val="24"/>
          <w:szCs w:val="24"/>
        </w:rPr>
        <w:t>C</w:t>
      </w:r>
      <w:r w:rsidRPr="00184B62">
        <w:rPr>
          <w:rFonts w:ascii="Times New Roman" w:eastAsia="Calibri" w:hAnsi="Times New Roman"/>
          <w:sz w:val="24"/>
          <w:szCs w:val="24"/>
          <w:lang w:val="en-US"/>
        </w:rPr>
        <w:t>.</w:t>
      </w:r>
      <w:r w:rsidRPr="00184B62">
        <w:rPr>
          <w:rFonts w:ascii="Times New Roman" w:eastAsia="Calibri" w:hAnsi="Times New Roman"/>
          <w:sz w:val="24"/>
          <w:szCs w:val="24"/>
        </w:rPr>
        <w:t>, Hawes</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C</w:t>
      </w:r>
      <w:r w:rsidRPr="00184B62">
        <w:rPr>
          <w:rFonts w:ascii="Times New Roman" w:eastAsia="Calibri" w:hAnsi="Times New Roman"/>
          <w:sz w:val="24"/>
          <w:szCs w:val="24"/>
          <w:lang w:val="en-US"/>
        </w:rPr>
        <w:t>.</w:t>
      </w:r>
      <w:r w:rsidRPr="00184B62">
        <w:rPr>
          <w:rFonts w:ascii="Times New Roman" w:eastAsia="Calibri" w:hAnsi="Times New Roman"/>
          <w:sz w:val="24"/>
          <w:szCs w:val="24"/>
        </w:rPr>
        <w:t>J</w:t>
      </w:r>
      <w:r w:rsidRPr="00184B62">
        <w:rPr>
          <w:rFonts w:ascii="Times New Roman" w:eastAsia="Calibri" w:hAnsi="Times New Roman"/>
          <w:sz w:val="24"/>
          <w:szCs w:val="24"/>
          <w:lang w:val="en-US"/>
        </w:rPr>
        <w:t>.</w:t>
      </w:r>
      <w:r w:rsidRPr="00184B62">
        <w:rPr>
          <w:rFonts w:ascii="Times New Roman" w:eastAsia="Calibri" w:hAnsi="Times New Roman"/>
          <w:sz w:val="24"/>
          <w:szCs w:val="24"/>
        </w:rPr>
        <w:t>, Rink</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 Abdehalden</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 Al-Fulaij</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N</w:t>
      </w:r>
      <w:r w:rsidRPr="00184B62">
        <w:rPr>
          <w:rFonts w:ascii="Times New Roman" w:eastAsia="Calibri" w:hAnsi="Times New Roman"/>
          <w:sz w:val="24"/>
          <w:szCs w:val="24"/>
          <w:lang w:val="en-US"/>
        </w:rPr>
        <w:t>.</w:t>
      </w:r>
      <w:r w:rsidRPr="00184B62">
        <w:rPr>
          <w:rFonts w:ascii="Times New Roman" w:eastAsia="Calibri" w:hAnsi="Times New Roman"/>
          <w:sz w:val="24"/>
          <w:szCs w:val="24"/>
        </w:rPr>
        <w:t>, Asp</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T</w:t>
      </w:r>
      <w:r w:rsidRPr="00184B62">
        <w:rPr>
          <w:rFonts w:ascii="Times New Roman" w:eastAsia="Calibri" w:hAnsi="Times New Roman"/>
          <w:sz w:val="24"/>
          <w:szCs w:val="24"/>
          <w:lang w:val="en-US"/>
        </w:rPr>
        <w:t>.</w:t>
      </w:r>
      <w:r w:rsidRPr="00184B62">
        <w:rPr>
          <w:rFonts w:ascii="Times New Roman" w:eastAsia="Calibri" w:hAnsi="Times New Roman"/>
          <w:sz w:val="24"/>
          <w:szCs w:val="24"/>
        </w:rPr>
        <w:t>, Ballerio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A</w:t>
      </w:r>
      <w:r w:rsidRPr="00184B62">
        <w:rPr>
          <w:rFonts w:ascii="Times New Roman" w:eastAsia="Calibri" w:hAnsi="Times New Roman"/>
          <w:sz w:val="24"/>
          <w:szCs w:val="24"/>
          <w:lang w:val="en-US"/>
        </w:rPr>
        <w:t>.</w:t>
      </w:r>
      <w:r w:rsidRPr="00184B62">
        <w:rPr>
          <w:rFonts w:ascii="Times New Roman" w:eastAsia="Calibri" w:hAnsi="Times New Roman"/>
          <w:sz w:val="24"/>
          <w:szCs w:val="24"/>
        </w:rPr>
        <w:t>, Bartolozzi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L</w:t>
      </w:r>
      <w:r w:rsidRPr="00184B62">
        <w:rPr>
          <w:rFonts w:ascii="Times New Roman" w:eastAsia="Calibri" w:hAnsi="Times New Roman"/>
          <w:sz w:val="24"/>
          <w:szCs w:val="24"/>
          <w:lang w:val="en-US"/>
        </w:rPr>
        <w:t>.</w:t>
      </w:r>
      <w:r w:rsidRPr="00184B62">
        <w:rPr>
          <w:rFonts w:ascii="Times New Roman" w:eastAsia="Calibri" w:hAnsi="Times New Roman"/>
          <w:sz w:val="24"/>
          <w:szCs w:val="24"/>
        </w:rPr>
        <w:t>, Brustel</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H</w:t>
      </w:r>
      <w:r w:rsidRPr="00184B62">
        <w:rPr>
          <w:rFonts w:ascii="Times New Roman" w:eastAsia="Calibri" w:hAnsi="Times New Roman"/>
          <w:sz w:val="24"/>
          <w:szCs w:val="24"/>
          <w:lang w:val="en-US"/>
        </w:rPr>
        <w:t>.</w:t>
      </w:r>
      <w:r w:rsidRPr="00184B62">
        <w:rPr>
          <w:rFonts w:ascii="Times New Roman" w:eastAsia="Calibri" w:hAnsi="Times New Roman"/>
          <w:sz w:val="24"/>
          <w:szCs w:val="24"/>
        </w:rPr>
        <w:t>, Cammaerts</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R</w:t>
      </w:r>
      <w:r w:rsidRPr="00184B62">
        <w:rPr>
          <w:rFonts w:ascii="Times New Roman" w:eastAsia="Calibri" w:hAnsi="Times New Roman"/>
          <w:sz w:val="24"/>
          <w:szCs w:val="24"/>
          <w:lang w:val="en-US"/>
        </w:rPr>
        <w:t>.</w:t>
      </w:r>
      <w:r w:rsidRPr="00184B62">
        <w:rPr>
          <w:rFonts w:ascii="Times New Roman" w:eastAsia="Calibri" w:hAnsi="Times New Roman"/>
          <w:sz w:val="24"/>
          <w:szCs w:val="24"/>
        </w:rPr>
        <w:t>, Carpaneto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G</w:t>
      </w:r>
      <w:r w:rsidRPr="00184B62">
        <w:rPr>
          <w:rFonts w:ascii="Times New Roman" w:eastAsia="Calibri" w:hAnsi="Times New Roman"/>
          <w:sz w:val="24"/>
          <w:szCs w:val="24"/>
          <w:lang w:val="en-US"/>
        </w:rPr>
        <w:t>.</w:t>
      </w:r>
      <w:r w:rsidRPr="00184B62">
        <w:rPr>
          <w:rFonts w:ascii="Times New Roman" w:eastAsia="Calibri" w:hAnsi="Times New Roman"/>
          <w:sz w:val="24"/>
          <w:szCs w:val="24"/>
        </w:rPr>
        <w:t>M</w:t>
      </w:r>
      <w:r w:rsidRPr="00184B62">
        <w:rPr>
          <w:rFonts w:ascii="Times New Roman" w:eastAsia="Calibri" w:hAnsi="Times New Roman"/>
          <w:sz w:val="24"/>
          <w:szCs w:val="24"/>
          <w:lang w:val="en-US"/>
        </w:rPr>
        <w:t>.</w:t>
      </w:r>
      <w:r w:rsidRPr="00184B62">
        <w:rPr>
          <w:rFonts w:ascii="Times New Roman" w:eastAsia="Calibri" w:hAnsi="Times New Roman"/>
          <w:sz w:val="24"/>
          <w:szCs w:val="24"/>
        </w:rPr>
        <w:t>, Cederberg</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B</w:t>
      </w:r>
      <w:r w:rsidRPr="00184B62">
        <w:rPr>
          <w:rFonts w:ascii="Times New Roman" w:eastAsia="Calibri" w:hAnsi="Times New Roman"/>
          <w:sz w:val="24"/>
          <w:szCs w:val="24"/>
          <w:lang w:val="en-US"/>
        </w:rPr>
        <w:t>.</w:t>
      </w:r>
      <w:r w:rsidRPr="00184B62">
        <w:rPr>
          <w:rFonts w:ascii="Times New Roman" w:eastAsia="Calibri" w:hAnsi="Times New Roman"/>
          <w:sz w:val="24"/>
          <w:szCs w:val="24"/>
        </w:rPr>
        <w:t>, Chobot</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K</w:t>
      </w:r>
      <w:r w:rsidRPr="00184B62">
        <w:rPr>
          <w:rFonts w:ascii="Times New Roman" w:eastAsia="Calibri" w:hAnsi="Times New Roman"/>
          <w:sz w:val="24"/>
          <w:szCs w:val="24"/>
          <w:lang w:val="en-US"/>
        </w:rPr>
        <w:t>.</w:t>
      </w:r>
      <w:r w:rsidRPr="00184B62">
        <w:rPr>
          <w:rFonts w:ascii="Times New Roman" w:eastAsia="Calibri" w:hAnsi="Times New Roman"/>
          <w:sz w:val="24"/>
          <w:szCs w:val="24"/>
        </w:rPr>
        <w:t>, Cianferoni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F</w:t>
      </w:r>
      <w:r w:rsidRPr="00184B62">
        <w:rPr>
          <w:rFonts w:ascii="Times New Roman" w:eastAsia="Calibri" w:hAnsi="Times New Roman"/>
          <w:sz w:val="24"/>
          <w:szCs w:val="24"/>
          <w:lang w:val="en-US"/>
        </w:rPr>
        <w:t>.</w:t>
      </w:r>
      <w:r w:rsidRPr="00184B62">
        <w:rPr>
          <w:rFonts w:ascii="Times New Roman" w:eastAsia="Calibri" w:hAnsi="Times New Roman"/>
          <w:sz w:val="24"/>
          <w:szCs w:val="24"/>
        </w:rPr>
        <w:t>, Drumont</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A</w:t>
      </w:r>
      <w:r w:rsidRPr="00184B62">
        <w:rPr>
          <w:rFonts w:ascii="Times New Roman" w:eastAsia="Calibri" w:hAnsi="Times New Roman"/>
          <w:sz w:val="24"/>
          <w:szCs w:val="24"/>
          <w:lang w:val="en-US"/>
        </w:rPr>
        <w:t>.</w:t>
      </w:r>
      <w:r w:rsidRPr="00184B62">
        <w:rPr>
          <w:rFonts w:ascii="Times New Roman" w:eastAsia="Calibri" w:hAnsi="Times New Roman"/>
          <w:sz w:val="24"/>
          <w:szCs w:val="24"/>
        </w:rPr>
        <w:t>, Ellwanger</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G</w:t>
      </w:r>
      <w:r w:rsidRPr="00184B62">
        <w:rPr>
          <w:rFonts w:ascii="Times New Roman" w:eastAsia="Calibri" w:hAnsi="Times New Roman"/>
          <w:sz w:val="24"/>
          <w:szCs w:val="24"/>
          <w:lang w:val="en-US"/>
        </w:rPr>
        <w:t>.</w:t>
      </w:r>
      <w:r w:rsidRPr="00184B62">
        <w:rPr>
          <w:rFonts w:ascii="Times New Roman" w:eastAsia="Calibri" w:hAnsi="Times New Roman"/>
          <w:sz w:val="24"/>
          <w:szCs w:val="24"/>
        </w:rPr>
        <w:t>, Ferreira</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S</w:t>
      </w:r>
      <w:r w:rsidRPr="00184B62">
        <w:rPr>
          <w:rFonts w:ascii="Times New Roman" w:eastAsia="Calibri" w:hAnsi="Times New Roman"/>
          <w:sz w:val="24"/>
          <w:szCs w:val="24"/>
          <w:lang w:val="en-US"/>
        </w:rPr>
        <w:t>.</w:t>
      </w:r>
      <w:r w:rsidRPr="00184B62">
        <w:rPr>
          <w:rFonts w:ascii="Times New Roman" w:eastAsia="Calibri" w:hAnsi="Times New Roman"/>
          <w:sz w:val="24"/>
          <w:szCs w:val="24"/>
        </w:rPr>
        <w:t>, Grosso-Silva</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J</w:t>
      </w:r>
      <w:r w:rsidRPr="00184B62">
        <w:rPr>
          <w:rFonts w:ascii="Times New Roman" w:eastAsia="Calibri" w:hAnsi="Times New Roman"/>
          <w:sz w:val="24"/>
          <w:szCs w:val="24"/>
          <w:lang w:val="en-US"/>
        </w:rPr>
        <w:t>.</w:t>
      </w:r>
      <w:r w:rsidRPr="00184B62">
        <w:rPr>
          <w:rFonts w:ascii="Times New Roman" w:eastAsia="Calibri" w:hAnsi="Times New Roman"/>
          <w:sz w:val="24"/>
          <w:szCs w:val="24"/>
        </w:rPr>
        <w:t>, Gueorguiev</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B</w:t>
      </w:r>
      <w:r w:rsidRPr="00184B62">
        <w:rPr>
          <w:rFonts w:ascii="Times New Roman" w:eastAsia="Calibri" w:hAnsi="Times New Roman"/>
          <w:sz w:val="24"/>
          <w:szCs w:val="24"/>
          <w:lang w:val="en-US"/>
        </w:rPr>
        <w:t>.</w:t>
      </w:r>
      <w:r w:rsidRPr="00184B62">
        <w:rPr>
          <w:rFonts w:ascii="Times New Roman" w:eastAsia="Calibri" w:hAnsi="Times New Roman"/>
          <w:sz w:val="24"/>
          <w:szCs w:val="24"/>
        </w:rPr>
        <w:t>, Harvey</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W</w:t>
      </w:r>
      <w:r w:rsidRPr="00184B62">
        <w:rPr>
          <w:rFonts w:ascii="Times New Roman" w:eastAsia="Calibri" w:hAnsi="Times New Roman"/>
          <w:sz w:val="24"/>
          <w:szCs w:val="24"/>
          <w:lang w:val="en-US"/>
        </w:rPr>
        <w:t>.</w:t>
      </w:r>
      <w:r w:rsidRPr="00184B62">
        <w:rPr>
          <w:rFonts w:ascii="Times New Roman" w:eastAsia="Calibri" w:hAnsi="Times New Roman"/>
          <w:sz w:val="24"/>
          <w:szCs w:val="24"/>
        </w:rPr>
        <w:t>, Hendriks</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P</w:t>
      </w:r>
      <w:r w:rsidRPr="00184B62">
        <w:rPr>
          <w:rFonts w:ascii="Times New Roman" w:eastAsia="Calibri" w:hAnsi="Times New Roman"/>
          <w:sz w:val="24"/>
          <w:szCs w:val="24"/>
          <w:lang w:val="en-US"/>
        </w:rPr>
        <w:t>.</w:t>
      </w:r>
      <w:r w:rsidRPr="00184B62">
        <w:rPr>
          <w:rFonts w:ascii="Times New Roman" w:eastAsia="Calibri" w:hAnsi="Times New Roman"/>
          <w:sz w:val="24"/>
          <w:szCs w:val="24"/>
        </w:rPr>
        <w:t>, Istrate</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P</w:t>
      </w:r>
      <w:r w:rsidRPr="00184B62">
        <w:rPr>
          <w:rFonts w:ascii="Times New Roman" w:eastAsia="Calibri" w:hAnsi="Times New Roman"/>
          <w:sz w:val="24"/>
          <w:szCs w:val="24"/>
          <w:lang w:val="en-US"/>
        </w:rPr>
        <w:t>.</w:t>
      </w:r>
      <w:r w:rsidRPr="00184B62">
        <w:rPr>
          <w:rFonts w:ascii="Times New Roman" w:eastAsia="Calibri" w:hAnsi="Times New Roman"/>
          <w:sz w:val="24"/>
          <w:szCs w:val="24"/>
        </w:rPr>
        <w:t>, Jansson</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N</w:t>
      </w:r>
      <w:r w:rsidRPr="00184B62">
        <w:rPr>
          <w:rFonts w:ascii="Times New Roman" w:eastAsia="Calibri" w:hAnsi="Times New Roman"/>
          <w:sz w:val="24"/>
          <w:szCs w:val="24"/>
          <w:lang w:val="en-US"/>
        </w:rPr>
        <w:t>.</w:t>
      </w:r>
      <w:r w:rsidRPr="00184B62">
        <w:rPr>
          <w:rFonts w:ascii="Times New Roman" w:eastAsia="Calibri" w:hAnsi="Times New Roman"/>
          <w:sz w:val="24"/>
          <w:szCs w:val="24"/>
        </w:rPr>
        <w:t>, Jelaska</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L</w:t>
      </w:r>
      <w:r w:rsidRPr="00184B62">
        <w:rPr>
          <w:rFonts w:ascii="Times New Roman" w:eastAsia="Calibri" w:hAnsi="Times New Roman"/>
          <w:sz w:val="24"/>
          <w:szCs w:val="24"/>
          <w:lang w:val="en-US"/>
        </w:rPr>
        <w:t>.</w:t>
      </w:r>
      <w:r w:rsidRPr="00184B62">
        <w:rPr>
          <w:rFonts w:ascii="Times New Roman" w:eastAsia="Calibri" w:hAnsi="Times New Roman"/>
          <w:sz w:val="24"/>
          <w:szCs w:val="24"/>
        </w:rPr>
        <w:t>, Jendek</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E</w:t>
      </w:r>
      <w:r w:rsidRPr="00184B62">
        <w:rPr>
          <w:rFonts w:ascii="Times New Roman" w:eastAsia="Calibri" w:hAnsi="Times New Roman"/>
          <w:sz w:val="24"/>
          <w:szCs w:val="24"/>
          <w:lang w:val="en-US"/>
        </w:rPr>
        <w:t>.</w:t>
      </w:r>
      <w:r w:rsidRPr="00184B62">
        <w:rPr>
          <w:rFonts w:ascii="Times New Roman" w:eastAsia="Calibri" w:hAnsi="Times New Roman"/>
          <w:sz w:val="24"/>
          <w:szCs w:val="24"/>
        </w:rPr>
        <w:t>, Jovic</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 Kervyn</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T</w:t>
      </w:r>
      <w:r w:rsidRPr="00184B62">
        <w:rPr>
          <w:rFonts w:ascii="Times New Roman" w:eastAsia="Calibri" w:hAnsi="Times New Roman"/>
          <w:sz w:val="24"/>
          <w:szCs w:val="24"/>
          <w:lang w:val="en-US"/>
        </w:rPr>
        <w:t>.</w:t>
      </w:r>
      <w:r w:rsidRPr="00184B62">
        <w:rPr>
          <w:rFonts w:ascii="Times New Roman" w:eastAsia="Calibri" w:hAnsi="Times New Roman"/>
          <w:sz w:val="24"/>
          <w:szCs w:val="24"/>
        </w:rPr>
        <w:t>, Krenn</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H</w:t>
      </w:r>
      <w:r w:rsidRPr="00184B62">
        <w:rPr>
          <w:rFonts w:ascii="Times New Roman" w:eastAsia="Calibri" w:hAnsi="Times New Roman"/>
          <w:sz w:val="24"/>
          <w:szCs w:val="24"/>
          <w:lang w:val="en-US"/>
        </w:rPr>
        <w:t>.</w:t>
      </w:r>
      <w:r w:rsidRPr="00184B62">
        <w:rPr>
          <w:rFonts w:ascii="Times New Roman" w:eastAsia="Calibri" w:hAnsi="Times New Roman"/>
          <w:sz w:val="24"/>
          <w:szCs w:val="24"/>
        </w:rPr>
        <w:t>, Kretschmer</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K</w:t>
      </w:r>
      <w:r w:rsidRPr="00184B62">
        <w:rPr>
          <w:rFonts w:ascii="Times New Roman" w:eastAsia="Calibri" w:hAnsi="Times New Roman"/>
          <w:sz w:val="24"/>
          <w:szCs w:val="24"/>
          <w:lang w:val="en-US"/>
        </w:rPr>
        <w:t>.</w:t>
      </w:r>
      <w:r w:rsidRPr="00184B62">
        <w:rPr>
          <w:rFonts w:ascii="Times New Roman" w:eastAsia="Calibri" w:hAnsi="Times New Roman"/>
          <w:sz w:val="24"/>
          <w:szCs w:val="24"/>
        </w:rPr>
        <w:t>, Legakis</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A</w:t>
      </w:r>
      <w:r w:rsidRPr="00184B62">
        <w:rPr>
          <w:rFonts w:ascii="Times New Roman" w:eastAsia="Calibri" w:hAnsi="Times New Roman"/>
          <w:sz w:val="24"/>
          <w:szCs w:val="24"/>
          <w:lang w:val="en-US"/>
        </w:rPr>
        <w:t>.</w:t>
      </w:r>
      <w:r w:rsidRPr="00184B62">
        <w:rPr>
          <w:rFonts w:ascii="Times New Roman" w:eastAsia="Calibri" w:hAnsi="Times New Roman"/>
          <w:sz w:val="24"/>
          <w:szCs w:val="24"/>
        </w:rPr>
        <w:t>, Lelo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S</w:t>
      </w:r>
      <w:r w:rsidRPr="00184B62">
        <w:rPr>
          <w:rFonts w:ascii="Times New Roman" w:eastAsia="Calibri" w:hAnsi="Times New Roman"/>
          <w:sz w:val="24"/>
          <w:szCs w:val="24"/>
          <w:lang w:val="en-US"/>
        </w:rPr>
        <w:t>.</w:t>
      </w:r>
      <w:r w:rsidRPr="00184B62">
        <w:rPr>
          <w:rFonts w:ascii="Times New Roman" w:eastAsia="Calibri" w:hAnsi="Times New Roman"/>
          <w:sz w:val="24"/>
          <w:szCs w:val="24"/>
        </w:rPr>
        <w:t>, Moretti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 Merkl</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O</w:t>
      </w:r>
      <w:r w:rsidRPr="00184B62">
        <w:rPr>
          <w:rFonts w:ascii="Times New Roman" w:eastAsia="Calibri" w:hAnsi="Times New Roman"/>
          <w:sz w:val="24"/>
          <w:szCs w:val="24"/>
          <w:lang w:val="en-US"/>
        </w:rPr>
        <w:t>.</w:t>
      </w:r>
      <w:r w:rsidRPr="00184B62">
        <w:rPr>
          <w:rFonts w:ascii="Times New Roman" w:eastAsia="Calibri" w:hAnsi="Times New Roman"/>
          <w:sz w:val="24"/>
          <w:szCs w:val="24"/>
        </w:rPr>
        <w:t>, Mader</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D</w:t>
      </w:r>
      <w:r w:rsidRPr="00184B62">
        <w:rPr>
          <w:rFonts w:ascii="Times New Roman" w:eastAsia="Calibri" w:hAnsi="Times New Roman"/>
          <w:sz w:val="24"/>
          <w:szCs w:val="24"/>
          <w:lang w:val="en-US"/>
        </w:rPr>
        <w:t>.</w:t>
      </w:r>
      <w:r w:rsidRPr="00184B62">
        <w:rPr>
          <w:rFonts w:ascii="Times New Roman" w:eastAsia="Calibri" w:hAnsi="Times New Roman"/>
          <w:sz w:val="24"/>
          <w:szCs w:val="24"/>
        </w:rPr>
        <w:t>, Palma</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R</w:t>
      </w:r>
      <w:r w:rsidRPr="00184B62">
        <w:rPr>
          <w:rFonts w:ascii="Times New Roman" w:eastAsia="Calibri" w:hAnsi="Times New Roman"/>
          <w:sz w:val="24"/>
          <w:szCs w:val="24"/>
          <w:lang w:val="en-US"/>
        </w:rPr>
        <w:t>.</w:t>
      </w:r>
      <w:r w:rsidRPr="00184B62">
        <w:rPr>
          <w:rFonts w:ascii="Times New Roman" w:eastAsia="Calibri" w:hAnsi="Times New Roman"/>
          <w:sz w:val="24"/>
          <w:szCs w:val="24"/>
        </w:rPr>
        <w:t>, Neculiseanu</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Z</w:t>
      </w:r>
      <w:r w:rsidRPr="00184B62">
        <w:rPr>
          <w:rFonts w:ascii="Times New Roman" w:eastAsia="Calibri" w:hAnsi="Times New Roman"/>
          <w:sz w:val="24"/>
          <w:szCs w:val="24"/>
          <w:lang w:val="en-US"/>
        </w:rPr>
        <w:t>.</w:t>
      </w:r>
      <w:r w:rsidRPr="00184B62">
        <w:rPr>
          <w:rFonts w:ascii="Times New Roman" w:eastAsia="Calibri" w:hAnsi="Times New Roman"/>
          <w:sz w:val="24"/>
          <w:szCs w:val="24"/>
        </w:rPr>
        <w:t>, Rabitsch</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W</w:t>
      </w:r>
      <w:r w:rsidRPr="00184B62">
        <w:rPr>
          <w:rFonts w:ascii="Times New Roman" w:eastAsia="Calibri" w:hAnsi="Times New Roman"/>
          <w:sz w:val="24"/>
          <w:szCs w:val="24"/>
          <w:lang w:val="en-US"/>
        </w:rPr>
        <w:t>.</w:t>
      </w:r>
      <w:r w:rsidRPr="00184B62">
        <w:rPr>
          <w:rFonts w:ascii="Times New Roman" w:eastAsia="Calibri" w:hAnsi="Times New Roman"/>
          <w:sz w:val="24"/>
          <w:szCs w:val="24"/>
        </w:rPr>
        <w:t>, Rodriguez</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S</w:t>
      </w:r>
      <w:r w:rsidRPr="00184B62">
        <w:rPr>
          <w:rFonts w:ascii="Times New Roman" w:eastAsia="Calibri" w:hAnsi="Times New Roman"/>
          <w:sz w:val="24"/>
          <w:szCs w:val="24"/>
          <w:lang w:val="en-US"/>
        </w:rPr>
        <w:t>.</w:t>
      </w:r>
      <w:r w:rsidRPr="00184B62">
        <w:rPr>
          <w:rFonts w:ascii="Times New Roman" w:eastAsia="Calibri" w:hAnsi="Times New Roman"/>
          <w:sz w:val="24"/>
          <w:szCs w:val="24"/>
        </w:rPr>
        <w:t>, Smit</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J</w:t>
      </w:r>
      <w:r w:rsidRPr="00184B62">
        <w:rPr>
          <w:rFonts w:ascii="Times New Roman" w:eastAsia="Calibri" w:hAnsi="Times New Roman"/>
          <w:sz w:val="24"/>
          <w:szCs w:val="24"/>
          <w:lang w:val="en-US"/>
        </w:rPr>
        <w:t>.</w:t>
      </w:r>
      <w:r w:rsidRPr="00184B62">
        <w:rPr>
          <w:rFonts w:ascii="Times New Roman" w:eastAsia="Calibri" w:hAnsi="Times New Roman"/>
          <w:sz w:val="24"/>
          <w:szCs w:val="24"/>
        </w:rPr>
        <w:t>, Smith</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 Sprecher-Uebersax</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E</w:t>
      </w:r>
      <w:r w:rsidRPr="00184B62">
        <w:rPr>
          <w:rFonts w:ascii="Times New Roman" w:eastAsia="Calibri" w:hAnsi="Times New Roman"/>
          <w:sz w:val="24"/>
          <w:szCs w:val="24"/>
          <w:lang w:val="en-US"/>
        </w:rPr>
        <w:t>.</w:t>
      </w:r>
      <w:r w:rsidRPr="00184B62">
        <w:rPr>
          <w:rFonts w:ascii="Times New Roman" w:eastAsia="Calibri" w:hAnsi="Times New Roman"/>
          <w:sz w:val="24"/>
          <w:szCs w:val="24"/>
        </w:rPr>
        <w:t>, Telnov</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D</w:t>
      </w:r>
      <w:r w:rsidRPr="00184B62">
        <w:rPr>
          <w:rFonts w:ascii="Times New Roman" w:eastAsia="Calibri" w:hAnsi="Times New Roman"/>
          <w:sz w:val="24"/>
          <w:szCs w:val="24"/>
          <w:lang w:val="en-US"/>
        </w:rPr>
        <w:t>.</w:t>
      </w:r>
      <w:r w:rsidRPr="00184B62">
        <w:rPr>
          <w:rFonts w:ascii="Times New Roman" w:eastAsia="Calibri" w:hAnsi="Times New Roman"/>
          <w:sz w:val="24"/>
          <w:szCs w:val="24"/>
        </w:rPr>
        <w:t>, Thomaes</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A</w:t>
      </w:r>
      <w:r w:rsidRPr="00184B62">
        <w:rPr>
          <w:rFonts w:ascii="Times New Roman" w:eastAsia="Calibri" w:hAnsi="Times New Roman"/>
          <w:sz w:val="24"/>
          <w:szCs w:val="24"/>
          <w:lang w:val="en-US"/>
        </w:rPr>
        <w:t>.</w:t>
      </w:r>
      <w:r w:rsidRPr="00184B62">
        <w:rPr>
          <w:rFonts w:ascii="Times New Roman" w:eastAsia="Calibri" w:hAnsi="Times New Roman"/>
          <w:sz w:val="24"/>
          <w:szCs w:val="24"/>
        </w:rPr>
        <w:t>, Thomsen</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P</w:t>
      </w:r>
      <w:r w:rsidRPr="00184B62">
        <w:rPr>
          <w:rFonts w:ascii="Times New Roman" w:eastAsia="Calibri" w:hAnsi="Times New Roman"/>
          <w:sz w:val="24"/>
          <w:szCs w:val="24"/>
          <w:lang w:val="en-US"/>
        </w:rPr>
        <w:t>.</w:t>
      </w:r>
      <w:r w:rsidRPr="00184B62">
        <w:rPr>
          <w:rFonts w:ascii="Times New Roman" w:eastAsia="Calibri" w:hAnsi="Times New Roman"/>
          <w:sz w:val="24"/>
          <w:szCs w:val="24"/>
        </w:rPr>
        <w:t>, Tykarski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P</w:t>
      </w:r>
      <w:r w:rsidRPr="00184B62">
        <w:rPr>
          <w:rFonts w:ascii="Times New Roman" w:eastAsia="Calibri" w:hAnsi="Times New Roman"/>
          <w:sz w:val="24"/>
          <w:szCs w:val="24"/>
          <w:lang w:val="en-US"/>
        </w:rPr>
        <w:t>.</w:t>
      </w:r>
      <w:r w:rsidRPr="00184B62">
        <w:rPr>
          <w:rFonts w:ascii="Times New Roman" w:eastAsia="Calibri" w:hAnsi="Times New Roman"/>
          <w:sz w:val="24"/>
          <w:szCs w:val="24"/>
        </w:rPr>
        <w:t>, Vrezec</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A</w:t>
      </w:r>
      <w:r w:rsidRPr="00184B62">
        <w:rPr>
          <w:rFonts w:ascii="Times New Roman" w:eastAsia="Calibri" w:hAnsi="Times New Roman"/>
          <w:sz w:val="24"/>
          <w:szCs w:val="24"/>
          <w:lang w:val="en-US"/>
        </w:rPr>
        <w:t>.</w:t>
      </w:r>
      <w:r w:rsidRPr="00184B62">
        <w:rPr>
          <w:rFonts w:ascii="Times New Roman" w:eastAsia="Calibri" w:hAnsi="Times New Roman"/>
          <w:sz w:val="24"/>
          <w:szCs w:val="24"/>
        </w:rPr>
        <w:t>, Werner</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S</w:t>
      </w:r>
      <w:r w:rsidRPr="00184B62">
        <w:rPr>
          <w:rFonts w:ascii="Times New Roman" w:eastAsia="Calibri" w:hAnsi="Times New Roman"/>
          <w:sz w:val="24"/>
          <w:szCs w:val="24"/>
          <w:lang w:val="en-US"/>
        </w:rPr>
        <w:t>.</w:t>
      </w:r>
      <w:r w:rsidRPr="00184B62">
        <w:rPr>
          <w:rFonts w:ascii="Times New Roman" w:eastAsia="Calibri" w:hAnsi="Times New Roman"/>
          <w:sz w:val="24"/>
          <w:szCs w:val="24"/>
        </w:rPr>
        <w:t>, Zach</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P</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(2011)</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Bionomics and distribution of the stag beetle, </w:t>
      </w:r>
      <w:r w:rsidRPr="00184B62">
        <w:rPr>
          <w:rFonts w:ascii="Times New Roman" w:eastAsia="Calibri" w:hAnsi="Times New Roman"/>
          <w:i/>
          <w:sz w:val="24"/>
          <w:szCs w:val="24"/>
        </w:rPr>
        <w:t>Lucanus cervus</w:t>
      </w:r>
      <w:r w:rsidRPr="00184B62">
        <w:rPr>
          <w:rFonts w:ascii="Times New Roman" w:eastAsia="Calibri" w:hAnsi="Times New Roman"/>
          <w:sz w:val="24"/>
          <w:szCs w:val="24"/>
        </w:rPr>
        <w:t xml:space="preserve"> (L) across Europe. Insect Conservation and Diversity 4: 23–38.</w:t>
      </w:r>
    </w:p>
    <w:p w:rsidR="00184B62" w:rsidRPr="00184B62" w:rsidRDefault="00184B62" w:rsidP="00715A84">
      <w:pPr>
        <w:spacing w:after="0" w:line="240" w:lineRule="auto"/>
        <w:ind w:left="720" w:hanging="720"/>
        <w:jc w:val="both"/>
        <w:rPr>
          <w:rFonts w:ascii="Times New Roman" w:eastAsia="Calibri" w:hAnsi="Times New Roman"/>
          <w:sz w:val="24"/>
          <w:szCs w:val="24"/>
        </w:rPr>
      </w:pPr>
      <w:r w:rsidRPr="00184B62">
        <w:rPr>
          <w:rFonts w:ascii="Times New Roman" w:eastAsia="Calibri" w:hAnsi="Times New Roman"/>
          <w:sz w:val="24"/>
          <w:szCs w:val="24"/>
        </w:rPr>
        <w:t xml:space="preserve">Kuźmiński, R., Chrzanowski, A., Mazur, A., Rutkowski, P., Gwiazdowicz, D.J. </w:t>
      </w:r>
      <w:r w:rsidRPr="00184B62">
        <w:rPr>
          <w:rFonts w:ascii="Times New Roman" w:eastAsia="Calibri" w:hAnsi="Times New Roman"/>
          <w:sz w:val="24"/>
          <w:szCs w:val="24"/>
          <w:lang w:val="en-US"/>
        </w:rPr>
        <w:t>(</w:t>
      </w:r>
      <w:r w:rsidRPr="00184B62">
        <w:rPr>
          <w:rFonts w:ascii="Times New Roman" w:eastAsia="Calibri" w:hAnsi="Times New Roman"/>
          <w:sz w:val="24"/>
          <w:szCs w:val="24"/>
        </w:rPr>
        <w:t>2020</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Distribution and habitat preferences of the stag beetle </w:t>
      </w:r>
      <w:r w:rsidRPr="00184B62">
        <w:rPr>
          <w:rFonts w:ascii="Times New Roman" w:eastAsia="Calibri" w:hAnsi="Times New Roman"/>
          <w:i/>
          <w:sz w:val="24"/>
          <w:szCs w:val="24"/>
        </w:rPr>
        <w:t>Lucanus cervus</w:t>
      </w:r>
      <w:r w:rsidRPr="00184B62">
        <w:rPr>
          <w:rFonts w:ascii="Times New Roman" w:eastAsia="Calibri" w:hAnsi="Times New Roman"/>
          <w:sz w:val="24"/>
          <w:szCs w:val="24"/>
        </w:rPr>
        <w:t xml:space="preserve"> (L.) in forested areas of Poland. Scientific reports, 10(1):</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1-11.</w:t>
      </w:r>
    </w:p>
    <w:p w:rsidR="00184B62" w:rsidRPr="00184B62" w:rsidRDefault="00184B62" w:rsidP="00715A84">
      <w:pPr>
        <w:spacing w:after="0" w:line="240" w:lineRule="auto"/>
        <w:ind w:left="720" w:hanging="720"/>
        <w:jc w:val="both"/>
        <w:rPr>
          <w:rFonts w:ascii="Times New Roman" w:eastAsia="Calibri" w:hAnsi="Times New Roman"/>
          <w:sz w:val="24"/>
          <w:szCs w:val="24"/>
        </w:rPr>
      </w:pPr>
      <w:r w:rsidRPr="00184B62">
        <w:rPr>
          <w:rFonts w:ascii="Times New Roman" w:eastAsia="Calibri" w:hAnsi="Times New Roman"/>
          <w:sz w:val="24"/>
          <w:szCs w:val="24"/>
        </w:rPr>
        <w:t>Méndez</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 de Jaime</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C</w:t>
      </w:r>
      <w:r w:rsidRPr="00184B62">
        <w:rPr>
          <w:rFonts w:ascii="Times New Roman" w:eastAsia="Calibri" w:hAnsi="Times New Roman"/>
          <w:sz w:val="24"/>
          <w:szCs w:val="24"/>
          <w:lang w:val="en-US"/>
        </w:rPr>
        <w:t>.</w:t>
      </w:r>
      <w:r w:rsidRPr="00184B62">
        <w:rPr>
          <w:rFonts w:ascii="Times New Roman" w:eastAsia="Calibri" w:hAnsi="Times New Roman"/>
          <w:sz w:val="24"/>
          <w:szCs w:val="24"/>
        </w:rPr>
        <w:t>, Alcántara</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A</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(2017)</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Habitat description and interannual variation in abundance and phenology of the endangered beetle Lucanus cervus L. (Coleoptera) using citizen science monitoring. Journal of Insect Conservation</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21: 907–915. </w:t>
      </w:r>
    </w:p>
    <w:p w:rsidR="00184B62" w:rsidRPr="00184B62" w:rsidRDefault="00184B62" w:rsidP="00184B62">
      <w:pPr>
        <w:spacing w:before="120" w:after="120" w:line="240" w:lineRule="auto"/>
        <w:jc w:val="both"/>
        <w:rPr>
          <w:rFonts w:ascii="Times New Roman" w:eastAsia="Calibri" w:hAnsi="Times New Roman"/>
          <w:sz w:val="24"/>
          <w:szCs w:val="24"/>
        </w:rPr>
      </w:pPr>
    </w:p>
    <w:p w:rsidR="00184B62" w:rsidRPr="00184B62" w:rsidRDefault="00184B62" w:rsidP="00184B62">
      <w:pPr>
        <w:spacing w:after="0" w:line="240" w:lineRule="auto"/>
        <w:ind w:left="709" w:hanging="709"/>
        <w:contextualSpacing/>
        <w:jc w:val="both"/>
        <w:rPr>
          <w:rFonts w:ascii="Times New Roman" w:hAnsi="Times New Roman"/>
          <w:bCs/>
          <w:sz w:val="24"/>
          <w:szCs w:val="24"/>
          <w:lang w:eastAsia="bg-BG"/>
        </w:rPr>
      </w:pPr>
      <w:r w:rsidRPr="00184B62">
        <w:rPr>
          <w:rFonts w:ascii="Times New Roman" w:hAnsi="Times New Roman"/>
          <w:bCs/>
          <w:i/>
          <w:sz w:val="24"/>
          <w:szCs w:val="24"/>
          <w:lang w:eastAsia="bg-BG"/>
        </w:rPr>
        <w:t>Автор:</w:t>
      </w:r>
      <w:r w:rsidRPr="00184B62">
        <w:rPr>
          <w:rFonts w:ascii="Times New Roman" w:hAnsi="Times New Roman"/>
          <w:bCs/>
          <w:sz w:val="24"/>
          <w:szCs w:val="24"/>
          <w:lang w:eastAsia="bg-BG"/>
        </w:rPr>
        <w:t xml:space="preserve"> Ростислав Бекчиев</w:t>
      </w:r>
    </w:p>
    <w:p w:rsidR="00184B62" w:rsidRPr="0070678B" w:rsidRDefault="00184B62" w:rsidP="0070678B">
      <w:pPr>
        <w:rPr>
          <w:rFonts w:ascii="Times New Roman" w:hAnsi="Times New Roman"/>
          <w:color w:val="1F497D" w:themeColor="text2"/>
          <w:sz w:val="28"/>
          <w:szCs w:val="28"/>
        </w:rPr>
      </w:pPr>
    </w:p>
    <w:p w:rsidR="0070678B" w:rsidRDefault="00D77A67" w:rsidP="003A4F26">
      <w:pPr>
        <w:outlineLvl w:val="1"/>
        <w:rPr>
          <w:rFonts w:ascii="Times New Roman" w:hAnsi="Times New Roman"/>
          <w:i/>
          <w:color w:val="1F497D" w:themeColor="text2"/>
          <w:sz w:val="28"/>
          <w:szCs w:val="28"/>
        </w:rPr>
      </w:pPr>
      <w:bookmarkStart w:id="19" w:name="_Toc98838538"/>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1060 </w:t>
      </w:r>
      <w:r w:rsidR="0070678B" w:rsidRPr="00D77A67">
        <w:rPr>
          <w:rFonts w:ascii="Times New Roman" w:hAnsi="Times New Roman"/>
          <w:i/>
          <w:color w:val="1F497D" w:themeColor="text2"/>
          <w:sz w:val="28"/>
          <w:szCs w:val="28"/>
        </w:rPr>
        <w:t>Lycaena dispar</w:t>
      </w:r>
      <w:bookmarkEnd w:id="19"/>
    </w:p>
    <w:p w:rsidR="00184B62" w:rsidRPr="00184B62" w:rsidRDefault="00184B62" w:rsidP="00184B62">
      <w:pPr>
        <w:spacing w:before="120" w:after="120" w:line="240" w:lineRule="auto"/>
        <w:rPr>
          <w:rFonts w:ascii="Times New Roman" w:eastAsia="Calibri" w:hAnsi="Times New Roman"/>
          <w:bCs/>
          <w:sz w:val="24"/>
          <w:szCs w:val="24"/>
        </w:rPr>
      </w:pPr>
      <w:r w:rsidRPr="00184B62">
        <w:rPr>
          <w:rFonts w:ascii="Times New Roman" w:eastAsia="Calibri" w:hAnsi="Times New Roman"/>
          <w:b/>
          <w:bCs/>
          <w:sz w:val="24"/>
          <w:szCs w:val="24"/>
        </w:rPr>
        <w:t>1. Код и наименование на вида:</w:t>
      </w:r>
      <w:r w:rsidRPr="00184B62">
        <w:rPr>
          <w:rFonts w:ascii="Times New Roman" w:eastAsia="Calibri" w:hAnsi="Times New Roman"/>
          <w:b/>
          <w:bCs/>
          <w:sz w:val="24"/>
          <w:szCs w:val="24"/>
          <w:lang w:val="en-US"/>
        </w:rPr>
        <w:t xml:space="preserve"> </w:t>
      </w:r>
      <w:r w:rsidRPr="00184B62">
        <w:rPr>
          <w:rFonts w:ascii="Times New Roman" w:eastAsia="Calibri" w:hAnsi="Times New Roman"/>
          <w:bCs/>
          <w:sz w:val="24"/>
          <w:szCs w:val="24"/>
        </w:rPr>
        <w:t xml:space="preserve">1060 </w:t>
      </w:r>
      <w:r w:rsidRPr="00184B62">
        <w:rPr>
          <w:rFonts w:ascii="Times New Roman" w:eastAsia="Calibri" w:hAnsi="Times New Roman"/>
          <w:bCs/>
          <w:i/>
          <w:sz w:val="24"/>
          <w:szCs w:val="24"/>
        </w:rPr>
        <w:t>Lycaena dispar</w:t>
      </w:r>
      <w:r w:rsidRPr="00184B62">
        <w:rPr>
          <w:rFonts w:ascii="Times New Roman" w:eastAsia="Calibri" w:hAnsi="Times New Roman"/>
          <w:bCs/>
          <w:sz w:val="24"/>
          <w:szCs w:val="24"/>
        </w:rPr>
        <w:t xml:space="preserve"> – Лицена</w:t>
      </w:r>
    </w:p>
    <w:p w:rsidR="00184B62" w:rsidRPr="00184B62" w:rsidRDefault="00184B62" w:rsidP="00184B62">
      <w:pPr>
        <w:spacing w:before="120" w:after="120" w:line="240" w:lineRule="auto"/>
        <w:rPr>
          <w:rFonts w:ascii="Times New Roman" w:eastAsia="Calibri" w:hAnsi="Times New Roman"/>
          <w:b/>
          <w:bCs/>
          <w:sz w:val="24"/>
          <w:szCs w:val="24"/>
        </w:rPr>
      </w:pPr>
      <w:r w:rsidRPr="00184B62">
        <w:rPr>
          <w:rFonts w:ascii="Times New Roman" w:eastAsia="Calibri" w:hAnsi="Times New Roman"/>
          <w:b/>
          <w:bCs/>
          <w:sz w:val="24"/>
          <w:szCs w:val="24"/>
        </w:rPr>
        <w:t>2. Кратка характеристика на целевия обект</w:t>
      </w:r>
    </w:p>
    <w:p w:rsidR="00184B62" w:rsidRPr="00184B62" w:rsidRDefault="00184B62" w:rsidP="00715A84">
      <w:pPr>
        <w:spacing w:after="0" w:line="240" w:lineRule="auto"/>
        <w:ind w:firstLine="709"/>
        <w:jc w:val="both"/>
        <w:rPr>
          <w:rFonts w:ascii="Times New Roman" w:eastAsia="Calibri" w:hAnsi="Times New Roman"/>
          <w:b/>
          <w:sz w:val="24"/>
          <w:szCs w:val="24"/>
        </w:rPr>
      </w:pPr>
      <w:r w:rsidRPr="00184B62">
        <w:rPr>
          <w:rFonts w:ascii="Times New Roman" w:eastAsia="Calibri" w:hAnsi="Times New Roman"/>
          <w:sz w:val="24"/>
          <w:szCs w:val="24"/>
        </w:rPr>
        <w:t xml:space="preserve">Дребна (25–40 mm с разперени крила) дневна пеперуда от семейство </w:t>
      </w:r>
      <w:r w:rsidRPr="00184B62">
        <w:rPr>
          <w:rFonts w:ascii="Times New Roman" w:eastAsia="Calibri" w:hAnsi="Times New Roman"/>
          <w:i/>
          <w:iCs/>
          <w:sz w:val="24"/>
          <w:szCs w:val="24"/>
        </w:rPr>
        <w:t>Lycaenidae</w:t>
      </w:r>
      <w:r w:rsidRPr="00184B62">
        <w:rPr>
          <w:rFonts w:ascii="Times New Roman" w:eastAsia="Calibri" w:hAnsi="Times New Roman"/>
          <w:sz w:val="24"/>
          <w:szCs w:val="24"/>
        </w:rPr>
        <w:t xml:space="preserve">. Отгоре предните крила при мъжките са огнено червени, с тънък черен кант и малки </w:t>
      </w:r>
      <w:r w:rsidRPr="00184B62">
        <w:rPr>
          <w:rFonts w:ascii="Times New Roman" w:eastAsia="Calibri" w:hAnsi="Times New Roman"/>
          <w:sz w:val="24"/>
          <w:szCs w:val="24"/>
        </w:rPr>
        <w:lastRenderedPageBreak/>
        <w:t xml:space="preserve">черни петна в дискалната област. Женските са с допълнително петно в средата на дискалната клетка и с постмедиална ивица от тъмни черни петна. Отдолу и двата пола са с бледо оранжеви предни крила, с множество черни точки и сивкаво-синя широка ивица маргинално. Отдолу задните крила са сивкаво-сини, с множество черни точки и с широка бледо оранжева ивица разположена маргинално. Може да се сбърка с редица други видове от род </w:t>
      </w:r>
      <w:r w:rsidRPr="00184B62">
        <w:rPr>
          <w:rFonts w:ascii="Times New Roman" w:eastAsia="Calibri" w:hAnsi="Times New Roman"/>
          <w:i/>
          <w:sz w:val="24"/>
          <w:szCs w:val="24"/>
        </w:rPr>
        <w:t>Lycaena</w:t>
      </w:r>
      <w:r w:rsidRPr="00184B62">
        <w:rPr>
          <w:rFonts w:ascii="Times New Roman" w:eastAsia="Calibri" w:hAnsi="Times New Roman"/>
          <w:sz w:val="24"/>
          <w:szCs w:val="24"/>
        </w:rPr>
        <w:t>. Ларвите се хранят с различни видове лапад (</w:t>
      </w:r>
      <w:r w:rsidRPr="00184B62">
        <w:rPr>
          <w:rFonts w:ascii="Times New Roman" w:eastAsia="Calibri" w:hAnsi="Times New Roman"/>
          <w:i/>
          <w:sz w:val="24"/>
          <w:szCs w:val="24"/>
        </w:rPr>
        <w:t>Rumex</w:t>
      </w:r>
      <w:r w:rsidRPr="00184B62">
        <w:rPr>
          <w:rFonts w:ascii="Times New Roman" w:eastAsia="Calibri" w:hAnsi="Times New Roman"/>
          <w:sz w:val="24"/>
          <w:szCs w:val="24"/>
        </w:rPr>
        <w:t>)</w:t>
      </w:r>
      <w:r w:rsidRPr="00184B62">
        <w:rPr>
          <w:rFonts w:ascii="Times New Roman" w:eastAsia="Calibri" w:hAnsi="Times New Roman"/>
          <w:color w:val="FF0000"/>
          <w:sz w:val="24"/>
          <w:szCs w:val="24"/>
        </w:rPr>
        <w:t xml:space="preserve"> </w:t>
      </w:r>
      <w:r w:rsidRPr="00184B62">
        <w:rPr>
          <w:rFonts w:ascii="Times New Roman" w:eastAsia="Calibri" w:hAnsi="Times New Roman"/>
          <w:sz w:val="24"/>
          <w:szCs w:val="24"/>
        </w:rPr>
        <w:t xml:space="preserve">(Tolman &amp; Lewington 1997), основно </w:t>
      </w:r>
      <w:r w:rsidRPr="00184B62">
        <w:rPr>
          <w:rFonts w:ascii="Times New Roman" w:hAnsi="Times New Roman"/>
          <w:i/>
          <w:sz w:val="24"/>
          <w:szCs w:val="24"/>
        </w:rPr>
        <w:t>Rumex hydrolapathum</w:t>
      </w:r>
      <w:r w:rsidRPr="00184B62">
        <w:rPr>
          <w:rFonts w:ascii="Times New Roman" w:hAnsi="Times New Roman"/>
          <w:sz w:val="24"/>
          <w:szCs w:val="24"/>
        </w:rPr>
        <w:t xml:space="preserve"> (блатен лапад), </w:t>
      </w:r>
      <w:r w:rsidRPr="00184B62">
        <w:rPr>
          <w:rFonts w:ascii="Times New Roman" w:hAnsi="Times New Roman"/>
          <w:i/>
          <w:sz w:val="24"/>
          <w:szCs w:val="24"/>
        </w:rPr>
        <w:t>Rumex crispus</w:t>
      </w:r>
      <w:r w:rsidRPr="00184B62">
        <w:rPr>
          <w:rFonts w:ascii="Times New Roman" w:hAnsi="Times New Roman"/>
          <w:sz w:val="24"/>
          <w:szCs w:val="24"/>
        </w:rPr>
        <w:t xml:space="preserve"> (къдраволист или обикновен лапад), </w:t>
      </w:r>
      <w:r w:rsidRPr="00184B62">
        <w:rPr>
          <w:rFonts w:ascii="Times New Roman" w:hAnsi="Times New Roman"/>
          <w:i/>
          <w:sz w:val="24"/>
          <w:szCs w:val="24"/>
        </w:rPr>
        <w:t>Rumex aquaticus</w:t>
      </w:r>
      <w:r w:rsidRPr="00184B62">
        <w:rPr>
          <w:rFonts w:ascii="Times New Roman" w:hAnsi="Times New Roman"/>
          <w:sz w:val="24"/>
          <w:szCs w:val="24"/>
        </w:rPr>
        <w:t xml:space="preserve"> (воден лапад)</w:t>
      </w:r>
      <w:r w:rsidRPr="00184B62">
        <w:rPr>
          <w:rFonts w:ascii="Times New Roman" w:eastAsia="Calibri" w:hAnsi="Times New Roman"/>
          <w:sz w:val="24"/>
          <w:szCs w:val="24"/>
        </w:rPr>
        <w:t>.</w:t>
      </w:r>
      <w:r w:rsidRPr="00184B62">
        <w:rPr>
          <w:rFonts w:ascii="Times New Roman" w:eastAsia="Calibri" w:hAnsi="Times New Roman"/>
        </w:rPr>
        <w:t xml:space="preserve"> Има д</w:t>
      </w:r>
      <w:r w:rsidRPr="00184B62">
        <w:rPr>
          <w:rFonts w:ascii="Times New Roman" w:eastAsia="Calibri" w:hAnsi="Times New Roman"/>
          <w:sz w:val="24"/>
          <w:szCs w:val="24"/>
        </w:rPr>
        <w:t xml:space="preserve">ве поколения в периода от от май до септември. Пеперудите летят от май до септември, като всяко поколение лети 4–6 седмици. Обикновено плътността на популациите е твърде ниска (0,25–10 индивида на хектар), поради което регистрирането на вида може да е проблематично. Проучвания показват, че е възможна регистрация на вида по снесените яйца по повърхността на листата на видове лапад (Fartmann et al. 2001; Strausz et al. 2012). Видът е силно подвижен и може да мигрира с километри в търсене на подходящо местообитание. Активен през деня, като мъжките обикновено са уседнали и защитават територия с радиус от около 20 m. Яйцата са светло-сиви, с 6 или 7 бразди във форма на звезда, кръгли, леко сплеснати с вдлъбнатина в средата и около 0,6 mm в диаметър. </w:t>
      </w:r>
    </w:p>
    <w:p w:rsidR="00184B62" w:rsidRPr="00184B62" w:rsidRDefault="00184B62" w:rsidP="00715A84">
      <w:pPr>
        <w:spacing w:after="0" w:line="240" w:lineRule="auto"/>
        <w:ind w:firstLine="709"/>
        <w:jc w:val="both"/>
        <w:rPr>
          <w:rFonts w:ascii="Times New Roman" w:eastAsia="Calibri" w:hAnsi="Times New Roman"/>
          <w:sz w:val="24"/>
          <w:szCs w:val="24"/>
        </w:rPr>
      </w:pPr>
      <w:r w:rsidRPr="00184B62">
        <w:rPr>
          <w:rFonts w:ascii="Times New Roman" w:eastAsia="Calibri" w:hAnsi="Times New Roman"/>
          <w:bCs/>
          <w:i/>
          <w:iCs/>
          <w:sz w:val="24"/>
          <w:lang w:eastAsia="en-GB"/>
        </w:rPr>
        <w:t xml:space="preserve">Lycaena dispar </w:t>
      </w:r>
      <w:r w:rsidRPr="00184B62">
        <w:rPr>
          <w:rFonts w:ascii="Times New Roman" w:eastAsia="Calibri" w:hAnsi="Times New Roman"/>
          <w:bCs/>
          <w:sz w:val="24"/>
          <w:lang w:eastAsia="en-GB"/>
        </w:rPr>
        <w:t>е включен в Приложения II и IV на Директива 92/43/ЕИО, заради стесняването на ареала на разпространението му. Въпреки че популациите му в Северозападна Европа намаляват, в Централна и Североизточна Европа видът разширява разпространението си и е изваден от някои червени списъци, в които е присъствал преди това. Видът не е включен в Червената книга на България (2011 г.). Карта на разпространението на вида в България е представена в „Атлас на разпространението на пеперудите в България“ (</w:t>
      </w:r>
      <w:r w:rsidRPr="00184B62">
        <w:rPr>
          <w:rFonts w:ascii="Times New Roman" w:eastAsia="Calibri" w:hAnsi="Times New Roman"/>
          <w:bCs/>
          <w:i/>
          <w:iCs/>
          <w:sz w:val="24"/>
          <w:lang w:eastAsia="en-GB"/>
        </w:rPr>
        <w:t>Lepidoptera</w:t>
      </w:r>
      <w:r w:rsidRPr="00184B62">
        <w:rPr>
          <w:rFonts w:ascii="Times New Roman" w:eastAsia="Calibri" w:hAnsi="Times New Roman"/>
          <w:bCs/>
          <w:sz w:val="24"/>
          <w:lang w:eastAsia="en-GB"/>
        </w:rPr>
        <w:t>: Hesperioidea &amp; Papilionoidea)“ (Abadjiev 2001).</w:t>
      </w:r>
    </w:p>
    <w:p w:rsidR="00184B62" w:rsidRPr="00184B62" w:rsidRDefault="00184B62" w:rsidP="00715A84">
      <w:pPr>
        <w:spacing w:after="0" w:line="240" w:lineRule="auto"/>
        <w:ind w:firstLine="709"/>
        <w:jc w:val="both"/>
        <w:rPr>
          <w:rFonts w:ascii="Times New Roman" w:eastAsia="Calibri" w:hAnsi="Times New Roman"/>
          <w:b/>
          <w:sz w:val="24"/>
          <w:szCs w:val="24"/>
        </w:rPr>
      </w:pPr>
      <w:r w:rsidRPr="00184B62">
        <w:rPr>
          <w:rFonts w:ascii="Times New Roman" w:eastAsia="Calibri" w:hAnsi="Times New Roman"/>
          <w:bCs/>
          <w:i/>
          <w:sz w:val="24"/>
          <w:szCs w:val="24"/>
        </w:rPr>
        <w:t>Характеристики на местообитанието:</w:t>
      </w:r>
      <w:r w:rsidRPr="00184B62">
        <w:rPr>
          <w:rFonts w:ascii="Times New Roman" w:eastAsia="Calibri" w:hAnsi="Times New Roman"/>
          <w:b/>
          <w:bCs/>
          <w:sz w:val="24"/>
          <w:szCs w:val="24"/>
        </w:rPr>
        <w:t xml:space="preserve"> </w:t>
      </w:r>
      <w:r w:rsidRPr="00184B62">
        <w:rPr>
          <w:rFonts w:ascii="Times New Roman" w:eastAsia="Calibri" w:hAnsi="Times New Roman"/>
          <w:sz w:val="24"/>
          <w:szCs w:val="24"/>
        </w:rPr>
        <w:t>Видът е широко разпространен в страната, в низините и предпланините докъм 1000 m надморска височина. Предпочита припечни влажни местообитания (влажни ливади) на плътна почва, предимно в низините, обрасли с естествена ливадна растителност с участие на лапад (</w:t>
      </w:r>
      <w:r w:rsidRPr="00184B62">
        <w:rPr>
          <w:rFonts w:ascii="Times New Roman" w:eastAsia="Calibri" w:hAnsi="Times New Roman"/>
          <w:i/>
          <w:sz w:val="24"/>
          <w:szCs w:val="24"/>
        </w:rPr>
        <w:t>Rumex</w:t>
      </w:r>
      <w:r w:rsidRPr="00184B62">
        <w:rPr>
          <w:rFonts w:ascii="Times New Roman" w:eastAsia="Calibri" w:hAnsi="Times New Roman"/>
          <w:sz w:val="24"/>
          <w:szCs w:val="24"/>
        </w:rPr>
        <w:t xml:space="preserve"> spp.). Според Strausz et al. (2012) видът може да обитава и фрагментирани местообитания в суб-урбанизирани територии, като за съществуването му е нужно поддържането на определени участъци с незасегната растителност. Влияния, които променят цeлостта на растителната покривка (коситба, интензивна паша, пожари) имат силно отрицателен ефект върху популацията. Поради тази причина се препоръчва екстензивната паша, като най-подходяща форма за управление на тези местообитания, доколкото пашуващите животни избягват лапада, тъй като той е горчив и не ги привлича.</w:t>
      </w:r>
    </w:p>
    <w:p w:rsidR="00184B62" w:rsidRPr="00184B62" w:rsidRDefault="00184B62" w:rsidP="00184B62">
      <w:pPr>
        <w:spacing w:before="120" w:after="0" w:line="240" w:lineRule="auto"/>
        <w:jc w:val="both"/>
        <w:rPr>
          <w:rFonts w:ascii="Times New Roman" w:eastAsia="Calibri" w:hAnsi="Times New Roman"/>
          <w:b/>
          <w:sz w:val="24"/>
          <w:szCs w:val="24"/>
        </w:rPr>
      </w:pPr>
      <w:r w:rsidRPr="00184B62">
        <w:rPr>
          <w:rFonts w:ascii="Times New Roman" w:eastAsia="Calibri" w:hAnsi="Times New Roman"/>
          <w:b/>
          <w:sz w:val="24"/>
          <w:szCs w:val="24"/>
        </w:rPr>
        <w:t>3. Състояние на биогеографско ниво и разпространение в мрежата</w:t>
      </w:r>
    </w:p>
    <w:p w:rsidR="00184B62" w:rsidRDefault="00184B62" w:rsidP="00184B62">
      <w:pPr>
        <w:spacing w:before="120" w:after="12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 xml:space="preserve">Съгласно докладването по чл. 17 на Директива за местообитанията през 2013 г. (за периода 2007-2012 г.), състоянието на вида е благоприятно по всички параметри (FV). Впоследствие, при докладването по същата директива през 2019 г. (за периода 2013-2018 г.), състоянието по параметри ареал, популация и обща оценка за Алпийския и Черноморския </w:t>
      </w:r>
      <w:r w:rsidR="00715A84">
        <w:rPr>
          <w:rFonts w:ascii="Times New Roman" w:eastAsia="Calibri" w:hAnsi="Times New Roman"/>
          <w:sz w:val="24"/>
          <w:szCs w:val="24"/>
        </w:rPr>
        <w:t>регион</w:t>
      </w:r>
      <w:r w:rsidRPr="00184B62">
        <w:rPr>
          <w:rFonts w:ascii="Times New Roman" w:eastAsia="Calibri" w:hAnsi="Times New Roman"/>
          <w:sz w:val="24"/>
          <w:szCs w:val="24"/>
        </w:rPr>
        <w:t xml:space="preserve"> е променен на неизвестен, а за Континенталния </w:t>
      </w:r>
      <w:r w:rsidR="00715A84">
        <w:rPr>
          <w:rFonts w:ascii="Times New Roman" w:eastAsia="Calibri" w:hAnsi="Times New Roman"/>
          <w:sz w:val="24"/>
          <w:szCs w:val="24"/>
        </w:rPr>
        <w:t>регион</w:t>
      </w:r>
      <w:r w:rsidRPr="00184B62">
        <w:rPr>
          <w:rFonts w:ascii="Times New Roman" w:eastAsia="Calibri" w:hAnsi="Times New Roman"/>
          <w:sz w:val="24"/>
          <w:szCs w:val="24"/>
        </w:rPr>
        <w:t xml:space="preserve"> – оценката за перспективи е променена в неизвестна. Заплахите и въздействията върху вида основно са: използване на инсектициди, пожари, застрояване или увреждане на тревни и храстови площи.</w:t>
      </w:r>
    </w:p>
    <w:p w:rsidR="00D374F5" w:rsidRPr="00184B62" w:rsidRDefault="00D374F5" w:rsidP="00184B62">
      <w:pPr>
        <w:spacing w:before="120" w:after="120" w:line="240" w:lineRule="auto"/>
        <w:ind w:firstLine="720"/>
        <w:jc w:val="both"/>
        <w:rPr>
          <w:rFonts w:ascii="Times New Roman" w:eastAsia="Calibri" w:hAnsi="Times New Roman"/>
          <w:sz w:val="24"/>
          <w:szCs w:val="24"/>
        </w:rPr>
      </w:pPr>
      <w:r>
        <w:rPr>
          <w:rFonts w:ascii="Times New Roman" w:eastAsia="Calibri" w:hAnsi="Times New Roman"/>
          <w:sz w:val="24"/>
          <w:szCs w:val="24"/>
        </w:rPr>
        <w:t xml:space="preserve">Видът е записан в Стандартните </w:t>
      </w:r>
      <w:r w:rsidRPr="00F62F40">
        <w:rPr>
          <w:rFonts w:ascii="Times New Roman" w:eastAsia="Calibri" w:hAnsi="Times New Roman"/>
          <w:sz w:val="24"/>
          <w:szCs w:val="24"/>
        </w:rPr>
        <w:t xml:space="preserve">формуляри за данни на </w:t>
      </w:r>
      <w:r>
        <w:rPr>
          <w:rFonts w:ascii="Times New Roman" w:eastAsia="Calibri" w:hAnsi="Times New Roman"/>
          <w:sz w:val="24"/>
          <w:szCs w:val="24"/>
        </w:rPr>
        <w:t>57 зони.</w:t>
      </w:r>
    </w:p>
    <w:p w:rsidR="00184B62" w:rsidRPr="00184B62" w:rsidRDefault="00184B62" w:rsidP="00184B62">
      <w:pPr>
        <w:spacing w:before="120" w:after="0" w:line="240" w:lineRule="auto"/>
        <w:jc w:val="both"/>
        <w:rPr>
          <w:rFonts w:ascii="Times New Roman" w:eastAsia="Calibri" w:hAnsi="Times New Roman"/>
          <w:b/>
          <w:sz w:val="24"/>
          <w:szCs w:val="24"/>
        </w:rPr>
      </w:pPr>
      <w:r w:rsidRPr="00184B62">
        <w:rPr>
          <w:rFonts w:ascii="Times New Roman" w:eastAsia="Calibri" w:hAnsi="Times New Roman"/>
          <w:b/>
          <w:sz w:val="24"/>
          <w:szCs w:val="24"/>
        </w:rPr>
        <w:t>4. Състояние на вида в защитена зона „Сребърна“</w:t>
      </w:r>
    </w:p>
    <w:p w:rsidR="00184B62" w:rsidRPr="00184B62" w:rsidRDefault="00184B62" w:rsidP="00184B62">
      <w:pPr>
        <w:spacing w:after="0" w:line="240" w:lineRule="auto"/>
        <w:ind w:firstLine="709"/>
        <w:jc w:val="both"/>
        <w:rPr>
          <w:rFonts w:ascii="Times New Roman" w:eastAsia="Calibri" w:hAnsi="Times New Roman"/>
          <w:sz w:val="24"/>
          <w:szCs w:val="24"/>
          <w:highlight w:val="yellow"/>
          <w:lang w:eastAsia="bg-BG"/>
        </w:rPr>
      </w:pPr>
      <w:r w:rsidRPr="00184B62">
        <w:rPr>
          <w:rFonts w:ascii="Times New Roman" w:eastAsia="Calibri" w:hAnsi="Times New Roman"/>
          <w:sz w:val="24"/>
          <w:szCs w:val="24"/>
          <w:lang w:eastAsia="bg-BG"/>
        </w:rPr>
        <w:lastRenderedPageBreak/>
        <w:t>Съгласно Стандартния формуляр за данни (</w:t>
      </w:r>
      <w:r w:rsidR="005A0A3C">
        <w:rPr>
          <w:rFonts w:ascii="Times New Roman" w:eastAsia="Calibri" w:hAnsi="Times New Roman"/>
          <w:sz w:val="24"/>
          <w:szCs w:val="24"/>
          <w:lang w:eastAsia="bg-BG"/>
        </w:rPr>
        <w:t>СФ</w:t>
      </w:r>
      <w:r w:rsidRPr="00184B62">
        <w:rPr>
          <w:rFonts w:ascii="Times New Roman" w:eastAsia="Calibri" w:hAnsi="Times New Roman"/>
          <w:sz w:val="24"/>
          <w:szCs w:val="24"/>
          <w:lang w:eastAsia="bg-BG"/>
        </w:rPr>
        <w:t>) за защитена зона „Сребърна“, данните за вида в зоната са със средно качество, оценката за популация е до 2% от националната популация на вида, степента на опазване е „А“ (отлично съхранение), популацията е частично изолирана (оценка „В“), а общото оценка е „A“ (отлична).</w:t>
      </w:r>
    </w:p>
    <w:p w:rsidR="00184B62" w:rsidRPr="00184B62" w:rsidRDefault="00184B62" w:rsidP="00184B62">
      <w:pPr>
        <w:spacing w:before="120" w:after="120" w:line="240" w:lineRule="auto"/>
        <w:jc w:val="both"/>
        <w:rPr>
          <w:rFonts w:ascii="Times New Roman" w:eastAsia="Calibri" w:hAnsi="Times New Roman"/>
          <w:sz w:val="24"/>
          <w:szCs w:val="24"/>
          <w:highlight w:val="yellow"/>
          <w:lang w:eastAsia="bg-BG"/>
        </w:rPr>
      </w:pPr>
    </w:p>
    <w:tbl>
      <w:tblPr>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733"/>
        <w:gridCol w:w="1114"/>
        <w:gridCol w:w="410"/>
        <w:gridCol w:w="555"/>
        <w:gridCol w:w="414"/>
        <w:gridCol w:w="816"/>
        <w:gridCol w:w="732"/>
        <w:gridCol w:w="654"/>
        <w:gridCol w:w="727"/>
        <w:gridCol w:w="839"/>
        <w:gridCol w:w="950"/>
        <w:gridCol w:w="886"/>
        <w:gridCol w:w="567"/>
        <w:gridCol w:w="753"/>
      </w:tblGrid>
      <w:tr w:rsidR="00184B62" w:rsidRPr="00184B62" w:rsidTr="005A0A3C">
        <w:trPr>
          <w:jc w:val="center"/>
        </w:trPr>
        <w:tc>
          <w:tcPr>
            <w:tcW w:w="3207" w:type="dxa"/>
            <w:gridSpan w:val="5"/>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4182" w:type="dxa"/>
            <w:gridSpan w:val="6"/>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3156" w:type="dxa"/>
            <w:gridSpan w:val="4"/>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rPr>
          <w:jc w:val="center"/>
        </w:trPr>
        <w:tc>
          <w:tcPr>
            <w:tcW w:w="395"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33"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11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41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555"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41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548" w:type="dxa"/>
            <w:gridSpan w:val="2"/>
            <w:shd w:val="clear" w:color="auto" w:fill="D9D9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65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72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39"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95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2206" w:type="dxa"/>
            <w:gridSpan w:val="3"/>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rPr>
          <w:jc w:val="center"/>
        </w:trPr>
        <w:tc>
          <w:tcPr>
            <w:tcW w:w="395"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33"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11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1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5"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41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16"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732"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65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72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39"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95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886"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67"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753"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395"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I</w:t>
            </w:r>
          </w:p>
        </w:tc>
        <w:tc>
          <w:tcPr>
            <w:tcW w:w="73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1060</w:t>
            </w:r>
          </w:p>
        </w:tc>
        <w:tc>
          <w:tcPr>
            <w:tcW w:w="1114"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i/>
                <w:sz w:val="20"/>
                <w:szCs w:val="20"/>
                <w:lang w:eastAsia="en-GB"/>
              </w:rPr>
            </w:pPr>
            <w:r w:rsidRPr="00184B62">
              <w:rPr>
                <w:rFonts w:ascii="Times New Roman" w:eastAsia="Calibri" w:hAnsi="Times New Roman"/>
                <w:i/>
                <w:sz w:val="20"/>
                <w:szCs w:val="20"/>
                <w:lang w:eastAsia="en-GB"/>
              </w:rPr>
              <w:t>Lycaena dispar</w:t>
            </w:r>
          </w:p>
        </w:tc>
        <w:tc>
          <w:tcPr>
            <w:tcW w:w="41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5"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14"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p</w:t>
            </w:r>
          </w:p>
        </w:tc>
        <w:tc>
          <w:tcPr>
            <w:tcW w:w="816"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3509</w:t>
            </w:r>
          </w:p>
        </w:tc>
        <w:tc>
          <w:tcPr>
            <w:tcW w:w="732"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7018</w:t>
            </w:r>
          </w:p>
        </w:tc>
        <w:tc>
          <w:tcPr>
            <w:tcW w:w="654"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i</w:t>
            </w:r>
          </w:p>
        </w:tc>
        <w:tc>
          <w:tcPr>
            <w:tcW w:w="727"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R</w:t>
            </w:r>
          </w:p>
        </w:tc>
        <w:tc>
          <w:tcPr>
            <w:tcW w:w="839"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M</w:t>
            </w:r>
          </w:p>
        </w:tc>
        <w:tc>
          <w:tcPr>
            <w:tcW w:w="9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C</w:t>
            </w:r>
          </w:p>
        </w:tc>
        <w:tc>
          <w:tcPr>
            <w:tcW w:w="886"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A</w:t>
            </w:r>
          </w:p>
        </w:tc>
        <w:tc>
          <w:tcPr>
            <w:tcW w:w="567"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B</w:t>
            </w:r>
          </w:p>
        </w:tc>
        <w:tc>
          <w:tcPr>
            <w:tcW w:w="75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A</w:t>
            </w:r>
          </w:p>
        </w:tc>
      </w:tr>
    </w:tbl>
    <w:p w:rsidR="00184B62" w:rsidRPr="00184B62" w:rsidRDefault="00184B62" w:rsidP="00184B62">
      <w:pPr>
        <w:spacing w:before="120" w:after="120" w:line="240" w:lineRule="auto"/>
        <w:jc w:val="both"/>
        <w:rPr>
          <w:rFonts w:ascii="Times New Roman" w:eastAsia="Calibri" w:hAnsi="Times New Roman"/>
          <w:sz w:val="24"/>
          <w:szCs w:val="24"/>
          <w:lang w:eastAsia="bg-BG"/>
        </w:rPr>
      </w:pPr>
    </w:p>
    <w:p w:rsidR="00184B62" w:rsidRPr="00184B62" w:rsidRDefault="00184B62" w:rsidP="00184B62">
      <w:pPr>
        <w:spacing w:before="120" w:after="120" w:line="240" w:lineRule="auto"/>
        <w:jc w:val="both"/>
        <w:rPr>
          <w:rFonts w:ascii="Times New Roman" w:eastAsia="Calibri" w:hAnsi="Times New Roman"/>
          <w:sz w:val="24"/>
          <w:szCs w:val="24"/>
        </w:rPr>
      </w:pPr>
      <w:r w:rsidRPr="00184B62">
        <w:rPr>
          <w:rFonts w:ascii="Times New Roman" w:eastAsia="Calibri" w:hAnsi="Times New Roman"/>
          <w:b/>
          <w:sz w:val="24"/>
          <w:szCs w:val="24"/>
          <w:lang w:eastAsia="bg-BG"/>
        </w:rPr>
        <w:t>5. Анализ на наличната информация</w:t>
      </w:r>
    </w:p>
    <w:p w:rsidR="00184B62" w:rsidRPr="00184B62" w:rsidRDefault="00184B62" w:rsidP="00184B62">
      <w:pPr>
        <w:spacing w:before="120" w:after="120" w:line="240" w:lineRule="auto"/>
        <w:ind w:firstLine="709"/>
        <w:jc w:val="both"/>
        <w:rPr>
          <w:rFonts w:ascii="Times New Roman" w:eastAsia="Calibri" w:hAnsi="Times New Roman"/>
          <w:sz w:val="24"/>
          <w:szCs w:val="24"/>
        </w:rPr>
      </w:pPr>
      <w:r w:rsidRPr="00184B62">
        <w:rPr>
          <w:rFonts w:ascii="Times New Roman" w:eastAsia="Calibri" w:hAnsi="Times New Roman"/>
          <w:sz w:val="24"/>
          <w:szCs w:val="24"/>
          <w:lang w:eastAsia="bg-BG"/>
        </w:rPr>
        <w:t>При осъществени теренни проучвания бяха посетени потенциалните местообитания на</w:t>
      </w:r>
      <w:r w:rsidRPr="00184B62">
        <w:rPr>
          <w:rFonts w:ascii="Times New Roman" w:eastAsia="Calibri" w:hAnsi="Times New Roman"/>
          <w:sz w:val="24"/>
          <w:szCs w:val="24"/>
        </w:rPr>
        <w:t xml:space="preserve"> вида, които са влажни тревни съобщества около езерото. При теренния оглед не беше регистриран индивид, вероятно поради разминаване с фенологията на имагото. При докладването от 2013 г. общата площ на потенциалните местообитания е оценена на около </w:t>
      </w:r>
      <w:r w:rsidRPr="00184B62">
        <w:rPr>
          <w:rFonts w:ascii="Times New Roman" w:eastAsia="Calibri" w:hAnsi="Times New Roman"/>
          <w:sz w:val="24"/>
          <w:lang w:eastAsia="bg-BG"/>
        </w:rPr>
        <w:t>611,49 ha</w:t>
      </w:r>
      <w:r w:rsidRPr="00184B62">
        <w:rPr>
          <w:rFonts w:ascii="Times New Roman" w:eastAsia="Calibri" w:hAnsi="Times New Roman"/>
          <w:sz w:val="24"/>
          <w:szCs w:val="24"/>
        </w:rPr>
        <w:t>. Не бяха установени фактори, които необратимо да увредят местообитанията на вида. Беше установено обаче заемане на местообитания от инвазивни растителни видове. Поради статута на зоната (поддържан резерват) през 2020 г. е извършено почистване на голям участък от зоната от инвазивни видове и така са възстановени част от местообитанията на пеперудата.</w:t>
      </w:r>
    </w:p>
    <w:p w:rsidR="00184B62" w:rsidRPr="00184B62" w:rsidRDefault="00184B62" w:rsidP="00184B62">
      <w:pPr>
        <w:rPr>
          <w:rFonts w:ascii="Times New Roman" w:hAnsi="Times New Roman"/>
          <w:b/>
          <w:sz w:val="24"/>
          <w:szCs w:val="24"/>
        </w:rPr>
      </w:pPr>
      <w:r w:rsidRPr="00184B62">
        <w:rPr>
          <w:rFonts w:ascii="Times New Roman" w:hAnsi="Times New Roman"/>
          <w:b/>
          <w:sz w:val="24"/>
          <w:szCs w:val="24"/>
        </w:rPr>
        <w:t>6. Цели за подобряване/поддържане на природозащитното състояние на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1133"/>
        <w:gridCol w:w="1276"/>
        <w:gridCol w:w="3009"/>
        <w:gridCol w:w="2627"/>
      </w:tblGrid>
      <w:tr w:rsidR="00184B62" w:rsidRPr="00715A84" w:rsidTr="00715A84">
        <w:trPr>
          <w:tblHeader/>
          <w:jc w:val="center"/>
        </w:trPr>
        <w:tc>
          <w:tcPr>
            <w:tcW w:w="66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84B62" w:rsidRPr="003A4F26" w:rsidRDefault="00184B62" w:rsidP="00184B62">
            <w:pPr>
              <w:widowControl w:val="0"/>
              <w:spacing w:before="120" w:after="120" w:line="240" w:lineRule="auto"/>
              <w:jc w:val="center"/>
              <w:rPr>
                <w:rFonts w:ascii="Times New Roman" w:eastAsia="Calibri" w:hAnsi="Times New Roman"/>
                <w:b/>
                <w:bCs/>
                <w:sz w:val="20"/>
                <w:szCs w:val="20"/>
              </w:rPr>
            </w:pPr>
            <w:r w:rsidRPr="003A4F26">
              <w:rPr>
                <w:rFonts w:ascii="Times New Roman" w:eastAsia="Calibri" w:hAnsi="Times New Roman"/>
                <w:b/>
                <w:bCs/>
                <w:sz w:val="20"/>
                <w:szCs w:val="20"/>
              </w:rPr>
              <w:t>Параметър</w:t>
            </w:r>
          </w:p>
        </w:tc>
        <w:tc>
          <w:tcPr>
            <w:tcW w:w="61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84B62" w:rsidRPr="00715A84" w:rsidRDefault="00184B62" w:rsidP="00184B62">
            <w:pPr>
              <w:widowControl w:val="0"/>
              <w:spacing w:before="120" w:after="120" w:line="240" w:lineRule="auto"/>
              <w:jc w:val="center"/>
              <w:rPr>
                <w:rFonts w:ascii="Times New Roman" w:eastAsia="Calibri" w:hAnsi="Times New Roman"/>
                <w:b/>
                <w:bCs/>
                <w:sz w:val="20"/>
                <w:szCs w:val="20"/>
              </w:rPr>
            </w:pPr>
            <w:r w:rsidRPr="00715A84">
              <w:rPr>
                <w:rFonts w:ascii="Times New Roman" w:eastAsia="Calibri" w:hAnsi="Times New Roman"/>
                <w:b/>
                <w:bCs/>
                <w:sz w:val="20"/>
                <w:szCs w:val="20"/>
              </w:rPr>
              <w:t xml:space="preserve">Мерна единица </w:t>
            </w:r>
          </w:p>
        </w:tc>
        <w:tc>
          <w:tcPr>
            <w:tcW w:w="687"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84B62" w:rsidRPr="00715A84" w:rsidRDefault="00184B62" w:rsidP="00184B62">
            <w:pPr>
              <w:widowControl w:val="0"/>
              <w:spacing w:before="120" w:after="120" w:line="240" w:lineRule="auto"/>
              <w:jc w:val="center"/>
              <w:rPr>
                <w:rFonts w:ascii="Times New Roman" w:eastAsia="Calibri" w:hAnsi="Times New Roman"/>
                <w:b/>
                <w:bCs/>
                <w:sz w:val="20"/>
                <w:szCs w:val="20"/>
              </w:rPr>
            </w:pPr>
            <w:r w:rsidRPr="00715A84">
              <w:rPr>
                <w:rFonts w:ascii="Times New Roman" w:eastAsia="Calibri" w:hAnsi="Times New Roman"/>
                <w:b/>
                <w:bCs/>
                <w:sz w:val="20"/>
                <w:szCs w:val="20"/>
              </w:rPr>
              <w:t xml:space="preserve">Целева стойност </w:t>
            </w:r>
          </w:p>
        </w:tc>
        <w:tc>
          <w:tcPr>
            <w:tcW w:w="162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84B62" w:rsidRPr="00715A84" w:rsidRDefault="00184B62" w:rsidP="00184B62">
            <w:pPr>
              <w:widowControl w:val="0"/>
              <w:spacing w:before="120" w:after="120" w:line="240" w:lineRule="auto"/>
              <w:jc w:val="center"/>
              <w:rPr>
                <w:rFonts w:ascii="Times New Roman" w:eastAsia="Calibri" w:hAnsi="Times New Roman"/>
                <w:b/>
                <w:bCs/>
                <w:sz w:val="20"/>
                <w:szCs w:val="20"/>
              </w:rPr>
            </w:pPr>
            <w:r w:rsidRPr="00715A84">
              <w:rPr>
                <w:rFonts w:ascii="Times New Roman" w:eastAsia="Calibri" w:hAnsi="Times New Roman"/>
                <w:b/>
                <w:bCs/>
                <w:sz w:val="20"/>
                <w:szCs w:val="20"/>
              </w:rPr>
              <w:t xml:space="preserve">Допълнителна информация </w:t>
            </w:r>
          </w:p>
        </w:tc>
        <w:tc>
          <w:tcPr>
            <w:tcW w:w="1414"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84B62" w:rsidRPr="00715A84" w:rsidRDefault="00184B62" w:rsidP="00184B62">
            <w:pPr>
              <w:widowControl w:val="0"/>
              <w:spacing w:before="120" w:after="120" w:line="240" w:lineRule="auto"/>
              <w:jc w:val="center"/>
              <w:rPr>
                <w:rFonts w:ascii="Times New Roman" w:eastAsia="Calibri" w:hAnsi="Times New Roman"/>
                <w:b/>
                <w:bCs/>
                <w:sz w:val="20"/>
                <w:szCs w:val="20"/>
              </w:rPr>
            </w:pPr>
            <w:r w:rsidRPr="00715A84">
              <w:rPr>
                <w:rFonts w:ascii="Times New Roman" w:eastAsia="Calibri" w:hAnsi="Times New Roman"/>
                <w:b/>
                <w:bCs/>
                <w:sz w:val="20"/>
                <w:szCs w:val="20"/>
              </w:rPr>
              <w:t xml:space="preserve">Специфични за зоната цели за опазване </w:t>
            </w:r>
          </w:p>
        </w:tc>
      </w:tr>
      <w:tr w:rsidR="00184B62" w:rsidRPr="00184B62" w:rsidTr="00715A84">
        <w:trPr>
          <w:jc w:val="center"/>
        </w:trPr>
        <w:tc>
          <w:tcPr>
            <w:tcW w:w="669"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lang w:val="en-GB" w:eastAsia="bg-BG"/>
              </w:rPr>
            </w:pPr>
            <w:r w:rsidRPr="003A4F26">
              <w:rPr>
                <w:rFonts w:ascii="Times New Roman" w:eastAsia="Calibri" w:hAnsi="Times New Roman"/>
                <w:b/>
                <w:sz w:val="20"/>
                <w:szCs w:val="20"/>
                <w:lang w:val="en-GB" w:eastAsia="bg-BG"/>
              </w:rPr>
              <w:t>Популация: пространствен обхват на популацията</w:t>
            </w:r>
          </w:p>
        </w:tc>
        <w:tc>
          <w:tcPr>
            <w:tcW w:w="610"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lang w:val="en-GB" w:eastAsia="bg-BG"/>
              </w:rPr>
            </w:pPr>
            <w:r w:rsidRPr="00184B62">
              <w:rPr>
                <w:rFonts w:ascii="Times New Roman" w:eastAsia="Calibri" w:hAnsi="Times New Roman"/>
                <w:sz w:val="20"/>
                <w:szCs w:val="20"/>
                <w:lang w:val="en-GB" w:eastAsia="bg-BG"/>
              </w:rPr>
              <w:t xml:space="preserve">Брой клетки от грид 1х1 </w:t>
            </w:r>
            <w:r w:rsidRPr="00184B62">
              <w:rPr>
                <w:rFonts w:ascii="Times New Roman" w:eastAsia="Calibri" w:hAnsi="Times New Roman"/>
                <w:sz w:val="20"/>
                <w:szCs w:val="20"/>
                <w:lang w:val="en-US" w:eastAsia="bg-BG"/>
              </w:rPr>
              <w:t>km</w:t>
            </w:r>
            <w:r w:rsidRPr="00184B62">
              <w:rPr>
                <w:rFonts w:ascii="Times New Roman" w:eastAsia="Calibri" w:hAnsi="Times New Roman"/>
                <w:sz w:val="20"/>
                <w:szCs w:val="20"/>
                <w:lang w:val="en-GB" w:eastAsia="bg-BG"/>
              </w:rPr>
              <w:t xml:space="preserve"> с доказано присъствие на вида</w:t>
            </w:r>
          </w:p>
        </w:tc>
        <w:tc>
          <w:tcPr>
            <w:tcW w:w="687"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lang w:eastAsia="bg-BG"/>
              </w:rPr>
            </w:pPr>
            <w:r w:rsidRPr="00184B62">
              <w:rPr>
                <w:rFonts w:ascii="Times New Roman" w:eastAsia="Calibri" w:hAnsi="Times New Roman"/>
                <w:sz w:val="20"/>
                <w:szCs w:val="20"/>
                <w:lang w:eastAsia="bg-BG"/>
              </w:rPr>
              <w:t>2</w:t>
            </w:r>
          </w:p>
        </w:tc>
        <w:tc>
          <w:tcPr>
            <w:tcW w:w="1620"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lang w:eastAsia="bg-BG"/>
              </w:rPr>
            </w:pPr>
            <w:r w:rsidRPr="00184B62">
              <w:rPr>
                <w:rFonts w:ascii="Times New Roman" w:eastAsia="Calibri" w:hAnsi="Times New Roman"/>
                <w:sz w:val="20"/>
                <w:szCs w:val="20"/>
                <w:lang w:eastAsia="bg-BG"/>
              </w:rPr>
              <w:t>При картирането на зоната в</w:t>
            </w:r>
            <w:r w:rsidRPr="00184B62">
              <w:rPr>
                <w:rFonts w:ascii="Times New Roman" w:eastAsia="Calibri" w:hAnsi="Times New Roman"/>
                <w:sz w:val="20"/>
                <w:szCs w:val="20"/>
                <w:lang w:val="en-GB" w:eastAsia="bg-BG"/>
              </w:rPr>
              <w:t xml:space="preserve">идът е установен в </w:t>
            </w:r>
            <w:r w:rsidRPr="00184B62">
              <w:rPr>
                <w:rFonts w:ascii="Times New Roman" w:eastAsia="Calibri" w:hAnsi="Times New Roman"/>
                <w:sz w:val="20"/>
                <w:szCs w:val="20"/>
                <w:lang w:eastAsia="bg-BG"/>
              </w:rPr>
              <w:t xml:space="preserve">два </w:t>
            </w:r>
            <w:r w:rsidRPr="00184B62">
              <w:rPr>
                <w:rFonts w:ascii="Times New Roman" w:eastAsia="Calibri" w:hAnsi="Times New Roman"/>
                <w:sz w:val="20"/>
                <w:szCs w:val="20"/>
                <w:lang w:val="en-GB" w:eastAsia="bg-BG"/>
              </w:rPr>
              <w:t xml:space="preserve">квадрата. Вероятно е разпространен и в част от останалите, които покриват </w:t>
            </w:r>
            <w:r w:rsidRPr="00184B62">
              <w:rPr>
                <w:rFonts w:ascii="Times New Roman" w:eastAsia="Calibri" w:hAnsi="Times New Roman"/>
                <w:sz w:val="20"/>
                <w:szCs w:val="20"/>
                <w:lang w:eastAsia="bg-BG"/>
              </w:rPr>
              <w:t>територията ѝ</w:t>
            </w:r>
            <w:r w:rsidRPr="00184B62">
              <w:rPr>
                <w:rFonts w:ascii="Times New Roman" w:eastAsia="Calibri" w:hAnsi="Times New Roman"/>
                <w:sz w:val="20"/>
                <w:szCs w:val="20"/>
                <w:lang w:val="en-GB" w:eastAsia="bg-BG"/>
              </w:rPr>
              <w:t>.</w:t>
            </w:r>
            <w:r w:rsidRPr="00184B62">
              <w:rPr>
                <w:rFonts w:ascii="Times New Roman" w:eastAsia="Calibri" w:hAnsi="Times New Roman"/>
                <w:sz w:val="20"/>
                <w:szCs w:val="20"/>
                <w:lang w:eastAsia="bg-BG"/>
              </w:rPr>
              <w:t xml:space="preserve"> На база на разпространението на потенциалните местообитания е много вероятно да е разпространен в 15 квадрата от зоната.</w:t>
            </w:r>
          </w:p>
        </w:tc>
        <w:tc>
          <w:tcPr>
            <w:tcW w:w="1414"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lang w:val="en-GB" w:eastAsia="en-GB"/>
              </w:rPr>
            </w:pPr>
            <w:r w:rsidRPr="00184B62">
              <w:rPr>
                <w:rFonts w:ascii="Times New Roman" w:eastAsia="Calibri" w:hAnsi="Times New Roman"/>
                <w:sz w:val="20"/>
                <w:szCs w:val="20"/>
                <w:lang w:val="en-GB" w:eastAsia="en-GB"/>
              </w:rPr>
              <w:t xml:space="preserve">Поддържане на най-малко </w:t>
            </w:r>
            <w:r w:rsidRPr="00184B62">
              <w:rPr>
                <w:rFonts w:ascii="Times New Roman" w:eastAsia="Calibri" w:hAnsi="Times New Roman"/>
                <w:sz w:val="20"/>
                <w:szCs w:val="20"/>
                <w:lang w:eastAsia="en-GB"/>
              </w:rPr>
              <w:t>2</w:t>
            </w:r>
            <w:r w:rsidRPr="00184B62">
              <w:rPr>
                <w:rFonts w:ascii="Times New Roman" w:eastAsia="Calibri" w:hAnsi="Times New Roman"/>
                <w:sz w:val="20"/>
                <w:szCs w:val="20"/>
                <w:lang w:val="en-GB" w:eastAsia="en-GB"/>
              </w:rPr>
              <w:t xml:space="preserve"> квадрата с присъствието на вида в зоната.</w:t>
            </w:r>
          </w:p>
          <w:p w:rsidR="00184B62" w:rsidRPr="00184B62" w:rsidRDefault="00184B62" w:rsidP="00184B62">
            <w:pPr>
              <w:spacing w:before="120" w:after="120" w:line="240" w:lineRule="auto"/>
              <w:jc w:val="both"/>
              <w:rPr>
                <w:rFonts w:ascii="Times New Roman" w:eastAsia="Calibri" w:hAnsi="Times New Roman"/>
                <w:sz w:val="20"/>
                <w:szCs w:val="20"/>
                <w:lang w:val="en-GB" w:eastAsia="en-GB"/>
              </w:rPr>
            </w:pPr>
          </w:p>
        </w:tc>
      </w:tr>
      <w:tr w:rsidR="00184B62" w:rsidRPr="00184B62" w:rsidTr="00715A84">
        <w:trPr>
          <w:jc w:val="center"/>
        </w:trPr>
        <w:tc>
          <w:tcPr>
            <w:tcW w:w="669" w:type="pct"/>
            <w:tcBorders>
              <w:top w:val="single" w:sz="4" w:space="0" w:color="auto"/>
              <w:left w:val="single" w:sz="4" w:space="0" w:color="auto"/>
              <w:bottom w:val="single" w:sz="4" w:space="0" w:color="auto"/>
              <w:right w:val="single" w:sz="4" w:space="0" w:color="auto"/>
            </w:tcBorders>
            <w:hideMark/>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t xml:space="preserve">Популация: </w:t>
            </w:r>
            <w:r w:rsidRPr="003A4F26">
              <w:rPr>
                <w:rFonts w:ascii="Times New Roman" w:eastAsia="Calibri" w:hAnsi="Times New Roman"/>
                <w:b/>
                <w:bCs/>
                <w:sz w:val="20"/>
                <w:szCs w:val="20"/>
              </w:rPr>
              <w:t>Плътност на популацията</w:t>
            </w:r>
          </w:p>
        </w:tc>
        <w:tc>
          <w:tcPr>
            <w:tcW w:w="610"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Брой индивиди / линеен km</w:t>
            </w:r>
          </w:p>
        </w:tc>
        <w:tc>
          <w:tcPr>
            <w:tcW w:w="687"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поне 2</w:t>
            </w:r>
            <w:r w:rsidRPr="00184B62">
              <w:rPr>
                <w:rFonts w:eastAsia="Calibri"/>
                <w:sz w:val="20"/>
                <w:szCs w:val="20"/>
              </w:rPr>
              <w:t xml:space="preserve"> </w:t>
            </w:r>
            <w:r w:rsidRPr="00184B62">
              <w:rPr>
                <w:rFonts w:ascii="Times New Roman" w:eastAsia="Calibri" w:hAnsi="Times New Roman"/>
                <w:sz w:val="20"/>
                <w:szCs w:val="20"/>
              </w:rPr>
              <w:t>индивида/ линеен km</w:t>
            </w:r>
          </w:p>
        </w:tc>
        <w:tc>
          <w:tcPr>
            <w:tcW w:w="1620"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Видът се забелязва лесно в полет, особено мъжките, които патрулират територията си. Поради ниската плътност на популациите е необходимо по-голямо теренно усилие в някои случаи. От важност е отчитането да става в правилния период, тъй като пеперудата </w:t>
            </w:r>
            <w:r w:rsidRPr="00184B62">
              <w:rPr>
                <w:rFonts w:ascii="Times New Roman" w:eastAsia="Calibri" w:hAnsi="Times New Roman"/>
                <w:sz w:val="20"/>
                <w:szCs w:val="20"/>
              </w:rPr>
              <w:lastRenderedPageBreak/>
              <w:t>има повече от едно поколение годишно и лесно може да бъде пропусната; продължителността ѝ на живот е около седмица.</w:t>
            </w:r>
          </w:p>
        </w:tc>
        <w:tc>
          <w:tcPr>
            <w:tcW w:w="1414"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lang w:eastAsia="en-GB"/>
              </w:rPr>
              <w:lastRenderedPageBreak/>
              <w:t>Поддържане на плътност на популацията на вида в зоната в размер на поне 2</w:t>
            </w:r>
            <w:r w:rsidRPr="00184B62">
              <w:rPr>
                <w:rFonts w:eastAsia="Calibri"/>
                <w:sz w:val="20"/>
                <w:szCs w:val="20"/>
              </w:rPr>
              <w:t xml:space="preserve"> </w:t>
            </w:r>
            <w:r w:rsidRPr="00184B62">
              <w:rPr>
                <w:rFonts w:ascii="Times New Roman" w:eastAsia="Calibri" w:hAnsi="Times New Roman"/>
                <w:sz w:val="20"/>
                <w:szCs w:val="20"/>
                <w:lang w:eastAsia="en-GB"/>
              </w:rPr>
              <w:t>индивида/линеен km, в оптималния период за наблюдение през първата половина на месец юли.</w:t>
            </w:r>
          </w:p>
        </w:tc>
      </w:tr>
      <w:tr w:rsidR="00184B62" w:rsidRPr="00184B62" w:rsidTr="00715A84">
        <w:trPr>
          <w:jc w:val="center"/>
        </w:trPr>
        <w:tc>
          <w:tcPr>
            <w:tcW w:w="669" w:type="pct"/>
            <w:tcBorders>
              <w:top w:val="single" w:sz="4" w:space="0" w:color="auto"/>
              <w:left w:val="single" w:sz="4" w:space="0" w:color="auto"/>
              <w:bottom w:val="single" w:sz="4" w:space="0" w:color="auto"/>
              <w:right w:val="single" w:sz="4" w:space="0" w:color="auto"/>
            </w:tcBorders>
            <w:hideMark/>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lastRenderedPageBreak/>
              <w:t xml:space="preserve">Местообитание на вида: </w:t>
            </w:r>
            <w:r w:rsidRPr="003A4F26">
              <w:rPr>
                <w:rFonts w:ascii="Times New Roman" w:eastAsia="Calibri" w:hAnsi="Times New Roman"/>
                <w:b/>
                <w:bCs/>
                <w:sz w:val="20"/>
                <w:szCs w:val="20"/>
              </w:rPr>
              <w:t>Площ на подходящите местообитания на вида в зоната</w:t>
            </w:r>
          </w:p>
        </w:tc>
        <w:tc>
          <w:tcPr>
            <w:tcW w:w="610"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ha</w:t>
            </w:r>
          </w:p>
        </w:tc>
        <w:tc>
          <w:tcPr>
            <w:tcW w:w="687"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Най-малко       611,49 ha</w:t>
            </w:r>
          </w:p>
        </w:tc>
        <w:tc>
          <w:tcPr>
            <w:tcW w:w="1620"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При провеждането на теренни проучвания през 2021 г. бяха направени трансекти покрай двата пътя в зоната в източната и западната ѝ част. Предвид голямата мобилност на вида, особено на второто поколение, колонизирането на нови и реколонизирането на стари възстановени местообитания е лесно осъществимо. По тази причина към общата площ на потенциалните местообитания могат да се причислят всички оценени като такива на терен, дори и без директно отчитане на вида.</w:t>
            </w:r>
          </w:p>
        </w:tc>
        <w:tc>
          <w:tcPr>
            <w:tcW w:w="1414"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Поддържане на площта на подходящите местообитания на вида в зоната около целевата стойност от най-малко 611,49 ha.</w:t>
            </w:r>
          </w:p>
        </w:tc>
      </w:tr>
      <w:tr w:rsidR="00184B62" w:rsidRPr="00184B62" w:rsidTr="00715A84">
        <w:trPr>
          <w:jc w:val="center"/>
        </w:trPr>
        <w:tc>
          <w:tcPr>
            <w:tcW w:w="669" w:type="pct"/>
            <w:tcBorders>
              <w:top w:val="single" w:sz="4" w:space="0" w:color="auto"/>
              <w:left w:val="single" w:sz="4" w:space="0" w:color="auto"/>
              <w:bottom w:val="single" w:sz="4" w:space="0" w:color="auto"/>
              <w:right w:val="single" w:sz="4" w:space="0" w:color="auto"/>
            </w:tcBorders>
            <w:hideMark/>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t>Местообитание на вида:</w:t>
            </w:r>
            <w:r w:rsidRPr="003A4F26">
              <w:rPr>
                <w:rFonts w:ascii="Times New Roman" w:eastAsia="Calibri" w:hAnsi="Times New Roman"/>
                <w:b/>
                <w:bCs/>
                <w:sz w:val="20"/>
                <w:szCs w:val="20"/>
              </w:rPr>
              <w:t xml:space="preserve"> Качество</w:t>
            </w:r>
            <w:r w:rsidRPr="003A4F26">
              <w:rPr>
                <w:rFonts w:ascii="Times New Roman" w:eastAsia="Calibri" w:hAnsi="Times New Roman"/>
                <w:b/>
                <w:sz w:val="20"/>
                <w:szCs w:val="20"/>
              </w:rPr>
              <w:t xml:space="preserve"> </w:t>
            </w:r>
            <w:r w:rsidRPr="003A4F26">
              <w:rPr>
                <w:rFonts w:ascii="Times New Roman" w:eastAsia="Calibri" w:hAnsi="Times New Roman"/>
                <w:b/>
                <w:bCs/>
                <w:sz w:val="20"/>
                <w:szCs w:val="20"/>
              </w:rPr>
              <w:t>на подходящите местообитания на вида в зоната</w:t>
            </w:r>
          </w:p>
        </w:tc>
        <w:tc>
          <w:tcPr>
            <w:tcW w:w="610"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 на територии с добро качество на подходящите местообитания на вида</w:t>
            </w:r>
          </w:p>
        </w:tc>
        <w:tc>
          <w:tcPr>
            <w:tcW w:w="687"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 xml:space="preserve">100% от подходящите местообитания на вида в зоната, с наличие на влажни ливади с различна /без близост до открито водно огледало, с присъствие на хранителни растения за ларвите: </w:t>
            </w:r>
            <w:r w:rsidRPr="00184B62">
              <w:rPr>
                <w:rFonts w:ascii="Times New Roman" w:eastAsia="Calibri" w:hAnsi="Times New Roman"/>
                <w:i/>
                <w:sz w:val="20"/>
                <w:szCs w:val="20"/>
              </w:rPr>
              <w:t>Rumex</w:t>
            </w:r>
            <w:r w:rsidRPr="00184B62">
              <w:rPr>
                <w:rFonts w:ascii="Times New Roman" w:eastAsia="Calibri" w:hAnsi="Times New Roman"/>
                <w:sz w:val="20"/>
                <w:szCs w:val="20"/>
              </w:rPr>
              <w:t xml:space="preserve"> spp.</w:t>
            </w:r>
          </w:p>
        </w:tc>
        <w:tc>
          <w:tcPr>
            <w:tcW w:w="1620"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Разпространението на вида в защитената зона зависи от присъствието на влажни тревни съобщества, които се срещат около езерото. Качеството на местообитанията се влошава поради развитието на инвазивни растителни видове. През 2020 г. е извършена сеч на инвазивни растения, която е подобрила качеството на част от местообитанията на вида. Предвид мобилността на второто поколение реколонизирането на нови територии става бързо.</w:t>
            </w:r>
          </w:p>
        </w:tc>
        <w:tc>
          <w:tcPr>
            <w:tcW w:w="1414"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Поддържане на целевата стойност от 100% от площта на подходящите местообитания с наличие на влажни ливади с присъствие на хранителни растения за ларвите: </w:t>
            </w:r>
            <w:r w:rsidRPr="00184B62">
              <w:rPr>
                <w:rFonts w:ascii="Times New Roman" w:eastAsia="Calibri" w:hAnsi="Times New Roman"/>
                <w:i/>
                <w:sz w:val="20"/>
                <w:szCs w:val="20"/>
              </w:rPr>
              <w:t>Rumex</w:t>
            </w:r>
            <w:r w:rsidRPr="00184B62">
              <w:rPr>
                <w:rFonts w:ascii="Times New Roman" w:eastAsia="Calibri" w:hAnsi="Times New Roman"/>
                <w:sz w:val="20"/>
                <w:szCs w:val="20"/>
              </w:rPr>
              <w:t xml:space="preserve"> spp. Необходимо е периодично изсичане на площи, заети от инвазивни растителни видове.</w:t>
            </w:r>
          </w:p>
        </w:tc>
      </w:tr>
    </w:tbl>
    <w:p w:rsidR="00184B62" w:rsidRPr="00184B62" w:rsidRDefault="00184B62" w:rsidP="00184B62">
      <w:pPr>
        <w:spacing w:before="120" w:after="120" w:line="240" w:lineRule="auto"/>
        <w:jc w:val="both"/>
        <w:rPr>
          <w:rFonts w:ascii="Times New Roman" w:eastAsia="Calibri" w:hAnsi="Times New Roman"/>
          <w:sz w:val="24"/>
          <w:szCs w:val="24"/>
        </w:rPr>
      </w:pPr>
    </w:p>
    <w:p w:rsidR="00184B62" w:rsidRPr="00184B62" w:rsidRDefault="00184B62" w:rsidP="00184B62">
      <w:pPr>
        <w:spacing w:before="120" w:after="120" w:line="240" w:lineRule="auto"/>
        <w:jc w:val="both"/>
        <w:rPr>
          <w:rFonts w:ascii="Times New Roman" w:eastAsia="Calibri" w:hAnsi="Times New Roman"/>
          <w:b/>
          <w:sz w:val="24"/>
          <w:szCs w:val="24"/>
          <w:lang w:eastAsia="bg-BG"/>
        </w:rPr>
      </w:pPr>
      <w:r w:rsidRPr="00184B62">
        <w:rPr>
          <w:rFonts w:ascii="Times New Roman" w:eastAsia="Calibri" w:hAnsi="Times New Roman"/>
          <w:b/>
          <w:sz w:val="24"/>
          <w:szCs w:val="24"/>
          <w:lang w:val="en-US" w:eastAsia="bg-BG"/>
        </w:rPr>
        <w:t>7</w:t>
      </w:r>
      <w:r w:rsidRPr="00184B62">
        <w:rPr>
          <w:rFonts w:ascii="Times New Roman" w:eastAsia="Calibri" w:hAnsi="Times New Roman"/>
          <w:b/>
          <w:sz w:val="24"/>
          <w:szCs w:val="24"/>
          <w:lang w:eastAsia="bg-BG"/>
        </w:rPr>
        <w:t>.  Необходимост от промени в СФ за защитената зона</w:t>
      </w:r>
    </w:p>
    <w:p w:rsidR="00184B62" w:rsidRPr="00184B62" w:rsidRDefault="00184B62" w:rsidP="00184B62">
      <w:pPr>
        <w:spacing w:before="120" w:after="12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 xml:space="preserve">Необходима е промяна в </w:t>
      </w:r>
      <w:r w:rsidR="005A0A3C">
        <w:rPr>
          <w:rFonts w:ascii="Times New Roman" w:eastAsia="Calibri" w:hAnsi="Times New Roman"/>
          <w:sz w:val="24"/>
          <w:szCs w:val="24"/>
        </w:rPr>
        <w:t>СФ</w:t>
      </w:r>
      <w:r w:rsidRPr="00184B62">
        <w:rPr>
          <w:rFonts w:ascii="Times New Roman" w:eastAsia="Calibri" w:hAnsi="Times New Roman"/>
          <w:sz w:val="24"/>
          <w:szCs w:val="24"/>
        </w:rPr>
        <w:t>. Промяната се налага поради необходимостта да се промени единицата за популация.</w:t>
      </w:r>
    </w:p>
    <w:p w:rsidR="00184B62" w:rsidRPr="00184B62" w:rsidRDefault="00184B62" w:rsidP="00184B62">
      <w:pPr>
        <w:spacing w:before="120" w:after="120" w:line="240" w:lineRule="auto"/>
        <w:ind w:firstLine="720"/>
        <w:jc w:val="both"/>
        <w:rPr>
          <w:rFonts w:ascii="Times New Roman" w:eastAsia="Calibri" w:hAnsi="Times New Roman"/>
          <w:sz w:val="24"/>
          <w:szCs w:val="24"/>
          <w:lang w:eastAsia="en-GB"/>
        </w:rPr>
      </w:pPr>
      <w:r w:rsidRPr="00184B62">
        <w:rPr>
          <w:rFonts w:ascii="Times New Roman" w:eastAsia="Calibri" w:hAnsi="Times New Roman"/>
          <w:sz w:val="24"/>
          <w:lang w:eastAsia="en-GB"/>
        </w:rPr>
        <w:t>Предложените промени са маркирани в червено.</w:t>
      </w:r>
    </w:p>
    <w:tbl>
      <w:tblPr>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733"/>
        <w:gridCol w:w="1114"/>
        <w:gridCol w:w="410"/>
        <w:gridCol w:w="555"/>
        <w:gridCol w:w="414"/>
        <w:gridCol w:w="816"/>
        <w:gridCol w:w="732"/>
        <w:gridCol w:w="654"/>
        <w:gridCol w:w="727"/>
        <w:gridCol w:w="839"/>
        <w:gridCol w:w="950"/>
        <w:gridCol w:w="886"/>
        <w:gridCol w:w="567"/>
        <w:gridCol w:w="753"/>
      </w:tblGrid>
      <w:tr w:rsidR="00184B62" w:rsidRPr="00184B62" w:rsidTr="005A0A3C">
        <w:trPr>
          <w:jc w:val="center"/>
        </w:trPr>
        <w:tc>
          <w:tcPr>
            <w:tcW w:w="3207" w:type="dxa"/>
            <w:gridSpan w:val="5"/>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4182" w:type="dxa"/>
            <w:gridSpan w:val="6"/>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3156" w:type="dxa"/>
            <w:gridSpan w:val="4"/>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rPr>
          <w:jc w:val="center"/>
        </w:trPr>
        <w:tc>
          <w:tcPr>
            <w:tcW w:w="395"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33"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11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 xml:space="preserve">Scientific </w:t>
            </w:r>
            <w:r w:rsidRPr="00184B62">
              <w:rPr>
                <w:rFonts w:ascii="Times New Roman" w:eastAsia="Calibri" w:hAnsi="Times New Roman"/>
                <w:b/>
                <w:sz w:val="20"/>
                <w:szCs w:val="20"/>
                <w:lang w:eastAsia="en-GB"/>
              </w:rPr>
              <w:lastRenderedPageBreak/>
              <w:t>Name</w:t>
            </w:r>
          </w:p>
        </w:tc>
        <w:tc>
          <w:tcPr>
            <w:tcW w:w="41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lastRenderedPageBreak/>
              <w:t>S</w:t>
            </w:r>
          </w:p>
        </w:tc>
        <w:tc>
          <w:tcPr>
            <w:tcW w:w="555"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41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548" w:type="dxa"/>
            <w:gridSpan w:val="2"/>
            <w:shd w:val="clear" w:color="auto" w:fill="D9D9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65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72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39"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95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2206" w:type="dxa"/>
            <w:gridSpan w:val="3"/>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rPr>
          <w:jc w:val="center"/>
        </w:trPr>
        <w:tc>
          <w:tcPr>
            <w:tcW w:w="395"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33"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11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1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5"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41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16"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732"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65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72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39"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95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886"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67"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753"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395"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lastRenderedPageBreak/>
              <w:t>I</w:t>
            </w:r>
          </w:p>
        </w:tc>
        <w:tc>
          <w:tcPr>
            <w:tcW w:w="73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1060</w:t>
            </w:r>
          </w:p>
        </w:tc>
        <w:tc>
          <w:tcPr>
            <w:tcW w:w="1114"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i/>
                <w:sz w:val="20"/>
                <w:szCs w:val="20"/>
                <w:lang w:eastAsia="en-GB"/>
              </w:rPr>
            </w:pPr>
            <w:r w:rsidRPr="00184B62">
              <w:rPr>
                <w:rFonts w:ascii="Times New Roman" w:eastAsia="Calibri" w:hAnsi="Times New Roman"/>
                <w:i/>
                <w:sz w:val="20"/>
                <w:szCs w:val="20"/>
                <w:lang w:eastAsia="en-GB"/>
              </w:rPr>
              <w:t>Lycaena dispar</w:t>
            </w:r>
          </w:p>
        </w:tc>
        <w:tc>
          <w:tcPr>
            <w:tcW w:w="41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5"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14"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p</w:t>
            </w:r>
          </w:p>
        </w:tc>
        <w:tc>
          <w:tcPr>
            <w:tcW w:w="816"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2</w:t>
            </w:r>
          </w:p>
        </w:tc>
        <w:tc>
          <w:tcPr>
            <w:tcW w:w="732"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15</w:t>
            </w:r>
          </w:p>
        </w:tc>
        <w:tc>
          <w:tcPr>
            <w:tcW w:w="654"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color w:val="FF0000"/>
                <w:sz w:val="20"/>
                <w:szCs w:val="20"/>
                <w:lang w:val="en-US" w:eastAsia="en-GB"/>
              </w:rPr>
            </w:pPr>
            <w:r w:rsidRPr="00184B62">
              <w:rPr>
                <w:rFonts w:ascii="Times New Roman" w:eastAsia="Calibri" w:hAnsi="Times New Roman"/>
                <w:color w:val="FF0000"/>
                <w:sz w:val="20"/>
                <w:szCs w:val="20"/>
                <w:lang w:val="en-US" w:eastAsia="en-GB"/>
              </w:rPr>
              <w:t>grid 1x1 km</w:t>
            </w:r>
          </w:p>
        </w:tc>
        <w:tc>
          <w:tcPr>
            <w:tcW w:w="727"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R</w:t>
            </w:r>
          </w:p>
        </w:tc>
        <w:tc>
          <w:tcPr>
            <w:tcW w:w="839"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M</w:t>
            </w:r>
          </w:p>
        </w:tc>
        <w:tc>
          <w:tcPr>
            <w:tcW w:w="9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C</w:t>
            </w:r>
          </w:p>
        </w:tc>
        <w:tc>
          <w:tcPr>
            <w:tcW w:w="886"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A</w:t>
            </w:r>
          </w:p>
        </w:tc>
        <w:tc>
          <w:tcPr>
            <w:tcW w:w="567"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B</w:t>
            </w:r>
          </w:p>
        </w:tc>
        <w:tc>
          <w:tcPr>
            <w:tcW w:w="75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A</w:t>
            </w:r>
          </w:p>
        </w:tc>
      </w:tr>
    </w:tbl>
    <w:p w:rsidR="00184B62" w:rsidRPr="00184B62" w:rsidRDefault="00184B62" w:rsidP="00184B62">
      <w:pPr>
        <w:spacing w:before="120" w:after="120" w:line="240" w:lineRule="auto"/>
        <w:jc w:val="both"/>
        <w:rPr>
          <w:rFonts w:ascii="Times New Roman" w:eastAsia="Calibri" w:hAnsi="Times New Roman"/>
          <w:b/>
          <w:sz w:val="24"/>
          <w:szCs w:val="24"/>
        </w:rPr>
      </w:pPr>
      <w:r w:rsidRPr="00184B62">
        <w:rPr>
          <w:rFonts w:ascii="Times New Roman" w:eastAsia="Calibri" w:hAnsi="Times New Roman"/>
          <w:b/>
          <w:sz w:val="24"/>
          <w:szCs w:val="24"/>
          <w:lang w:val="en-US" w:eastAsia="bg-BG"/>
        </w:rPr>
        <w:t>8</w:t>
      </w:r>
      <w:r w:rsidRPr="00184B62">
        <w:rPr>
          <w:rFonts w:ascii="Times New Roman" w:eastAsia="Calibri" w:hAnsi="Times New Roman"/>
          <w:b/>
          <w:sz w:val="24"/>
          <w:szCs w:val="24"/>
          <w:lang w:eastAsia="bg-BG"/>
        </w:rPr>
        <w:t xml:space="preserve">. </w:t>
      </w:r>
      <w:r w:rsidRPr="00184B62">
        <w:rPr>
          <w:rFonts w:ascii="Times New Roman" w:eastAsia="Calibri" w:hAnsi="Times New Roman"/>
          <w:b/>
          <w:sz w:val="24"/>
          <w:szCs w:val="24"/>
        </w:rPr>
        <w:t>Цитирана литература</w:t>
      </w:r>
    </w:p>
    <w:p w:rsidR="00184B62" w:rsidRPr="00184B62" w:rsidRDefault="00184B62" w:rsidP="00184B62">
      <w:pPr>
        <w:spacing w:after="0" w:line="240" w:lineRule="auto"/>
        <w:ind w:left="709" w:hanging="709"/>
        <w:jc w:val="both"/>
        <w:rPr>
          <w:rFonts w:ascii="Times New Roman" w:eastAsia="Calibri" w:hAnsi="Times New Roman"/>
          <w:sz w:val="24"/>
          <w:lang w:eastAsia="bg-BG"/>
        </w:rPr>
      </w:pPr>
      <w:r w:rsidRPr="00184B62">
        <w:rPr>
          <w:rFonts w:ascii="Times New Roman" w:eastAsia="Calibri" w:hAnsi="Times New Roman"/>
          <w:sz w:val="24"/>
          <w:lang w:eastAsia="bg-BG"/>
        </w:rPr>
        <w:t>Abadjiev, S. (2001). An atlas of the distribution of the butterflies in Bulgaria</w:t>
      </w:r>
      <w:r w:rsidRPr="00184B62">
        <w:rPr>
          <w:rFonts w:ascii="Times New Roman" w:eastAsia="Calibri" w:hAnsi="Times New Roman"/>
          <w:sz w:val="24"/>
          <w:lang w:val="en-US" w:eastAsia="bg-BG"/>
        </w:rPr>
        <w:t xml:space="preserve"> </w:t>
      </w:r>
      <w:r w:rsidRPr="00184B62">
        <w:rPr>
          <w:rFonts w:ascii="Times New Roman" w:eastAsia="Calibri" w:hAnsi="Times New Roman"/>
          <w:sz w:val="24"/>
          <w:lang w:eastAsia="bg-BG"/>
        </w:rPr>
        <w:t xml:space="preserve">(Lepidoptera: Hesperioidea &amp; Papilionoidea) (No. 22). Pensoft Publishers. </w:t>
      </w:r>
    </w:p>
    <w:p w:rsidR="00184B62" w:rsidRPr="00184B62" w:rsidRDefault="00184B62" w:rsidP="00184B62">
      <w:pPr>
        <w:spacing w:after="0" w:line="240" w:lineRule="auto"/>
        <w:ind w:left="709" w:hanging="709"/>
        <w:jc w:val="both"/>
        <w:rPr>
          <w:rFonts w:ascii="Times New Roman" w:eastAsia="Calibri" w:hAnsi="Times New Roman"/>
          <w:sz w:val="24"/>
          <w:lang w:eastAsia="bg-BG"/>
        </w:rPr>
      </w:pPr>
      <w:r w:rsidRPr="00184B62">
        <w:rPr>
          <w:rFonts w:ascii="Times New Roman" w:eastAsia="Calibri" w:hAnsi="Times New Roman"/>
          <w:sz w:val="24"/>
          <w:lang w:eastAsia="bg-BG"/>
        </w:rPr>
        <w:t>Fartmann, T., Gunnemann, H., Salm, P., Schröder, E. (2001). Berichtspflichten in Natura-2000-Gebieten. Empfehlungen zur Erfassung der Arten des Anhangs II und Charakterisierung der Lebensraumtypen des Anhangs I der FFH-Richtlinie. Angewandte Landschaftsökologie 42: 379-383.</w:t>
      </w:r>
    </w:p>
    <w:p w:rsidR="00184B62" w:rsidRPr="00184B62" w:rsidRDefault="00184B62" w:rsidP="00184B62">
      <w:pPr>
        <w:spacing w:after="0" w:line="240" w:lineRule="auto"/>
        <w:ind w:left="709" w:hanging="709"/>
        <w:jc w:val="both"/>
        <w:rPr>
          <w:rFonts w:ascii="Times New Roman" w:eastAsia="Calibri" w:hAnsi="Times New Roman"/>
          <w:sz w:val="24"/>
          <w:lang w:eastAsia="bg-BG"/>
        </w:rPr>
      </w:pPr>
      <w:r w:rsidRPr="00184B62">
        <w:rPr>
          <w:rFonts w:ascii="Times New Roman" w:eastAsia="Calibri" w:hAnsi="Times New Roman"/>
          <w:sz w:val="24"/>
          <w:lang w:eastAsia="bg-BG"/>
        </w:rPr>
        <w:t>Lewington</w:t>
      </w:r>
      <w:r w:rsidRPr="00184B62">
        <w:rPr>
          <w:rFonts w:ascii="Times New Roman" w:eastAsia="Calibri" w:hAnsi="Times New Roman"/>
          <w:sz w:val="24"/>
          <w:lang w:val="en-US" w:eastAsia="bg-BG"/>
        </w:rPr>
        <w:t>, R.,</w:t>
      </w:r>
      <w:r w:rsidRPr="00184B62">
        <w:rPr>
          <w:rFonts w:ascii="Times New Roman" w:eastAsia="Calibri" w:hAnsi="Times New Roman"/>
          <w:sz w:val="24"/>
          <w:lang w:eastAsia="bg-BG"/>
        </w:rPr>
        <w:t xml:space="preserve"> Tolman</w:t>
      </w:r>
      <w:r w:rsidRPr="00184B62">
        <w:rPr>
          <w:rFonts w:ascii="Times New Roman" w:eastAsia="Calibri" w:hAnsi="Times New Roman"/>
          <w:sz w:val="24"/>
          <w:lang w:val="en-US" w:eastAsia="bg-BG"/>
        </w:rPr>
        <w:t>, T.</w:t>
      </w:r>
      <w:r w:rsidRPr="00184B62">
        <w:rPr>
          <w:rFonts w:ascii="Times New Roman" w:eastAsia="Calibri" w:hAnsi="Times New Roman"/>
          <w:sz w:val="24"/>
          <w:lang w:eastAsia="bg-BG"/>
        </w:rPr>
        <w:t xml:space="preserve"> (1997). Collins Field Guide: Butterflies of Britain and Europe.</w:t>
      </w:r>
    </w:p>
    <w:p w:rsidR="00184B62" w:rsidRPr="00184B62" w:rsidRDefault="00184B62" w:rsidP="00184B62">
      <w:pPr>
        <w:spacing w:after="0" w:line="240" w:lineRule="auto"/>
        <w:ind w:left="709" w:hanging="709"/>
        <w:jc w:val="both"/>
        <w:rPr>
          <w:rFonts w:ascii="Times New Roman" w:eastAsia="Calibri" w:hAnsi="Times New Roman"/>
          <w:sz w:val="24"/>
          <w:lang w:eastAsia="bg-BG"/>
        </w:rPr>
      </w:pPr>
      <w:r w:rsidRPr="00184B62">
        <w:rPr>
          <w:rFonts w:ascii="Times New Roman" w:eastAsia="Calibri" w:hAnsi="Times New Roman"/>
          <w:sz w:val="24"/>
          <w:lang w:eastAsia="bg-BG"/>
        </w:rPr>
        <w:t xml:space="preserve">Strausz, M., Fiedler, K., Franzén, M., Wiemers, M. (2012). Habitat and host plant use of the Large Copper Butterfly </w:t>
      </w:r>
      <w:r w:rsidRPr="00184B62">
        <w:rPr>
          <w:rFonts w:ascii="Times New Roman" w:eastAsia="Calibri" w:hAnsi="Times New Roman"/>
          <w:i/>
          <w:sz w:val="24"/>
          <w:lang w:eastAsia="bg-BG"/>
        </w:rPr>
        <w:t>Lycaena dispar</w:t>
      </w:r>
      <w:r w:rsidRPr="00184B62">
        <w:rPr>
          <w:rFonts w:ascii="Times New Roman" w:eastAsia="Calibri" w:hAnsi="Times New Roman"/>
          <w:sz w:val="24"/>
          <w:lang w:eastAsia="bg-BG"/>
        </w:rPr>
        <w:t xml:space="preserve"> in an urban environment. Journal of insect conservation, 16(5), pp.709-721.</w:t>
      </w:r>
    </w:p>
    <w:p w:rsidR="00184B62" w:rsidRPr="00184B62" w:rsidRDefault="00184B62" w:rsidP="00184B62">
      <w:pPr>
        <w:spacing w:after="0" w:line="240" w:lineRule="auto"/>
        <w:ind w:left="709" w:hanging="709"/>
        <w:jc w:val="both"/>
        <w:rPr>
          <w:rFonts w:ascii="Times New Roman" w:eastAsia="Calibri" w:hAnsi="Times New Roman"/>
          <w:sz w:val="24"/>
          <w:lang w:eastAsia="bg-BG"/>
        </w:rPr>
      </w:pPr>
    </w:p>
    <w:p w:rsidR="00184B62" w:rsidRPr="00184B62" w:rsidRDefault="00184B62" w:rsidP="00184B62">
      <w:pPr>
        <w:spacing w:after="0" w:line="240" w:lineRule="auto"/>
        <w:ind w:left="709" w:hanging="709"/>
        <w:contextualSpacing/>
        <w:jc w:val="both"/>
        <w:rPr>
          <w:rFonts w:ascii="Times New Roman" w:hAnsi="Times New Roman"/>
          <w:bCs/>
          <w:sz w:val="24"/>
          <w:szCs w:val="24"/>
          <w:lang w:eastAsia="bg-BG"/>
        </w:rPr>
      </w:pPr>
      <w:r w:rsidRPr="00184B62">
        <w:rPr>
          <w:rFonts w:ascii="Times New Roman" w:hAnsi="Times New Roman"/>
          <w:bCs/>
          <w:i/>
          <w:sz w:val="24"/>
          <w:szCs w:val="24"/>
          <w:lang w:eastAsia="bg-BG"/>
        </w:rPr>
        <w:t>Автор:</w:t>
      </w:r>
      <w:r w:rsidRPr="00184B62">
        <w:rPr>
          <w:rFonts w:ascii="Times New Roman" w:hAnsi="Times New Roman"/>
          <w:bCs/>
          <w:sz w:val="24"/>
          <w:szCs w:val="24"/>
          <w:lang w:eastAsia="bg-BG"/>
        </w:rPr>
        <w:t xml:space="preserve"> Боян Златков</w:t>
      </w:r>
    </w:p>
    <w:p w:rsidR="00184B62" w:rsidRPr="0070678B" w:rsidRDefault="00184B62" w:rsidP="0070678B">
      <w:pPr>
        <w:rPr>
          <w:rFonts w:ascii="Times New Roman" w:hAnsi="Times New Roman"/>
          <w:color w:val="1F497D" w:themeColor="text2"/>
          <w:sz w:val="28"/>
          <w:szCs w:val="28"/>
        </w:rPr>
      </w:pPr>
    </w:p>
    <w:p w:rsidR="0070678B" w:rsidRDefault="00D77A67" w:rsidP="003A4F26">
      <w:pPr>
        <w:outlineLvl w:val="1"/>
        <w:rPr>
          <w:rFonts w:ascii="Times New Roman" w:hAnsi="Times New Roman"/>
          <w:i/>
          <w:color w:val="1F497D" w:themeColor="text2"/>
          <w:sz w:val="28"/>
          <w:szCs w:val="28"/>
        </w:rPr>
      </w:pPr>
      <w:bookmarkStart w:id="20" w:name="_Toc98838539"/>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1089 </w:t>
      </w:r>
      <w:r w:rsidR="00184B62" w:rsidRPr="00184B62">
        <w:rPr>
          <w:rFonts w:ascii="Times New Roman" w:hAnsi="Times New Roman"/>
          <w:i/>
          <w:color w:val="1F497D" w:themeColor="text2"/>
          <w:sz w:val="28"/>
          <w:szCs w:val="28"/>
        </w:rPr>
        <w:t>Morimus asper funereus</w:t>
      </w:r>
      <w:bookmarkEnd w:id="20"/>
    </w:p>
    <w:p w:rsidR="00184B62" w:rsidRPr="00184B62" w:rsidRDefault="00184B62" w:rsidP="00184B62">
      <w:pPr>
        <w:spacing w:after="0" w:line="240" w:lineRule="auto"/>
        <w:jc w:val="both"/>
        <w:rPr>
          <w:rFonts w:ascii="Times New Roman" w:eastAsia="Calibri" w:hAnsi="Times New Roman"/>
          <w:sz w:val="24"/>
          <w:szCs w:val="24"/>
        </w:rPr>
      </w:pPr>
      <w:r w:rsidRPr="00184B62">
        <w:rPr>
          <w:rFonts w:ascii="Times New Roman" w:eastAsia="Calibri" w:hAnsi="Times New Roman"/>
          <w:b/>
          <w:sz w:val="24"/>
          <w:szCs w:val="24"/>
        </w:rPr>
        <w:t>1. Код и наименование на вида:</w:t>
      </w:r>
      <w:r w:rsidRPr="00184B62">
        <w:rPr>
          <w:rFonts w:ascii="Times New Roman" w:eastAsia="Calibri" w:hAnsi="Times New Roman"/>
          <w:b/>
          <w:sz w:val="24"/>
          <w:szCs w:val="24"/>
          <w:lang w:val="en-US"/>
        </w:rPr>
        <w:t xml:space="preserve"> </w:t>
      </w:r>
      <w:r w:rsidRPr="00184B62">
        <w:rPr>
          <w:rFonts w:ascii="Times New Roman" w:eastAsia="Calibri" w:hAnsi="Times New Roman"/>
          <w:sz w:val="24"/>
          <w:szCs w:val="24"/>
          <w:lang w:val="en-US"/>
        </w:rPr>
        <w:t>1089</w:t>
      </w:r>
      <w:r w:rsidRPr="00184B62">
        <w:rPr>
          <w:rFonts w:ascii="Times New Roman" w:eastAsia="Calibri" w:hAnsi="Times New Roman"/>
          <w:sz w:val="24"/>
          <w:szCs w:val="24"/>
        </w:rPr>
        <w:t xml:space="preserve"> </w:t>
      </w:r>
      <w:r w:rsidRPr="00184B62">
        <w:rPr>
          <w:rFonts w:ascii="Times New Roman" w:eastAsia="Calibri" w:hAnsi="Times New Roman"/>
          <w:i/>
          <w:sz w:val="24"/>
          <w:szCs w:val="24"/>
        </w:rPr>
        <w:t xml:space="preserve">Morimus asper funereus </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Голям буков сечко</w:t>
      </w:r>
    </w:p>
    <w:p w:rsidR="00184B62" w:rsidRPr="00184B62" w:rsidRDefault="00184B62" w:rsidP="00184B62">
      <w:pPr>
        <w:spacing w:before="120" w:after="120" w:line="240" w:lineRule="auto"/>
        <w:rPr>
          <w:rFonts w:ascii="Times New Roman" w:eastAsia="Calibri" w:hAnsi="Times New Roman"/>
          <w:b/>
          <w:bCs/>
          <w:sz w:val="24"/>
          <w:szCs w:val="24"/>
        </w:rPr>
      </w:pPr>
      <w:r w:rsidRPr="00184B62">
        <w:rPr>
          <w:rFonts w:ascii="Times New Roman" w:eastAsia="Calibri" w:hAnsi="Times New Roman"/>
          <w:b/>
          <w:bCs/>
          <w:sz w:val="24"/>
          <w:szCs w:val="24"/>
        </w:rPr>
        <w:t>2. Кратка характеристика на целевия обект</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Видът се разпознава лесно, поради характерните му външни особености – набито тяло с елипсoвидна форма и размери 1.6–3.8 cm; цветът е сивкав с четири ясни черни петна на елитрите. Големият буков сечко обитава предимно гъсти или добре структурирани разредени гори със средно или високо количество мъртва дървесина, като в последният случай може да бъде с висока численост. Докато в Централна Европа видът предпочита дъбови и букови гори в низините, в Южна Европа разпространението му е изместено към буковия пояс (</w:t>
      </w:r>
      <w:r w:rsidRPr="00184B62">
        <w:rPr>
          <w:rFonts w:ascii="Times New Roman" w:eastAsia="Calibri" w:hAnsi="Times New Roman"/>
          <w:sz w:val="24"/>
          <w:szCs w:val="24"/>
          <w:lang w:val="en-US"/>
        </w:rPr>
        <w:t>Hendersen et al. 2017</w:t>
      </w:r>
      <w:r w:rsidRPr="00184B62">
        <w:rPr>
          <w:rFonts w:ascii="Times New Roman" w:eastAsia="Calibri" w:hAnsi="Times New Roman"/>
          <w:sz w:val="24"/>
          <w:szCs w:val="24"/>
        </w:rPr>
        <w:t>).</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Това важи и за България, където видът е регистриран предимно в буковия пояс в планините и по-рядко се среща в дъбови гори или низинни влажни (крайречни) гори (доклад, публикуван  в „Информационна система за защитени зони от екологичната мрежа Натура 2000 на МОСВ“). Установено е също, че поради фрагментираното му разпространение и това, че не може да лети, той липсва в някои подходящи местообитания (Hendersen et al. 2017 а, б).</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 xml:space="preserve">Възрастните индивиди се привличат от наранени, неотдавна паднали или отсечени клони и дървета, по които все още има кора. Ларвата обитава мъртви дънери и пънове. Женските снасят в такава дървесина, като предпочитат диаметър на стъблото над 13 </w:t>
      </w:r>
      <w:r w:rsidRPr="00184B62">
        <w:rPr>
          <w:rFonts w:ascii="Times New Roman" w:eastAsia="Calibri" w:hAnsi="Times New Roman"/>
          <w:sz w:val="24"/>
          <w:szCs w:val="24"/>
          <w:lang w:val="en-US"/>
        </w:rPr>
        <w:t>cm</w:t>
      </w:r>
      <w:r w:rsidRPr="00184B62">
        <w:rPr>
          <w:rFonts w:ascii="Times New Roman" w:eastAsia="Calibri" w:hAnsi="Times New Roman"/>
          <w:sz w:val="24"/>
          <w:szCs w:val="24"/>
        </w:rPr>
        <w:t xml:space="preserve">. Според синтеза, направен от, видът е полифаг и слабо придирчив по отношение на хранителното растение и може да се храни с </w:t>
      </w:r>
      <w:r w:rsidRPr="00184B62">
        <w:rPr>
          <w:rFonts w:ascii="Times New Roman" w:eastAsia="Calibri" w:hAnsi="Times New Roman"/>
          <w:i/>
          <w:sz w:val="24"/>
          <w:szCs w:val="24"/>
        </w:rPr>
        <w:t xml:space="preserve">Abies, Acer, Alnus, </w:t>
      </w:r>
      <w:r w:rsidRPr="00184B62">
        <w:rPr>
          <w:rFonts w:ascii="Times New Roman" w:eastAsia="Calibri" w:hAnsi="Times New Roman"/>
          <w:i/>
          <w:sz w:val="24"/>
          <w:szCs w:val="24"/>
          <w:lang w:val="en-US"/>
        </w:rPr>
        <w:t>Carpinus,</w:t>
      </w:r>
      <w:r w:rsidRPr="00184B62">
        <w:rPr>
          <w:rFonts w:ascii="Times New Roman" w:eastAsia="Calibri" w:hAnsi="Times New Roman"/>
          <w:i/>
          <w:sz w:val="24"/>
          <w:szCs w:val="24"/>
        </w:rPr>
        <w:t xml:space="preserve"> Castanea, Fagus,</w:t>
      </w:r>
      <w:r w:rsidRPr="00184B62">
        <w:rPr>
          <w:rFonts w:ascii="Times New Roman" w:eastAsia="Calibri" w:hAnsi="Times New Roman"/>
          <w:i/>
          <w:sz w:val="24"/>
          <w:szCs w:val="24"/>
          <w:lang w:val="en-US"/>
        </w:rPr>
        <w:t xml:space="preserve"> Fraxinus,</w:t>
      </w:r>
      <w:r w:rsidRPr="00184B62">
        <w:rPr>
          <w:rFonts w:ascii="Times New Roman" w:eastAsia="Calibri" w:hAnsi="Times New Roman"/>
          <w:i/>
          <w:sz w:val="24"/>
          <w:szCs w:val="24"/>
        </w:rPr>
        <w:t xml:space="preserve"> Platanus, Juglans, Picea, </w:t>
      </w:r>
      <w:r w:rsidRPr="00184B62">
        <w:rPr>
          <w:rFonts w:ascii="Times New Roman" w:eastAsia="Calibri" w:hAnsi="Times New Roman"/>
          <w:i/>
          <w:sz w:val="24"/>
          <w:szCs w:val="24"/>
          <w:lang w:val="en-US"/>
        </w:rPr>
        <w:t xml:space="preserve">Pinus, </w:t>
      </w:r>
      <w:r w:rsidRPr="00184B62">
        <w:rPr>
          <w:rFonts w:ascii="Times New Roman" w:eastAsia="Calibri" w:hAnsi="Times New Roman"/>
          <w:i/>
          <w:sz w:val="24"/>
          <w:szCs w:val="24"/>
        </w:rPr>
        <w:t xml:space="preserve">Populus, Prunus, Quercus, </w:t>
      </w:r>
      <w:r w:rsidRPr="00184B62">
        <w:rPr>
          <w:rFonts w:ascii="Times New Roman" w:eastAsia="Calibri" w:hAnsi="Times New Roman"/>
          <w:i/>
          <w:sz w:val="24"/>
          <w:szCs w:val="24"/>
          <w:lang w:val="en-US"/>
        </w:rPr>
        <w:t xml:space="preserve">Robinia, </w:t>
      </w:r>
      <w:r w:rsidRPr="00184B62">
        <w:rPr>
          <w:rFonts w:ascii="Times New Roman" w:eastAsia="Calibri" w:hAnsi="Times New Roman"/>
          <w:i/>
          <w:sz w:val="24"/>
          <w:szCs w:val="24"/>
        </w:rPr>
        <w:t>Salix, Ulmus, Tilia</w:t>
      </w:r>
      <w:r w:rsidRPr="00184B62">
        <w:rPr>
          <w:rFonts w:ascii="Times New Roman" w:eastAsia="Calibri" w:hAnsi="Times New Roman"/>
          <w:sz w:val="24"/>
          <w:szCs w:val="24"/>
        </w:rPr>
        <w:t xml:space="preserve">, но авторите уточняват, че </w:t>
      </w:r>
      <w:r w:rsidRPr="00184B62">
        <w:rPr>
          <w:rFonts w:ascii="Times New Roman" w:eastAsia="Calibri" w:hAnsi="Times New Roman"/>
          <w:i/>
          <w:sz w:val="24"/>
          <w:szCs w:val="24"/>
          <w:lang w:val="en-US"/>
        </w:rPr>
        <w:t xml:space="preserve">Fraxinus ornus </w:t>
      </w:r>
      <w:r w:rsidRPr="00184B62">
        <w:rPr>
          <w:rFonts w:ascii="Times New Roman" w:eastAsia="Calibri" w:hAnsi="Times New Roman"/>
          <w:sz w:val="24"/>
          <w:szCs w:val="24"/>
        </w:rPr>
        <w:t xml:space="preserve">и </w:t>
      </w:r>
      <w:r w:rsidRPr="00184B62">
        <w:rPr>
          <w:rFonts w:ascii="Times New Roman" w:eastAsia="Calibri" w:hAnsi="Times New Roman"/>
          <w:i/>
          <w:sz w:val="24"/>
          <w:szCs w:val="24"/>
          <w:lang w:val="en-US"/>
        </w:rPr>
        <w:t xml:space="preserve">Picea abies </w:t>
      </w:r>
      <w:r w:rsidRPr="00184B62">
        <w:rPr>
          <w:rFonts w:ascii="Times New Roman" w:eastAsia="Calibri" w:hAnsi="Times New Roman"/>
          <w:sz w:val="24"/>
          <w:szCs w:val="24"/>
        </w:rPr>
        <w:t xml:space="preserve">не са атрактивни за вида, като той най-много се привлича от дървесина на бук, дъб и обикновен габър </w:t>
      </w:r>
      <w:r w:rsidRPr="00184B62">
        <w:rPr>
          <w:rFonts w:ascii="Times New Roman" w:eastAsia="Calibri" w:hAnsi="Times New Roman"/>
          <w:sz w:val="24"/>
          <w:szCs w:val="24"/>
          <w:lang w:val="en-US"/>
        </w:rPr>
        <w:t>(</w:t>
      </w:r>
      <w:r w:rsidRPr="00184B62">
        <w:rPr>
          <w:rFonts w:ascii="Times New Roman" w:eastAsia="Calibri" w:hAnsi="Times New Roman"/>
          <w:sz w:val="24"/>
          <w:szCs w:val="24"/>
        </w:rPr>
        <w:t>Hendersen et al. 2017 а, б</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lang w:val="en-GB" w:eastAsia="en-GB"/>
        </w:rPr>
        <w:t>Leonarduzzi et al., 2017</w:t>
      </w:r>
      <w:r w:rsidRPr="00184B62">
        <w:rPr>
          <w:rFonts w:ascii="Times New Roman" w:eastAsia="Calibri" w:hAnsi="Times New Roman"/>
          <w:sz w:val="24"/>
          <w:szCs w:val="24"/>
        </w:rPr>
        <w:t xml:space="preserve">). Основна заплаха за вида е унищожаване на местообитанието му, включително премахване на мъртва дървесина. Отбелязано е, че отсечени и оставени за известно време, след което </w:t>
      </w:r>
      <w:r w:rsidRPr="00184B62">
        <w:rPr>
          <w:rFonts w:ascii="Times New Roman" w:eastAsia="Calibri" w:hAnsi="Times New Roman"/>
          <w:sz w:val="24"/>
          <w:szCs w:val="24"/>
        </w:rPr>
        <w:lastRenderedPageBreak/>
        <w:t xml:space="preserve">премахнати, дървесни части, се явяват капани за вида, тъй като отстраняват снесените яйца от местообитанието (Hendersen et al. 2017). Възрастните индивиди са сравнително слабо подвижни, като се придвижват под 200 </w:t>
      </w:r>
      <w:r w:rsidRPr="00184B62">
        <w:rPr>
          <w:rFonts w:ascii="Times New Roman" w:eastAsia="Calibri" w:hAnsi="Times New Roman"/>
          <w:sz w:val="24"/>
          <w:szCs w:val="24"/>
          <w:lang w:val="en-US"/>
        </w:rPr>
        <w:t xml:space="preserve">m </w:t>
      </w:r>
      <w:r w:rsidRPr="00184B62">
        <w:rPr>
          <w:rFonts w:ascii="Times New Roman" w:eastAsia="Calibri" w:hAnsi="Times New Roman"/>
          <w:sz w:val="24"/>
          <w:szCs w:val="24"/>
        </w:rPr>
        <w:t>за времето на техния живот.</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i/>
          <w:sz w:val="24"/>
          <w:szCs w:val="24"/>
          <w:lang w:val="en-US"/>
        </w:rPr>
        <w:t>Morimus asper funereus</w:t>
      </w:r>
      <w:r w:rsidRPr="00184B62">
        <w:rPr>
          <w:rFonts w:ascii="Times New Roman" w:eastAsia="Calibri" w:hAnsi="Times New Roman"/>
          <w:sz w:val="24"/>
          <w:szCs w:val="24"/>
        </w:rPr>
        <w:t xml:space="preserve"> е включен в Приложения II и IV на Директива 92/43/ЕИО. Видът не е включен в Червената книга на България (2011 г.).</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hAnsi="Times New Roman"/>
          <w:i/>
          <w:iCs/>
          <w:sz w:val="24"/>
          <w:szCs w:val="24"/>
        </w:rPr>
        <w:t>Характеристики на местообитанието:</w:t>
      </w:r>
      <w:r w:rsidRPr="00184B62">
        <w:rPr>
          <w:rFonts w:ascii="Times New Roman" w:eastAsia="Calibri" w:hAnsi="Times New Roman"/>
          <w:sz w:val="24"/>
          <w:lang w:eastAsia="en-GB"/>
        </w:rPr>
        <w:t xml:space="preserve"> Големият буков сечко е широко разпространен в цялата страна от низините до 1800 m н.в. Обитава разнообразни широколистни и смесени гори, като в България видът е регистриран основно в букови и габърови гори, по-рядко в дъбови, смесени или низинни крайречни гори. Активен е през цялото денонощие, но предимно вечер и през нощта, като се среща от април до август. От основно значение за м</w:t>
      </w:r>
      <w:r w:rsidRPr="00184B62">
        <w:rPr>
          <w:rFonts w:ascii="Times New Roman" w:eastAsia="Calibri" w:hAnsi="Times New Roman"/>
          <w:sz w:val="24"/>
          <w:lang w:val="en-US" w:eastAsia="en-GB"/>
        </w:rPr>
        <w:t>e</w:t>
      </w:r>
      <w:r w:rsidRPr="00184B62">
        <w:rPr>
          <w:rFonts w:ascii="Times New Roman" w:eastAsia="Calibri" w:hAnsi="Times New Roman"/>
          <w:sz w:val="24"/>
          <w:lang w:eastAsia="en-GB"/>
        </w:rPr>
        <w:t>стообитанието на вида е наличието на мъртва дървесина.</w:t>
      </w:r>
    </w:p>
    <w:p w:rsidR="00184B62" w:rsidRPr="00184B62" w:rsidRDefault="00184B62" w:rsidP="00184B62">
      <w:pPr>
        <w:spacing w:before="120" w:after="120" w:line="240" w:lineRule="auto"/>
        <w:jc w:val="both"/>
        <w:rPr>
          <w:rFonts w:ascii="Times New Roman" w:eastAsia="Calibri" w:hAnsi="Times New Roman"/>
          <w:b/>
          <w:bCs/>
          <w:sz w:val="24"/>
          <w:szCs w:val="24"/>
        </w:rPr>
      </w:pPr>
      <w:r w:rsidRPr="00184B62">
        <w:rPr>
          <w:rFonts w:ascii="Times New Roman" w:eastAsia="Calibri" w:hAnsi="Times New Roman"/>
          <w:b/>
          <w:bCs/>
          <w:sz w:val="24"/>
          <w:szCs w:val="24"/>
        </w:rPr>
        <w:t>3. Състояние на биогеографско ниво и разпространение в мрежата</w:t>
      </w:r>
    </w:p>
    <w:p w:rsidR="00184B62" w:rsidRDefault="00184B62" w:rsidP="00184B62">
      <w:pPr>
        <w:spacing w:before="120" w:after="120" w:line="240" w:lineRule="auto"/>
        <w:ind w:firstLine="720"/>
        <w:jc w:val="both"/>
        <w:rPr>
          <w:rFonts w:ascii="Times New Roman" w:eastAsia="Calibri" w:hAnsi="Times New Roman"/>
          <w:bCs/>
          <w:sz w:val="24"/>
          <w:szCs w:val="24"/>
        </w:rPr>
      </w:pPr>
      <w:r w:rsidRPr="00184B62">
        <w:rPr>
          <w:rFonts w:ascii="Times New Roman" w:eastAsia="Calibri" w:hAnsi="Times New Roman"/>
          <w:sz w:val="24"/>
          <w:szCs w:val="24"/>
        </w:rPr>
        <w:t xml:space="preserve">Съгласно докладването по чл. 17 на Директива за местообитанията през 2013 г. </w:t>
      </w:r>
      <w:r w:rsidRPr="00184B62">
        <w:rPr>
          <w:rFonts w:ascii="Times New Roman" w:eastAsia="Calibri" w:hAnsi="Times New Roman"/>
          <w:sz w:val="24"/>
          <w:szCs w:val="24"/>
          <w:lang w:val="en-US"/>
        </w:rPr>
        <w:t>(</w:t>
      </w:r>
      <w:r w:rsidRPr="00184B62">
        <w:rPr>
          <w:rFonts w:ascii="Times New Roman" w:eastAsia="Calibri" w:hAnsi="Times New Roman"/>
          <w:sz w:val="24"/>
          <w:szCs w:val="24"/>
        </w:rPr>
        <w:t>за периода 2007-2012 г.</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състоянието на вида е благоприятно по всички параметри (FV) във всички биогеографски </w:t>
      </w:r>
      <w:r w:rsidR="00715A84">
        <w:rPr>
          <w:rFonts w:ascii="Times New Roman" w:eastAsia="Calibri" w:hAnsi="Times New Roman"/>
          <w:sz w:val="24"/>
          <w:szCs w:val="24"/>
        </w:rPr>
        <w:t>региони</w:t>
      </w:r>
      <w:r w:rsidRPr="00184B62">
        <w:rPr>
          <w:rFonts w:ascii="Times New Roman" w:eastAsia="Calibri" w:hAnsi="Times New Roman"/>
          <w:sz w:val="24"/>
          <w:szCs w:val="24"/>
        </w:rPr>
        <w:t xml:space="preserve">, с изключение на неблагоприятно-незадоволително състояние (U1) </w:t>
      </w:r>
      <w:r w:rsidR="00715A84">
        <w:rPr>
          <w:rFonts w:ascii="Times New Roman" w:eastAsia="Calibri" w:hAnsi="Times New Roman"/>
          <w:sz w:val="24"/>
          <w:szCs w:val="24"/>
        </w:rPr>
        <w:t>за перспективи и обща оценка в К</w:t>
      </w:r>
      <w:r w:rsidRPr="00184B62">
        <w:rPr>
          <w:rFonts w:ascii="Times New Roman" w:eastAsia="Calibri" w:hAnsi="Times New Roman"/>
          <w:sz w:val="24"/>
          <w:szCs w:val="24"/>
        </w:rPr>
        <w:t xml:space="preserve">онтиненталния </w:t>
      </w:r>
      <w:r w:rsidR="00715A84">
        <w:rPr>
          <w:rFonts w:ascii="Times New Roman" w:eastAsia="Calibri" w:hAnsi="Times New Roman"/>
          <w:sz w:val="24"/>
          <w:szCs w:val="24"/>
        </w:rPr>
        <w:t>регион</w:t>
      </w:r>
      <w:r w:rsidRPr="00184B62">
        <w:rPr>
          <w:rFonts w:ascii="Times New Roman" w:eastAsia="Calibri" w:hAnsi="Times New Roman"/>
          <w:sz w:val="24"/>
          <w:szCs w:val="24"/>
        </w:rPr>
        <w:t xml:space="preserve">. При докладването по същата директива през 2019 г. </w:t>
      </w:r>
      <w:r w:rsidRPr="00184B62">
        <w:rPr>
          <w:rFonts w:ascii="Times New Roman" w:eastAsia="Calibri" w:hAnsi="Times New Roman"/>
          <w:sz w:val="24"/>
          <w:szCs w:val="24"/>
          <w:lang w:val="en-US"/>
        </w:rPr>
        <w:t>(</w:t>
      </w:r>
      <w:r w:rsidRPr="00184B62">
        <w:rPr>
          <w:rFonts w:ascii="Times New Roman" w:eastAsia="Calibri" w:hAnsi="Times New Roman"/>
          <w:sz w:val="24"/>
          <w:szCs w:val="24"/>
        </w:rPr>
        <w:t>за периода 2013-2018 г.</w:t>
      </w:r>
      <w:r w:rsidRPr="00184B62">
        <w:rPr>
          <w:rFonts w:ascii="Times New Roman" w:eastAsia="Calibri" w:hAnsi="Times New Roman"/>
          <w:sz w:val="24"/>
          <w:szCs w:val="24"/>
          <w:lang w:val="en-US"/>
        </w:rPr>
        <w:t>)</w:t>
      </w:r>
      <w:r w:rsidRPr="00184B62">
        <w:rPr>
          <w:rFonts w:ascii="Times New Roman" w:eastAsia="Calibri" w:hAnsi="Times New Roman"/>
          <w:sz w:val="24"/>
          <w:szCs w:val="24"/>
        </w:rPr>
        <w:t>, състоянието по всички параметри е оценено като благоприятно. Посочени са следните по-значими заплахи за вида: и</w:t>
      </w:r>
      <w:r w:rsidRPr="00184B62">
        <w:rPr>
          <w:rFonts w:ascii="Times New Roman" w:eastAsia="Calibri" w:hAnsi="Times New Roman"/>
          <w:bCs/>
          <w:sz w:val="24"/>
          <w:szCs w:val="24"/>
        </w:rPr>
        <w:t>зползване на препарати за растителна защита в горското стопанство; горски пожари; сечи, премахване на мъртва дървесина.</w:t>
      </w:r>
    </w:p>
    <w:p w:rsidR="00D374F5" w:rsidRPr="00184B62" w:rsidRDefault="00D374F5" w:rsidP="00184B62">
      <w:pPr>
        <w:spacing w:before="120" w:after="120" w:line="240" w:lineRule="auto"/>
        <w:ind w:firstLine="720"/>
        <w:jc w:val="both"/>
        <w:rPr>
          <w:rFonts w:ascii="Times New Roman" w:eastAsia="Calibri" w:hAnsi="Times New Roman"/>
          <w:bCs/>
          <w:sz w:val="24"/>
          <w:szCs w:val="24"/>
        </w:rPr>
      </w:pPr>
      <w:r>
        <w:rPr>
          <w:rFonts w:ascii="Times New Roman" w:eastAsia="Calibri" w:hAnsi="Times New Roman"/>
          <w:sz w:val="24"/>
          <w:szCs w:val="24"/>
        </w:rPr>
        <w:t xml:space="preserve">Видът е записан в Стандартните </w:t>
      </w:r>
      <w:r w:rsidRPr="00F62F40">
        <w:rPr>
          <w:rFonts w:ascii="Times New Roman" w:eastAsia="Calibri" w:hAnsi="Times New Roman"/>
          <w:sz w:val="24"/>
          <w:szCs w:val="24"/>
        </w:rPr>
        <w:t xml:space="preserve">формуляри за данни на </w:t>
      </w:r>
      <w:r>
        <w:rPr>
          <w:rFonts w:ascii="Times New Roman" w:eastAsia="Calibri" w:hAnsi="Times New Roman"/>
          <w:sz w:val="24"/>
          <w:szCs w:val="24"/>
        </w:rPr>
        <w:t>159 зони.</w:t>
      </w:r>
    </w:p>
    <w:p w:rsidR="00184B62" w:rsidRPr="00184B62" w:rsidRDefault="00184B62" w:rsidP="00184B62">
      <w:pPr>
        <w:spacing w:before="120" w:after="0" w:line="240" w:lineRule="auto"/>
        <w:jc w:val="both"/>
        <w:rPr>
          <w:rFonts w:ascii="Times New Roman" w:eastAsia="Calibri" w:hAnsi="Times New Roman"/>
          <w:b/>
          <w:sz w:val="24"/>
          <w:szCs w:val="24"/>
        </w:rPr>
      </w:pPr>
      <w:r w:rsidRPr="00184B62">
        <w:rPr>
          <w:rFonts w:ascii="Times New Roman" w:eastAsia="Calibri" w:hAnsi="Times New Roman"/>
          <w:b/>
          <w:sz w:val="24"/>
          <w:szCs w:val="24"/>
        </w:rPr>
        <w:t>4. Състояние на вида в защитена зона „Сребърна“</w:t>
      </w:r>
    </w:p>
    <w:p w:rsidR="00184B62" w:rsidRPr="00184B62" w:rsidRDefault="00184B62" w:rsidP="00184B62">
      <w:pPr>
        <w:spacing w:before="120" w:after="12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Съгласно Стандартния формуляр за данни (</w:t>
      </w:r>
      <w:r w:rsidR="005A0A3C">
        <w:rPr>
          <w:rFonts w:ascii="Times New Roman" w:eastAsia="Calibri" w:hAnsi="Times New Roman"/>
          <w:sz w:val="24"/>
          <w:szCs w:val="24"/>
        </w:rPr>
        <w:t>СФ</w:t>
      </w:r>
      <w:r w:rsidRPr="00184B62">
        <w:rPr>
          <w:rFonts w:ascii="Times New Roman" w:eastAsia="Calibri" w:hAnsi="Times New Roman"/>
          <w:sz w:val="24"/>
          <w:szCs w:val="24"/>
        </w:rPr>
        <w:t>) за защитена зона Сребърна, са със лошо качество (</w:t>
      </w:r>
      <w:r w:rsidRPr="00184B62">
        <w:rPr>
          <w:rFonts w:ascii="Times New Roman" w:eastAsia="Calibri" w:hAnsi="Times New Roman"/>
          <w:sz w:val="24"/>
          <w:szCs w:val="24"/>
          <w:lang w:val="en-US"/>
        </w:rPr>
        <w:t>DD)</w:t>
      </w:r>
      <w:r w:rsidRPr="00184B62">
        <w:rPr>
          <w:rFonts w:ascii="Times New Roman" w:eastAsia="Calibri" w:hAnsi="Times New Roman"/>
          <w:sz w:val="24"/>
          <w:szCs w:val="24"/>
        </w:rPr>
        <w:t>, степента на опазване е „</w:t>
      </w:r>
      <w:r w:rsidRPr="00184B62">
        <w:rPr>
          <w:rFonts w:ascii="Times New Roman" w:eastAsia="Calibri" w:hAnsi="Times New Roman"/>
          <w:sz w:val="24"/>
          <w:szCs w:val="24"/>
          <w:lang w:val="en-US"/>
        </w:rPr>
        <w:t>C</w:t>
      </w:r>
      <w:r w:rsidRPr="00184B62">
        <w:rPr>
          <w:rFonts w:ascii="Times New Roman" w:eastAsia="Calibri" w:hAnsi="Times New Roman"/>
          <w:sz w:val="24"/>
          <w:szCs w:val="24"/>
        </w:rPr>
        <w:t>“ (добро съхранение), популацията е неизолирана (оценка „</w:t>
      </w:r>
      <w:r w:rsidRPr="00184B62">
        <w:rPr>
          <w:rFonts w:ascii="Times New Roman" w:eastAsia="Calibri" w:hAnsi="Times New Roman"/>
          <w:sz w:val="24"/>
          <w:szCs w:val="24"/>
          <w:lang w:val="en-US"/>
        </w:rPr>
        <w:t>B</w:t>
      </w:r>
      <w:r w:rsidRPr="00184B62">
        <w:rPr>
          <w:rFonts w:ascii="Times New Roman" w:eastAsia="Calibri" w:hAnsi="Times New Roman"/>
          <w:sz w:val="24"/>
          <w:szCs w:val="24"/>
        </w:rPr>
        <w:t>“), а общото състояние е „</w:t>
      </w:r>
      <w:r w:rsidRPr="00184B62">
        <w:rPr>
          <w:rFonts w:ascii="Times New Roman" w:eastAsia="Calibri" w:hAnsi="Times New Roman"/>
          <w:sz w:val="24"/>
          <w:szCs w:val="24"/>
          <w:lang w:val="en-US"/>
        </w:rPr>
        <w:t>C</w:t>
      </w:r>
      <w:r w:rsidRPr="00184B62">
        <w:rPr>
          <w:rFonts w:ascii="Times New Roman" w:eastAsia="Calibri" w:hAnsi="Times New Roman"/>
          <w:sz w:val="24"/>
          <w:szCs w:val="24"/>
        </w:rPr>
        <w:t xml:space="preserve">“ (средна стойност). </w:t>
      </w: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736"/>
        <w:gridCol w:w="1086"/>
        <w:gridCol w:w="492"/>
        <w:gridCol w:w="556"/>
        <w:gridCol w:w="413"/>
        <w:gridCol w:w="774"/>
        <w:gridCol w:w="811"/>
        <w:gridCol w:w="700"/>
        <w:gridCol w:w="697"/>
        <w:gridCol w:w="899"/>
        <w:gridCol w:w="1084"/>
        <w:gridCol w:w="713"/>
        <w:gridCol w:w="565"/>
        <w:gridCol w:w="588"/>
      </w:tblGrid>
      <w:tr w:rsidR="00184B62" w:rsidRPr="00184B62" w:rsidTr="005A0A3C">
        <w:trPr>
          <w:jc w:val="center"/>
        </w:trPr>
        <w:tc>
          <w:tcPr>
            <w:tcW w:w="3266" w:type="dxa"/>
            <w:gridSpan w:val="5"/>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4294" w:type="dxa"/>
            <w:gridSpan w:val="6"/>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2950" w:type="dxa"/>
            <w:gridSpan w:val="4"/>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rPr>
          <w:trHeight w:val="617"/>
          <w:jc w:val="center"/>
        </w:trPr>
        <w:tc>
          <w:tcPr>
            <w:tcW w:w="39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3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08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492"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55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413"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585" w:type="dxa"/>
            <w:gridSpan w:val="2"/>
            <w:shd w:val="clear" w:color="auto" w:fill="D9D9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70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69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99"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108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866" w:type="dxa"/>
            <w:gridSpan w:val="3"/>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rPr>
          <w:jc w:val="center"/>
        </w:trPr>
        <w:tc>
          <w:tcPr>
            <w:tcW w:w="39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3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08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92"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413"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77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811"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70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9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99"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108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713"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65"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588"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39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I</w:t>
            </w:r>
          </w:p>
        </w:tc>
        <w:tc>
          <w:tcPr>
            <w:tcW w:w="73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10</w:t>
            </w:r>
            <w:r w:rsidRPr="00184B62">
              <w:rPr>
                <w:rFonts w:ascii="Times New Roman" w:hAnsi="Times New Roman"/>
                <w:sz w:val="20"/>
                <w:szCs w:val="20"/>
              </w:rPr>
              <w:t>8</w:t>
            </w:r>
            <w:r w:rsidRPr="00184B62">
              <w:rPr>
                <w:rFonts w:ascii="Times New Roman" w:hAnsi="Times New Roman"/>
                <w:sz w:val="20"/>
                <w:szCs w:val="20"/>
                <w:lang w:val="en-US"/>
              </w:rPr>
              <w:t>9</w:t>
            </w:r>
          </w:p>
        </w:tc>
        <w:tc>
          <w:tcPr>
            <w:tcW w:w="1086" w:type="dxa"/>
            <w:shd w:val="clear" w:color="auto" w:fill="auto"/>
            <w:vAlign w:val="center"/>
          </w:tcPr>
          <w:p w:rsidR="00184B62" w:rsidRPr="00184B62" w:rsidRDefault="00184B62" w:rsidP="00184B62">
            <w:pPr>
              <w:spacing w:before="120" w:after="120" w:line="240" w:lineRule="auto"/>
              <w:jc w:val="both"/>
              <w:rPr>
                <w:rFonts w:ascii="Times New Roman" w:hAnsi="Times New Roman"/>
                <w:i/>
                <w:sz w:val="20"/>
                <w:szCs w:val="20"/>
                <w:lang w:val="en-US"/>
              </w:rPr>
            </w:pPr>
            <w:r w:rsidRPr="00184B62">
              <w:rPr>
                <w:rFonts w:ascii="Times New Roman" w:hAnsi="Times New Roman"/>
                <w:i/>
                <w:sz w:val="20"/>
                <w:szCs w:val="20"/>
                <w:lang w:val="en-US"/>
              </w:rPr>
              <w:t>Morimus asper funereus</w:t>
            </w:r>
          </w:p>
        </w:tc>
        <w:tc>
          <w:tcPr>
            <w:tcW w:w="492"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55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413"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р</w:t>
            </w:r>
          </w:p>
        </w:tc>
        <w:tc>
          <w:tcPr>
            <w:tcW w:w="77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811"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70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697"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899"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DD</w:t>
            </w:r>
          </w:p>
        </w:tc>
        <w:tc>
          <w:tcPr>
            <w:tcW w:w="108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713"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lang w:val="en-US"/>
              </w:rPr>
              <w:t>B</w:t>
            </w:r>
          </w:p>
        </w:tc>
        <w:tc>
          <w:tcPr>
            <w:tcW w:w="565"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С</w:t>
            </w:r>
          </w:p>
        </w:tc>
        <w:tc>
          <w:tcPr>
            <w:tcW w:w="588"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r>
    </w:tbl>
    <w:p w:rsidR="00184B62" w:rsidRPr="00184B62" w:rsidRDefault="00184B62" w:rsidP="00184B62">
      <w:pPr>
        <w:spacing w:before="120" w:after="120" w:line="240" w:lineRule="auto"/>
        <w:jc w:val="both"/>
        <w:rPr>
          <w:rFonts w:ascii="Times New Roman" w:eastAsia="Calibri" w:hAnsi="Times New Roman"/>
          <w:b/>
          <w:sz w:val="24"/>
          <w:szCs w:val="24"/>
          <w:lang w:eastAsia="bg-BG"/>
        </w:rPr>
      </w:pPr>
    </w:p>
    <w:p w:rsidR="00184B62" w:rsidRPr="00184B62" w:rsidRDefault="00184B62" w:rsidP="00184B62">
      <w:pPr>
        <w:spacing w:before="120" w:after="120" w:line="240" w:lineRule="auto"/>
        <w:jc w:val="both"/>
        <w:rPr>
          <w:rFonts w:ascii="Times New Roman" w:eastAsia="Calibri" w:hAnsi="Times New Roman"/>
          <w:sz w:val="24"/>
          <w:szCs w:val="24"/>
        </w:rPr>
      </w:pPr>
      <w:r w:rsidRPr="00184B62">
        <w:rPr>
          <w:rFonts w:ascii="Times New Roman" w:eastAsia="Calibri" w:hAnsi="Times New Roman"/>
          <w:b/>
          <w:sz w:val="24"/>
          <w:szCs w:val="24"/>
          <w:lang w:eastAsia="bg-BG"/>
        </w:rPr>
        <w:t>5. Анализ на наличната информация</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 xml:space="preserve">Видът е не е установен в зоната. Но има подходящи местообитания, както и данни от близките зони. Потенциалните местообитания на вида заемат 258.44 ha </w:t>
      </w:r>
      <w:r w:rsidRPr="00184B62">
        <w:rPr>
          <w:rFonts w:ascii="Times New Roman" w:eastAsia="Calibri" w:hAnsi="Times New Roman"/>
          <w:sz w:val="24"/>
          <w:szCs w:val="24"/>
          <w:lang w:val="en-US"/>
        </w:rPr>
        <w:t>(</w:t>
      </w:r>
      <w:r w:rsidRPr="00184B62">
        <w:rPr>
          <w:rFonts w:ascii="Times New Roman" w:eastAsia="Calibri" w:hAnsi="Times New Roman"/>
          <w:sz w:val="24"/>
          <w:szCs w:val="24"/>
        </w:rPr>
        <w:t>специфичен доклад за вида в защитената зона, публикуван на страницата на Информационната система на защитените зони от екологичната мрежа Натура 2000</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w:t>
      </w:r>
    </w:p>
    <w:p w:rsidR="00184B62" w:rsidRPr="00184B62" w:rsidRDefault="00184B62" w:rsidP="00715A84">
      <w:pPr>
        <w:spacing w:after="0" w:line="240" w:lineRule="auto"/>
        <w:ind w:firstLine="720"/>
        <w:jc w:val="both"/>
        <w:rPr>
          <w:rFonts w:ascii="Times New Roman" w:eastAsia="Calibri" w:hAnsi="Times New Roman"/>
          <w:bCs/>
          <w:iCs/>
          <w:sz w:val="24"/>
          <w:szCs w:val="24"/>
        </w:rPr>
      </w:pPr>
      <w:r w:rsidRPr="00184B62">
        <w:rPr>
          <w:rFonts w:ascii="Times New Roman" w:eastAsia="Calibri" w:hAnsi="Times New Roman"/>
          <w:bCs/>
          <w:iCs/>
          <w:sz w:val="24"/>
          <w:szCs w:val="24"/>
        </w:rPr>
        <w:t xml:space="preserve">Параметрите за популация и местообитание и техните целеви стойности, са съобразени и съвместими с досега определените в Ръководството за оценка на благоприятно природозащитно състояние за типове природни местообитания и видове по НАТУРА 2000 в България , Методиката за определяне на природозащитното състоянието на видовете , както и Методиките за оценка на състоянието и мониторинг </w:t>
      </w:r>
      <w:r w:rsidRPr="00184B62">
        <w:rPr>
          <w:rFonts w:ascii="Times New Roman" w:eastAsia="Calibri" w:hAnsi="Times New Roman"/>
          <w:bCs/>
          <w:iCs/>
          <w:sz w:val="24"/>
          <w:szCs w:val="24"/>
        </w:rPr>
        <w:lastRenderedPageBreak/>
        <w:t>на вида (Национална система за мониторинг на биологичното разнообразие) . Предлаганите промени са с цел да бъдат по-добре отразени екологичните изисквания на даден вид, както и да бъде получена по-адекватна оценка за промените в неговото състояние и свързаните с това мерки и специфични цели в зоните.</w:t>
      </w:r>
    </w:p>
    <w:p w:rsidR="00184B62" w:rsidRPr="00184B62" w:rsidRDefault="00184B62" w:rsidP="00715A84">
      <w:pPr>
        <w:spacing w:after="0" w:line="240" w:lineRule="auto"/>
        <w:ind w:firstLine="720"/>
        <w:jc w:val="both"/>
        <w:rPr>
          <w:rFonts w:ascii="Times New Roman" w:eastAsia="Calibri" w:hAnsi="Times New Roman"/>
          <w:bCs/>
          <w:iCs/>
          <w:sz w:val="24"/>
          <w:szCs w:val="24"/>
        </w:rPr>
      </w:pPr>
      <w:r w:rsidRPr="00184B62">
        <w:rPr>
          <w:rFonts w:ascii="Times New Roman" w:eastAsia="Calibri" w:hAnsi="Times New Roman"/>
          <w:sz w:val="24"/>
          <w:szCs w:val="24"/>
        </w:rPr>
        <w:t xml:space="preserve">Специфичните цели за вида в защитената зона са формулирани на базата на задълбочен анализ на екологията на вида и направени научни изследвания в Европа </w:t>
      </w:r>
      <w:r w:rsidRPr="00184B62">
        <w:rPr>
          <w:rFonts w:ascii="Times New Roman" w:eastAsia="Calibri" w:hAnsi="Times New Roman"/>
          <w:sz w:val="24"/>
          <w:szCs w:val="24"/>
          <w:lang w:val="en-US"/>
        </w:rPr>
        <w:t>(</w:t>
      </w:r>
      <w:r w:rsidRPr="00184B62">
        <w:rPr>
          <w:rFonts w:ascii="Times New Roman" w:eastAsia="Calibri" w:hAnsi="Times New Roman"/>
          <w:sz w:val="24"/>
          <w:szCs w:val="24"/>
        </w:rPr>
        <w:t>виж цитираната литература</w:t>
      </w:r>
      <w:r w:rsidRPr="00184B62">
        <w:rPr>
          <w:rFonts w:ascii="Times New Roman" w:eastAsia="Calibri" w:hAnsi="Times New Roman"/>
          <w:sz w:val="24"/>
          <w:szCs w:val="24"/>
          <w:lang w:val="en-US"/>
        </w:rPr>
        <w:t>)</w:t>
      </w:r>
      <w:r w:rsidRPr="00184B62">
        <w:rPr>
          <w:rFonts w:ascii="Times New Roman" w:eastAsia="Calibri" w:hAnsi="Times New Roman"/>
          <w:sz w:val="24"/>
          <w:szCs w:val="24"/>
        </w:rPr>
        <w:t>. Параметрите и специфичните цели са представени в таблицата по-долу.</w:t>
      </w:r>
    </w:p>
    <w:p w:rsidR="00184B62" w:rsidRPr="00184B62" w:rsidRDefault="00184B62" w:rsidP="00184B62">
      <w:pPr>
        <w:jc w:val="both"/>
        <w:rPr>
          <w:rFonts w:ascii="Times New Roman" w:hAnsi="Times New Roman"/>
          <w:b/>
          <w:sz w:val="24"/>
          <w:szCs w:val="24"/>
          <w:lang w:val="en-US"/>
        </w:rPr>
      </w:pPr>
      <w:r w:rsidRPr="00184B62">
        <w:rPr>
          <w:rFonts w:ascii="Times New Roman" w:hAnsi="Times New Roman"/>
          <w:b/>
          <w:sz w:val="24"/>
          <w:szCs w:val="24"/>
        </w:rPr>
        <w:t>6. Цели за подобряване/поддържане на природозащитното състояние на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1624"/>
        <w:gridCol w:w="1499"/>
        <w:gridCol w:w="2276"/>
        <w:gridCol w:w="2138"/>
      </w:tblGrid>
      <w:tr w:rsidR="00184B62" w:rsidRPr="00715A84" w:rsidTr="00715A84">
        <w:trPr>
          <w:tblHeader/>
          <w:jc w:val="center"/>
        </w:trPr>
        <w:tc>
          <w:tcPr>
            <w:tcW w:w="9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3A4F26" w:rsidRDefault="00184B62" w:rsidP="00184B62">
            <w:pPr>
              <w:widowControl w:val="0"/>
              <w:spacing w:before="120" w:after="120" w:line="240" w:lineRule="auto"/>
              <w:jc w:val="center"/>
              <w:rPr>
                <w:rFonts w:ascii="Times New Roman" w:hAnsi="Times New Roman"/>
                <w:b/>
                <w:bCs/>
                <w:sz w:val="20"/>
                <w:szCs w:val="20"/>
              </w:rPr>
            </w:pPr>
            <w:r w:rsidRPr="003A4F26">
              <w:rPr>
                <w:rFonts w:ascii="Times New Roman" w:hAnsi="Times New Roman"/>
                <w:b/>
                <w:bCs/>
                <w:sz w:val="20"/>
                <w:szCs w:val="20"/>
              </w:rPr>
              <w:t>Параметър</w:t>
            </w:r>
          </w:p>
        </w:tc>
        <w:tc>
          <w:tcPr>
            <w:tcW w:w="8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715A84" w:rsidRDefault="00184B62" w:rsidP="00184B62">
            <w:pPr>
              <w:widowControl w:val="0"/>
              <w:spacing w:before="120" w:after="120" w:line="240" w:lineRule="auto"/>
              <w:jc w:val="center"/>
              <w:rPr>
                <w:rFonts w:ascii="Times New Roman" w:hAnsi="Times New Roman"/>
                <w:b/>
                <w:bCs/>
                <w:sz w:val="20"/>
                <w:szCs w:val="20"/>
              </w:rPr>
            </w:pPr>
            <w:r w:rsidRPr="00715A84">
              <w:rPr>
                <w:rFonts w:ascii="Times New Roman" w:hAnsi="Times New Roman"/>
                <w:b/>
                <w:bCs/>
                <w:sz w:val="20"/>
                <w:szCs w:val="20"/>
              </w:rPr>
              <w:t xml:space="preserve">Мерна единица </w:t>
            </w:r>
          </w:p>
        </w:tc>
        <w:tc>
          <w:tcPr>
            <w:tcW w:w="8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715A84" w:rsidRDefault="00184B62" w:rsidP="00184B62">
            <w:pPr>
              <w:widowControl w:val="0"/>
              <w:spacing w:before="120" w:after="120" w:line="240" w:lineRule="auto"/>
              <w:jc w:val="center"/>
              <w:rPr>
                <w:rFonts w:ascii="Times New Roman" w:hAnsi="Times New Roman"/>
                <w:b/>
                <w:bCs/>
                <w:sz w:val="20"/>
                <w:szCs w:val="20"/>
              </w:rPr>
            </w:pPr>
            <w:r w:rsidRPr="00715A84">
              <w:rPr>
                <w:rFonts w:ascii="Times New Roman" w:hAnsi="Times New Roman"/>
                <w:b/>
                <w:bCs/>
                <w:sz w:val="20"/>
                <w:szCs w:val="20"/>
              </w:rPr>
              <w:t xml:space="preserve">Целева стойност </w:t>
            </w:r>
          </w:p>
        </w:tc>
        <w:tc>
          <w:tcPr>
            <w:tcW w:w="122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715A84" w:rsidRDefault="00184B62" w:rsidP="00184B62">
            <w:pPr>
              <w:widowControl w:val="0"/>
              <w:spacing w:before="120" w:after="120" w:line="240" w:lineRule="auto"/>
              <w:jc w:val="center"/>
              <w:rPr>
                <w:rFonts w:ascii="Times New Roman" w:hAnsi="Times New Roman"/>
                <w:b/>
                <w:bCs/>
                <w:sz w:val="20"/>
                <w:szCs w:val="20"/>
              </w:rPr>
            </w:pPr>
            <w:r w:rsidRPr="00715A84">
              <w:rPr>
                <w:rFonts w:ascii="Times New Roman" w:hAnsi="Times New Roman"/>
                <w:b/>
                <w:bCs/>
                <w:sz w:val="20"/>
                <w:szCs w:val="20"/>
              </w:rPr>
              <w:t xml:space="preserve">Допълнителна информация </w:t>
            </w: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715A84" w:rsidRDefault="00184B62" w:rsidP="00184B62">
            <w:pPr>
              <w:widowControl w:val="0"/>
              <w:spacing w:before="120" w:after="120" w:line="240" w:lineRule="auto"/>
              <w:jc w:val="center"/>
              <w:rPr>
                <w:rFonts w:ascii="Times New Roman" w:hAnsi="Times New Roman"/>
                <w:b/>
                <w:bCs/>
                <w:sz w:val="20"/>
                <w:szCs w:val="20"/>
              </w:rPr>
            </w:pPr>
            <w:r w:rsidRPr="00715A84">
              <w:rPr>
                <w:rFonts w:ascii="Times New Roman" w:hAnsi="Times New Roman"/>
                <w:b/>
                <w:bCs/>
                <w:sz w:val="20"/>
                <w:szCs w:val="20"/>
              </w:rPr>
              <w:t xml:space="preserve">Специфични за зоната цели за опазване </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lang w:eastAsia="en-GB"/>
              </w:rPr>
            </w:pPr>
            <w:r w:rsidRPr="003A4F26">
              <w:rPr>
                <w:rFonts w:ascii="Times New Roman" w:eastAsia="Calibri" w:hAnsi="Times New Roman"/>
                <w:b/>
                <w:sz w:val="20"/>
                <w:szCs w:val="20"/>
                <w:lang w:eastAsia="en-GB"/>
              </w:rPr>
              <w:t>Популация: Пространствен обхват на популацията на вида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lang w:val="en-GB" w:eastAsia="en-GB"/>
              </w:rPr>
            </w:pPr>
            <w:r w:rsidRPr="00184B62">
              <w:rPr>
                <w:rFonts w:ascii="Times New Roman" w:eastAsia="Calibri" w:hAnsi="Times New Roman"/>
                <w:sz w:val="20"/>
                <w:szCs w:val="20"/>
                <w:lang w:eastAsia="en-GB"/>
              </w:rPr>
              <w:t>Брой квадрати с размер 1х1 km, с доказано присъствие на вида -  живи индивиди или останки от възрастни индивиди, доказано обитавани дървета в подходящите местообитания за вида</w:t>
            </w:r>
          </w:p>
        </w:tc>
        <w:tc>
          <w:tcPr>
            <w:tcW w:w="801"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Неизвестна</w:t>
            </w:r>
          </w:p>
        </w:tc>
        <w:tc>
          <w:tcPr>
            <w:tcW w:w="1227"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rPr>
                <w:rFonts w:ascii="Times New Roman" w:eastAsia="Calibri" w:hAnsi="Times New Roman"/>
                <w:sz w:val="20"/>
                <w:szCs w:val="20"/>
                <w:lang w:eastAsia="en-GB"/>
              </w:rPr>
            </w:pPr>
            <w:r w:rsidRPr="00184B62">
              <w:rPr>
                <w:rFonts w:ascii="Times New Roman" w:eastAsia="Calibri" w:hAnsi="Times New Roman"/>
                <w:sz w:val="20"/>
                <w:szCs w:val="20"/>
                <w:lang w:eastAsia="en-GB"/>
              </w:rPr>
              <w:t>Видът не е установен в зоната.</w:t>
            </w:r>
          </w:p>
        </w:tc>
        <w:tc>
          <w:tcPr>
            <w:tcW w:w="1152"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lang w:val="en-GB" w:eastAsia="en-GB"/>
              </w:rPr>
            </w:pPr>
            <w:r w:rsidRPr="00184B62">
              <w:rPr>
                <w:rFonts w:ascii="Times New Roman" w:hAnsi="Times New Roman"/>
                <w:bCs/>
                <w:sz w:val="20"/>
                <w:szCs w:val="20"/>
              </w:rPr>
              <w:t>Междинна цел: Да се установи пространствения обхват на популацията, чрез провеждане на теренни проучвания, до 2025 г.</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t xml:space="preserve">Местообитание на вида: </w:t>
            </w:r>
            <w:r w:rsidRPr="003A4F26">
              <w:rPr>
                <w:rFonts w:ascii="Times New Roman" w:eastAsia="Calibri" w:hAnsi="Times New Roman"/>
                <w:b/>
                <w:bCs/>
                <w:sz w:val="20"/>
                <w:szCs w:val="20"/>
              </w:rPr>
              <w:t>Площ на подходящите местообитания на вида в зоната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ha</w:t>
            </w:r>
          </w:p>
        </w:tc>
        <w:tc>
          <w:tcPr>
            <w:tcW w:w="801"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 xml:space="preserve">Най-малко   258.44 ha </w:t>
            </w:r>
          </w:p>
        </w:tc>
        <w:tc>
          <w:tcPr>
            <w:tcW w:w="1227"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p>
        </w:tc>
        <w:tc>
          <w:tcPr>
            <w:tcW w:w="1152"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Поддържане на площта на подходящите местообитания на вида в зоната в размер от най-малко 258.44 ha  </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t xml:space="preserve">Местообитание на вида: </w:t>
            </w:r>
            <w:r w:rsidRPr="003A4F26">
              <w:rPr>
                <w:rFonts w:ascii="Times New Roman" w:eastAsia="Calibri" w:hAnsi="Times New Roman"/>
                <w:b/>
                <w:bCs/>
                <w:sz w:val="20"/>
                <w:szCs w:val="20"/>
              </w:rPr>
              <w:t>Наличие на биотопни дървета в подходящите местообитания на вида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Брой / ha</w:t>
            </w:r>
          </w:p>
        </w:tc>
        <w:tc>
          <w:tcPr>
            <w:tcW w:w="801"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Най-малко 5 биотопни дървета на хектар</w:t>
            </w:r>
            <w:r w:rsidRPr="00184B62">
              <w:rPr>
                <w:sz w:val="20"/>
                <w:szCs w:val="20"/>
              </w:rPr>
              <w:t xml:space="preserve"> </w:t>
            </w:r>
            <w:r w:rsidRPr="00184B62">
              <w:rPr>
                <w:rFonts w:ascii="Times New Roman" w:eastAsia="Calibri" w:hAnsi="Times New Roman"/>
                <w:sz w:val="20"/>
                <w:szCs w:val="20"/>
              </w:rPr>
              <w:t>в подходящите местообитания на вида,</w:t>
            </w:r>
            <w:r w:rsidRPr="00184B62">
              <w:rPr>
                <w:rFonts w:ascii="Times New Roman" w:eastAsia="Calibri" w:hAnsi="Times New Roman"/>
                <w:sz w:val="20"/>
                <w:szCs w:val="20"/>
                <w:lang w:val="en-US"/>
              </w:rPr>
              <w:t xml:space="preserve"> </w:t>
            </w:r>
            <w:r w:rsidRPr="00184B62">
              <w:rPr>
                <w:rFonts w:ascii="Times New Roman" w:eastAsia="Calibri" w:hAnsi="Times New Roman"/>
                <w:sz w:val="20"/>
                <w:szCs w:val="20"/>
              </w:rPr>
              <w:t>с дебелина над 13 cm</w:t>
            </w:r>
          </w:p>
        </w:tc>
        <w:tc>
          <w:tcPr>
            <w:tcW w:w="1227"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Възрастните индивиди са сравнително слабо подвижни, като се придвижват под 200 m за времето на техния живот. На тази база е изчислена и стойността по този показател. </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Липсват данни за броя на биотопните дървета на хектар в подходящите местообитания на вида в защитената зона. В тази връзка е определена междинна цел.</w:t>
            </w:r>
          </w:p>
        </w:tc>
        <w:tc>
          <w:tcPr>
            <w:tcW w:w="1152"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Междинна цел: Да се определи броя на биотопните дървета на хектар в подходящите местообитания на вида в защитената зона чрез теренни проучвания, до 2025 г.</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lastRenderedPageBreak/>
              <w:t xml:space="preserve">Местообитание на вида: </w:t>
            </w:r>
            <w:r w:rsidRPr="003A4F26">
              <w:rPr>
                <w:rFonts w:ascii="Times New Roman" w:eastAsia="Calibri" w:hAnsi="Times New Roman"/>
                <w:b/>
                <w:bCs/>
                <w:sz w:val="20"/>
                <w:szCs w:val="20"/>
              </w:rPr>
              <w:t>Количество мъртва дървесина в подходящите местообитания на вида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 xml:space="preserve">Брой мъртви дървета на хектар, с дебелина над 13 </w:t>
            </w:r>
            <w:r w:rsidRPr="00184B62">
              <w:rPr>
                <w:rFonts w:ascii="Times New Roman" w:eastAsia="Calibri" w:hAnsi="Times New Roman"/>
                <w:sz w:val="20"/>
                <w:szCs w:val="20"/>
                <w:lang w:val="en-US"/>
              </w:rPr>
              <w:t>cm</w:t>
            </w:r>
            <w:r w:rsidRPr="00184B62">
              <w:rPr>
                <w:rFonts w:ascii="Times New Roman" w:eastAsia="Calibri" w:hAnsi="Times New Roman"/>
                <w:sz w:val="20"/>
                <w:szCs w:val="20"/>
              </w:rPr>
              <w:t xml:space="preserve"> в подходящите местообитания на вида</w:t>
            </w:r>
          </w:p>
        </w:tc>
        <w:tc>
          <w:tcPr>
            <w:tcW w:w="801"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Най-малко 2 броя мъртви дървета на хектар, с дебелина над 13 cm в подходящите местообитания на вида</w:t>
            </w:r>
          </w:p>
        </w:tc>
        <w:tc>
          <w:tcPr>
            <w:tcW w:w="1227"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Ларвата обитава мъртви дънери и пънове. Женските снасят в такава дървесина, като предпочитат диаметър на стъблото над 13 cm. Възрастните индивиди са сравнително слабо подвижни, като се придвижват под 200 m за времето на техния живот. На тази база е изчислена и стойността по този показател.</w:t>
            </w:r>
          </w:p>
          <w:p w:rsidR="00184B62" w:rsidRPr="00184B62" w:rsidRDefault="00184B62" w:rsidP="00184B62">
            <w:pPr>
              <w:spacing w:before="120" w:after="120" w:line="240" w:lineRule="auto"/>
              <w:jc w:val="both"/>
              <w:rPr>
                <w:rFonts w:ascii="Times New Roman" w:eastAsia="Calibri" w:hAnsi="Times New Roman"/>
                <w:color w:val="000000"/>
                <w:sz w:val="20"/>
                <w:szCs w:val="20"/>
              </w:rPr>
            </w:pPr>
            <w:r w:rsidRPr="00184B62">
              <w:rPr>
                <w:rFonts w:ascii="Times New Roman" w:eastAsia="Calibri" w:hAnsi="Times New Roman"/>
                <w:sz w:val="20"/>
                <w:szCs w:val="20"/>
              </w:rPr>
              <w:t xml:space="preserve">Липсват данни за броя на мъртвите дървета на хектар с дебелина над </w:t>
            </w:r>
            <w:r w:rsidRPr="00184B62">
              <w:rPr>
                <w:rFonts w:ascii="Times New Roman" w:eastAsia="Calibri" w:hAnsi="Times New Roman"/>
                <w:sz w:val="20"/>
                <w:szCs w:val="20"/>
                <w:lang w:val="en-US"/>
              </w:rPr>
              <w:t>13</w:t>
            </w:r>
            <w:r w:rsidRPr="00184B62">
              <w:rPr>
                <w:rFonts w:ascii="Times New Roman" w:eastAsia="Calibri" w:hAnsi="Times New Roman"/>
                <w:sz w:val="20"/>
                <w:szCs w:val="20"/>
              </w:rPr>
              <w:t xml:space="preserve"> </w:t>
            </w:r>
            <w:r w:rsidRPr="00184B62">
              <w:rPr>
                <w:rFonts w:ascii="Times New Roman" w:eastAsia="Calibri" w:hAnsi="Times New Roman"/>
                <w:sz w:val="20"/>
                <w:szCs w:val="20"/>
                <w:lang w:val="en-US"/>
              </w:rPr>
              <w:t>cm</w:t>
            </w:r>
            <w:r w:rsidRPr="00184B62">
              <w:rPr>
                <w:rFonts w:ascii="Times New Roman" w:eastAsia="Calibri" w:hAnsi="Times New Roman"/>
                <w:sz w:val="20"/>
                <w:szCs w:val="20"/>
              </w:rPr>
              <w:t xml:space="preserve"> в подходящите местообитания на вида в защитената зона. По данни за горските местообитания на бука и габъра, количеството на мъртвата дървесина е много ниско. Това предопределя необходимостта от подобряване на състоянието на вида по този параметър.</w:t>
            </w:r>
          </w:p>
        </w:tc>
        <w:tc>
          <w:tcPr>
            <w:tcW w:w="1152"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Подобряване на количеството на мъртва дървесина в подходящите местообитания на вида до достигане на целева стойност от най-малко 5 броя мъртви дървета на хектар, с дебелина над 13 cm </w:t>
            </w:r>
          </w:p>
        </w:tc>
      </w:tr>
    </w:tbl>
    <w:p w:rsidR="00184B62" w:rsidRPr="00184B62" w:rsidRDefault="00184B62" w:rsidP="00184B62">
      <w:pPr>
        <w:spacing w:before="120" w:after="120" w:line="240" w:lineRule="auto"/>
        <w:jc w:val="both"/>
        <w:rPr>
          <w:rFonts w:ascii="Times New Roman" w:eastAsia="Calibri" w:hAnsi="Times New Roman"/>
          <w:b/>
          <w:sz w:val="24"/>
          <w:szCs w:val="24"/>
        </w:rPr>
      </w:pPr>
    </w:p>
    <w:p w:rsidR="00184B62" w:rsidRPr="00184B62" w:rsidRDefault="00184B62" w:rsidP="00184B62">
      <w:pPr>
        <w:spacing w:before="120" w:after="120" w:line="240" w:lineRule="auto"/>
        <w:jc w:val="both"/>
        <w:rPr>
          <w:rFonts w:ascii="Times New Roman" w:eastAsia="Calibri" w:hAnsi="Times New Roman"/>
          <w:b/>
          <w:sz w:val="24"/>
          <w:szCs w:val="24"/>
        </w:rPr>
      </w:pPr>
      <w:bookmarkStart w:id="21" w:name="_Hlk76742112"/>
      <w:bookmarkStart w:id="22" w:name="_Toc54601904"/>
      <w:bookmarkStart w:id="23" w:name="_Toc70775172"/>
      <w:r w:rsidRPr="00184B62">
        <w:rPr>
          <w:rFonts w:ascii="Times New Roman" w:eastAsia="Calibri" w:hAnsi="Times New Roman"/>
          <w:b/>
          <w:sz w:val="24"/>
          <w:szCs w:val="24"/>
        </w:rPr>
        <w:t>7. Необходимост от актуализация на СФ на защитената зона</w:t>
      </w:r>
    </w:p>
    <w:p w:rsidR="00184B62" w:rsidRPr="00184B62" w:rsidRDefault="00184B62" w:rsidP="00184B62">
      <w:pPr>
        <w:spacing w:before="120" w:after="12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 xml:space="preserve">Необходима е промяна в </w:t>
      </w:r>
      <w:r w:rsidR="005A0A3C">
        <w:rPr>
          <w:rFonts w:ascii="Times New Roman" w:eastAsia="Calibri" w:hAnsi="Times New Roman"/>
          <w:sz w:val="24"/>
          <w:szCs w:val="24"/>
        </w:rPr>
        <w:t>СФ</w:t>
      </w:r>
      <w:r w:rsidRPr="00184B62">
        <w:rPr>
          <w:rFonts w:ascii="Times New Roman" w:eastAsia="Calibri" w:hAnsi="Times New Roman"/>
          <w:sz w:val="24"/>
          <w:szCs w:val="24"/>
        </w:rPr>
        <w:t>. Промяната се налага поради необходимостта да се промени единицата за популация.</w:t>
      </w:r>
    </w:p>
    <w:p w:rsidR="00184B62" w:rsidRPr="00184B62" w:rsidRDefault="00184B62" w:rsidP="00184B62">
      <w:pPr>
        <w:spacing w:before="120" w:after="120" w:line="240" w:lineRule="auto"/>
        <w:ind w:firstLine="720"/>
        <w:jc w:val="both"/>
        <w:rPr>
          <w:rFonts w:ascii="Times New Roman" w:eastAsia="Calibri" w:hAnsi="Times New Roman"/>
          <w:sz w:val="24"/>
          <w:szCs w:val="24"/>
          <w:lang w:eastAsia="en-GB"/>
        </w:rPr>
      </w:pPr>
      <w:r w:rsidRPr="00184B62">
        <w:rPr>
          <w:rFonts w:ascii="Times New Roman" w:eastAsia="Calibri" w:hAnsi="Times New Roman"/>
          <w:sz w:val="24"/>
          <w:lang w:eastAsia="en-GB"/>
        </w:rPr>
        <w:t>Предложените промени са маркирани в червено.</w:t>
      </w:r>
      <w:bookmarkEnd w:id="21"/>
    </w:p>
    <w:tbl>
      <w:tblPr>
        <w:tblW w:w="10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723"/>
        <w:gridCol w:w="1664"/>
        <w:gridCol w:w="344"/>
        <w:gridCol w:w="521"/>
        <w:gridCol w:w="369"/>
        <w:gridCol w:w="623"/>
        <w:gridCol w:w="661"/>
        <w:gridCol w:w="943"/>
        <w:gridCol w:w="630"/>
        <w:gridCol w:w="928"/>
        <w:gridCol w:w="1007"/>
        <w:gridCol w:w="680"/>
        <w:gridCol w:w="566"/>
        <w:gridCol w:w="578"/>
      </w:tblGrid>
      <w:tr w:rsidR="00184B62" w:rsidRPr="00184B62" w:rsidTr="005A0A3C">
        <w:trPr>
          <w:jc w:val="center"/>
        </w:trPr>
        <w:tc>
          <w:tcPr>
            <w:tcW w:w="3791"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4286" w:type="dxa"/>
            <w:gridSpan w:val="6"/>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2532" w:type="dxa"/>
            <w:gridSpan w:val="4"/>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rPr>
          <w:jc w:val="center"/>
        </w:trPr>
        <w:tc>
          <w:tcPr>
            <w:tcW w:w="372"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37"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806"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347"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529"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373"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307" w:type="dxa"/>
            <w:gridSpan w:val="2"/>
            <w:shd w:val="clear" w:color="auto" w:fill="D0CECE"/>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1018"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641"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947"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1019"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509" w:type="dxa"/>
            <w:gridSpan w:val="3"/>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rPr>
          <w:jc w:val="center"/>
        </w:trPr>
        <w:tc>
          <w:tcPr>
            <w:tcW w:w="372"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37"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806"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47"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29"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373"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34"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673"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1018"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41"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947"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1019"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69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75"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24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37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I</w:t>
            </w:r>
          </w:p>
        </w:tc>
        <w:tc>
          <w:tcPr>
            <w:tcW w:w="737"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1089</w:t>
            </w:r>
          </w:p>
        </w:tc>
        <w:tc>
          <w:tcPr>
            <w:tcW w:w="1806"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i/>
                <w:sz w:val="20"/>
                <w:szCs w:val="20"/>
                <w:lang w:eastAsia="en-GB"/>
              </w:rPr>
            </w:pPr>
            <w:r w:rsidRPr="00184B62">
              <w:rPr>
                <w:rFonts w:ascii="Times New Roman" w:eastAsia="Calibri" w:hAnsi="Times New Roman"/>
                <w:i/>
                <w:sz w:val="20"/>
                <w:szCs w:val="20"/>
                <w:lang w:eastAsia="en-GB"/>
              </w:rPr>
              <w:t>Morimus asper funereus</w:t>
            </w:r>
          </w:p>
        </w:tc>
        <w:tc>
          <w:tcPr>
            <w:tcW w:w="347"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29"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7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р</w:t>
            </w:r>
          </w:p>
        </w:tc>
        <w:tc>
          <w:tcPr>
            <w:tcW w:w="634"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color w:val="FF0000"/>
                <w:sz w:val="20"/>
                <w:szCs w:val="20"/>
                <w:lang w:val="en-US" w:eastAsia="en-GB"/>
              </w:rPr>
            </w:pPr>
          </w:p>
        </w:tc>
        <w:tc>
          <w:tcPr>
            <w:tcW w:w="673"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color w:val="FF0000"/>
                <w:sz w:val="20"/>
                <w:szCs w:val="20"/>
                <w:lang w:val="en-US" w:eastAsia="en-GB"/>
              </w:rPr>
            </w:pPr>
          </w:p>
        </w:tc>
        <w:tc>
          <w:tcPr>
            <w:tcW w:w="1018"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color w:val="FF0000"/>
                <w:sz w:val="20"/>
                <w:szCs w:val="20"/>
                <w:lang w:val="en-US" w:eastAsia="en-GB"/>
              </w:rPr>
            </w:pPr>
            <w:r w:rsidRPr="00184B62">
              <w:rPr>
                <w:rFonts w:ascii="Times New Roman" w:eastAsia="Calibri" w:hAnsi="Times New Roman"/>
                <w:color w:val="FF0000"/>
                <w:sz w:val="20"/>
                <w:szCs w:val="20"/>
                <w:lang w:val="en-US" w:eastAsia="en-GB"/>
              </w:rPr>
              <w:t>grid 1x1 km</w:t>
            </w:r>
          </w:p>
        </w:tc>
        <w:tc>
          <w:tcPr>
            <w:tcW w:w="641"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R</w:t>
            </w:r>
          </w:p>
        </w:tc>
        <w:tc>
          <w:tcPr>
            <w:tcW w:w="947"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DD</w:t>
            </w:r>
          </w:p>
        </w:tc>
        <w:tc>
          <w:tcPr>
            <w:tcW w:w="1019"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692"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lang w:val="en-US"/>
              </w:rPr>
              <w:t>B</w:t>
            </w:r>
          </w:p>
        </w:tc>
        <w:tc>
          <w:tcPr>
            <w:tcW w:w="575"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С</w:t>
            </w:r>
          </w:p>
        </w:tc>
        <w:tc>
          <w:tcPr>
            <w:tcW w:w="242"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r>
    </w:tbl>
    <w:p w:rsidR="00184B62" w:rsidRPr="00184B62" w:rsidRDefault="00184B62" w:rsidP="00184B62">
      <w:pPr>
        <w:spacing w:before="120" w:after="120" w:line="240" w:lineRule="auto"/>
        <w:jc w:val="both"/>
        <w:rPr>
          <w:rFonts w:ascii="Times New Roman" w:eastAsia="Calibri" w:hAnsi="Times New Roman"/>
          <w:sz w:val="24"/>
          <w:szCs w:val="24"/>
        </w:rPr>
      </w:pPr>
    </w:p>
    <w:p w:rsidR="00184B62" w:rsidRPr="00184B62" w:rsidRDefault="00184B62" w:rsidP="00184B62">
      <w:pPr>
        <w:spacing w:before="120" w:after="120" w:line="240" w:lineRule="auto"/>
        <w:jc w:val="both"/>
        <w:rPr>
          <w:rFonts w:ascii="Times New Roman" w:eastAsia="Calibri" w:hAnsi="Times New Roman"/>
          <w:b/>
          <w:sz w:val="24"/>
          <w:szCs w:val="24"/>
        </w:rPr>
      </w:pPr>
      <w:r w:rsidRPr="00184B62">
        <w:rPr>
          <w:rFonts w:ascii="Times New Roman" w:eastAsia="Calibri" w:hAnsi="Times New Roman"/>
          <w:b/>
          <w:sz w:val="24"/>
          <w:szCs w:val="24"/>
          <w:lang w:val="en-US"/>
        </w:rPr>
        <w:t xml:space="preserve">8. </w:t>
      </w:r>
      <w:r w:rsidRPr="00184B62">
        <w:rPr>
          <w:rFonts w:ascii="Times New Roman" w:eastAsia="Calibri" w:hAnsi="Times New Roman"/>
          <w:b/>
          <w:sz w:val="24"/>
          <w:szCs w:val="24"/>
        </w:rPr>
        <w:t>Цитирана литература</w:t>
      </w:r>
    </w:p>
    <w:p w:rsidR="00184B62" w:rsidRPr="00184B62" w:rsidRDefault="00184B62" w:rsidP="00715A84">
      <w:pPr>
        <w:spacing w:after="0" w:line="240" w:lineRule="auto"/>
        <w:ind w:left="720" w:hanging="720"/>
        <w:jc w:val="both"/>
        <w:rPr>
          <w:rFonts w:ascii="Times New Roman" w:eastAsia="Calibri" w:hAnsi="Times New Roman"/>
          <w:sz w:val="24"/>
          <w:szCs w:val="24"/>
        </w:rPr>
      </w:pPr>
      <w:r w:rsidRPr="00184B62">
        <w:rPr>
          <w:rFonts w:ascii="Times New Roman" w:eastAsia="Calibri" w:hAnsi="Times New Roman"/>
          <w:sz w:val="24"/>
          <w:szCs w:val="24"/>
        </w:rPr>
        <w:lastRenderedPageBreak/>
        <w:t xml:space="preserve">Hardersen, S., Bardiani, M., Chiari, S., Maura, M., Maurizi, E., Roversi, P.F., Mason, F., Bologna, M.A. </w:t>
      </w:r>
      <w:r w:rsidRPr="00184B62">
        <w:rPr>
          <w:rFonts w:ascii="Times New Roman" w:eastAsia="Calibri" w:hAnsi="Times New Roman"/>
          <w:sz w:val="24"/>
          <w:szCs w:val="24"/>
          <w:lang w:val="en-US"/>
        </w:rPr>
        <w:t>(</w:t>
      </w:r>
      <w:r w:rsidRPr="00184B62">
        <w:rPr>
          <w:rFonts w:ascii="Times New Roman" w:eastAsia="Calibri" w:hAnsi="Times New Roman"/>
          <w:sz w:val="24"/>
          <w:szCs w:val="24"/>
        </w:rPr>
        <w:t>2017</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Guidelines for the monitoring of </w:t>
      </w:r>
      <w:r w:rsidRPr="00184B62">
        <w:rPr>
          <w:rFonts w:ascii="Times New Roman" w:eastAsia="Calibri" w:hAnsi="Times New Roman"/>
          <w:i/>
          <w:sz w:val="24"/>
          <w:szCs w:val="24"/>
        </w:rPr>
        <w:t>Morimus asper funereus</w:t>
      </w:r>
      <w:r w:rsidRPr="00184B62">
        <w:rPr>
          <w:rFonts w:ascii="Times New Roman" w:eastAsia="Calibri" w:hAnsi="Times New Roman"/>
          <w:sz w:val="24"/>
          <w:szCs w:val="24"/>
        </w:rPr>
        <w:t xml:space="preserve"> and </w:t>
      </w:r>
      <w:r w:rsidRPr="00184B62">
        <w:rPr>
          <w:rFonts w:ascii="Times New Roman" w:eastAsia="Calibri" w:hAnsi="Times New Roman"/>
          <w:i/>
          <w:sz w:val="24"/>
          <w:szCs w:val="24"/>
        </w:rPr>
        <w:t>Morimus asper asper</w:t>
      </w:r>
      <w:r w:rsidRPr="00184B62">
        <w:rPr>
          <w:rFonts w:ascii="Times New Roman" w:eastAsia="Calibri" w:hAnsi="Times New Roman"/>
          <w:sz w:val="24"/>
          <w:szCs w:val="24"/>
        </w:rPr>
        <w:t>. Nature Conservation, 20:</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205</w:t>
      </w:r>
      <w:r w:rsidRPr="00184B62">
        <w:rPr>
          <w:rFonts w:ascii="Times New Roman" w:eastAsia="Calibri" w:hAnsi="Times New Roman"/>
          <w:sz w:val="24"/>
          <w:szCs w:val="24"/>
          <w:lang w:val="en-US"/>
        </w:rPr>
        <w:t>-236</w:t>
      </w:r>
      <w:r w:rsidRPr="00184B62">
        <w:rPr>
          <w:rFonts w:ascii="Times New Roman" w:eastAsia="Calibri" w:hAnsi="Times New Roman"/>
          <w:sz w:val="24"/>
          <w:szCs w:val="24"/>
        </w:rPr>
        <w:t xml:space="preserve">. </w:t>
      </w:r>
    </w:p>
    <w:p w:rsidR="00184B62" w:rsidRPr="00184B62" w:rsidRDefault="00184B62" w:rsidP="00715A84">
      <w:pPr>
        <w:autoSpaceDE w:val="0"/>
        <w:autoSpaceDN w:val="0"/>
        <w:adjustRightInd w:val="0"/>
        <w:spacing w:after="0" w:line="240" w:lineRule="auto"/>
        <w:ind w:left="720" w:hanging="720"/>
        <w:jc w:val="both"/>
        <w:rPr>
          <w:rFonts w:ascii="Times New Roman" w:eastAsia="Calibri" w:hAnsi="Times New Roman"/>
          <w:sz w:val="24"/>
          <w:szCs w:val="24"/>
          <w:lang w:val="en-GB" w:eastAsia="en-GB"/>
        </w:rPr>
      </w:pPr>
      <w:r w:rsidRPr="00184B62">
        <w:rPr>
          <w:rFonts w:ascii="Times New Roman" w:eastAsia="Calibri" w:hAnsi="Times New Roman"/>
          <w:sz w:val="24"/>
          <w:szCs w:val="24"/>
          <w:lang w:val="en-GB" w:eastAsia="en-GB"/>
        </w:rPr>
        <w:t xml:space="preserve">Hardersen, S., Cuccurullo, A., Bardiani, M., Bologna, M.A., Maura, M., Maurizi, E., Roversi, P.F., Peverieri, G.S., Chiari, S. (2017). Monitoring the saproxylic longhorn beetle </w:t>
      </w:r>
      <w:r w:rsidRPr="00184B62">
        <w:rPr>
          <w:rFonts w:ascii="Times New Roman" w:eastAsia="Calibri" w:hAnsi="Times New Roman"/>
          <w:i/>
          <w:sz w:val="24"/>
          <w:szCs w:val="24"/>
          <w:lang w:val="en-GB" w:eastAsia="en-GB"/>
        </w:rPr>
        <w:t>Morimus asper</w:t>
      </w:r>
      <w:r w:rsidRPr="00184B62">
        <w:rPr>
          <w:rFonts w:ascii="Times New Roman" w:eastAsia="Calibri" w:hAnsi="Times New Roman"/>
          <w:sz w:val="24"/>
          <w:szCs w:val="24"/>
          <w:lang w:val="en-GB" w:eastAsia="en-GB"/>
        </w:rPr>
        <w:t>: investigating season, time of the day, dead wood characteristics and odour traps. Journal of Insect Conservation, 21(2): 231-242.</w:t>
      </w:r>
    </w:p>
    <w:p w:rsidR="00184B62" w:rsidRPr="00184B62" w:rsidRDefault="00184B62" w:rsidP="00715A84">
      <w:pPr>
        <w:autoSpaceDE w:val="0"/>
        <w:autoSpaceDN w:val="0"/>
        <w:adjustRightInd w:val="0"/>
        <w:spacing w:after="0" w:line="240" w:lineRule="auto"/>
        <w:ind w:left="720" w:hanging="720"/>
        <w:jc w:val="both"/>
        <w:rPr>
          <w:rFonts w:ascii="Times New Roman" w:eastAsia="Calibri" w:hAnsi="Times New Roman"/>
          <w:sz w:val="24"/>
          <w:szCs w:val="24"/>
          <w:lang w:val="en-GB" w:eastAsia="en-GB"/>
        </w:rPr>
      </w:pPr>
      <w:r w:rsidRPr="00184B62">
        <w:rPr>
          <w:rFonts w:ascii="Times New Roman" w:eastAsia="Calibri" w:hAnsi="Times New Roman"/>
          <w:sz w:val="24"/>
          <w:szCs w:val="24"/>
          <w:lang w:val="en-GB" w:eastAsia="en-GB"/>
        </w:rPr>
        <w:t xml:space="preserve">Leonarduzzi, G., Onofrio, N., Bardiani, M., Maurizi, E., Zandigiacomo, P., Bologna, M.A., Hardersen, S. (2017). Attraction of different types of wood for adults of </w:t>
      </w:r>
      <w:r w:rsidRPr="00184B62">
        <w:rPr>
          <w:rFonts w:ascii="Times New Roman" w:eastAsia="Calibri" w:hAnsi="Times New Roman"/>
          <w:i/>
          <w:sz w:val="24"/>
          <w:szCs w:val="24"/>
          <w:lang w:val="en-GB" w:eastAsia="en-GB"/>
        </w:rPr>
        <w:t>Morimus asper</w:t>
      </w:r>
      <w:r w:rsidRPr="00184B62">
        <w:rPr>
          <w:rFonts w:ascii="Times New Roman" w:eastAsia="Calibri" w:hAnsi="Times New Roman"/>
          <w:sz w:val="24"/>
          <w:szCs w:val="24"/>
          <w:lang w:val="en-GB" w:eastAsia="en-GB"/>
        </w:rPr>
        <w:t xml:space="preserve"> (Coleoptera, Cerambycidae). Nature Conservation, 19: 135-148.</w:t>
      </w:r>
    </w:p>
    <w:p w:rsidR="00184B62" w:rsidRPr="00184B62" w:rsidRDefault="00184B62" w:rsidP="00184B62">
      <w:pPr>
        <w:autoSpaceDE w:val="0"/>
        <w:autoSpaceDN w:val="0"/>
        <w:adjustRightInd w:val="0"/>
        <w:spacing w:after="0" w:line="240" w:lineRule="auto"/>
        <w:rPr>
          <w:rFonts w:ascii="Times New Roman" w:eastAsia="Calibri" w:hAnsi="Times New Roman"/>
          <w:i/>
          <w:sz w:val="24"/>
          <w:szCs w:val="24"/>
          <w:lang w:val="en-GB" w:eastAsia="en-GB"/>
        </w:rPr>
      </w:pPr>
    </w:p>
    <w:p w:rsidR="00184B62" w:rsidRPr="00184B62" w:rsidRDefault="00184B62" w:rsidP="00184B62">
      <w:pPr>
        <w:autoSpaceDE w:val="0"/>
        <w:autoSpaceDN w:val="0"/>
        <w:adjustRightInd w:val="0"/>
        <w:spacing w:after="0" w:line="240" w:lineRule="auto"/>
        <w:rPr>
          <w:rFonts w:eastAsia="Calibri"/>
        </w:rPr>
      </w:pPr>
      <w:r w:rsidRPr="00184B62">
        <w:rPr>
          <w:rFonts w:ascii="Times New Roman" w:eastAsia="Calibri" w:hAnsi="Times New Roman"/>
          <w:i/>
          <w:sz w:val="24"/>
          <w:szCs w:val="24"/>
          <w:lang w:val="en-GB" w:eastAsia="en-GB"/>
        </w:rPr>
        <w:t xml:space="preserve">Автор: </w:t>
      </w:r>
      <w:r w:rsidRPr="00184B62">
        <w:rPr>
          <w:rFonts w:ascii="Times New Roman" w:eastAsia="Calibri" w:hAnsi="Times New Roman"/>
          <w:sz w:val="24"/>
          <w:szCs w:val="24"/>
          <w:lang w:eastAsia="en-GB"/>
        </w:rPr>
        <w:t>Ростислав Бекчиев</w:t>
      </w:r>
      <w:bookmarkStart w:id="24" w:name="_Toc54601905"/>
      <w:bookmarkStart w:id="25" w:name="_Toc70775173"/>
      <w:bookmarkStart w:id="26" w:name="_Toc76507806"/>
      <w:bookmarkEnd w:id="22"/>
      <w:bookmarkEnd w:id="23"/>
      <w:bookmarkEnd w:id="24"/>
      <w:bookmarkEnd w:id="25"/>
      <w:bookmarkEnd w:id="26"/>
    </w:p>
    <w:p w:rsidR="00184B62" w:rsidRPr="0070678B" w:rsidRDefault="00184B62" w:rsidP="0070678B">
      <w:pPr>
        <w:rPr>
          <w:rFonts w:ascii="Times New Roman" w:hAnsi="Times New Roman"/>
          <w:color w:val="1F497D" w:themeColor="text2"/>
          <w:sz w:val="28"/>
          <w:szCs w:val="28"/>
        </w:rPr>
      </w:pPr>
    </w:p>
    <w:p w:rsidR="00184B62" w:rsidRPr="00715A84" w:rsidRDefault="00184B62" w:rsidP="003A4F26">
      <w:pPr>
        <w:outlineLvl w:val="1"/>
        <w:rPr>
          <w:rFonts w:ascii="Times New Roman" w:hAnsi="Times New Roman"/>
          <w:color w:val="1F497D"/>
          <w:sz w:val="28"/>
          <w:szCs w:val="28"/>
          <w:lang w:eastAsia="bg-BG"/>
        </w:rPr>
      </w:pPr>
      <w:bookmarkStart w:id="27" w:name="_Toc86569914"/>
      <w:bookmarkStart w:id="28" w:name="_Toc86574714"/>
      <w:bookmarkStart w:id="29" w:name="_Toc98838540"/>
      <w:r w:rsidRPr="00715A84">
        <w:rPr>
          <w:rFonts w:ascii="Times New Roman" w:hAnsi="Times New Roman"/>
          <w:color w:val="1F497D"/>
          <w:sz w:val="28"/>
          <w:szCs w:val="28"/>
          <w:lang w:eastAsia="bg-BG"/>
        </w:rPr>
        <w:t xml:space="preserve">Природозащитни цели за 4064 </w:t>
      </w:r>
      <w:r w:rsidRPr="00715A84">
        <w:rPr>
          <w:rFonts w:ascii="Times New Roman" w:hAnsi="Times New Roman"/>
          <w:i/>
          <w:color w:val="1F497D"/>
          <w:sz w:val="28"/>
          <w:szCs w:val="28"/>
          <w:lang w:eastAsia="bg-BG"/>
        </w:rPr>
        <w:t>Theodoxus transversalis</w:t>
      </w:r>
      <w:bookmarkEnd w:id="27"/>
      <w:bookmarkEnd w:id="28"/>
      <w:bookmarkEnd w:id="29"/>
    </w:p>
    <w:p w:rsidR="00184B62" w:rsidRPr="00184B62" w:rsidRDefault="00184B62" w:rsidP="00184B62">
      <w:pPr>
        <w:spacing w:before="120" w:after="120" w:line="240" w:lineRule="auto"/>
        <w:rPr>
          <w:rFonts w:ascii="Times New Roman" w:eastAsia="Calibri" w:hAnsi="Times New Roman"/>
          <w:b/>
          <w:bCs/>
          <w:sz w:val="24"/>
          <w:szCs w:val="24"/>
        </w:rPr>
      </w:pPr>
      <w:r w:rsidRPr="00184B62">
        <w:rPr>
          <w:rFonts w:ascii="Times New Roman" w:eastAsia="Calibri" w:hAnsi="Times New Roman"/>
          <w:b/>
          <w:bCs/>
          <w:sz w:val="24"/>
          <w:szCs w:val="24"/>
        </w:rPr>
        <w:t xml:space="preserve">1.Код и наименование на вида: </w:t>
      </w:r>
      <w:r w:rsidRPr="00184B62">
        <w:rPr>
          <w:rFonts w:ascii="Times New Roman" w:eastAsia="Calibri" w:hAnsi="Times New Roman"/>
          <w:bCs/>
          <w:sz w:val="24"/>
          <w:szCs w:val="24"/>
          <w:lang w:val="en-US"/>
        </w:rPr>
        <w:t>40</w:t>
      </w:r>
      <w:r w:rsidRPr="00184B62">
        <w:rPr>
          <w:rFonts w:ascii="Times New Roman" w:eastAsia="Calibri" w:hAnsi="Times New Roman"/>
          <w:bCs/>
          <w:sz w:val="24"/>
          <w:szCs w:val="24"/>
        </w:rPr>
        <w:t xml:space="preserve">64 </w:t>
      </w:r>
      <w:r w:rsidRPr="00184B62">
        <w:rPr>
          <w:rFonts w:ascii="Times New Roman" w:eastAsia="Calibri" w:hAnsi="Times New Roman"/>
          <w:i/>
          <w:iCs/>
          <w:sz w:val="24"/>
          <w:szCs w:val="24"/>
          <w:lang w:val="en-US"/>
        </w:rPr>
        <w:t>Theodoxus transversalis</w:t>
      </w:r>
      <w:r w:rsidRPr="00184B62">
        <w:rPr>
          <w:rFonts w:ascii="Times New Roman" w:eastAsia="Calibri" w:hAnsi="Times New Roman"/>
          <w:bCs/>
          <w:sz w:val="24"/>
          <w:szCs w:val="24"/>
        </w:rPr>
        <w:t xml:space="preserve"> – Ивичест теодоксус</w:t>
      </w:r>
    </w:p>
    <w:p w:rsidR="00184B62" w:rsidRPr="00184B62" w:rsidRDefault="00184B62" w:rsidP="00184B62">
      <w:pPr>
        <w:spacing w:before="120" w:after="120" w:line="240" w:lineRule="auto"/>
        <w:jc w:val="both"/>
        <w:rPr>
          <w:rFonts w:ascii="Times New Roman" w:hAnsi="Times New Roman"/>
          <w:b/>
          <w:iCs/>
          <w:sz w:val="24"/>
          <w:szCs w:val="24"/>
          <w:lang w:val="ru-RU"/>
        </w:rPr>
      </w:pPr>
      <w:r w:rsidRPr="00184B62">
        <w:rPr>
          <w:rFonts w:ascii="Times New Roman" w:hAnsi="Times New Roman"/>
          <w:b/>
          <w:iCs/>
          <w:sz w:val="24"/>
          <w:szCs w:val="24"/>
          <w:lang w:val="ru-RU"/>
        </w:rPr>
        <w:t>2. Кратка характеристика на целевия обект</w:t>
      </w:r>
    </w:p>
    <w:p w:rsidR="00184B62" w:rsidRPr="00184B62" w:rsidRDefault="00184B62" w:rsidP="00715A84">
      <w:pPr>
        <w:spacing w:after="0" w:line="240" w:lineRule="auto"/>
        <w:ind w:firstLine="709"/>
        <w:jc w:val="both"/>
        <w:rPr>
          <w:rFonts w:ascii="Times New Roman" w:hAnsi="Times New Roman"/>
          <w:noProof/>
          <w:sz w:val="24"/>
          <w:szCs w:val="24"/>
        </w:rPr>
      </w:pPr>
      <w:r w:rsidRPr="00184B62">
        <w:rPr>
          <w:rFonts w:ascii="Times New Roman" w:hAnsi="Times New Roman"/>
          <w:noProof/>
          <w:sz w:val="24"/>
          <w:szCs w:val="24"/>
        </w:rPr>
        <w:t xml:space="preserve">Черупката на ивичестия теодоксус е средно голяма, полукръгла, понякога по-удължена, сивкава или сиво-жълта, обикновино с три надлъжни тъмни ивици (при някои екземпляри с две много широки ивици). Има много слабо изпъкнала завитост и плосък апекс. Апертурата е широко елептична, почти вертикална. Оперкулумът е червеникав с тъмночервен ръб. Височината на черупката е 3-6 </w:t>
      </w:r>
      <w:r w:rsidRPr="00184B62">
        <w:rPr>
          <w:rFonts w:ascii="Times New Roman" w:hAnsi="Times New Roman"/>
          <w:noProof/>
          <w:sz w:val="24"/>
          <w:szCs w:val="24"/>
          <w:lang w:val="en-US"/>
        </w:rPr>
        <w:t>mm</w:t>
      </w:r>
      <w:r w:rsidRPr="00184B62">
        <w:rPr>
          <w:rFonts w:ascii="Times New Roman" w:hAnsi="Times New Roman"/>
          <w:noProof/>
          <w:sz w:val="24"/>
          <w:szCs w:val="24"/>
        </w:rPr>
        <w:t xml:space="preserve">, а ширината - 6-11 </w:t>
      </w:r>
      <w:r w:rsidRPr="00184B62">
        <w:rPr>
          <w:rFonts w:ascii="Times New Roman" w:hAnsi="Times New Roman"/>
          <w:noProof/>
          <w:sz w:val="24"/>
          <w:szCs w:val="24"/>
          <w:lang w:val="en-US"/>
        </w:rPr>
        <w:t>mm</w:t>
      </w:r>
      <w:r w:rsidRPr="00184B62">
        <w:rPr>
          <w:rFonts w:ascii="Times New Roman" w:hAnsi="Times New Roman"/>
          <w:noProof/>
          <w:sz w:val="24"/>
          <w:szCs w:val="24"/>
        </w:rPr>
        <w:t xml:space="preserve"> (Георгиев 2013).</w:t>
      </w:r>
      <w:r w:rsidRPr="00184B62">
        <w:rPr>
          <w:rFonts w:ascii="Times New Roman" w:hAnsi="Times New Roman"/>
          <w:noProof/>
          <w:sz w:val="24"/>
          <w:szCs w:val="24"/>
          <w:lang w:val="en-US"/>
        </w:rPr>
        <w:t xml:space="preserve"> </w:t>
      </w:r>
      <w:r w:rsidRPr="00184B62">
        <w:rPr>
          <w:rFonts w:ascii="Times New Roman" w:hAnsi="Times New Roman"/>
          <w:sz w:val="24"/>
          <w:szCs w:val="24"/>
        </w:rPr>
        <w:t xml:space="preserve">Близки до ивичестия теодоксус са други два вида от същия род </w:t>
      </w:r>
      <w:r w:rsidRPr="00184B62">
        <w:rPr>
          <w:rFonts w:ascii="Times New Roman" w:hAnsi="Times New Roman"/>
          <w:sz w:val="24"/>
          <w:szCs w:val="24"/>
          <w:lang w:val="ru-RU"/>
        </w:rPr>
        <w:t xml:space="preserve">– </w:t>
      </w:r>
      <w:r w:rsidRPr="00184B62">
        <w:rPr>
          <w:rFonts w:ascii="Times New Roman" w:hAnsi="Times New Roman"/>
          <w:i/>
          <w:sz w:val="24"/>
          <w:szCs w:val="24"/>
          <w:lang w:val="en-US"/>
        </w:rPr>
        <w:t>Theodoxus danubialis</w:t>
      </w:r>
      <w:r w:rsidRPr="00184B62">
        <w:rPr>
          <w:rFonts w:ascii="Times New Roman" w:hAnsi="Times New Roman"/>
          <w:sz w:val="24"/>
          <w:szCs w:val="24"/>
          <w:lang w:val="ru-RU"/>
        </w:rPr>
        <w:t xml:space="preserve"> </w:t>
      </w:r>
      <w:r w:rsidRPr="00184B62">
        <w:rPr>
          <w:rFonts w:ascii="Times New Roman" w:hAnsi="Times New Roman"/>
          <w:sz w:val="24"/>
          <w:szCs w:val="24"/>
        </w:rPr>
        <w:t xml:space="preserve">и </w:t>
      </w:r>
      <w:r w:rsidRPr="00184B62">
        <w:rPr>
          <w:rFonts w:ascii="Times New Roman" w:hAnsi="Times New Roman"/>
          <w:i/>
          <w:sz w:val="24"/>
          <w:szCs w:val="24"/>
          <w:lang w:val="en-US"/>
        </w:rPr>
        <w:t>Theodoxus fluviatilis</w:t>
      </w:r>
      <w:r w:rsidRPr="00184B62">
        <w:rPr>
          <w:rFonts w:ascii="Times New Roman" w:hAnsi="Times New Roman"/>
          <w:sz w:val="24"/>
          <w:szCs w:val="24"/>
          <w:lang w:val="ru-RU"/>
        </w:rPr>
        <w:t xml:space="preserve">, </w:t>
      </w:r>
      <w:r w:rsidRPr="00184B62">
        <w:rPr>
          <w:rFonts w:ascii="Times New Roman" w:hAnsi="Times New Roman"/>
          <w:sz w:val="24"/>
          <w:szCs w:val="24"/>
        </w:rPr>
        <w:t xml:space="preserve">които са широко разпространени в България. По </w:t>
      </w:r>
      <w:r w:rsidRPr="00184B62">
        <w:rPr>
          <w:rFonts w:ascii="Times New Roman" w:hAnsi="Times New Roman"/>
          <w:noProof/>
          <w:sz w:val="24"/>
          <w:szCs w:val="24"/>
        </w:rPr>
        <w:t>трите надлъжни тъмни ивици</w:t>
      </w:r>
      <w:r w:rsidRPr="00184B62">
        <w:rPr>
          <w:rFonts w:ascii="Times New Roman" w:hAnsi="Times New Roman"/>
          <w:sz w:val="24"/>
          <w:szCs w:val="24"/>
        </w:rPr>
        <w:t xml:space="preserve"> на черупката, обаче, видът лесно може да се разграничи от тях.</w:t>
      </w:r>
      <w:r w:rsidRPr="00184B62">
        <w:rPr>
          <w:rFonts w:ascii="Times New Roman" w:hAnsi="Times New Roman"/>
          <w:noProof/>
          <w:sz w:val="24"/>
          <w:szCs w:val="24"/>
        </w:rPr>
        <w:t xml:space="preserve"> </w:t>
      </w:r>
    </w:p>
    <w:p w:rsidR="00184B62" w:rsidRPr="00184B62" w:rsidRDefault="00184B62" w:rsidP="00715A84">
      <w:pPr>
        <w:spacing w:after="0" w:line="240" w:lineRule="auto"/>
        <w:ind w:firstLine="709"/>
        <w:jc w:val="both"/>
        <w:rPr>
          <w:rFonts w:ascii="Times New Roman" w:hAnsi="Times New Roman"/>
          <w:iCs/>
          <w:sz w:val="24"/>
          <w:szCs w:val="24"/>
          <w:lang w:val="ru-RU"/>
        </w:rPr>
      </w:pPr>
      <w:r w:rsidRPr="00184B62">
        <w:rPr>
          <w:rFonts w:ascii="Times New Roman" w:hAnsi="Times New Roman"/>
          <w:noProof/>
          <w:sz w:val="24"/>
          <w:szCs w:val="24"/>
        </w:rPr>
        <w:t xml:space="preserve">Среща се главно в р. Дунав и в долните течения на някои от нейните притоци. Обитава водоеми с чиста вода и твърда основа на речните легла, предимно с каменисто дъно. Установяван е от 7 до 200 </w:t>
      </w:r>
      <w:r w:rsidRPr="00184B62">
        <w:rPr>
          <w:rFonts w:ascii="Times New Roman" w:hAnsi="Times New Roman"/>
          <w:noProof/>
          <w:sz w:val="24"/>
          <w:szCs w:val="24"/>
          <w:lang w:val="en-US"/>
        </w:rPr>
        <w:t>m</w:t>
      </w:r>
      <w:r w:rsidRPr="00184B62">
        <w:rPr>
          <w:rFonts w:ascii="Times New Roman" w:hAnsi="Times New Roman"/>
          <w:noProof/>
          <w:sz w:val="24"/>
          <w:szCs w:val="24"/>
        </w:rPr>
        <w:t xml:space="preserve"> н.в., като преобладава в зоната до 50 </w:t>
      </w:r>
      <w:r w:rsidRPr="00184B62">
        <w:rPr>
          <w:rFonts w:ascii="Times New Roman" w:hAnsi="Times New Roman"/>
          <w:noProof/>
          <w:sz w:val="24"/>
          <w:szCs w:val="24"/>
          <w:lang w:val="en-US"/>
        </w:rPr>
        <w:t>m</w:t>
      </w:r>
      <w:r w:rsidRPr="00184B62">
        <w:rPr>
          <w:rFonts w:ascii="Times New Roman" w:hAnsi="Times New Roman"/>
          <w:noProof/>
          <w:sz w:val="24"/>
          <w:szCs w:val="24"/>
        </w:rPr>
        <w:t xml:space="preserve"> н.в.</w:t>
      </w:r>
    </w:p>
    <w:p w:rsidR="00184B62" w:rsidRPr="00184B62" w:rsidRDefault="00184B62" w:rsidP="00715A84">
      <w:pPr>
        <w:spacing w:after="0" w:line="240" w:lineRule="auto"/>
        <w:ind w:firstLine="709"/>
        <w:jc w:val="both"/>
        <w:rPr>
          <w:rFonts w:ascii="Times New Roman" w:hAnsi="Times New Roman"/>
          <w:sz w:val="24"/>
          <w:szCs w:val="24"/>
          <w:lang w:val="en-US"/>
        </w:rPr>
      </w:pPr>
      <w:r w:rsidRPr="00184B62">
        <w:rPr>
          <w:rFonts w:ascii="Times New Roman" w:hAnsi="Times New Roman"/>
          <w:sz w:val="24"/>
          <w:szCs w:val="24"/>
        </w:rPr>
        <w:t>Ивичестият теодоксус (</w:t>
      </w:r>
      <w:r w:rsidRPr="00184B62">
        <w:rPr>
          <w:rFonts w:ascii="Times New Roman" w:eastAsia="Calibri" w:hAnsi="Times New Roman"/>
          <w:i/>
          <w:iCs/>
          <w:sz w:val="24"/>
          <w:szCs w:val="24"/>
          <w:lang w:val="en-US"/>
        </w:rPr>
        <w:t>Theodoxus transversalis</w:t>
      </w:r>
      <w:r w:rsidRPr="00184B62">
        <w:rPr>
          <w:rFonts w:ascii="Times New Roman" w:hAnsi="Times New Roman"/>
          <w:sz w:val="24"/>
          <w:szCs w:val="24"/>
        </w:rPr>
        <w:t>) е с висок природозащитен статус</w:t>
      </w:r>
      <w:r w:rsidRPr="00184B62">
        <w:rPr>
          <w:rFonts w:ascii="Times New Roman" w:hAnsi="Times New Roman"/>
          <w:sz w:val="24"/>
          <w:szCs w:val="24"/>
          <w:lang w:val="en-US"/>
        </w:rPr>
        <w:t xml:space="preserve">: </w:t>
      </w:r>
      <w:r w:rsidRPr="00184B62">
        <w:rPr>
          <w:rFonts w:ascii="Times New Roman" w:hAnsi="Times New Roman"/>
          <w:sz w:val="24"/>
          <w:szCs w:val="24"/>
        </w:rPr>
        <w:t>видът е в</w:t>
      </w:r>
      <w:r w:rsidRPr="00184B62">
        <w:rPr>
          <w:rFonts w:ascii="Times New Roman" w:hAnsi="Times New Roman"/>
          <w:noProof/>
          <w:sz w:val="24"/>
          <w:szCs w:val="24"/>
        </w:rPr>
        <w:t>ключен в Червения списък на Международния съюз за опазване на природата и природните ресурси (</w:t>
      </w:r>
      <w:r w:rsidRPr="00184B62">
        <w:rPr>
          <w:rFonts w:ascii="Times New Roman" w:hAnsi="Times New Roman"/>
          <w:b/>
          <w:noProof/>
          <w:sz w:val="24"/>
          <w:szCs w:val="24"/>
        </w:rPr>
        <w:t>IUCN Red List</w:t>
      </w:r>
      <w:r w:rsidRPr="00184B62">
        <w:rPr>
          <w:rFonts w:ascii="Times New Roman" w:hAnsi="Times New Roman"/>
          <w:noProof/>
          <w:sz w:val="24"/>
          <w:szCs w:val="24"/>
        </w:rPr>
        <w:t xml:space="preserve">) в категорията </w:t>
      </w:r>
      <w:r w:rsidRPr="00184B62">
        <w:rPr>
          <w:rFonts w:ascii="Times New Roman" w:hAnsi="Times New Roman"/>
          <w:sz w:val="24"/>
          <w:szCs w:val="24"/>
        </w:rPr>
        <w:t xml:space="preserve">застрашен вид </w:t>
      </w:r>
      <w:r w:rsidRPr="00184B62">
        <w:rPr>
          <w:rFonts w:ascii="Times New Roman" w:hAnsi="Times New Roman"/>
          <w:sz w:val="24"/>
          <w:szCs w:val="24"/>
          <w:lang w:val="en-US"/>
        </w:rPr>
        <w:t>(EN)</w:t>
      </w:r>
      <w:r w:rsidRPr="00184B62">
        <w:rPr>
          <w:rFonts w:ascii="Times New Roman" w:hAnsi="Times New Roman"/>
          <w:noProof/>
          <w:sz w:val="24"/>
          <w:szCs w:val="24"/>
        </w:rPr>
        <w:t xml:space="preserve">; защитен е от Директива 92/43/ЕЕС за опазване на природните местообитания и на дивата флора и фауна </w:t>
      </w:r>
      <w:r w:rsidRPr="00184B62">
        <w:rPr>
          <w:rFonts w:ascii="Times New Roman" w:hAnsi="Times New Roman"/>
          <w:b/>
          <w:noProof/>
          <w:sz w:val="24"/>
          <w:szCs w:val="24"/>
        </w:rPr>
        <w:t>(Habitats Directive)</w:t>
      </w:r>
      <w:r w:rsidRPr="00184B62">
        <w:rPr>
          <w:rFonts w:ascii="Times New Roman" w:hAnsi="Times New Roman"/>
          <w:noProof/>
          <w:sz w:val="24"/>
          <w:szCs w:val="24"/>
        </w:rPr>
        <w:t xml:space="preserve"> - Приложение II и IV, и от </w:t>
      </w:r>
      <w:r w:rsidRPr="00184B62">
        <w:rPr>
          <w:rFonts w:ascii="Times New Roman" w:hAnsi="Times New Roman"/>
          <w:b/>
          <w:noProof/>
          <w:sz w:val="24"/>
          <w:szCs w:val="24"/>
        </w:rPr>
        <w:t>Директива 2006/105/EО</w:t>
      </w:r>
      <w:r w:rsidRPr="00184B62">
        <w:rPr>
          <w:rFonts w:ascii="Times New Roman" w:hAnsi="Times New Roman"/>
          <w:noProof/>
          <w:sz w:val="24"/>
          <w:szCs w:val="24"/>
        </w:rPr>
        <w:t xml:space="preserve"> на Съвета - Приложение II и IV.</w:t>
      </w:r>
    </w:p>
    <w:p w:rsidR="00184B62" w:rsidRPr="00184B62" w:rsidRDefault="00184B62" w:rsidP="00715A84">
      <w:pPr>
        <w:spacing w:after="0" w:line="240" w:lineRule="auto"/>
        <w:ind w:firstLine="709"/>
        <w:jc w:val="both"/>
        <w:rPr>
          <w:rFonts w:ascii="Times New Roman" w:eastAsia="Calibri" w:hAnsi="Times New Roman"/>
          <w:b/>
          <w:bCs/>
          <w:sz w:val="24"/>
          <w:szCs w:val="24"/>
        </w:rPr>
      </w:pPr>
      <w:r w:rsidRPr="00184B62">
        <w:rPr>
          <w:rFonts w:ascii="Times New Roman" w:eastAsia="Calibri" w:hAnsi="Times New Roman"/>
          <w:bCs/>
          <w:i/>
          <w:sz w:val="24"/>
          <w:szCs w:val="24"/>
        </w:rPr>
        <w:t>Характеристики на местообитанието:</w:t>
      </w:r>
      <w:r w:rsidRPr="00184B62">
        <w:rPr>
          <w:rFonts w:ascii="Times New Roman" w:eastAsia="Calibri" w:hAnsi="Times New Roman"/>
          <w:b/>
          <w:bCs/>
          <w:sz w:val="24"/>
          <w:szCs w:val="24"/>
        </w:rPr>
        <w:t xml:space="preserve"> </w:t>
      </w:r>
      <w:r w:rsidRPr="00184B62">
        <w:rPr>
          <w:rFonts w:ascii="Times New Roman" w:hAnsi="Times New Roman"/>
          <w:noProof/>
          <w:sz w:val="24"/>
          <w:szCs w:val="24"/>
        </w:rPr>
        <w:t xml:space="preserve">Литореофилен вид, който се среща в бавно течащи, чисти и богати на кислород води. Изисква наличие на твърд дънен субстрат. В миналото е бил най-многочисления вид в р. Дунав с численост до 96 </w:t>
      </w:r>
      <w:r w:rsidRPr="00184B62">
        <w:rPr>
          <w:rFonts w:ascii="Times New Roman" w:hAnsi="Times New Roman"/>
          <w:noProof/>
          <w:sz w:val="24"/>
          <w:szCs w:val="24"/>
          <w:lang w:val="en-US"/>
        </w:rPr>
        <w:t>ind</w:t>
      </w:r>
      <w:r w:rsidRPr="00184B62">
        <w:rPr>
          <w:rFonts w:ascii="Times New Roman" w:hAnsi="Times New Roman"/>
          <w:noProof/>
          <w:sz w:val="24"/>
          <w:szCs w:val="24"/>
        </w:rPr>
        <w:t>./</w:t>
      </w:r>
      <w:r w:rsidRPr="00184B62">
        <w:rPr>
          <w:rFonts w:ascii="Times New Roman" w:hAnsi="Times New Roman"/>
          <w:noProof/>
          <w:sz w:val="24"/>
          <w:szCs w:val="24"/>
          <w:lang w:val="en-US"/>
        </w:rPr>
        <w:t>m</w:t>
      </w:r>
      <w:r w:rsidRPr="00184B62">
        <w:rPr>
          <w:rFonts w:ascii="Times New Roman" w:hAnsi="Times New Roman"/>
          <w:noProof/>
          <w:sz w:val="24"/>
          <w:szCs w:val="24"/>
          <w:vertAlign w:val="superscript"/>
        </w:rPr>
        <w:t>2</w:t>
      </w:r>
      <w:r w:rsidRPr="00184B62">
        <w:rPr>
          <w:rFonts w:ascii="Times New Roman" w:hAnsi="Times New Roman"/>
          <w:noProof/>
          <w:sz w:val="24"/>
          <w:szCs w:val="24"/>
        </w:rPr>
        <w:t xml:space="preserve"> и биомаса до 26 </w:t>
      </w:r>
      <w:r w:rsidRPr="00184B62">
        <w:rPr>
          <w:rFonts w:ascii="Times New Roman" w:hAnsi="Times New Roman"/>
          <w:noProof/>
          <w:sz w:val="24"/>
          <w:szCs w:val="24"/>
          <w:lang w:val="en-US"/>
        </w:rPr>
        <w:t>g</w:t>
      </w:r>
      <w:r w:rsidRPr="00184B62">
        <w:rPr>
          <w:rFonts w:ascii="Times New Roman" w:hAnsi="Times New Roman"/>
          <w:noProof/>
          <w:sz w:val="24"/>
          <w:szCs w:val="24"/>
        </w:rPr>
        <w:t>/</w:t>
      </w:r>
      <w:r w:rsidRPr="00184B62">
        <w:rPr>
          <w:rFonts w:ascii="Times New Roman" w:hAnsi="Times New Roman"/>
          <w:noProof/>
          <w:sz w:val="24"/>
          <w:szCs w:val="24"/>
          <w:lang w:val="en-US"/>
        </w:rPr>
        <w:t>m</w:t>
      </w:r>
      <w:r w:rsidRPr="00184B62">
        <w:rPr>
          <w:rFonts w:ascii="Times New Roman" w:hAnsi="Times New Roman"/>
          <w:noProof/>
          <w:sz w:val="24"/>
          <w:szCs w:val="24"/>
          <w:vertAlign w:val="superscript"/>
        </w:rPr>
        <w:t>2</w:t>
      </w:r>
      <w:r w:rsidRPr="00184B62">
        <w:rPr>
          <w:rFonts w:ascii="Times New Roman" w:hAnsi="Times New Roman"/>
          <w:noProof/>
          <w:sz w:val="24"/>
          <w:szCs w:val="24"/>
        </w:rPr>
        <w:t xml:space="preserve">. Установяван е на разстояние от брега 0-660 </w:t>
      </w:r>
      <w:r w:rsidRPr="00184B62">
        <w:rPr>
          <w:rFonts w:ascii="Times New Roman" w:hAnsi="Times New Roman"/>
          <w:noProof/>
          <w:sz w:val="24"/>
          <w:szCs w:val="24"/>
          <w:lang w:val="en-US"/>
        </w:rPr>
        <w:t>m</w:t>
      </w:r>
      <w:r w:rsidRPr="00184B62">
        <w:rPr>
          <w:rFonts w:ascii="Times New Roman" w:hAnsi="Times New Roman"/>
          <w:noProof/>
          <w:sz w:val="24"/>
          <w:szCs w:val="24"/>
        </w:rPr>
        <w:t xml:space="preserve">, при скорост на водата 0.29-1.01 </w:t>
      </w:r>
      <w:r w:rsidRPr="00184B62">
        <w:rPr>
          <w:rFonts w:ascii="Times New Roman" w:hAnsi="Times New Roman"/>
          <w:noProof/>
          <w:sz w:val="24"/>
          <w:szCs w:val="24"/>
          <w:lang w:val="en-US"/>
        </w:rPr>
        <w:t>m</w:t>
      </w:r>
      <w:r w:rsidRPr="00184B62">
        <w:rPr>
          <w:rFonts w:ascii="Times New Roman" w:hAnsi="Times New Roman"/>
          <w:noProof/>
          <w:sz w:val="24"/>
          <w:szCs w:val="24"/>
        </w:rPr>
        <w:t>/</w:t>
      </w:r>
      <w:r w:rsidRPr="00184B62">
        <w:rPr>
          <w:rFonts w:ascii="Times New Roman" w:hAnsi="Times New Roman"/>
          <w:noProof/>
          <w:sz w:val="24"/>
          <w:szCs w:val="24"/>
          <w:lang w:val="en-US"/>
        </w:rPr>
        <w:t>s</w:t>
      </w:r>
      <w:r w:rsidRPr="00184B62">
        <w:rPr>
          <w:rFonts w:ascii="Times New Roman" w:hAnsi="Times New Roman"/>
          <w:noProof/>
          <w:sz w:val="24"/>
          <w:szCs w:val="24"/>
        </w:rPr>
        <w:t xml:space="preserve">., температура 9-22°C, кислородно съдържание 5,55-9,50 </w:t>
      </w:r>
      <w:r w:rsidRPr="00184B62">
        <w:rPr>
          <w:rFonts w:ascii="Times New Roman" w:hAnsi="Times New Roman"/>
          <w:noProof/>
          <w:sz w:val="24"/>
          <w:szCs w:val="24"/>
          <w:lang w:val="en-US"/>
        </w:rPr>
        <w:t>mg</w:t>
      </w:r>
      <w:r w:rsidRPr="00184B62">
        <w:rPr>
          <w:rFonts w:ascii="Times New Roman" w:hAnsi="Times New Roman"/>
          <w:noProof/>
          <w:sz w:val="24"/>
          <w:szCs w:val="24"/>
        </w:rPr>
        <w:t>/</w:t>
      </w:r>
      <w:r w:rsidRPr="00184B62">
        <w:rPr>
          <w:rFonts w:ascii="Times New Roman" w:hAnsi="Times New Roman"/>
          <w:noProof/>
          <w:sz w:val="24"/>
          <w:szCs w:val="24"/>
          <w:lang w:val="en-US"/>
        </w:rPr>
        <w:t>l</w:t>
      </w:r>
      <w:r w:rsidRPr="00184B62">
        <w:rPr>
          <w:rFonts w:ascii="Times New Roman" w:hAnsi="Times New Roman"/>
          <w:noProof/>
          <w:sz w:val="24"/>
          <w:szCs w:val="24"/>
        </w:rPr>
        <w:t xml:space="preserve"> твърдост 8,32-14,6 dH° и киселинност pH=7,5-8,3 (Русев, 1966; Angelov, 2000; Георгиев, 2013; </w:t>
      </w:r>
      <w:hyperlink r:id="rId43" w:history="1">
        <w:r w:rsidRPr="00184B62">
          <w:rPr>
            <w:rFonts w:ascii="Times New Roman" w:hAnsi="Times New Roman"/>
            <w:noProof/>
            <w:color w:val="0000FF"/>
            <w:sz w:val="24"/>
            <w:szCs w:val="24"/>
            <w:u w:val="single"/>
          </w:rPr>
          <w:t>http://www.animalbase.uni-goettingen.de</w:t>
        </w:r>
      </w:hyperlink>
      <w:r w:rsidRPr="00184B62">
        <w:rPr>
          <w:rFonts w:ascii="Times New Roman" w:hAnsi="Times New Roman"/>
          <w:noProof/>
          <w:sz w:val="24"/>
          <w:szCs w:val="24"/>
        </w:rPr>
        <w:t>).</w:t>
      </w:r>
    </w:p>
    <w:p w:rsidR="00184B62" w:rsidRPr="00184B62" w:rsidRDefault="00184B62" w:rsidP="00184B62">
      <w:pPr>
        <w:spacing w:before="120" w:after="120" w:line="240" w:lineRule="auto"/>
        <w:jc w:val="both"/>
        <w:rPr>
          <w:rFonts w:ascii="Times New Roman" w:eastAsia="Calibri" w:hAnsi="Times New Roman"/>
          <w:sz w:val="24"/>
          <w:szCs w:val="24"/>
        </w:rPr>
      </w:pPr>
      <w:r w:rsidRPr="00184B62">
        <w:rPr>
          <w:rFonts w:ascii="Times New Roman" w:eastAsia="Calibri" w:hAnsi="Times New Roman"/>
          <w:b/>
          <w:sz w:val="24"/>
          <w:szCs w:val="24"/>
        </w:rPr>
        <w:t>3. Състояние на биогеографско ниво и разпространение в мрежата</w:t>
      </w:r>
    </w:p>
    <w:p w:rsidR="00184B62" w:rsidRPr="00184B62" w:rsidRDefault="00184B62" w:rsidP="00184B62">
      <w:pPr>
        <w:spacing w:before="120" w:after="120" w:line="240" w:lineRule="auto"/>
        <w:ind w:firstLine="709"/>
        <w:jc w:val="both"/>
        <w:rPr>
          <w:rFonts w:ascii="Times New Roman" w:hAnsi="Times New Roman"/>
          <w:color w:val="0000FF"/>
          <w:sz w:val="24"/>
          <w:szCs w:val="24"/>
          <w:u w:val="single"/>
        </w:rPr>
      </w:pPr>
      <w:r w:rsidRPr="00184B62">
        <w:rPr>
          <w:rFonts w:ascii="Times New Roman" w:eastAsia="Calibri" w:hAnsi="Times New Roman"/>
          <w:sz w:val="24"/>
          <w:szCs w:val="24"/>
        </w:rPr>
        <w:t xml:space="preserve">Съгласно докладването по чл. 17 на Директивата за местообитанията през 2013 г. </w:t>
      </w:r>
      <w:r w:rsidRPr="00184B62">
        <w:rPr>
          <w:rFonts w:ascii="Times New Roman" w:eastAsia="Calibri" w:hAnsi="Times New Roman"/>
          <w:sz w:val="24"/>
          <w:szCs w:val="24"/>
          <w:lang w:val="en-US"/>
        </w:rPr>
        <w:t>(</w:t>
      </w:r>
      <w:r w:rsidRPr="00184B62">
        <w:rPr>
          <w:rFonts w:ascii="Times New Roman" w:eastAsia="Calibri" w:hAnsi="Times New Roman"/>
          <w:sz w:val="24"/>
          <w:szCs w:val="24"/>
        </w:rPr>
        <w:t>за периода 2007-2012 г.</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състоянието на вида в Континенталния биогеографски </w:t>
      </w:r>
      <w:r w:rsidR="00715A84">
        <w:rPr>
          <w:rFonts w:ascii="Times New Roman" w:eastAsia="Calibri" w:hAnsi="Times New Roman"/>
          <w:sz w:val="24"/>
          <w:szCs w:val="24"/>
        </w:rPr>
        <w:t>регион</w:t>
      </w:r>
      <w:r w:rsidRPr="00184B62">
        <w:rPr>
          <w:rFonts w:ascii="Times New Roman" w:eastAsia="Calibri" w:hAnsi="Times New Roman"/>
          <w:sz w:val="24"/>
          <w:szCs w:val="24"/>
        </w:rPr>
        <w:t xml:space="preserve"> е благоприятно (FV) по всички параметри. Видът не се среща в Алпийския и Черноморския биогеографски </w:t>
      </w:r>
      <w:r w:rsidR="00715A84">
        <w:rPr>
          <w:rFonts w:ascii="Times New Roman" w:eastAsia="Calibri" w:hAnsi="Times New Roman"/>
          <w:sz w:val="24"/>
          <w:szCs w:val="24"/>
        </w:rPr>
        <w:t>региони</w:t>
      </w:r>
      <w:r w:rsidRPr="00184B62">
        <w:rPr>
          <w:rFonts w:ascii="Times New Roman" w:eastAsia="Calibri" w:hAnsi="Times New Roman"/>
          <w:sz w:val="24"/>
          <w:szCs w:val="24"/>
        </w:rPr>
        <w:t xml:space="preserve">. При докладването през 2019 г. </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за периода </w:t>
      </w:r>
      <w:r w:rsidRPr="00184B62">
        <w:rPr>
          <w:rFonts w:ascii="Times New Roman" w:eastAsia="Calibri" w:hAnsi="Times New Roman"/>
          <w:sz w:val="24"/>
          <w:szCs w:val="24"/>
        </w:rPr>
        <w:lastRenderedPageBreak/>
        <w:t>2013-2018 г.</w:t>
      </w:r>
      <w:r w:rsidRPr="00184B62">
        <w:rPr>
          <w:rFonts w:ascii="Times New Roman" w:eastAsia="Calibri" w:hAnsi="Times New Roman"/>
          <w:sz w:val="24"/>
          <w:szCs w:val="24"/>
          <w:lang w:val="en-US"/>
        </w:rPr>
        <w:t>)</w:t>
      </w:r>
      <w:r w:rsidRPr="00184B62">
        <w:rPr>
          <w:rFonts w:ascii="Times New Roman" w:eastAsia="Calibri" w:hAnsi="Times New Roman"/>
          <w:sz w:val="24"/>
          <w:szCs w:val="24"/>
        </w:rPr>
        <w:t>, оценката за състоянието на вида е променена по всички параметри. За параметрите популация и местообитание състоянието е променено от благоприятно в неизвестно, а за ареал, перспективи и обща оценка състоянието е променено от благоприятно в неблагоприятно-незадоволително (</w:t>
      </w:r>
      <w:r w:rsidRPr="00184B62">
        <w:rPr>
          <w:rFonts w:ascii="Times New Roman" w:eastAsia="Calibri" w:hAnsi="Times New Roman"/>
          <w:sz w:val="24"/>
          <w:szCs w:val="24"/>
          <w:lang w:val="en-US"/>
        </w:rPr>
        <w:t>U</w:t>
      </w:r>
      <w:r w:rsidRPr="00184B62">
        <w:rPr>
          <w:rFonts w:ascii="Times New Roman" w:eastAsia="Calibri" w:hAnsi="Times New Roman"/>
          <w:sz w:val="24"/>
          <w:szCs w:val="24"/>
        </w:rPr>
        <w:t>1) (</w:t>
      </w:r>
      <w:r w:rsidRPr="00184B62">
        <w:rPr>
          <w:rFonts w:ascii="Times New Roman" w:hAnsi="Times New Roman"/>
          <w:sz w:val="24"/>
          <w:szCs w:val="24"/>
        </w:rPr>
        <w:t xml:space="preserve">Източник на информацията: </w:t>
      </w:r>
      <w:hyperlink r:id="rId44" w:history="1">
        <w:r w:rsidRPr="00184B62">
          <w:rPr>
            <w:rFonts w:ascii="Times New Roman" w:hAnsi="Times New Roman"/>
            <w:color w:val="0000FF"/>
            <w:sz w:val="24"/>
            <w:szCs w:val="24"/>
            <w:u w:val="single"/>
            <w:shd w:val="clear" w:color="auto" w:fill="FFFFFF"/>
          </w:rPr>
          <w:t>https://nature-art17.eionet.europa.eu/article17/species/report/?period=5&amp;group=Molluscs&amp;country=BG&amp;region=</w:t>
        </w:r>
      </w:hyperlink>
      <w:r w:rsidRPr="00184B62">
        <w:rPr>
          <w:rFonts w:ascii="Times New Roman" w:hAnsi="Times New Roman"/>
          <w:color w:val="0000FF"/>
          <w:sz w:val="24"/>
          <w:szCs w:val="24"/>
          <w:u w:val="single"/>
        </w:rPr>
        <w:t>)</w:t>
      </w:r>
    </w:p>
    <w:p w:rsidR="00184B62" w:rsidRPr="00184B62" w:rsidRDefault="00184B62" w:rsidP="00184B62">
      <w:pPr>
        <w:spacing w:after="0" w:line="240" w:lineRule="auto"/>
        <w:ind w:firstLine="709"/>
        <w:jc w:val="both"/>
        <w:rPr>
          <w:rFonts w:ascii="Times New Roman" w:eastAsia="Calibri" w:hAnsi="Times New Roman"/>
          <w:sz w:val="24"/>
          <w:szCs w:val="24"/>
        </w:rPr>
      </w:pPr>
      <w:r w:rsidRPr="00184B62">
        <w:rPr>
          <w:rFonts w:ascii="Times New Roman" w:hAnsi="Times New Roman"/>
          <w:sz w:val="24"/>
          <w:szCs w:val="24"/>
        </w:rPr>
        <w:t>По проекта "Картиране и определяне на природозащитното състояние на природни местообитания и видове - фаза I", в общия доклад за целевия вид ивичест теодоксус (</w:t>
      </w:r>
      <w:r w:rsidRPr="00184B62">
        <w:rPr>
          <w:rFonts w:ascii="Times New Roman" w:eastAsia="Calibri" w:hAnsi="Times New Roman"/>
          <w:i/>
          <w:iCs/>
          <w:sz w:val="24"/>
          <w:szCs w:val="24"/>
          <w:lang w:val="en-US"/>
        </w:rPr>
        <w:t>Theodoxus transversalis</w:t>
      </w:r>
      <w:r w:rsidRPr="00184B62">
        <w:rPr>
          <w:rFonts w:ascii="Times New Roman" w:hAnsi="Times New Roman"/>
          <w:sz w:val="24"/>
          <w:szCs w:val="24"/>
        </w:rPr>
        <w:t>) е посочено, че той фигурира в Стандартните формуляри за данни (</w:t>
      </w:r>
      <w:r w:rsidR="005A0A3C">
        <w:rPr>
          <w:rFonts w:ascii="Times New Roman" w:hAnsi="Times New Roman"/>
          <w:sz w:val="24"/>
          <w:szCs w:val="24"/>
        </w:rPr>
        <w:t>СФ</w:t>
      </w:r>
      <w:r w:rsidRPr="00184B62">
        <w:rPr>
          <w:rFonts w:ascii="Times New Roman" w:hAnsi="Times New Roman"/>
          <w:sz w:val="24"/>
          <w:szCs w:val="24"/>
        </w:rPr>
        <w:t xml:space="preserve">) на 37 защитени зони за местообитанията от мрежата Натура 2000 в България. В същото време той е новоустановен в 6 зони и е изключен от списъка с целеви видове на 3 зони, т.е. понастоящем фигурира в </w:t>
      </w:r>
      <w:r w:rsidR="005A0A3C">
        <w:rPr>
          <w:rFonts w:ascii="Times New Roman" w:hAnsi="Times New Roman"/>
          <w:sz w:val="24"/>
          <w:szCs w:val="24"/>
        </w:rPr>
        <w:t>СФ</w:t>
      </w:r>
      <w:r w:rsidRPr="00184B62">
        <w:rPr>
          <w:rFonts w:ascii="Times New Roman" w:hAnsi="Times New Roman"/>
          <w:sz w:val="24"/>
          <w:szCs w:val="24"/>
        </w:rPr>
        <w:t xml:space="preserve"> на 40 защитени зони. Броят на зоните, в които целевият вид е регистриран в рамките на проекта е 8. Като основни заплахи за вида са посочени следните негативни фактори:</w:t>
      </w:r>
    </w:p>
    <w:p w:rsidR="00184B62" w:rsidRPr="00184B62" w:rsidRDefault="00184B62" w:rsidP="00184B62">
      <w:pPr>
        <w:numPr>
          <w:ilvl w:val="0"/>
          <w:numId w:val="5"/>
        </w:numPr>
        <w:spacing w:after="0" w:line="240" w:lineRule="auto"/>
        <w:ind w:hanging="11"/>
        <w:rPr>
          <w:rFonts w:ascii="Times New Roman" w:hAnsi="Times New Roman"/>
          <w:sz w:val="24"/>
          <w:szCs w:val="24"/>
        </w:rPr>
      </w:pPr>
      <w:r w:rsidRPr="00184B62">
        <w:rPr>
          <w:rFonts w:ascii="Times New Roman" w:hAnsi="Times New Roman"/>
          <w:sz w:val="24"/>
          <w:szCs w:val="24"/>
        </w:rPr>
        <w:t xml:space="preserve">Замърсяване на водата с инсектициди; </w:t>
      </w:r>
    </w:p>
    <w:p w:rsidR="00184B62" w:rsidRPr="00184B62" w:rsidRDefault="00184B62" w:rsidP="00184B62">
      <w:pPr>
        <w:numPr>
          <w:ilvl w:val="0"/>
          <w:numId w:val="5"/>
        </w:numPr>
        <w:spacing w:after="0" w:line="240" w:lineRule="auto"/>
        <w:ind w:hanging="11"/>
        <w:rPr>
          <w:rFonts w:ascii="Times New Roman" w:hAnsi="Times New Roman"/>
          <w:sz w:val="24"/>
          <w:szCs w:val="24"/>
        </w:rPr>
      </w:pPr>
      <w:r w:rsidRPr="00184B62">
        <w:rPr>
          <w:rFonts w:ascii="Times New Roman" w:hAnsi="Times New Roman"/>
          <w:sz w:val="24"/>
          <w:szCs w:val="24"/>
        </w:rPr>
        <w:t xml:space="preserve">Повишаване видимото замърсяване на водата; </w:t>
      </w:r>
    </w:p>
    <w:p w:rsidR="00184B62" w:rsidRPr="00184B62" w:rsidRDefault="00184B62" w:rsidP="00184B62">
      <w:pPr>
        <w:numPr>
          <w:ilvl w:val="0"/>
          <w:numId w:val="5"/>
        </w:numPr>
        <w:spacing w:after="0" w:line="240" w:lineRule="auto"/>
        <w:ind w:hanging="11"/>
        <w:rPr>
          <w:rFonts w:ascii="Times New Roman" w:hAnsi="Times New Roman"/>
          <w:sz w:val="24"/>
          <w:szCs w:val="24"/>
        </w:rPr>
      </w:pPr>
      <w:r w:rsidRPr="00184B62">
        <w:rPr>
          <w:rFonts w:ascii="Times New Roman" w:hAnsi="Times New Roman"/>
          <w:sz w:val="24"/>
          <w:szCs w:val="24"/>
        </w:rPr>
        <w:t xml:space="preserve">Хидротехнически съоръжения; </w:t>
      </w:r>
    </w:p>
    <w:p w:rsidR="00184B62" w:rsidRPr="00D374F5" w:rsidRDefault="00184B62" w:rsidP="00184B62">
      <w:pPr>
        <w:numPr>
          <w:ilvl w:val="0"/>
          <w:numId w:val="5"/>
        </w:numPr>
        <w:spacing w:after="0" w:line="240" w:lineRule="auto"/>
        <w:ind w:firstLine="709"/>
        <w:rPr>
          <w:rFonts w:ascii="Times New Roman" w:hAnsi="Times New Roman"/>
          <w:sz w:val="24"/>
          <w:szCs w:val="24"/>
        </w:rPr>
      </w:pPr>
      <w:r w:rsidRPr="00184B62">
        <w:rPr>
          <w:rFonts w:ascii="Times New Roman" w:hAnsi="Times New Roman"/>
          <w:sz w:val="24"/>
          <w:szCs w:val="24"/>
        </w:rPr>
        <w:t>Антропогенно присъствие. (Източник на информацията:</w:t>
      </w:r>
      <w:r w:rsidRPr="00184B62">
        <w:rPr>
          <w:rFonts w:ascii="Times New Roman" w:eastAsia="Calibri" w:hAnsi="Times New Roman"/>
          <w:sz w:val="24"/>
          <w:szCs w:val="24"/>
        </w:rPr>
        <w:t xml:space="preserve"> </w:t>
      </w:r>
      <w:hyperlink r:id="rId45" w:history="1">
        <w:r w:rsidRPr="00184B62">
          <w:rPr>
            <w:rFonts w:ascii="Times New Roman" w:eastAsia="Calibri" w:hAnsi="Times New Roman"/>
            <w:color w:val="0000FF"/>
            <w:sz w:val="24"/>
            <w:szCs w:val="24"/>
            <w:u w:val="single"/>
          </w:rPr>
          <w:t>http://natura2000.moew.government.bg/Home/Reports</w:t>
        </w:r>
      </w:hyperlink>
      <w:r w:rsidRPr="00184B62">
        <w:rPr>
          <w:rFonts w:ascii="Times New Roman" w:eastAsia="Calibri" w:hAnsi="Times New Roman"/>
          <w:color w:val="0000FF"/>
          <w:sz w:val="24"/>
          <w:szCs w:val="24"/>
          <w:u w:val="single"/>
        </w:rPr>
        <w:t>? reportType=Invertebrates)</w:t>
      </w:r>
    </w:p>
    <w:p w:rsidR="00D374F5" w:rsidRDefault="00D374F5" w:rsidP="00D374F5">
      <w:pPr>
        <w:spacing w:after="0" w:line="240" w:lineRule="auto"/>
        <w:ind w:firstLine="709"/>
        <w:jc w:val="both"/>
        <w:rPr>
          <w:rFonts w:ascii="Times New Roman" w:eastAsia="Calibri" w:hAnsi="Times New Roman"/>
          <w:sz w:val="24"/>
          <w:szCs w:val="24"/>
        </w:rPr>
      </w:pPr>
    </w:p>
    <w:p w:rsidR="00D374F5" w:rsidRPr="00184B62" w:rsidRDefault="00D374F5" w:rsidP="00D374F5">
      <w:pPr>
        <w:spacing w:after="0" w:line="240" w:lineRule="auto"/>
        <w:ind w:firstLine="709"/>
        <w:jc w:val="both"/>
        <w:rPr>
          <w:rFonts w:ascii="Times New Roman" w:hAnsi="Times New Roman"/>
          <w:sz w:val="24"/>
          <w:szCs w:val="24"/>
        </w:rPr>
      </w:pPr>
      <w:r>
        <w:rPr>
          <w:rFonts w:ascii="Times New Roman" w:eastAsia="Calibri" w:hAnsi="Times New Roman"/>
          <w:sz w:val="24"/>
          <w:szCs w:val="24"/>
        </w:rPr>
        <w:t xml:space="preserve">Видът е записан в Стандартните </w:t>
      </w:r>
      <w:r w:rsidRPr="00F62F40">
        <w:rPr>
          <w:rFonts w:ascii="Times New Roman" w:eastAsia="Calibri" w:hAnsi="Times New Roman"/>
          <w:sz w:val="24"/>
          <w:szCs w:val="24"/>
        </w:rPr>
        <w:t xml:space="preserve">формуляри за данни на </w:t>
      </w:r>
      <w:r>
        <w:rPr>
          <w:rFonts w:ascii="Times New Roman" w:eastAsia="Calibri" w:hAnsi="Times New Roman"/>
          <w:sz w:val="24"/>
          <w:szCs w:val="24"/>
        </w:rPr>
        <w:t>40 зони.</w:t>
      </w:r>
    </w:p>
    <w:p w:rsidR="00184B62" w:rsidRPr="00184B62" w:rsidRDefault="00184B62" w:rsidP="00184B62">
      <w:pPr>
        <w:spacing w:before="120" w:after="120" w:line="240" w:lineRule="auto"/>
        <w:rPr>
          <w:rFonts w:ascii="Times New Roman" w:eastAsia="Calibri" w:hAnsi="Times New Roman"/>
          <w:b/>
          <w:bCs/>
          <w:sz w:val="24"/>
          <w:szCs w:val="24"/>
          <w:lang w:val="en-US" w:eastAsia="bg-BG"/>
        </w:rPr>
      </w:pPr>
      <w:r w:rsidRPr="00184B62">
        <w:rPr>
          <w:rFonts w:ascii="Times New Roman" w:eastAsia="Calibri" w:hAnsi="Times New Roman"/>
          <w:b/>
          <w:bCs/>
          <w:sz w:val="24"/>
          <w:szCs w:val="24"/>
          <w:lang w:eastAsia="bg-BG"/>
        </w:rPr>
        <w:t>4. Състояние на вида в защитена зона „Сребърна“</w:t>
      </w:r>
    </w:p>
    <w:p w:rsidR="00184B62" w:rsidRPr="00184B62" w:rsidRDefault="00184B62" w:rsidP="00184B62">
      <w:pPr>
        <w:spacing w:before="120" w:after="120" w:line="240" w:lineRule="auto"/>
        <w:ind w:firstLine="709"/>
        <w:jc w:val="both"/>
        <w:rPr>
          <w:rFonts w:ascii="Times New Roman" w:eastAsia="Calibri" w:hAnsi="Times New Roman"/>
          <w:color w:val="0000FF"/>
          <w:sz w:val="24"/>
          <w:szCs w:val="24"/>
        </w:rPr>
      </w:pPr>
      <w:r w:rsidRPr="00184B62">
        <w:rPr>
          <w:rFonts w:ascii="Times New Roman" w:hAnsi="Times New Roman"/>
          <w:sz w:val="24"/>
          <w:szCs w:val="24"/>
        </w:rPr>
        <w:t>Целевият вид Ивичест теодоксус (</w:t>
      </w:r>
      <w:r w:rsidRPr="00184B62">
        <w:rPr>
          <w:rFonts w:ascii="Times New Roman" w:eastAsia="Calibri" w:hAnsi="Times New Roman"/>
          <w:i/>
          <w:iCs/>
          <w:sz w:val="24"/>
          <w:szCs w:val="24"/>
          <w:lang w:val="en-US"/>
        </w:rPr>
        <w:t>Theodoxus transversalis</w:t>
      </w:r>
      <w:r w:rsidRPr="00184B62">
        <w:rPr>
          <w:rFonts w:ascii="Times New Roman" w:hAnsi="Times New Roman"/>
          <w:sz w:val="24"/>
          <w:szCs w:val="24"/>
        </w:rPr>
        <w:t>) не фигурира в Стандартния формуляр за данни (</w:t>
      </w:r>
      <w:r w:rsidR="005A0A3C">
        <w:rPr>
          <w:rFonts w:ascii="Times New Roman" w:hAnsi="Times New Roman"/>
          <w:sz w:val="24"/>
          <w:szCs w:val="24"/>
        </w:rPr>
        <w:t>СФ</w:t>
      </w:r>
      <w:r w:rsidRPr="00184B62">
        <w:rPr>
          <w:rFonts w:ascii="Times New Roman" w:hAnsi="Times New Roman"/>
          <w:sz w:val="24"/>
          <w:szCs w:val="24"/>
        </w:rPr>
        <w:t>) за ЗЗ „Сребърна“</w:t>
      </w:r>
      <w:r w:rsidRPr="00184B62">
        <w:rPr>
          <w:rFonts w:ascii="Times New Roman" w:eastAsia="Calibri" w:hAnsi="Times New Roman"/>
          <w:sz w:val="24"/>
          <w:szCs w:val="24"/>
        </w:rPr>
        <w:t xml:space="preserve"> (</w:t>
      </w:r>
      <w:r w:rsidRPr="00184B62">
        <w:rPr>
          <w:rFonts w:ascii="Times New Roman" w:hAnsi="Times New Roman"/>
          <w:sz w:val="24"/>
          <w:szCs w:val="24"/>
        </w:rPr>
        <w:t xml:space="preserve">Източник на информацията: </w:t>
      </w:r>
      <w:hyperlink r:id="rId46" w:history="1">
        <w:r w:rsidRPr="00184B62">
          <w:rPr>
            <w:rFonts w:ascii="Times New Roman" w:eastAsia="Calibri" w:hAnsi="Times New Roman"/>
            <w:color w:val="0000FF"/>
            <w:sz w:val="24"/>
            <w:szCs w:val="24"/>
            <w:u w:val="single"/>
            <w:lang w:val="en-US"/>
          </w:rPr>
          <w:t>http://natura2000.moew.government.bg/PublicDownloads/Auto/PS_SPA/BG0000241/BG0000241_PS_16.pdf</w:t>
        </w:r>
      </w:hyperlink>
    </w:p>
    <w:p w:rsidR="00184B62" w:rsidRPr="00184B62" w:rsidRDefault="00184B62" w:rsidP="00184B62">
      <w:pPr>
        <w:spacing w:before="120" w:after="120" w:line="240" w:lineRule="auto"/>
        <w:jc w:val="both"/>
        <w:rPr>
          <w:rFonts w:ascii="Times New Roman" w:eastAsia="Calibri" w:hAnsi="Times New Roman"/>
          <w:b/>
          <w:bCs/>
          <w:sz w:val="24"/>
          <w:szCs w:val="24"/>
          <w:lang w:eastAsia="bg-BG"/>
        </w:rPr>
      </w:pPr>
      <w:r w:rsidRPr="00184B62">
        <w:rPr>
          <w:rFonts w:ascii="Times New Roman" w:eastAsia="Calibri" w:hAnsi="Times New Roman"/>
          <w:b/>
          <w:bCs/>
          <w:sz w:val="24"/>
          <w:szCs w:val="24"/>
          <w:lang w:eastAsia="bg-BG"/>
        </w:rPr>
        <w:t>5. Анализ на наличната информация</w:t>
      </w:r>
    </w:p>
    <w:p w:rsidR="00184B62" w:rsidRPr="00184B62" w:rsidRDefault="00184B62" w:rsidP="00715A84">
      <w:pPr>
        <w:spacing w:after="0" w:line="240" w:lineRule="auto"/>
        <w:ind w:firstLine="709"/>
        <w:jc w:val="both"/>
        <w:rPr>
          <w:rFonts w:ascii="Times New Roman" w:eastAsia="Calibri" w:hAnsi="Times New Roman"/>
          <w:sz w:val="24"/>
          <w:szCs w:val="24"/>
        </w:rPr>
      </w:pPr>
      <w:r w:rsidRPr="00184B62">
        <w:rPr>
          <w:rFonts w:ascii="Times New Roman" w:hAnsi="Times New Roman"/>
          <w:sz w:val="24"/>
          <w:szCs w:val="24"/>
        </w:rPr>
        <w:t xml:space="preserve">В рамките на проекта "Картиране и определяне на природозащитното състояние на природни местообитания и видове - фаза I" за периода 2011-2012 г. в зоната са изследвани 6 трансекта от по 100 </w:t>
      </w:r>
      <w:r w:rsidRPr="00184B62">
        <w:rPr>
          <w:rFonts w:ascii="Times New Roman" w:hAnsi="Times New Roman"/>
          <w:sz w:val="24"/>
          <w:szCs w:val="24"/>
          <w:lang w:val="en-US"/>
        </w:rPr>
        <w:t>m</w:t>
      </w:r>
      <w:r w:rsidRPr="00184B62">
        <w:rPr>
          <w:rFonts w:ascii="Times New Roman" w:hAnsi="Times New Roman"/>
          <w:sz w:val="24"/>
          <w:szCs w:val="24"/>
        </w:rPr>
        <w:t>, но в</w:t>
      </w:r>
      <w:r w:rsidRPr="00184B62">
        <w:rPr>
          <w:rFonts w:ascii="Times New Roman" w:eastAsia="Calibri" w:hAnsi="Times New Roman"/>
          <w:sz w:val="24"/>
          <w:szCs w:val="24"/>
        </w:rPr>
        <w:t>идът не е установен и поради това не е изготвен Специфичен доклад за вида в зоната и няма информация за неговото обилие, както и за п</w:t>
      </w:r>
      <w:r w:rsidRPr="00184B62">
        <w:rPr>
          <w:rFonts w:ascii="Times New Roman" w:hAnsi="Times New Roman"/>
          <w:sz w:val="24"/>
          <w:szCs w:val="24"/>
        </w:rPr>
        <w:t xml:space="preserve">лощта на ефективно заетите и на потенциалните местообитания за вида в ЗЗ „Сребърна“. </w:t>
      </w:r>
    </w:p>
    <w:p w:rsidR="00184B62" w:rsidRPr="00184B62" w:rsidRDefault="00184B62" w:rsidP="00715A84">
      <w:pPr>
        <w:spacing w:after="0" w:line="240" w:lineRule="auto"/>
        <w:ind w:firstLine="709"/>
        <w:jc w:val="both"/>
        <w:rPr>
          <w:rFonts w:ascii="Times New Roman" w:eastAsia="Calibri" w:hAnsi="Times New Roman"/>
          <w:i/>
          <w:sz w:val="24"/>
          <w:szCs w:val="24"/>
        </w:rPr>
      </w:pPr>
      <w:r w:rsidRPr="00184B62">
        <w:rPr>
          <w:rFonts w:ascii="Times New Roman" w:eastAsia="Calibri" w:hAnsi="Times New Roman"/>
          <w:i/>
          <w:sz w:val="24"/>
          <w:szCs w:val="24"/>
        </w:rPr>
        <w:t>Информация за вида в ЗЗ „Сребърна“, базираща се на данни от проекти, осъществени след 2013 г.</w:t>
      </w:r>
    </w:p>
    <w:p w:rsidR="00184B62" w:rsidRPr="00184B62" w:rsidRDefault="00184B62" w:rsidP="00715A84">
      <w:pPr>
        <w:spacing w:after="0" w:line="240" w:lineRule="auto"/>
        <w:ind w:firstLine="709"/>
        <w:jc w:val="both"/>
        <w:rPr>
          <w:rFonts w:ascii="Times New Roman" w:eastAsia="Calibri" w:hAnsi="Times New Roman"/>
          <w:sz w:val="24"/>
          <w:szCs w:val="24"/>
        </w:rPr>
      </w:pPr>
      <w:r w:rsidRPr="00184B62">
        <w:rPr>
          <w:rFonts w:ascii="Times New Roman" w:eastAsia="Calibri" w:hAnsi="Times New Roman"/>
          <w:sz w:val="24"/>
          <w:szCs w:val="24"/>
          <w:lang w:val="en-US"/>
        </w:rPr>
        <w:t xml:space="preserve">Pavlova et al. (2013) </w:t>
      </w:r>
      <w:r w:rsidRPr="00184B62">
        <w:rPr>
          <w:rFonts w:ascii="Times New Roman" w:eastAsia="Calibri" w:hAnsi="Times New Roman"/>
          <w:sz w:val="24"/>
          <w:szCs w:val="24"/>
        </w:rPr>
        <w:t xml:space="preserve">съобщават за първи път ивичестия теодоксус от </w:t>
      </w:r>
      <w:r w:rsidRPr="00184B62">
        <w:rPr>
          <w:rFonts w:ascii="Times New Roman" w:hAnsi="Times New Roman"/>
          <w:sz w:val="24"/>
          <w:szCs w:val="24"/>
        </w:rPr>
        <w:t xml:space="preserve">ЗЗ “Сребърна”. В </w:t>
      </w:r>
      <w:r w:rsidRPr="00184B62">
        <w:rPr>
          <w:rFonts w:ascii="Times New Roman" w:eastAsia="Calibri" w:hAnsi="Times New Roman"/>
          <w:sz w:val="24"/>
          <w:szCs w:val="24"/>
        </w:rPr>
        <w:t>публикуваната от тези автори статия се съобщават две нови находища на вида</w:t>
      </w:r>
      <w:r w:rsidRPr="00184B62">
        <w:rPr>
          <w:rFonts w:ascii="Times New Roman" w:hAnsi="Times New Roman"/>
          <w:sz w:val="24"/>
          <w:szCs w:val="24"/>
        </w:rPr>
        <w:t xml:space="preserve"> на два острова в р. Дунав. Едното от тези находища е от челото на о-в Комлука и попада в границите на ЗЗ “Сребърна”. В него авторите регистрират присъствието на теодоксуса с един индивид. За събирането на макрозообентосните проби е използвана триъгълна драга с размери 30х30х30 </w:t>
      </w:r>
      <w:r w:rsidRPr="00184B62">
        <w:rPr>
          <w:rFonts w:ascii="Times New Roman" w:hAnsi="Times New Roman"/>
          <w:sz w:val="24"/>
          <w:szCs w:val="24"/>
          <w:lang w:val="en-US"/>
        </w:rPr>
        <w:t>cm</w:t>
      </w:r>
      <w:r w:rsidRPr="00184B62">
        <w:rPr>
          <w:rFonts w:ascii="Times New Roman" w:hAnsi="Times New Roman"/>
          <w:sz w:val="24"/>
          <w:szCs w:val="24"/>
        </w:rPr>
        <w:t>, но не е посочена площта на изследвания участък, поради което не може да се изчисли плътността на популацият</w:t>
      </w:r>
      <w:r w:rsidRPr="00184B62">
        <w:rPr>
          <w:rFonts w:ascii="Times New Roman" w:hAnsi="Times New Roman"/>
          <w:sz w:val="24"/>
          <w:szCs w:val="24"/>
          <w:lang w:val="en-US"/>
        </w:rPr>
        <w:t>a.</w:t>
      </w:r>
    </w:p>
    <w:p w:rsidR="00184B62" w:rsidRPr="00184B62" w:rsidRDefault="00184B62" w:rsidP="00715A84">
      <w:pPr>
        <w:spacing w:after="0" w:line="240" w:lineRule="auto"/>
        <w:ind w:firstLine="709"/>
        <w:jc w:val="both"/>
        <w:rPr>
          <w:rFonts w:ascii="Times New Roman" w:hAnsi="Times New Roman"/>
          <w:sz w:val="24"/>
          <w:szCs w:val="24"/>
        </w:rPr>
      </w:pPr>
      <w:r w:rsidRPr="00184B62">
        <w:rPr>
          <w:rFonts w:ascii="Times New Roman" w:eastAsia="Calibri" w:hAnsi="Times New Roman"/>
          <w:sz w:val="24"/>
          <w:szCs w:val="24"/>
        </w:rPr>
        <w:t xml:space="preserve">По проект </w:t>
      </w:r>
      <w:r w:rsidRPr="00184B62">
        <w:rPr>
          <w:rFonts w:ascii="Times New Roman" w:hAnsi="Times New Roman"/>
          <w:sz w:val="24"/>
          <w:szCs w:val="24"/>
          <w:lang w:val="ru-RU"/>
        </w:rPr>
        <w:t xml:space="preserve">№ 2601/30.07.2013 г. </w:t>
      </w:r>
      <w:r w:rsidRPr="00184B62">
        <w:rPr>
          <w:rFonts w:ascii="Times New Roman" w:hAnsi="Times New Roman"/>
          <w:sz w:val="24"/>
          <w:szCs w:val="24"/>
        </w:rPr>
        <w:t>"</w:t>
      </w:r>
      <w:r w:rsidRPr="00184B62">
        <w:rPr>
          <w:rFonts w:ascii="Times New Roman" w:hAnsi="Times New Roman"/>
          <w:sz w:val="24"/>
          <w:szCs w:val="24"/>
          <w:lang w:val="ru-RU"/>
        </w:rPr>
        <w:t>Теренни проучвания на разпространение и численост на безгръбначни животни</w:t>
      </w:r>
      <w:r w:rsidRPr="00184B62">
        <w:rPr>
          <w:rFonts w:ascii="Times New Roman" w:hAnsi="Times New Roman"/>
          <w:sz w:val="24"/>
          <w:szCs w:val="24"/>
        </w:rPr>
        <w:t xml:space="preserve">", финансиран от Изпълнителна агенция по околна среда (ИАОС), през м. септември 2014 г. е проведена експедиция по р. Дунав и прилежащите ѝ стоящи водоеми. В рамките на експедицията ЗЗ “Сребърна” е </w:t>
      </w:r>
      <w:r w:rsidRPr="00184B62">
        <w:rPr>
          <w:rFonts w:ascii="Times New Roman" w:hAnsi="Times New Roman"/>
          <w:sz w:val="24"/>
          <w:szCs w:val="24"/>
        </w:rPr>
        <w:lastRenderedPageBreak/>
        <w:t xml:space="preserve">изследвана в 1 участък (10 </w:t>
      </w:r>
      <w:r w:rsidRPr="00184B62">
        <w:rPr>
          <w:rFonts w:ascii="Times New Roman" w:hAnsi="Times New Roman"/>
          <w:sz w:val="24"/>
          <w:szCs w:val="24"/>
          <w:lang w:val="en-US"/>
        </w:rPr>
        <w:t xml:space="preserve">m </w:t>
      </w:r>
      <w:r w:rsidRPr="00184B62">
        <w:rPr>
          <w:rFonts w:ascii="Times New Roman" w:hAnsi="Times New Roman"/>
          <w:sz w:val="24"/>
          <w:szCs w:val="24"/>
        </w:rPr>
        <w:t>трансект в литоралната зона на езерото при кея под музейната сграда), в който не са установени</w:t>
      </w:r>
      <w:r w:rsidRPr="00184B62">
        <w:rPr>
          <w:rFonts w:ascii="Times New Roman" w:eastAsia="Calibri" w:hAnsi="Times New Roman"/>
          <w:sz w:val="24"/>
          <w:szCs w:val="24"/>
        </w:rPr>
        <w:t xml:space="preserve"> индивиди на ивичестия теодоксус.</w:t>
      </w:r>
    </w:p>
    <w:p w:rsidR="00184B62" w:rsidRPr="00184B62" w:rsidRDefault="00184B62" w:rsidP="00715A84">
      <w:pPr>
        <w:spacing w:after="0" w:line="240" w:lineRule="auto"/>
        <w:ind w:firstLine="709"/>
        <w:jc w:val="both"/>
        <w:rPr>
          <w:rFonts w:ascii="Times New Roman" w:eastAsia="Calibri" w:hAnsi="Times New Roman"/>
          <w:sz w:val="24"/>
          <w:szCs w:val="24"/>
        </w:rPr>
      </w:pPr>
      <w:r w:rsidRPr="00184B62">
        <w:rPr>
          <w:rFonts w:ascii="Times New Roman" w:eastAsia="Calibri" w:hAnsi="Times New Roman"/>
          <w:sz w:val="24"/>
          <w:szCs w:val="24"/>
        </w:rPr>
        <w:t xml:space="preserve">В рамките на проекта </w:t>
      </w:r>
      <w:r w:rsidRPr="00184B62">
        <w:rPr>
          <w:rFonts w:ascii="Times New Roman" w:hAnsi="Times New Roman"/>
          <w:sz w:val="24"/>
          <w:szCs w:val="24"/>
        </w:rPr>
        <w:t xml:space="preserve">ESENIAS-TOOLS (Д-33-51/30.06.2015 г.), финансиран от Финансовия механизъм на Европейското икономическо пространство, програма BG03 „Биологично разнообразие и екосистеми“, през 2015 и 2016 г. са проведени няколко експедиции по р. Дунав и прилежащите ѝ стоящи водоеми. По време на една от тях, през м. юни 2016 г., в ЗЗ „Сребърна“ е изследван 1 участък от зоната (10 </w:t>
      </w:r>
      <w:r w:rsidRPr="00184B62">
        <w:rPr>
          <w:rFonts w:ascii="Times New Roman" w:hAnsi="Times New Roman"/>
          <w:sz w:val="24"/>
          <w:szCs w:val="24"/>
          <w:lang w:val="en-US"/>
        </w:rPr>
        <w:t xml:space="preserve">m </w:t>
      </w:r>
      <w:r w:rsidRPr="00184B62">
        <w:rPr>
          <w:rFonts w:ascii="Times New Roman" w:hAnsi="Times New Roman"/>
          <w:sz w:val="24"/>
          <w:szCs w:val="24"/>
        </w:rPr>
        <w:t>трансект при кея под музейната сграда), в който също не е регистрирано присъствието на ивичестия теодоксус</w:t>
      </w:r>
      <w:r w:rsidRPr="00184B62">
        <w:rPr>
          <w:rFonts w:ascii="Times New Roman" w:eastAsia="Calibri" w:hAnsi="Times New Roman"/>
          <w:sz w:val="24"/>
          <w:szCs w:val="24"/>
        </w:rPr>
        <w:t>.</w:t>
      </w:r>
    </w:p>
    <w:p w:rsidR="00184B62" w:rsidRPr="00184B62" w:rsidRDefault="00184B62" w:rsidP="00715A84">
      <w:pPr>
        <w:spacing w:after="0" w:line="240" w:lineRule="auto"/>
        <w:ind w:firstLine="709"/>
        <w:jc w:val="both"/>
        <w:rPr>
          <w:rFonts w:ascii="Times New Roman" w:eastAsia="Calibri" w:hAnsi="Times New Roman"/>
          <w:sz w:val="24"/>
          <w:szCs w:val="24"/>
        </w:rPr>
      </w:pPr>
      <w:r w:rsidRPr="00184B62">
        <w:rPr>
          <w:rFonts w:ascii="Times New Roman" w:hAnsi="Times New Roman"/>
          <w:sz w:val="24"/>
          <w:szCs w:val="24"/>
          <w:lang w:val="ru-RU"/>
        </w:rPr>
        <w:t xml:space="preserve">По проект </w:t>
      </w:r>
      <w:r w:rsidRPr="00184B62">
        <w:rPr>
          <w:rFonts w:ascii="Times New Roman" w:hAnsi="Times New Roman"/>
          <w:sz w:val="24"/>
          <w:szCs w:val="24"/>
        </w:rPr>
        <w:t>„</w:t>
      </w:r>
      <w:r w:rsidRPr="00184B62">
        <w:rPr>
          <w:rFonts w:ascii="Times New Roman" w:hAnsi="Times New Roman"/>
          <w:sz w:val="24"/>
          <w:szCs w:val="24"/>
          <w:lang w:val="ru-RU"/>
        </w:rPr>
        <w:t xml:space="preserve">Проучване и оценка на екологичното състояние на българския участък на р. Дунав в рамките на четвъртата международна програма </w:t>
      </w:r>
      <w:r w:rsidRPr="00184B62">
        <w:rPr>
          <w:rFonts w:ascii="Times New Roman" w:hAnsi="Times New Roman"/>
          <w:sz w:val="24"/>
          <w:szCs w:val="24"/>
        </w:rPr>
        <w:t>Joint</w:t>
      </w:r>
      <w:r w:rsidRPr="00184B62">
        <w:rPr>
          <w:rFonts w:ascii="Times New Roman" w:hAnsi="Times New Roman"/>
          <w:sz w:val="24"/>
          <w:szCs w:val="24"/>
          <w:lang w:val="ru-RU"/>
        </w:rPr>
        <w:t xml:space="preserve"> </w:t>
      </w:r>
      <w:r w:rsidRPr="00184B62">
        <w:rPr>
          <w:rFonts w:ascii="Times New Roman" w:hAnsi="Times New Roman"/>
          <w:sz w:val="24"/>
          <w:szCs w:val="24"/>
        </w:rPr>
        <w:t>Danube</w:t>
      </w:r>
      <w:r w:rsidRPr="00184B62">
        <w:rPr>
          <w:rFonts w:ascii="Times New Roman" w:hAnsi="Times New Roman"/>
          <w:sz w:val="24"/>
          <w:szCs w:val="24"/>
          <w:lang w:val="ru-RU"/>
        </w:rPr>
        <w:t xml:space="preserve"> </w:t>
      </w:r>
      <w:r w:rsidRPr="00184B62">
        <w:rPr>
          <w:rFonts w:ascii="Times New Roman" w:hAnsi="Times New Roman"/>
          <w:sz w:val="24"/>
          <w:szCs w:val="24"/>
        </w:rPr>
        <w:t>Survey</w:t>
      </w:r>
      <w:r w:rsidRPr="00184B62">
        <w:rPr>
          <w:rFonts w:ascii="Times New Roman" w:hAnsi="Times New Roman"/>
          <w:sz w:val="24"/>
          <w:szCs w:val="24"/>
          <w:lang w:val="ru-RU"/>
        </w:rPr>
        <w:t xml:space="preserve"> (</w:t>
      </w:r>
      <w:r w:rsidRPr="00184B62">
        <w:rPr>
          <w:rFonts w:ascii="Times New Roman" w:hAnsi="Times New Roman"/>
          <w:sz w:val="24"/>
          <w:szCs w:val="24"/>
        </w:rPr>
        <w:t>JDS</w:t>
      </w:r>
      <w:r w:rsidRPr="00184B62">
        <w:rPr>
          <w:rFonts w:ascii="Times New Roman" w:hAnsi="Times New Roman"/>
          <w:sz w:val="24"/>
          <w:szCs w:val="24"/>
          <w:lang w:val="ru-RU"/>
        </w:rPr>
        <w:t>4) през 2019 г.</w:t>
      </w:r>
      <w:r w:rsidRPr="00184B62">
        <w:rPr>
          <w:rFonts w:ascii="Times New Roman" w:hAnsi="Times New Roman"/>
          <w:sz w:val="24"/>
          <w:szCs w:val="24"/>
          <w:lang w:val="en-US"/>
        </w:rPr>
        <w:t>”</w:t>
      </w:r>
      <w:r w:rsidRPr="00184B62">
        <w:rPr>
          <w:rFonts w:ascii="Times New Roman" w:hAnsi="Times New Roman"/>
          <w:sz w:val="24"/>
          <w:szCs w:val="24"/>
        </w:rPr>
        <w:t>,</w:t>
      </w:r>
      <w:r w:rsidRPr="00184B62">
        <w:rPr>
          <w:rFonts w:ascii="Times New Roman" w:hAnsi="Times New Roman"/>
          <w:sz w:val="24"/>
          <w:szCs w:val="24"/>
          <w:lang w:val="ru-RU"/>
        </w:rPr>
        <w:t xml:space="preserve"> финансиран от ПУДООС, са проведени 2 експедиции по р. Дунав. През м. юли 2019 г. ЗЗ </w:t>
      </w:r>
      <w:r w:rsidRPr="00184B62">
        <w:rPr>
          <w:rFonts w:ascii="Times New Roman" w:hAnsi="Times New Roman"/>
          <w:sz w:val="24"/>
          <w:szCs w:val="24"/>
        </w:rPr>
        <w:t xml:space="preserve">“Сребърна” е изследвана в </w:t>
      </w:r>
      <w:r w:rsidRPr="00184B62">
        <w:rPr>
          <w:rFonts w:ascii="Times New Roman" w:eastAsia="Calibri" w:hAnsi="Times New Roman"/>
          <w:sz w:val="24"/>
          <w:szCs w:val="24"/>
        </w:rPr>
        <w:t xml:space="preserve">2 участъка (10 </w:t>
      </w:r>
      <w:r w:rsidRPr="00184B62">
        <w:rPr>
          <w:rFonts w:ascii="Times New Roman" w:eastAsia="Calibri" w:hAnsi="Times New Roman"/>
          <w:sz w:val="24"/>
          <w:szCs w:val="24"/>
          <w:lang w:val="en-US"/>
        </w:rPr>
        <w:t>m</w:t>
      </w:r>
      <w:r w:rsidRPr="00184B62">
        <w:rPr>
          <w:rFonts w:ascii="Times New Roman" w:eastAsia="Calibri" w:hAnsi="Times New Roman"/>
          <w:sz w:val="24"/>
          <w:szCs w:val="24"/>
        </w:rPr>
        <w:t xml:space="preserve"> трансекти): един трансект при кея под музея и 1 трансект в югоизточната част на езерото, под главния път за Силистра. И в двата трансекта </w:t>
      </w:r>
      <w:r w:rsidRPr="00184B62">
        <w:rPr>
          <w:rFonts w:ascii="Times New Roman" w:hAnsi="Times New Roman"/>
          <w:sz w:val="24"/>
          <w:szCs w:val="24"/>
        </w:rPr>
        <w:t>не са установени</w:t>
      </w:r>
      <w:r w:rsidRPr="00184B62">
        <w:rPr>
          <w:rFonts w:ascii="Times New Roman" w:eastAsia="Calibri" w:hAnsi="Times New Roman"/>
          <w:sz w:val="24"/>
          <w:szCs w:val="24"/>
        </w:rPr>
        <w:t xml:space="preserve"> индивиди на ивичестия теодоксус.</w:t>
      </w:r>
    </w:p>
    <w:p w:rsidR="00184B62" w:rsidRPr="00184B62" w:rsidRDefault="00184B62" w:rsidP="00715A84">
      <w:pPr>
        <w:spacing w:after="0" w:line="240" w:lineRule="auto"/>
        <w:ind w:firstLine="709"/>
        <w:jc w:val="both"/>
        <w:rPr>
          <w:rFonts w:ascii="Times New Roman" w:eastAsia="Calibri" w:hAnsi="Times New Roman"/>
          <w:i/>
          <w:sz w:val="24"/>
          <w:szCs w:val="24"/>
        </w:rPr>
      </w:pPr>
      <w:r w:rsidRPr="00184B62">
        <w:rPr>
          <w:rFonts w:ascii="Times New Roman" w:eastAsia="Calibri" w:hAnsi="Times New Roman"/>
          <w:i/>
          <w:sz w:val="24"/>
          <w:szCs w:val="24"/>
        </w:rPr>
        <w:t>Данни от теренните изследвания през 2021 г.</w:t>
      </w:r>
    </w:p>
    <w:p w:rsidR="00184B62" w:rsidRPr="00184B62" w:rsidRDefault="00184B62" w:rsidP="00715A84">
      <w:pPr>
        <w:spacing w:after="0" w:line="240" w:lineRule="auto"/>
        <w:ind w:firstLine="709"/>
        <w:jc w:val="both"/>
        <w:rPr>
          <w:rFonts w:ascii="Times New Roman" w:eastAsia="Calibri" w:hAnsi="Times New Roman"/>
          <w:sz w:val="24"/>
          <w:szCs w:val="24"/>
        </w:rPr>
      </w:pPr>
      <w:r w:rsidRPr="00184B62">
        <w:rPr>
          <w:rFonts w:ascii="Times New Roman" w:eastAsia="Calibri" w:hAnsi="Times New Roman"/>
          <w:sz w:val="24"/>
          <w:szCs w:val="24"/>
        </w:rPr>
        <w:t xml:space="preserve">През м. август 2021 г. беше проведено теренно проучване в ЗЗ „Сребърна“ при сравнително ниско ниво на р. Дунав и подходящи условия за провеждането на изследвания. В езерото бяха проучени три 10 </w:t>
      </w:r>
      <w:r w:rsidRPr="00184B62">
        <w:rPr>
          <w:rFonts w:ascii="Times New Roman" w:eastAsia="Calibri" w:hAnsi="Times New Roman"/>
          <w:sz w:val="24"/>
          <w:szCs w:val="24"/>
          <w:lang w:val="en-US"/>
        </w:rPr>
        <w:t>m</w:t>
      </w:r>
      <w:r w:rsidRPr="00184B62">
        <w:rPr>
          <w:rFonts w:ascii="Times New Roman" w:eastAsia="Calibri" w:hAnsi="Times New Roman"/>
          <w:sz w:val="24"/>
          <w:szCs w:val="24"/>
        </w:rPr>
        <w:t xml:space="preserve"> трансекта: един трансект при кея под музея и 2 трансекта в югоизточната част на езерото, под главния път за Силистра. И в трите трансекта от езерото </w:t>
      </w:r>
      <w:r w:rsidRPr="00184B62">
        <w:rPr>
          <w:rFonts w:ascii="Times New Roman" w:hAnsi="Times New Roman"/>
          <w:sz w:val="24"/>
          <w:szCs w:val="24"/>
        </w:rPr>
        <w:t>не бяха установени</w:t>
      </w:r>
      <w:r w:rsidRPr="00184B62">
        <w:rPr>
          <w:rFonts w:ascii="Times New Roman" w:eastAsia="Calibri" w:hAnsi="Times New Roman"/>
          <w:sz w:val="24"/>
          <w:szCs w:val="24"/>
        </w:rPr>
        <w:t xml:space="preserve"> индивиди на ивичестия теодоксус. Освен в езерото „Сребърна“ бяха изследвани и два 10 </w:t>
      </w:r>
      <w:r w:rsidRPr="00184B62">
        <w:rPr>
          <w:rFonts w:ascii="Times New Roman" w:eastAsia="Calibri" w:hAnsi="Times New Roman"/>
          <w:sz w:val="24"/>
          <w:szCs w:val="24"/>
          <w:lang w:val="en-US"/>
        </w:rPr>
        <w:t>m</w:t>
      </w:r>
      <w:r w:rsidRPr="00184B62">
        <w:rPr>
          <w:rFonts w:ascii="Times New Roman" w:eastAsia="Calibri" w:hAnsi="Times New Roman"/>
          <w:sz w:val="24"/>
          <w:szCs w:val="24"/>
        </w:rPr>
        <w:t xml:space="preserve"> трансекта от литорала на р. Дунав в челото и от вътрешната страна на о-в Комлука. В трансекта от челото на острова бяха регистрирани 2 живи индивида на ивичестия теодоксус, а в другия трансект видът не беше установен </w:t>
      </w:r>
      <w:r w:rsidRPr="00184B62">
        <w:rPr>
          <w:rFonts w:ascii="Times New Roman" w:hAnsi="Times New Roman"/>
          <w:sz w:val="24"/>
          <w:szCs w:val="24"/>
        </w:rPr>
        <w:t xml:space="preserve">(средно обилие 0,1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m</w:t>
      </w:r>
      <w:r w:rsidRPr="00184B62">
        <w:rPr>
          <w:rFonts w:ascii="Times New Roman" w:hAnsi="Times New Roman"/>
          <w:sz w:val="24"/>
          <w:szCs w:val="24"/>
          <w:vertAlign w:val="superscript"/>
        </w:rPr>
        <w:t>2</w:t>
      </w:r>
      <w:r w:rsidRPr="00184B62">
        <w:rPr>
          <w:rFonts w:ascii="Times New Roman" w:hAnsi="Times New Roman"/>
          <w:sz w:val="24"/>
          <w:szCs w:val="24"/>
        </w:rPr>
        <w:t xml:space="preserve"> или 100</w:t>
      </w:r>
      <w:r w:rsidRPr="00184B62">
        <w:rPr>
          <w:rFonts w:ascii="Times New Roman" w:hAnsi="Times New Roman"/>
          <w:sz w:val="24"/>
          <w:szCs w:val="24"/>
          <w:lang w:val="en-US"/>
        </w:rPr>
        <w:t>0</w:t>
      </w:r>
      <w:r w:rsidRPr="00184B62">
        <w:rPr>
          <w:rFonts w:ascii="Times New Roman" w:hAnsi="Times New Roman"/>
          <w:sz w:val="24"/>
          <w:szCs w:val="24"/>
        </w:rPr>
        <w:t xml:space="preserve">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ha</w:t>
      </w:r>
      <w:r w:rsidRPr="00184B62">
        <w:rPr>
          <w:rFonts w:ascii="Times New Roman" w:hAnsi="Times New Roman"/>
          <w:sz w:val="24"/>
          <w:szCs w:val="24"/>
        </w:rPr>
        <w:t>)</w:t>
      </w:r>
      <w:r w:rsidRPr="00184B62">
        <w:rPr>
          <w:rFonts w:ascii="Times New Roman" w:eastAsia="Calibri" w:hAnsi="Times New Roman"/>
          <w:sz w:val="24"/>
          <w:szCs w:val="24"/>
        </w:rPr>
        <w:t>.</w:t>
      </w:r>
    </w:p>
    <w:p w:rsidR="00184B62" w:rsidRPr="00184B62" w:rsidRDefault="00184B62" w:rsidP="00715A84">
      <w:pPr>
        <w:spacing w:after="0" w:line="240" w:lineRule="auto"/>
        <w:ind w:firstLine="709"/>
        <w:jc w:val="both"/>
        <w:rPr>
          <w:rFonts w:ascii="Times New Roman" w:hAnsi="Times New Roman"/>
          <w:sz w:val="24"/>
          <w:szCs w:val="24"/>
        </w:rPr>
      </w:pPr>
      <w:r w:rsidRPr="00184B62">
        <w:rPr>
          <w:rFonts w:ascii="Times New Roman" w:hAnsi="Times New Roman"/>
          <w:sz w:val="24"/>
          <w:szCs w:val="24"/>
        </w:rPr>
        <w:t xml:space="preserve">Най-общо резултатите от всички тези изследвания показват, че ивичестият теодоксус се среща в ЗЗ „Сребърна“, но само в ограничен участък от литорала на р. Дунав </w:t>
      </w:r>
      <w:r w:rsidRPr="00184B62">
        <w:rPr>
          <w:rFonts w:ascii="Times New Roman" w:eastAsia="Calibri" w:hAnsi="Times New Roman"/>
          <w:sz w:val="24"/>
          <w:szCs w:val="24"/>
        </w:rPr>
        <w:t>в челото на о-в Комлука, т.е. площта на потенциалните местообитания на вида в зоната е изключително малка спрямо общата площ на защитената зона. В самото ез. „Сребърна“</w:t>
      </w:r>
      <w:r w:rsidRPr="00184B62">
        <w:rPr>
          <w:rFonts w:ascii="Times New Roman" w:hAnsi="Times New Roman"/>
          <w:sz w:val="24"/>
          <w:szCs w:val="24"/>
        </w:rPr>
        <w:t xml:space="preserve"> няма подходящи местообитания за теодоксуса, тъй като той е </w:t>
      </w:r>
      <w:r w:rsidRPr="00184B62">
        <w:rPr>
          <w:rFonts w:ascii="Times New Roman" w:hAnsi="Times New Roman"/>
          <w:noProof/>
          <w:sz w:val="24"/>
          <w:szCs w:val="24"/>
        </w:rPr>
        <w:t xml:space="preserve">литореофилен вид, който живее в бавнотечащи, чисти и богати на кислород води, не понася еутрофикация и изисква наличие на твърд дънен субстрат. Фактът, че почти всички изследвания в района са били насочени основно към изследване на самото езеро, а не на литоралната зона на р. Дунав при о-в Комлука е може би основната причина ивичестият теодоксус да бъде регистриран в </w:t>
      </w:r>
      <w:r w:rsidRPr="00184B62">
        <w:rPr>
          <w:rFonts w:ascii="Times New Roman" w:hAnsi="Times New Roman"/>
          <w:sz w:val="24"/>
          <w:szCs w:val="24"/>
        </w:rPr>
        <w:t>ЗЗ „Сребърна“ сравнително наскоро.</w:t>
      </w:r>
    </w:p>
    <w:p w:rsidR="00184B62" w:rsidRPr="00184B62" w:rsidRDefault="00184B62" w:rsidP="00715A84">
      <w:pPr>
        <w:spacing w:before="120"/>
        <w:rPr>
          <w:rFonts w:ascii="Times New Roman" w:hAnsi="Times New Roman"/>
          <w:b/>
          <w:sz w:val="24"/>
          <w:szCs w:val="24"/>
        </w:rPr>
      </w:pPr>
      <w:r w:rsidRPr="00184B62">
        <w:rPr>
          <w:rFonts w:ascii="Times New Roman" w:hAnsi="Times New Roman"/>
          <w:b/>
          <w:sz w:val="24"/>
          <w:szCs w:val="24"/>
        </w:rPr>
        <w:t>6. Цели за подобряване/поддържане на природозащитното състояние на вида в зоната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4"/>
        <w:gridCol w:w="1418"/>
        <w:gridCol w:w="2693"/>
        <w:gridCol w:w="1701"/>
      </w:tblGrid>
      <w:tr w:rsidR="00184B62" w:rsidRPr="00715A84" w:rsidTr="005A0A3C">
        <w:trPr>
          <w:tblHeader/>
        </w:trPr>
        <w:tc>
          <w:tcPr>
            <w:tcW w:w="1526" w:type="dxa"/>
            <w:shd w:val="clear" w:color="auto" w:fill="DEEAF6"/>
            <w:vAlign w:val="center"/>
          </w:tcPr>
          <w:p w:rsidR="00184B62" w:rsidRPr="003A4F26" w:rsidRDefault="00184B62" w:rsidP="00184B62">
            <w:pPr>
              <w:spacing w:after="0" w:line="240" w:lineRule="auto"/>
              <w:rPr>
                <w:rFonts w:ascii="Times New Roman" w:eastAsia="Calibri" w:hAnsi="Times New Roman"/>
                <w:b/>
                <w:bCs/>
                <w:noProof/>
                <w:sz w:val="20"/>
                <w:szCs w:val="20"/>
              </w:rPr>
            </w:pPr>
            <w:r w:rsidRPr="003A4F26">
              <w:rPr>
                <w:rFonts w:ascii="Times New Roman" w:eastAsia="Calibri" w:hAnsi="Times New Roman"/>
                <w:b/>
                <w:bCs/>
                <w:noProof/>
                <w:sz w:val="20"/>
                <w:szCs w:val="20"/>
              </w:rPr>
              <w:t>Параметър</w:t>
            </w:r>
          </w:p>
        </w:tc>
        <w:tc>
          <w:tcPr>
            <w:tcW w:w="1984" w:type="dxa"/>
            <w:shd w:val="clear" w:color="auto" w:fill="DEEAF6"/>
            <w:vAlign w:val="center"/>
          </w:tcPr>
          <w:p w:rsidR="00184B62" w:rsidRPr="00715A84" w:rsidRDefault="00184B62" w:rsidP="00184B62">
            <w:pPr>
              <w:spacing w:after="0" w:line="240" w:lineRule="auto"/>
              <w:rPr>
                <w:rFonts w:ascii="Times New Roman" w:eastAsia="Calibri" w:hAnsi="Times New Roman"/>
                <w:b/>
                <w:bCs/>
                <w:noProof/>
                <w:sz w:val="20"/>
                <w:szCs w:val="20"/>
              </w:rPr>
            </w:pPr>
            <w:r w:rsidRPr="00715A84">
              <w:rPr>
                <w:rFonts w:ascii="Times New Roman" w:eastAsia="Calibri" w:hAnsi="Times New Roman"/>
                <w:b/>
                <w:bCs/>
                <w:noProof/>
                <w:sz w:val="20"/>
                <w:szCs w:val="20"/>
              </w:rPr>
              <w:t>Мерна единица</w:t>
            </w:r>
          </w:p>
        </w:tc>
        <w:tc>
          <w:tcPr>
            <w:tcW w:w="1418" w:type="dxa"/>
            <w:shd w:val="clear" w:color="auto" w:fill="DEEAF6"/>
            <w:vAlign w:val="center"/>
          </w:tcPr>
          <w:p w:rsidR="00184B62" w:rsidRPr="00715A84" w:rsidRDefault="00184B62" w:rsidP="00184B62">
            <w:pPr>
              <w:spacing w:after="0" w:line="240" w:lineRule="auto"/>
              <w:rPr>
                <w:rFonts w:ascii="Times New Roman" w:eastAsia="Calibri" w:hAnsi="Times New Roman"/>
                <w:b/>
                <w:bCs/>
                <w:noProof/>
                <w:sz w:val="20"/>
                <w:szCs w:val="20"/>
              </w:rPr>
            </w:pPr>
            <w:r w:rsidRPr="00715A84">
              <w:rPr>
                <w:rFonts w:ascii="Times New Roman" w:eastAsia="Calibri" w:hAnsi="Times New Roman"/>
                <w:b/>
                <w:bCs/>
                <w:noProof/>
                <w:sz w:val="20"/>
                <w:szCs w:val="20"/>
              </w:rPr>
              <w:t>Целева стойност</w:t>
            </w:r>
          </w:p>
        </w:tc>
        <w:tc>
          <w:tcPr>
            <w:tcW w:w="2693" w:type="dxa"/>
            <w:shd w:val="clear" w:color="auto" w:fill="DEEAF6"/>
            <w:vAlign w:val="center"/>
          </w:tcPr>
          <w:p w:rsidR="00184B62" w:rsidRPr="00715A84" w:rsidRDefault="00184B62" w:rsidP="00184B62">
            <w:pPr>
              <w:spacing w:after="0" w:line="240" w:lineRule="auto"/>
              <w:rPr>
                <w:rFonts w:ascii="Times New Roman" w:eastAsia="Calibri" w:hAnsi="Times New Roman"/>
                <w:b/>
                <w:bCs/>
                <w:noProof/>
                <w:sz w:val="20"/>
                <w:szCs w:val="20"/>
              </w:rPr>
            </w:pPr>
            <w:r w:rsidRPr="00715A84">
              <w:rPr>
                <w:rFonts w:ascii="Times New Roman" w:eastAsia="Calibri" w:hAnsi="Times New Roman"/>
                <w:b/>
                <w:bCs/>
                <w:noProof/>
                <w:sz w:val="20"/>
                <w:szCs w:val="20"/>
              </w:rPr>
              <w:t>Допълнителна информация</w:t>
            </w:r>
          </w:p>
        </w:tc>
        <w:tc>
          <w:tcPr>
            <w:tcW w:w="1701" w:type="dxa"/>
            <w:shd w:val="clear" w:color="auto" w:fill="DEEAF6"/>
          </w:tcPr>
          <w:p w:rsidR="00184B62" w:rsidRPr="00715A84" w:rsidRDefault="00184B62" w:rsidP="00184B62">
            <w:pPr>
              <w:spacing w:after="0" w:line="240" w:lineRule="auto"/>
              <w:rPr>
                <w:rFonts w:ascii="Times New Roman" w:eastAsia="Calibri" w:hAnsi="Times New Roman"/>
                <w:b/>
                <w:bCs/>
                <w:noProof/>
                <w:sz w:val="20"/>
                <w:szCs w:val="20"/>
              </w:rPr>
            </w:pPr>
            <w:r w:rsidRPr="00715A84">
              <w:rPr>
                <w:rFonts w:ascii="Times New Roman" w:eastAsia="Calibri" w:hAnsi="Times New Roman"/>
                <w:b/>
                <w:bCs/>
                <w:noProof/>
                <w:sz w:val="20"/>
                <w:szCs w:val="20"/>
              </w:rPr>
              <w:t>Специфични природозащитни цели за защитената зона</w:t>
            </w:r>
          </w:p>
        </w:tc>
      </w:tr>
      <w:tr w:rsidR="00184B62" w:rsidRPr="00184B62" w:rsidTr="005A0A3C">
        <w:tc>
          <w:tcPr>
            <w:tcW w:w="1526" w:type="dxa"/>
            <w:shd w:val="clear" w:color="auto" w:fill="auto"/>
          </w:tcPr>
          <w:p w:rsidR="00184B62" w:rsidRPr="003A4F26" w:rsidRDefault="00184B62" w:rsidP="00184B62">
            <w:pPr>
              <w:contextualSpacing/>
              <w:rPr>
                <w:rFonts w:ascii="Times New Roman" w:hAnsi="Times New Roman"/>
                <w:b/>
                <w:sz w:val="20"/>
                <w:szCs w:val="20"/>
              </w:rPr>
            </w:pPr>
            <w:r w:rsidRPr="003A4F26">
              <w:rPr>
                <w:rFonts w:ascii="Times New Roman" w:hAnsi="Times New Roman"/>
                <w:b/>
                <w:sz w:val="20"/>
                <w:szCs w:val="20"/>
              </w:rPr>
              <w:t>Популация: Брой находища на вида в зоната</w:t>
            </w:r>
          </w:p>
        </w:tc>
        <w:tc>
          <w:tcPr>
            <w:tcW w:w="1984"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eastAsia="Calibri" w:hAnsi="Times New Roman"/>
                <w:sz w:val="20"/>
                <w:szCs w:val="20"/>
              </w:rPr>
              <w:t xml:space="preserve">Брой квадрати 1х1 </w:t>
            </w:r>
            <w:r w:rsidRPr="00184B62">
              <w:rPr>
                <w:rFonts w:ascii="Times New Roman" w:eastAsia="Calibri" w:hAnsi="Times New Roman"/>
                <w:sz w:val="20"/>
                <w:szCs w:val="20"/>
                <w:lang w:val="en-US"/>
              </w:rPr>
              <w:t>km</w:t>
            </w:r>
            <w:r w:rsidRPr="00184B62">
              <w:rPr>
                <w:rFonts w:ascii="Times New Roman" w:eastAsia="Calibri" w:hAnsi="Times New Roman"/>
                <w:sz w:val="20"/>
                <w:szCs w:val="20"/>
              </w:rPr>
              <w:t xml:space="preserve"> с регистрация на индивиди или техни останки</w:t>
            </w:r>
          </w:p>
        </w:tc>
        <w:tc>
          <w:tcPr>
            <w:tcW w:w="1418" w:type="dxa"/>
            <w:shd w:val="clear" w:color="auto" w:fill="auto"/>
          </w:tcPr>
          <w:p w:rsidR="00184B62" w:rsidRPr="00184B62" w:rsidRDefault="00184B62" w:rsidP="00184B62">
            <w:pPr>
              <w:contextualSpacing/>
              <w:jc w:val="center"/>
              <w:rPr>
                <w:rFonts w:ascii="Times New Roman" w:hAnsi="Times New Roman"/>
                <w:sz w:val="20"/>
                <w:szCs w:val="20"/>
                <w:lang w:val="en-US"/>
              </w:rPr>
            </w:pPr>
            <w:r w:rsidRPr="00184B62">
              <w:rPr>
                <w:rFonts w:ascii="Times New Roman" w:hAnsi="Times New Roman"/>
                <w:sz w:val="20"/>
                <w:szCs w:val="20"/>
              </w:rPr>
              <w:t xml:space="preserve">Най-малко </w:t>
            </w:r>
            <w:r w:rsidRPr="00184B62">
              <w:rPr>
                <w:rFonts w:ascii="Times New Roman" w:hAnsi="Times New Roman"/>
                <w:sz w:val="20"/>
                <w:szCs w:val="20"/>
                <w:lang w:val="en-US"/>
              </w:rPr>
              <w:t>1</w:t>
            </w:r>
          </w:p>
        </w:tc>
        <w:tc>
          <w:tcPr>
            <w:tcW w:w="269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При проведените теренни изследвания през периода 201</w:t>
            </w:r>
            <w:r w:rsidRPr="00184B62">
              <w:rPr>
                <w:rFonts w:ascii="Times New Roman" w:eastAsia="Calibri" w:hAnsi="Times New Roman"/>
                <w:sz w:val="20"/>
                <w:szCs w:val="20"/>
                <w:lang w:val="en-US"/>
              </w:rPr>
              <w:t>4</w:t>
            </w:r>
            <w:r w:rsidRPr="00184B62">
              <w:rPr>
                <w:rFonts w:ascii="Times New Roman" w:eastAsia="Calibri" w:hAnsi="Times New Roman"/>
                <w:sz w:val="20"/>
                <w:szCs w:val="20"/>
              </w:rPr>
              <w:t xml:space="preserve">-2021 г. видът е регистриран отново от района на първото му находище (челото на о-в </w:t>
            </w:r>
            <w:r w:rsidRPr="00184B62">
              <w:rPr>
                <w:rFonts w:ascii="Times New Roman" w:eastAsia="Calibri" w:hAnsi="Times New Roman"/>
                <w:sz w:val="20"/>
                <w:szCs w:val="20"/>
              </w:rPr>
              <w:lastRenderedPageBreak/>
              <w:t xml:space="preserve">Комлука), като и двете регистрации на вида попадат в 1 квадрат 1х1 </w:t>
            </w:r>
            <w:r w:rsidRPr="00184B62">
              <w:rPr>
                <w:rFonts w:ascii="Times New Roman" w:eastAsia="Calibri" w:hAnsi="Times New Roman"/>
                <w:sz w:val="20"/>
                <w:szCs w:val="20"/>
                <w:lang w:val="en-US"/>
              </w:rPr>
              <w:t>km</w:t>
            </w:r>
            <w:r w:rsidRPr="00184B62">
              <w:rPr>
                <w:rFonts w:ascii="Times New Roman" w:eastAsia="Calibri" w:hAnsi="Times New Roman"/>
                <w:sz w:val="20"/>
                <w:szCs w:val="20"/>
              </w:rPr>
              <w:t xml:space="preserve">. Тук броят на находищата е дефиниран спрямо грид от 1х1 </w:t>
            </w:r>
            <w:r w:rsidRPr="00184B62">
              <w:rPr>
                <w:rFonts w:ascii="Times New Roman" w:eastAsia="Calibri" w:hAnsi="Times New Roman"/>
                <w:sz w:val="20"/>
                <w:szCs w:val="20"/>
                <w:lang w:val="en-US"/>
              </w:rPr>
              <w:t>km</w:t>
            </w:r>
            <w:r w:rsidRPr="00184B62">
              <w:rPr>
                <w:rFonts w:ascii="Times New Roman" w:eastAsia="Calibri" w:hAnsi="Times New Roman"/>
                <w:sz w:val="20"/>
                <w:szCs w:val="20"/>
              </w:rPr>
              <w:t>, т.е. за находище считаме всеки линеен километър по течението на обитаван от вида лотичен или квадратен километър от лентичен воден обект.</w:t>
            </w:r>
          </w:p>
        </w:tc>
        <w:tc>
          <w:tcPr>
            <w:tcW w:w="1701"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lang w:eastAsia="en-GB"/>
              </w:rPr>
              <w:lastRenderedPageBreak/>
              <w:t xml:space="preserve">Поддържане най-малко на </w:t>
            </w:r>
            <w:r w:rsidRPr="00184B62">
              <w:rPr>
                <w:rFonts w:ascii="Times New Roman" w:eastAsia="Calibri" w:hAnsi="Times New Roman"/>
                <w:sz w:val="20"/>
                <w:szCs w:val="20"/>
                <w:lang w:val="en-US" w:eastAsia="en-GB"/>
              </w:rPr>
              <w:t>1</w:t>
            </w:r>
            <w:r w:rsidRPr="00184B62">
              <w:rPr>
                <w:rFonts w:ascii="Times New Roman" w:eastAsia="Calibri" w:hAnsi="Times New Roman"/>
                <w:sz w:val="20"/>
                <w:szCs w:val="20"/>
                <w:lang w:eastAsia="en-GB"/>
              </w:rPr>
              <w:t xml:space="preserve"> квадрат с находища на вида в защитената зона.</w:t>
            </w:r>
          </w:p>
        </w:tc>
      </w:tr>
      <w:tr w:rsidR="00184B62" w:rsidRPr="00184B62" w:rsidTr="005A0A3C">
        <w:tc>
          <w:tcPr>
            <w:tcW w:w="1526" w:type="dxa"/>
            <w:shd w:val="clear" w:color="auto" w:fill="auto"/>
          </w:tcPr>
          <w:p w:rsidR="00184B62" w:rsidRPr="003A4F26" w:rsidRDefault="00184B62" w:rsidP="00184B62">
            <w:pPr>
              <w:contextualSpacing/>
              <w:rPr>
                <w:rFonts w:ascii="Times New Roman" w:hAnsi="Times New Roman"/>
                <w:b/>
                <w:sz w:val="20"/>
                <w:szCs w:val="20"/>
              </w:rPr>
            </w:pPr>
            <w:r w:rsidRPr="003A4F26">
              <w:rPr>
                <w:rFonts w:ascii="Times New Roman" w:hAnsi="Times New Roman"/>
                <w:b/>
                <w:sz w:val="20"/>
                <w:szCs w:val="20"/>
              </w:rPr>
              <w:lastRenderedPageBreak/>
              <w:t>Популация: Плътност на популацията</w:t>
            </w:r>
          </w:p>
        </w:tc>
        <w:tc>
          <w:tcPr>
            <w:tcW w:w="1984" w:type="dxa"/>
            <w:shd w:val="clear" w:color="auto" w:fill="auto"/>
          </w:tcPr>
          <w:p w:rsidR="00184B62" w:rsidRPr="00184B62" w:rsidRDefault="00184B62" w:rsidP="00184B62">
            <w:pPr>
              <w:contextualSpacing/>
              <w:jc w:val="center"/>
              <w:rPr>
                <w:rFonts w:ascii="Times New Roman" w:eastAsia="Calibri" w:hAnsi="Times New Roman"/>
                <w:sz w:val="20"/>
                <w:szCs w:val="20"/>
              </w:rPr>
            </w:pPr>
            <w:r w:rsidRPr="00184B62">
              <w:rPr>
                <w:rFonts w:ascii="Times New Roman" w:eastAsia="Calibri" w:hAnsi="Times New Roman"/>
                <w:sz w:val="20"/>
                <w:szCs w:val="20"/>
              </w:rPr>
              <w:t xml:space="preserve">Брой </w:t>
            </w:r>
            <w:r w:rsidRPr="00184B62">
              <w:rPr>
                <w:rFonts w:ascii="Times New Roman" w:eastAsia="Calibri" w:hAnsi="Times New Roman"/>
                <w:sz w:val="20"/>
                <w:szCs w:val="20"/>
                <w:lang w:val="en-GB"/>
              </w:rPr>
              <w:t>индивиди/</w:t>
            </w:r>
            <w:r w:rsidRPr="00184B62">
              <w:rPr>
                <w:rFonts w:ascii="Times New Roman" w:eastAsia="Calibri" w:hAnsi="Times New Roman"/>
                <w:sz w:val="20"/>
                <w:szCs w:val="20"/>
                <w:lang w:val="en-US"/>
              </w:rPr>
              <w:t>m</w:t>
            </w:r>
            <w:r w:rsidRPr="00184B62">
              <w:rPr>
                <w:rFonts w:ascii="Times New Roman" w:eastAsia="Calibri" w:hAnsi="Times New Roman"/>
                <w:sz w:val="20"/>
                <w:szCs w:val="20"/>
                <w:vertAlign w:val="superscript"/>
              </w:rPr>
              <w:t>2</w:t>
            </w:r>
          </w:p>
          <w:p w:rsidR="00184B62" w:rsidRPr="00184B62" w:rsidRDefault="00184B62" w:rsidP="00184B62">
            <w:pPr>
              <w:snapToGrid w:val="0"/>
              <w:jc w:val="center"/>
              <w:rPr>
                <w:rFonts w:ascii="Times New Roman" w:hAnsi="Times New Roman"/>
                <w:sz w:val="20"/>
                <w:szCs w:val="20"/>
              </w:rPr>
            </w:pPr>
            <w:r w:rsidRPr="00184B62">
              <w:rPr>
                <w:rFonts w:ascii="Times New Roman" w:hAnsi="Times New Roman"/>
                <w:sz w:val="20"/>
                <w:szCs w:val="20"/>
              </w:rPr>
              <w:t>Реф. ст-ст:</w:t>
            </w:r>
          </w:p>
        </w:tc>
        <w:tc>
          <w:tcPr>
            <w:tcW w:w="1418"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t>неизвестна</w:t>
            </w:r>
          </w:p>
        </w:tc>
        <w:tc>
          <w:tcPr>
            <w:tcW w:w="269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Плътността се определя като средна стойност от пробовземанията на единица площ от дъното на водоем (</w:t>
            </w:r>
            <w:r w:rsidRPr="00184B62">
              <w:rPr>
                <w:rFonts w:ascii="Times New Roman" w:eastAsia="Calibri" w:hAnsi="Times New Roman"/>
                <w:sz w:val="20"/>
                <w:szCs w:val="20"/>
                <w:lang w:val="en-US"/>
              </w:rPr>
              <w:t>m</w:t>
            </w:r>
            <w:r w:rsidRPr="00184B62">
              <w:rPr>
                <w:rFonts w:ascii="Times New Roman" w:eastAsia="Calibri" w:hAnsi="Times New Roman"/>
                <w:sz w:val="20"/>
                <w:szCs w:val="20"/>
                <w:vertAlign w:val="superscript"/>
              </w:rPr>
              <w:t>2</w:t>
            </w:r>
            <w:r w:rsidRPr="00184B62">
              <w:rPr>
                <w:rFonts w:ascii="Times New Roman" w:eastAsia="Calibri" w:hAnsi="Times New Roman"/>
                <w:sz w:val="20"/>
                <w:szCs w:val="20"/>
              </w:rPr>
              <w:t>) и екстраполация върху нефрагментирана част от местообитанието.</w:t>
            </w:r>
          </w:p>
        </w:tc>
        <w:tc>
          <w:tcPr>
            <w:tcW w:w="1701"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lang w:eastAsia="en-GB"/>
              </w:rPr>
              <w:t>Междинна цел: Да се установи референтната стойност на популацията в защитената зона, чрез провеждане на теренни проучвания, до 2025 г.</w:t>
            </w:r>
          </w:p>
        </w:tc>
      </w:tr>
      <w:tr w:rsidR="00184B62" w:rsidRPr="00184B62" w:rsidTr="005A0A3C">
        <w:tc>
          <w:tcPr>
            <w:tcW w:w="1526" w:type="dxa"/>
            <w:shd w:val="clear" w:color="auto" w:fill="auto"/>
          </w:tcPr>
          <w:p w:rsidR="00184B62" w:rsidRPr="003A4F26" w:rsidRDefault="00184B62" w:rsidP="00184B62">
            <w:pPr>
              <w:contextualSpacing/>
              <w:rPr>
                <w:rFonts w:ascii="Times New Roman" w:hAnsi="Times New Roman"/>
                <w:b/>
                <w:sz w:val="20"/>
                <w:szCs w:val="20"/>
                <w:lang w:val="en-US"/>
              </w:rPr>
            </w:pPr>
            <w:r w:rsidRPr="003A4F26">
              <w:rPr>
                <w:rFonts w:ascii="Times New Roman" w:hAnsi="Times New Roman"/>
                <w:b/>
                <w:sz w:val="20"/>
                <w:szCs w:val="20"/>
              </w:rPr>
              <w:t>Местообитание: Обща площ на потенциалните местообитания в зоната</w:t>
            </w:r>
          </w:p>
        </w:tc>
        <w:tc>
          <w:tcPr>
            <w:tcW w:w="1984"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t>Хектар (ha)</w:t>
            </w:r>
          </w:p>
        </w:tc>
        <w:tc>
          <w:tcPr>
            <w:tcW w:w="1418"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t>неизвестна</w:t>
            </w:r>
          </w:p>
        </w:tc>
        <w:tc>
          <w:tcPr>
            <w:tcW w:w="269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Не е изготвян Специфичен доклад за вида в зоната.</w:t>
            </w:r>
          </w:p>
        </w:tc>
        <w:tc>
          <w:tcPr>
            <w:tcW w:w="1701"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lang w:eastAsia="en-GB"/>
              </w:rPr>
              <w:t>Междинна цел: Да се установи общата площ на потенциалните местообитания на вида в защитената зона, чрез провеждане на теренни проучвания, до 2025 г.</w:t>
            </w:r>
          </w:p>
        </w:tc>
      </w:tr>
      <w:tr w:rsidR="00184B62" w:rsidRPr="00184B62" w:rsidTr="005A0A3C">
        <w:tc>
          <w:tcPr>
            <w:tcW w:w="1526" w:type="dxa"/>
            <w:shd w:val="clear" w:color="auto" w:fill="auto"/>
          </w:tcPr>
          <w:p w:rsidR="00184B62" w:rsidRPr="003A4F26" w:rsidRDefault="00184B62" w:rsidP="00184B62">
            <w:pPr>
              <w:ind w:right="-108"/>
              <w:contextualSpacing/>
              <w:rPr>
                <w:rFonts w:ascii="Times New Roman" w:hAnsi="Times New Roman"/>
                <w:b/>
                <w:sz w:val="20"/>
                <w:szCs w:val="20"/>
              </w:rPr>
            </w:pPr>
            <w:r w:rsidRPr="003A4F26">
              <w:rPr>
                <w:rFonts w:ascii="Times New Roman" w:hAnsi="Times New Roman"/>
                <w:b/>
                <w:sz w:val="20"/>
                <w:szCs w:val="20"/>
              </w:rPr>
              <w:t>Структура и функции на местообитанията: Цялост на местообитанието</w:t>
            </w:r>
          </w:p>
        </w:tc>
        <w:tc>
          <w:tcPr>
            <w:tcW w:w="1984"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t>Процент от местообитанията на вида</w:t>
            </w:r>
          </w:p>
        </w:tc>
        <w:tc>
          <w:tcPr>
            <w:tcW w:w="1418"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eastAsia="Calibri" w:hAnsi="Times New Roman"/>
                <w:sz w:val="20"/>
                <w:szCs w:val="20"/>
              </w:rPr>
              <w:t>Д</w:t>
            </w:r>
            <w:r w:rsidRPr="00184B62">
              <w:rPr>
                <w:rFonts w:ascii="Times New Roman" w:eastAsia="Calibri" w:hAnsi="Times New Roman"/>
                <w:sz w:val="20"/>
                <w:szCs w:val="20"/>
                <w:lang w:val="en-GB"/>
              </w:rPr>
              <w:t>о 1% от местообитанията на вида са засегнати</w:t>
            </w:r>
          </w:p>
        </w:tc>
        <w:tc>
          <w:tcPr>
            <w:tcW w:w="269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За увреден участък считаме наличие на хидротехническо съоръжение или значителна промяна на брега и/или речното корито на един линеен километър по коритото или брега на обитаван от вида воден обект. Всяка промяна на брега се екстраполира като километър от местообитанието на вида,</w:t>
            </w:r>
            <w:r w:rsidRPr="00184B62">
              <w:rPr>
                <w:sz w:val="20"/>
                <w:szCs w:val="20"/>
              </w:rPr>
              <w:t xml:space="preserve"> </w:t>
            </w:r>
            <w:r w:rsidRPr="00184B62">
              <w:rPr>
                <w:rFonts w:ascii="Times New Roman" w:eastAsia="Calibri" w:hAnsi="Times New Roman"/>
                <w:sz w:val="20"/>
                <w:szCs w:val="20"/>
              </w:rPr>
              <w:t>съотнесен към площта на местообитанието в този участък.</w:t>
            </w:r>
          </w:p>
        </w:tc>
        <w:tc>
          <w:tcPr>
            <w:tcW w:w="1701" w:type="dxa"/>
            <w:shd w:val="clear" w:color="auto" w:fill="auto"/>
          </w:tcPr>
          <w:p w:rsidR="00184B62" w:rsidRPr="00184B62" w:rsidRDefault="00184B62" w:rsidP="00184B62">
            <w:pPr>
              <w:rPr>
                <w:rFonts w:ascii="Times New Roman" w:eastAsia="Calibri" w:hAnsi="Times New Roman"/>
                <w:sz w:val="20"/>
                <w:szCs w:val="20"/>
              </w:rPr>
            </w:pPr>
            <w:r w:rsidRPr="00184B62">
              <w:rPr>
                <w:rFonts w:ascii="Times New Roman" w:eastAsia="Calibri" w:hAnsi="Times New Roman"/>
                <w:sz w:val="20"/>
                <w:szCs w:val="20"/>
                <w:lang w:eastAsia="en-GB"/>
              </w:rPr>
              <w:t>Междинна цел: Да се установи цялостта на местообитанията на вида в защитената зона, чрез провеждане на теренни проучвания, до 2025 г.</w:t>
            </w:r>
          </w:p>
        </w:tc>
      </w:tr>
      <w:tr w:rsidR="00184B62" w:rsidRPr="00184B62" w:rsidTr="005A0A3C">
        <w:tc>
          <w:tcPr>
            <w:tcW w:w="1526" w:type="dxa"/>
            <w:shd w:val="clear" w:color="auto" w:fill="auto"/>
          </w:tcPr>
          <w:p w:rsidR="00184B62" w:rsidRPr="003A4F26" w:rsidRDefault="00184B62" w:rsidP="00184B62">
            <w:pPr>
              <w:ind w:right="-108"/>
              <w:contextualSpacing/>
              <w:rPr>
                <w:rFonts w:ascii="Times New Roman" w:hAnsi="Times New Roman"/>
                <w:b/>
                <w:sz w:val="20"/>
                <w:szCs w:val="20"/>
              </w:rPr>
            </w:pPr>
            <w:r w:rsidRPr="003A4F26">
              <w:rPr>
                <w:rFonts w:ascii="Times New Roman" w:hAnsi="Times New Roman"/>
                <w:b/>
                <w:sz w:val="20"/>
                <w:szCs w:val="20"/>
              </w:rPr>
              <w:t xml:space="preserve">Структура и </w:t>
            </w:r>
            <w:r w:rsidRPr="003A4F26">
              <w:rPr>
                <w:rFonts w:ascii="Times New Roman" w:hAnsi="Times New Roman"/>
                <w:b/>
                <w:sz w:val="20"/>
                <w:szCs w:val="20"/>
              </w:rPr>
              <w:lastRenderedPageBreak/>
              <w:t>функции на местообитанията: Качество на водата</w:t>
            </w:r>
          </w:p>
        </w:tc>
        <w:tc>
          <w:tcPr>
            <w:tcW w:w="1984"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eastAsia="Calibri" w:hAnsi="Times New Roman"/>
                <w:sz w:val="20"/>
                <w:szCs w:val="20"/>
                <w:lang w:val="en-GB"/>
              </w:rPr>
              <w:lastRenderedPageBreak/>
              <w:t xml:space="preserve">Процент от </w:t>
            </w:r>
            <w:r w:rsidRPr="00184B62">
              <w:rPr>
                <w:rFonts w:ascii="Times New Roman" w:eastAsia="Calibri" w:hAnsi="Times New Roman"/>
                <w:sz w:val="20"/>
                <w:szCs w:val="20"/>
                <w:lang w:val="en-GB"/>
              </w:rPr>
              <w:lastRenderedPageBreak/>
              <w:t>местообитанията на вида в отлично (1) или добро (2) състояние по скалата, съгласно ПУРБ 2016-2021 г.</w:t>
            </w:r>
          </w:p>
        </w:tc>
        <w:tc>
          <w:tcPr>
            <w:tcW w:w="1418"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eastAsia="Calibri" w:hAnsi="Times New Roman"/>
                <w:sz w:val="20"/>
                <w:szCs w:val="20"/>
                <w:lang w:val="en-GB"/>
              </w:rPr>
              <w:lastRenderedPageBreak/>
              <w:t xml:space="preserve">0% от </w:t>
            </w:r>
            <w:r w:rsidRPr="00184B62">
              <w:rPr>
                <w:rFonts w:ascii="Times New Roman" w:eastAsia="Calibri" w:hAnsi="Times New Roman"/>
                <w:sz w:val="20"/>
                <w:szCs w:val="20"/>
                <w:lang w:val="en-GB"/>
              </w:rPr>
              <w:lastRenderedPageBreak/>
              <w:t>местообитанията на вида са засегнати</w:t>
            </w:r>
          </w:p>
        </w:tc>
        <w:tc>
          <w:tcPr>
            <w:tcW w:w="2693" w:type="dxa"/>
            <w:shd w:val="clear" w:color="auto" w:fill="auto"/>
          </w:tcPr>
          <w:p w:rsidR="00184B62" w:rsidRPr="00184B62" w:rsidRDefault="00184B62" w:rsidP="00184B62">
            <w:pPr>
              <w:rPr>
                <w:rFonts w:ascii="Times New Roman" w:eastAsia="Calibri" w:hAnsi="Times New Roman"/>
                <w:sz w:val="20"/>
                <w:szCs w:val="20"/>
                <w:lang w:val="en-GB"/>
              </w:rPr>
            </w:pPr>
            <w:r w:rsidRPr="00184B62">
              <w:rPr>
                <w:rFonts w:ascii="Times New Roman" w:eastAsia="Calibri" w:hAnsi="Times New Roman"/>
                <w:sz w:val="20"/>
                <w:szCs w:val="20"/>
                <w:lang w:val="en-GB"/>
              </w:rPr>
              <w:lastRenderedPageBreak/>
              <w:t xml:space="preserve">За увреден участък ще </w:t>
            </w:r>
            <w:r w:rsidRPr="00184B62">
              <w:rPr>
                <w:rFonts w:ascii="Times New Roman" w:eastAsia="Calibri" w:hAnsi="Times New Roman"/>
                <w:sz w:val="20"/>
                <w:szCs w:val="20"/>
                <w:lang w:val="en-GB"/>
              </w:rPr>
              <w:lastRenderedPageBreak/>
              <w:t>считаме наличие на замърсяване или източник/ци на замърсяване на един линеен километър от местообитанието на вида, съотнесен към площта на местообитанието в този участък.</w:t>
            </w:r>
          </w:p>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Съгласно ПУРБ 2016-2021 г., екологичното състояние</w:t>
            </w:r>
            <w:r w:rsidRPr="00184B62">
              <w:rPr>
                <w:rFonts w:ascii="Times New Roman" w:eastAsia="Calibri" w:hAnsi="Times New Roman"/>
                <w:sz w:val="20"/>
                <w:szCs w:val="20"/>
                <w:lang w:val="en-GB"/>
              </w:rPr>
              <w:t xml:space="preserve"> на водата в река </w:t>
            </w:r>
            <w:r w:rsidRPr="00184B62">
              <w:rPr>
                <w:rFonts w:ascii="Times New Roman" w:eastAsia="Calibri" w:hAnsi="Times New Roman"/>
                <w:sz w:val="20"/>
                <w:szCs w:val="20"/>
              </w:rPr>
              <w:t>Дунав</w:t>
            </w:r>
            <w:r w:rsidRPr="00184B62">
              <w:rPr>
                <w:rFonts w:ascii="Times New Roman" w:eastAsia="Calibri" w:hAnsi="Times New Roman"/>
                <w:sz w:val="20"/>
                <w:szCs w:val="20"/>
                <w:lang w:val="en-GB"/>
              </w:rPr>
              <w:t xml:space="preserve"> е определено </w:t>
            </w:r>
            <w:r w:rsidRPr="00184B62">
              <w:rPr>
                <w:rFonts w:ascii="Times New Roman" w:eastAsia="Calibri" w:hAnsi="Times New Roman"/>
                <w:sz w:val="20"/>
                <w:szCs w:val="20"/>
              </w:rPr>
              <w:t xml:space="preserve">с (3) </w:t>
            </w:r>
            <w:r w:rsidRPr="00184B62">
              <w:rPr>
                <w:rFonts w:ascii="Times New Roman" w:eastAsia="Calibri" w:hAnsi="Times New Roman"/>
                <w:sz w:val="20"/>
                <w:szCs w:val="20"/>
                <w:lang w:val="en-GB"/>
              </w:rPr>
              <w:t>като „умерено“</w:t>
            </w:r>
            <w:r w:rsidRPr="00184B62">
              <w:rPr>
                <w:rFonts w:ascii="Times New Roman" w:eastAsia="Calibri" w:hAnsi="Times New Roman"/>
                <w:sz w:val="20"/>
                <w:szCs w:val="20"/>
              </w:rPr>
              <w:t>, което говори, че по този параметър оценката би трябвало да бъде неблагоприятно-незадоволително състояние.</w:t>
            </w:r>
          </w:p>
        </w:tc>
        <w:tc>
          <w:tcPr>
            <w:tcW w:w="1701"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lastRenderedPageBreak/>
              <w:t xml:space="preserve">Постигане </w:t>
            </w:r>
            <w:r w:rsidRPr="00184B62">
              <w:rPr>
                <w:rFonts w:ascii="Times New Roman" w:eastAsia="Calibri" w:hAnsi="Times New Roman"/>
                <w:sz w:val="20"/>
                <w:szCs w:val="20"/>
              </w:rPr>
              <w:lastRenderedPageBreak/>
              <w:t>целевата стойност по този параметър.</w:t>
            </w:r>
          </w:p>
        </w:tc>
      </w:tr>
    </w:tbl>
    <w:p w:rsidR="00184B62" w:rsidRPr="00184B62" w:rsidRDefault="00184B62" w:rsidP="00184B62">
      <w:pPr>
        <w:jc w:val="both"/>
      </w:pPr>
    </w:p>
    <w:p w:rsidR="00184B62" w:rsidRPr="00184B62" w:rsidRDefault="00184B62" w:rsidP="00184B62">
      <w:pPr>
        <w:jc w:val="both"/>
        <w:rPr>
          <w:b/>
        </w:rPr>
      </w:pPr>
      <w:r w:rsidRPr="00184B62">
        <w:rPr>
          <w:rFonts w:ascii="Times New Roman" w:eastAsia="Calibri" w:hAnsi="Times New Roman"/>
          <w:b/>
          <w:sz w:val="24"/>
          <w:szCs w:val="24"/>
        </w:rPr>
        <w:t xml:space="preserve">7. Необходимост от актуализация на </w:t>
      </w:r>
      <w:r w:rsidR="005A0A3C">
        <w:rPr>
          <w:rFonts w:ascii="Times New Roman" w:eastAsia="Calibri" w:hAnsi="Times New Roman"/>
          <w:b/>
          <w:sz w:val="24"/>
          <w:szCs w:val="24"/>
        </w:rPr>
        <w:t>СФ</w:t>
      </w:r>
      <w:r w:rsidRPr="00184B62">
        <w:rPr>
          <w:rFonts w:ascii="Times New Roman" w:eastAsia="Calibri" w:hAnsi="Times New Roman"/>
          <w:b/>
          <w:sz w:val="24"/>
          <w:szCs w:val="24"/>
        </w:rPr>
        <w:t xml:space="preserve"> на защитената зона</w:t>
      </w:r>
    </w:p>
    <w:p w:rsidR="00184B62" w:rsidRPr="00184B62" w:rsidRDefault="00184B62" w:rsidP="00715A84">
      <w:pPr>
        <w:spacing w:after="0" w:line="240" w:lineRule="auto"/>
        <w:ind w:firstLine="709"/>
        <w:jc w:val="both"/>
        <w:rPr>
          <w:rFonts w:ascii="Times New Roman" w:eastAsia="Calibri" w:hAnsi="Times New Roman"/>
          <w:sz w:val="24"/>
          <w:szCs w:val="24"/>
        </w:rPr>
      </w:pPr>
      <w:r w:rsidRPr="00184B62">
        <w:rPr>
          <w:rFonts w:ascii="Times New Roman" w:eastAsia="Calibri" w:hAnsi="Times New Roman"/>
          <w:sz w:val="24"/>
          <w:szCs w:val="24"/>
        </w:rPr>
        <w:t xml:space="preserve">Въз основа на вече публикувани данни </w:t>
      </w:r>
      <w:r w:rsidRPr="00184B62">
        <w:rPr>
          <w:rFonts w:ascii="Times New Roman" w:eastAsia="Calibri" w:hAnsi="Times New Roman"/>
          <w:sz w:val="24"/>
          <w:szCs w:val="24"/>
          <w:lang w:val="en-US"/>
        </w:rPr>
        <w:t xml:space="preserve">(Pavlova et al. 2013) </w:t>
      </w:r>
      <w:r w:rsidRPr="00184B62">
        <w:rPr>
          <w:rFonts w:ascii="Times New Roman" w:eastAsia="Calibri" w:hAnsi="Times New Roman"/>
          <w:sz w:val="24"/>
          <w:szCs w:val="24"/>
        </w:rPr>
        <w:t>и на новите данни, получени при теренните проучвания</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през</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периода 201</w:t>
      </w:r>
      <w:r w:rsidRPr="00184B62">
        <w:rPr>
          <w:rFonts w:ascii="Times New Roman" w:eastAsia="Calibri" w:hAnsi="Times New Roman"/>
          <w:sz w:val="24"/>
          <w:szCs w:val="24"/>
          <w:lang w:val="en-US"/>
        </w:rPr>
        <w:t>4</w:t>
      </w:r>
      <w:r w:rsidRPr="00184B62">
        <w:rPr>
          <w:rFonts w:ascii="Times New Roman" w:eastAsia="Calibri" w:hAnsi="Times New Roman"/>
          <w:sz w:val="24"/>
          <w:szCs w:val="24"/>
        </w:rPr>
        <w:t>-</w:t>
      </w:r>
      <w:r w:rsidRPr="00184B62">
        <w:rPr>
          <w:rFonts w:ascii="Times New Roman" w:eastAsia="Calibri" w:hAnsi="Times New Roman"/>
          <w:sz w:val="24"/>
          <w:szCs w:val="24"/>
          <w:lang w:val="en-US"/>
        </w:rPr>
        <w:t>202</w:t>
      </w:r>
      <w:r w:rsidRPr="00184B62">
        <w:rPr>
          <w:rFonts w:ascii="Times New Roman" w:eastAsia="Calibri" w:hAnsi="Times New Roman"/>
          <w:sz w:val="24"/>
          <w:szCs w:val="24"/>
        </w:rPr>
        <w:t>1</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г. се установи присъствие на ивичестия теодоксус </w:t>
      </w:r>
      <w:r w:rsidRPr="00184B62">
        <w:rPr>
          <w:rFonts w:ascii="Times New Roman" w:hAnsi="Times New Roman"/>
          <w:sz w:val="24"/>
          <w:szCs w:val="24"/>
        </w:rPr>
        <w:t>(</w:t>
      </w:r>
      <w:r w:rsidRPr="00184B62">
        <w:rPr>
          <w:rFonts w:ascii="Times New Roman" w:eastAsia="Calibri" w:hAnsi="Times New Roman"/>
          <w:i/>
          <w:iCs/>
          <w:sz w:val="24"/>
          <w:szCs w:val="24"/>
          <w:lang w:val="en-US"/>
        </w:rPr>
        <w:t>Theodoxus transversalis</w:t>
      </w:r>
      <w:r w:rsidRPr="00184B62">
        <w:rPr>
          <w:rFonts w:ascii="Times New Roman" w:hAnsi="Times New Roman"/>
          <w:sz w:val="24"/>
          <w:szCs w:val="24"/>
        </w:rPr>
        <w:t>)</w:t>
      </w:r>
      <w:r w:rsidRPr="00184B62">
        <w:rPr>
          <w:rFonts w:ascii="Times New Roman" w:eastAsia="Calibri" w:hAnsi="Times New Roman"/>
          <w:sz w:val="24"/>
          <w:szCs w:val="24"/>
        </w:rPr>
        <w:t xml:space="preserve"> в защитена зона „Сребърна“. Видът е регистриран в 1 находище от челото на остров Комлука </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1 клетка в грид 1х1 </w:t>
      </w:r>
      <w:r w:rsidRPr="00184B62">
        <w:rPr>
          <w:rFonts w:ascii="Times New Roman" w:eastAsia="Calibri" w:hAnsi="Times New Roman"/>
          <w:sz w:val="24"/>
          <w:szCs w:val="24"/>
          <w:lang w:val="en-US"/>
        </w:rPr>
        <w:t>km)</w:t>
      </w:r>
      <w:r w:rsidRPr="00184B62">
        <w:rPr>
          <w:rFonts w:ascii="Times New Roman" w:eastAsia="Calibri" w:hAnsi="Times New Roman"/>
          <w:sz w:val="24"/>
          <w:szCs w:val="24"/>
        </w:rPr>
        <w:t>, което е около 4</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от известните 23 клетки в грид 1х1 </w:t>
      </w:r>
      <w:r w:rsidRPr="00184B62">
        <w:rPr>
          <w:rFonts w:ascii="Times New Roman" w:eastAsia="Calibri" w:hAnsi="Times New Roman"/>
          <w:sz w:val="24"/>
          <w:szCs w:val="24"/>
          <w:lang w:val="en-US"/>
        </w:rPr>
        <w:t>km</w:t>
      </w:r>
      <w:r w:rsidRPr="00184B62">
        <w:rPr>
          <w:rFonts w:ascii="Times New Roman" w:eastAsia="Calibri" w:hAnsi="Times New Roman"/>
          <w:sz w:val="24"/>
          <w:szCs w:val="24"/>
        </w:rPr>
        <w:t xml:space="preserve"> с разпространение на вида в страната, според докладването от 2019 година. Настоящите данни подобряват информацията за популациите на вида в България и доказват неговото присъствие в ЗЗ „Сребърна“. Това предполага актуализиране на стандартния формуляр за зоната, като ивичестият теодоксус </w:t>
      </w:r>
      <w:r w:rsidRPr="00184B62">
        <w:rPr>
          <w:rFonts w:ascii="Times New Roman" w:hAnsi="Times New Roman"/>
          <w:sz w:val="24"/>
          <w:szCs w:val="24"/>
        </w:rPr>
        <w:t xml:space="preserve">бъде добавен към списъка с целеви видове за зоната, които са включени в Приложение </w:t>
      </w:r>
      <w:r w:rsidRPr="00184B62">
        <w:rPr>
          <w:rFonts w:ascii="Times New Roman" w:hAnsi="Times New Roman"/>
          <w:noProof/>
          <w:sz w:val="24"/>
          <w:szCs w:val="24"/>
        </w:rPr>
        <w:t>II от Директива 92/43/ЕЕС за опазване на природните местообитания и на дивата флора и фауна</w:t>
      </w:r>
      <w:r w:rsidRPr="00184B62">
        <w:rPr>
          <w:rFonts w:ascii="Times New Roman" w:eastAsia="Calibri" w:hAnsi="Times New Roman"/>
          <w:sz w:val="24"/>
          <w:szCs w:val="24"/>
        </w:rPr>
        <w:t>.</w:t>
      </w:r>
    </w:p>
    <w:p w:rsidR="00184B62" w:rsidRPr="00184B62" w:rsidRDefault="00184B62" w:rsidP="00715A84">
      <w:pPr>
        <w:spacing w:after="0" w:line="240" w:lineRule="auto"/>
        <w:ind w:firstLine="709"/>
        <w:jc w:val="both"/>
        <w:rPr>
          <w:rFonts w:ascii="Times New Roman" w:eastAsia="Calibri" w:hAnsi="Times New Roman"/>
          <w:sz w:val="24"/>
          <w:szCs w:val="24"/>
        </w:rPr>
      </w:pPr>
      <w:r w:rsidRPr="00184B62">
        <w:rPr>
          <w:rFonts w:ascii="Times New Roman" w:eastAsia="Calibri" w:hAnsi="Times New Roman"/>
          <w:sz w:val="24"/>
          <w:lang w:eastAsia="en-GB"/>
        </w:rPr>
        <w:t xml:space="preserve">Предложената промяна в </w:t>
      </w:r>
      <w:r w:rsidR="005A0A3C">
        <w:rPr>
          <w:rFonts w:ascii="Times New Roman" w:eastAsia="Calibri" w:hAnsi="Times New Roman"/>
          <w:sz w:val="24"/>
          <w:lang w:eastAsia="en-GB"/>
        </w:rPr>
        <w:t>СФ</w:t>
      </w:r>
      <w:r w:rsidRPr="00184B62">
        <w:rPr>
          <w:rFonts w:ascii="Times New Roman" w:eastAsia="Calibri" w:hAnsi="Times New Roman"/>
          <w:sz w:val="24"/>
          <w:lang w:eastAsia="en-GB"/>
        </w:rPr>
        <w:t xml:space="preserve"> не се дължи на промени в реалното състояние на вида в защитената зона, а са в резултат от новите данни, доказващи присъствието на ивичестия теодоксус в ЗЗ „Сребърна“. </w:t>
      </w:r>
      <w:r w:rsidRPr="00184B62">
        <w:rPr>
          <w:rFonts w:ascii="Times New Roman" w:eastAsia="Calibri" w:hAnsi="Times New Roman"/>
          <w:sz w:val="24"/>
          <w:szCs w:val="24"/>
        </w:rPr>
        <w:t xml:space="preserve">Тъй като настоящата стойност на плътност на популацията не е известна, стойностите за минимална и максимална популация остават празни. За категорията на плътност </w:t>
      </w:r>
      <w:r w:rsidRPr="00184B62">
        <w:rPr>
          <w:rFonts w:ascii="Times New Roman" w:eastAsia="Calibri" w:hAnsi="Times New Roman"/>
          <w:sz w:val="24"/>
          <w:szCs w:val="24"/>
          <w:lang w:val="en-US"/>
        </w:rPr>
        <w:t xml:space="preserve">(Cat.) </w:t>
      </w:r>
      <w:r w:rsidRPr="00184B62">
        <w:rPr>
          <w:rFonts w:ascii="Times New Roman" w:eastAsia="Calibri" w:hAnsi="Times New Roman"/>
          <w:sz w:val="24"/>
          <w:szCs w:val="24"/>
        </w:rPr>
        <w:t>се предлага</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w:t>
      </w:r>
      <w:r w:rsidRPr="00184B62">
        <w:rPr>
          <w:rFonts w:ascii="Times New Roman" w:eastAsia="Calibri" w:hAnsi="Times New Roman"/>
          <w:sz w:val="24"/>
          <w:szCs w:val="24"/>
          <w:lang w:val="en-US"/>
        </w:rPr>
        <w:t>R</w:t>
      </w:r>
      <w:r w:rsidRPr="00184B62">
        <w:rPr>
          <w:rFonts w:ascii="Times New Roman" w:eastAsia="Calibri" w:hAnsi="Times New Roman"/>
          <w:sz w:val="24"/>
          <w:szCs w:val="24"/>
        </w:rPr>
        <w:t>“ (видът е рядък), данните за вида в зоната са със средно качество „М“, оценката за популация е „</w:t>
      </w:r>
      <w:r w:rsidRPr="00184B62">
        <w:rPr>
          <w:rFonts w:ascii="Times New Roman" w:eastAsia="Calibri" w:hAnsi="Times New Roman"/>
          <w:sz w:val="24"/>
          <w:szCs w:val="24"/>
          <w:lang w:val="en-US"/>
        </w:rPr>
        <w:t>C</w:t>
      </w:r>
      <w:r w:rsidRPr="00184B62">
        <w:rPr>
          <w:rFonts w:ascii="Times New Roman" w:eastAsia="Calibri" w:hAnsi="Times New Roman"/>
          <w:sz w:val="24"/>
          <w:szCs w:val="24"/>
        </w:rPr>
        <w:t xml:space="preserve">“ (до </w:t>
      </w:r>
      <w:r w:rsidRPr="00184B62">
        <w:rPr>
          <w:rFonts w:ascii="Times New Roman" w:eastAsia="Calibri" w:hAnsi="Times New Roman"/>
          <w:sz w:val="24"/>
          <w:szCs w:val="24"/>
          <w:lang w:val="en-US"/>
        </w:rPr>
        <w:t>2</w:t>
      </w:r>
      <w:r w:rsidRPr="00184B62">
        <w:rPr>
          <w:rFonts w:ascii="Times New Roman" w:eastAsia="Calibri" w:hAnsi="Times New Roman"/>
          <w:sz w:val="24"/>
          <w:szCs w:val="24"/>
        </w:rPr>
        <w:t>% от националната популация на вида), степента на опазване е „</w:t>
      </w:r>
      <w:r w:rsidRPr="00184B62">
        <w:rPr>
          <w:rFonts w:ascii="Times New Roman" w:eastAsia="Calibri" w:hAnsi="Times New Roman"/>
          <w:sz w:val="24"/>
          <w:szCs w:val="24"/>
          <w:lang w:val="en-US"/>
        </w:rPr>
        <w:t>B</w:t>
      </w:r>
      <w:r w:rsidRPr="00184B62">
        <w:rPr>
          <w:rFonts w:ascii="Times New Roman" w:eastAsia="Calibri" w:hAnsi="Times New Roman"/>
          <w:sz w:val="24"/>
          <w:szCs w:val="24"/>
        </w:rPr>
        <w:t>“ (добро съхранение), популацията е неизолирана в рамките на разширен ареал на разпространение (оценка „С“), а общата оценка за стойността на зоната за съхраняването на вида е „</w:t>
      </w:r>
      <w:r w:rsidRPr="00184B62">
        <w:rPr>
          <w:rFonts w:ascii="Times New Roman" w:eastAsia="Calibri" w:hAnsi="Times New Roman"/>
          <w:sz w:val="24"/>
          <w:szCs w:val="24"/>
          <w:lang w:val="en-US"/>
        </w:rPr>
        <w:t>C</w:t>
      </w:r>
      <w:r w:rsidRPr="00184B62">
        <w:rPr>
          <w:rFonts w:ascii="Times New Roman" w:eastAsia="Calibri" w:hAnsi="Times New Roman"/>
          <w:sz w:val="24"/>
          <w:szCs w:val="24"/>
        </w:rPr>
        <w:t>“ (значима стойност).</w:t>
      </w:r>
    </w:p>
    <w:p w:rsidR="00184B62" w:rsidRPr="00184B62" w:rsidRDefault="00184B62" w:rsidP="00184B62">
      <w:pPr>
        <w:spacing w:before="120" w:after="120" w:line="240" w:lineRule="auto"/>
        <w:jc w:val="both"/>
        <w:rPr>
          <w:rFonts w:ascii="Times New Roman" w:eastAsia="Calibri" w:hAnsi="Times New Roman"/>
          <w:sz w:val="24"/>
          <w:szCs w:val="24"/>
        </w:rPr>
      </w:pPr>
    </w:p>
    <w:tbl>
      <w:tblPr>
        <w:tblW w:w="96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50"/>
        <w:gridCol w:w="328"/>
        <w:gridCol w:w="483"/>
        <w:gridCol w:w="350"/>
        <w:gridCol w:w="572"/>
        <w:gridCol w:w="605"/>
        <w:gridCol w:w="890"/>
        <w:gridCol w:w="578"/>
        <w:gridCol w:w="839"/>
        <w:gridCol w:w="950"/>
        <w:gridCol w:w="622"/>
        <w:gridCol w:w="522"/>
        <w:gridCol w:w="578"/>
      </w:tblGrid>
      <w:tr w:rsidR="00184B62" w:rsidRPr="00184B62" w:rsidTr="005A0A3C">
        <w:tc>
          <w:tcPr>
            <w:tcW w:w="3094"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2995"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3511"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c>
          <w:tcPr>
            <w:tcW w:w="372"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lastRenderedPageBreak/>
              <w:t>G</w:t>
            </w:r>
          </w:p>
        </w:tc>
        <w:tc>
          <w:tcPr>
            <w:tcW w:w="661"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250"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328"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483"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350"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177" w:type="dxa"/>
            <w:gridSpan w:val="2"/>
            <w:shd w:val="clear" w:color="auto" w:fill="D0CECE"/>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890"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578"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39"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950"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722" w:type="dxa"/>
            <w:gridSpan w:val="3"/>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c>
          <w:tcPr>
            <w:tcW w:w="372"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661"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250"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28"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83"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350"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57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605"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890"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578"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39"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950"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62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2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578"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c>
          <w:tcPr>
            <w:tcW w:w="37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I</w:t>
            </w:r>
          </w:p>
        </w:tc>
        <w:tc>
          <w:tcPr>
            <w:tcW w:w="661"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eastAsia="en-GB"/>
              </w:rPr>
              <w:t>4064</w:t>
            </w:r>
          </w:p>
        </w:tc>
        <w:tc>
          <w:tcPr>
            <w:tcW w:w="12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i/>
                <w:sz w:val="20"/>
                <w:szCs w:val="20"/>
                <w:lang w:val="en-US" w:eastAsia="en-GB"/>
              </w:rPr>
            </w:pPr>
            <w:r w:rsidRPr="00184B62">
              <w:rPr>
                <w:rFonts w:ascii="Times New Roman" w:eastAsia="Calibri" w:hAnsi="Times New Roman"/>
                <w:i/>
                <w:iCs/>
                <w:sz w:val="20"/>
                <w:szCs w:val="20"/>
                <w:lang w:val="en-US"/>
              </w:rPr>
              <w:t>Theodoxus transversalis</w:t>
            </w:r>
          </w:p>
        </w:tc>
        <w:tc>
          <w:tcPr>
            <w:tcW w:w="328"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8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p</w:t>
            </w:r>
          </w:p>
        </w:tc>
        <w:tc>
          <w:tcPr>
            <w:tcW w:w="572"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p>
        </w:tc>
        <w:tc>
          <w:tcPr>
            <w:tcW w:w="605"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p>
        </w:tc>
        <w:tc>
          <w:tcPr>
            <w:tcW w:w="890"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hAnsi="Times New Roman"/>
                <w:sz w:val="20"/>
                <w:szCs w:val="20"/>
                <w:lang w:val="en-US"/>
              </w:rPr>
              <w:t>i</w:t>
            </w:r>
          </w:p>
        </w:tc>
        <w:tc>
          <w:tcPr>
            <w:tcW w:w="578"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R</w:t>
            </w:r>
          </w:p>
        </w:tc>
        <w:tc>
          <w:tcPr>
            <w:tcW w:w="839"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M</w:t>
            </w:r>
          </w:p>
        </w:tc>
        <w:tc>
          <w:tcPr>
            <w:tcW w:w="9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C</w:t>
            </w:r>
          </w:p>
        </w:tc>
        <w:tc>
          <w:tcPr>
            <w:tcW w:w="62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B</w:t>
            </w:r>
          </w:p>
        </w:tc>
        <w:tc>
          <w:tcPr>
            <w:tcW w:w="52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C</w:t>
            </w:r>
          </w:p>
        </w:tc>
        <w:tc>
          <w:tcPr>
            <w:tcW w:w="578"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C</w:t>
            </w:r>
          </w:p>
        </w:tc>
      </w:tr>
    </w:tbl>
    <w:p w:rsidR="00184B62" w:rsidRPr="00184B62" w:rsidRDefault="00184B62" w:rsidP="00184B62">
      <w:pPr>
        <w:spacing w:before="120" w:after="120" w:line="240" w:lineRule="auto"/>
        <w:jc w:val="both"/>
        <w:rPr>
          <w:rFonts w:ascii="Times New Roman" w:eastAsia="Calibri" w:hAnsi="Times New Roman"/>
          <w:sz w:val="24"/>
          <w:szCs w:val="24"/>
        </w:rPr>
      </w:pPr>
    </w:p>
    <w:p w:rsidR="00184B62" w:rsidRPr="00184B62" w:rsidRDefault="00715A84" w:rsidP="00184B62">
      <w:pPr>
        <w:spacing w:before="120" w:after="120" w:line="240" w:lineRule="auto"/>
        <w:jc w:val="both"/>
        <w:rPr>
          <w:rFonts w:ascii="Times New Roman" w:eastAsia="Calibri" w:hAnsi="Times New Roman"/>
          <w:b/>
          <w:sz w:val="24"/>
          <w:szCs w:val="24"/>
        </w:rPr>
      </w:pPr>
      <w:r>
        <w:rPr>
          <w:rFonts w:ascii="Times New Roman" w:eastAsia="Calibri" w:hAnsi="Times New Roman"/>
          <w:b/>
          <w:sz w:val="24"/>
          <w:szCs w:val="24"/>
        </w:rPr>
        <w:t>8. Цитирана литература</w:t>
      </w:r>
    </w:p>
    <w:p w:rsidR="00184B62" w:rsidRPr="00184B62" w:rsidRDefault="00184B62" w:rsidP="00715A84">
      <w:pPr>
        <w:spacing w:after="0" w:line="240" w:lineRule="auto"/>
        <w:ind w:left="709" w:hanging="709"/>
        <w:jc w:val="both"/>
        <w:rPr>
          <w:rFonts w:ascii="Times New Roman" w:hAnsi="Times New Roman"/>
          <w:noProof/>
          <w:sz w:val="24"/>
          <w:szCs w:val="24"/>
        </w:rPr>
      </w:pPr>
      <w:r w:rsidRPr="00184B62">
        <w:rPr>
          <w:rFonts w:ascii="Times New Roman" w:hAnsi="Times New Roman"/>
          <w:noProof/>
          <w:sz w:val="24"/>
          <w:szCs w:val="24"/>
        </w:rPr>
        <w:t>Георгиев, Д. 2013. Сладководните охлюви (Mollusca: Gastropoda) в България. Дисертация, Пловдив: 420 с.</w:t>
      </w:r>
    </w:p>
    <w:p w:rsidR="00184B62" w:rsidRPr="00184B62" w:rsidRDefault="00184B62" w:rsidP="00715A84">
      <w:pPr>
        <w:spacing w:after="0" w:line="240" w:lineRule="auto"/>
        <w:ind w:left="709" w:hanging="709"/>
        <w:jc w:val="both"/>
        <w:rPr>
          <w:rFonts w:ascii="Times New Roman" w:eastAsia="Calibri" w:hAnsi="Times New Roman"/>
          <w:bCs/>
          <w:noProof/>
          <w:sz w:val="24"/>
          <w:szCs w:val="24"/>
          <w:lang w:val="en-US"/>
        </w:rPr>
      </w:pPr>
      <w:r w:rsidRPr="00184B62">
        <w:rPr>
          <w:rFonts w:ascii="Times New Roman" w:eastAsia="Calibri" w:hAnsi="Times New Roman"/>
          <w:bCs/>
          <w:noProof/>
          <w:sz w:val="24"/>
          <w:szCs w:val="24"/>
        </w:rPr>
        <w:t xml:space="preserve">Министерство на околната среда и водите (МОСВ). Информационна система за защитени зони от екологична мрежа Натура 2000. </w:t>
      </w:r>
      <w:hyperlink r:id="rId47" w:history="1">
        <w:r w:rsidRPr="00184B62">
          <w:rPr>
            <w:rFonts w:ascii="Times New Roman" w:eastAsia="Calibri" w:hAnsi="Times New Roman"/>
            <w:bCs/>
            <w:noProof/>
            <w:color w:val="184CF4"/>
            <w:sz w:val="24"/>
            <w:szCs w:val="24"/>
            <w:u w:val="single"/>
          </w:rPr>
          <w:t>http://natura2000.moew.government.bg/Home/Natura2000ProtectedSites</w:t>
        </w:r>
      </w:hyperlink>
      <w:r w:rsidRPr="00184B62">
        <w:rPr>
          <w:rFonts w:ascii="Times New Roman" w:eastAsia="Calibri" w:hAnsi="Times New Roman"/>
          <w:bCs/>
          <w:noProof/>
          <w:sz w:val="24"/>
          <w:szCs w:val="24"/>
        </w:rPr>
        <w:t xml:space="preserve">. Последно посетен на </w:t>
      </w:r>
      <w:r w:rsidRPr="00184B62">
        <w:rPr>
          <w:rFonts w:ascii="Times New Roman" w:eastAsia="Calibri" w:hAnsi="Times New Roman"/>
          <w:bCs/>
          <w:noProof/>
          <w:sz w:val="24"/>
          <w:szCs w:val="24"/>
          <w:lang w:val="en-US"/>
        </w:rPr>
        <w:t>02</w:t>
      </w:r>
      <w:r w:rsidRPr="00184B62">
        <w:rPr>
          <w:rFonts w:ascii="Times New Roman" w:eastAsia="Calibri" w:hAnsi="Times New Roman"/>
          <w:bCs/>
          <w:noProof/>
          <w:sz w:val="24"/>
          <w:szCs w:val="24"/>
        </w:rPr>
        <w:t>.1</w:t>
      </w:r>
      <w:r w:rsidRPr="00184B62">
        <w:rPr>
          <w:rFonts w:ascii="Times New Roman" w:eastAsia="Calibri" w:hAnsi="Times New Roman"/>
          <w:bCs/>
          <w:noProof/>
          <w:sz w:val="24"/>
          <w:szCs w:val="24"/>
          <w:lang w:val="en-US"/>
        </w:rPr>
        <w:t>1</w:t>
      </w:r>
      <w:r w:rsidRPr="00184B62">
        <w:rPr>
          <w:rFonts w:ascii="Times New Roman" w:eastAsia="Calibri" w:hAnsi="Times New Roman"/>
          <w:bCs/>
          <w:noProof/>
          <w:sz w:val="24"/>
          <w:szCs w:val="24"/>
        </w:rPr>
        <w:t>.2021</w:t>
      </w:r>
      <w:r w:rsidRPr="00184B62">
        <w:rPr>
          <w:rFonts w:ascii="Times New Roman" w:eastAsia="Calibri" w:hAnsi="Times New Roman"/>
          <w:bCs/>
          <w:noProof/>
          <w:sz w:val="24"/>
          <w:szCs w:val="24"/>
          <w:lang w:val="en-US"/>
        </w:rPr>
        <w:t>.</w:t>
      </w:r>
    </w:p>
    <w:p w:rsidR="00184B62" w:rsidRPr="00184B62" w:rsidRDefault="00184B62" w:rsidP="00715A84">
      <w:pPr>
        <w:spacing w:after="0" w:line="240" w:lineRule="auto"/>
        <w:ind w:left="709" w:hanging="709"/>
        <w:jc w:val="both"/>
        <w:rPr>
          <w:rFonts w:ascii="Times New Roman" w:hAnsi="Times New Roman"/>
          <w:sz w:val="24"/>
          <w:szCs w:val="24"/>
          <w:lang w:val="en-US"/>
        </w:rPr>
      </w:pPr>
      <w:r w:rsidRPr="00184B62">
        <w:rPr>
          <w:rFonts w:ascii="Times New Roman" w:eastAsia="Calibri" w:hAnsi="Times New Roman"/>
          <w:sz w:val="24"/>
          <w:szCs w:val="24"/>
        </w:rPr>
        <w:t xml:space="preserve">Проект </w:t>
      </w:r>
      <w:r w:rsidRPr="00184B62">
        <w:rPr>
          <w:rFonts w:ascii="Times New Roman" w:hAnsi="Times New Roman"/>
          <w:sz w:val="24"/>
          <w:szCs w:val="24"/>
          <w:lang w:val="ru-RU"/>
        </w:rPr>
        <w:t xml:space="preserve">№ 2601/30.07.2013 г. </w:t>
      </w:r>
      <w:r w:rsidRPr="00184B62">
        <w:rPr>
          <w:rFonts w:ascii="Times New Roman" w:hAnsi="Times New Roman"/>
          <w:sz w:val="24"/>
          <w:szCs w:val="24"/>
        </w:rPr>
        <w:t>"</w:t>
      </w:r>
      <w:r w:rsidRPr="00184B62">
        <w:rPr>
          <w:rFonts w:ascii="Times New Roman" w:hAnsi="Times New Roman"/>
          <w:sz w:val="24"/>
          <w:szCs w:val="24"/>
          <w:lang w:val="ru-RU"/>
        </w:rPr>
        <w:t>Теренни проучвания на разпространение и численост на безгръбначни животни</w:t>
      </w:r>
      <w:r w:rsidRPr="00184B62">
        <w:rPr>
          <w:rFonts w:ascii="Times New Roman" w:hAnsi="Times New Roman"/>
          <w:sz w:val="24"/>
          <w:szCs w:val="24"/>
        </w:rPr>
        <w:t>", финансиран от Изпълнителна агенция по околна среда (ИАОС).</w:t>
      </w:r>
    </w:p>
    <w:p w:rsidR="00184B62" w:rsidRPr="00184B62" w:rsidRDefault="00184B62" w:rsidP="00715A84">
      <w:pPr>
        <w:spacing w:after="0" w:line="240" w:lineRule="auto"/>
        <w:ind w:left="709" w:hanging="709"/>
        <w:jc w:val="both"/>
        <w:rPr>
          <w:rFonts w:ascii="Times New Roman" w:hAnsi="Times New Roman"/>
          <w:sz w:val="24"/>
          <w:szCs w:val="24"/>
        </w:rPr>
      </w:pPr>
      <w:r w:rsidRPr="00184B62">
        <w:rPr>
          <w:rFonts w:ascii="Times New Roman" w:hAnsi="Times New Roman"/>
          <w:noProof/>
          <w:sz w:val="24"/>
          <w:szCs w:val="24"/>
        </w:rPr>
        <w:t xml:space="preserve">Проект </w:t>
      </w:r>
      <w:r w:rsidRPr="00184B62">
        <w:rPr>
          <w:rFonts w:ascii="Times New Roman" w:hAnsi="Times New Roman"/>
          <w:sz w:val="24"/>
          <w:szCs w:val="24"/>
        </w:rPr>
        <w:t>Д-33-51/30.06.2015</w:t>
      </w:r>
      <w:r w:rsidRPr="00184B62">
        <w:rPr>
          <w:rFonts w:ascii="Times New Roman" w:hAnsi="Times New Roman"/>
          <w:noProof/>
          <w:sz w:val="24"/>
          <w:szCs w:val="24"/>
        </w:rPr>
        <w:t xml:space="preserve"> „</w:t>
      </w:r>
      <w:r w:rsidRPr="00184B62">
        <w:rPr>
          <w:rFonts w:ascii="Times New Roman" w:hAnsi="Times New Roman"/>
          <w:noProof/>
          <w:sz w:val="24"/>
          <w:szCs w:val="24"/>
          <w:lang w:val="ru-RU"/>
        </w:rPr>
        <w:t>Мрежата за инвазивни чужди видове в Югоизточна Европа – средство в подкрепа на управлението на чужди видове в България/</w:t>
      </w:r>
      <w:r w:rsidRPr="00184B62">
        <w:rPr>
          <w:rFonts w:ascii="Times New Roman" w:hAnsi="Times New Roman"/>
          <w:noProof/>
          <w:sz w:val="24"/>
          <w:szCs w:val="24"/>
        </w:rPr>
        <w:t>East and South European Network for Invasive Alien Species – a tool to support the management of alien species in Bulgaria</w:t>
      </w:r>
      <w:r w:rsidRPr="00184B62">
        <w:rPr>
          <w:rFonts w:ascii="Times New Roman" w:hAnsi="Times New Roman"/>
          <w:sz w:val="24"/>
          <w:szCs w:val="24"/>
        </w:rPr>
        <w:t xml:space="preserve"> (ESENIAS-TOOLS), финансиран от Финансовия механизъм на Европейското икономическо пространство (ФМ на ЕИП) 2009–2014, програма BG03 „Биологично разнообразие и екосистеми“.</w:t>
      </w:r>
    </w:p>
    <w:p w:rsidR="00184B62" w:rsidRPr="00184B62" w:rsidRDefault="00184B62" w:rsidP="00715A84">
      <w:pPr>
        <w:spacing w:after="0" w:line="240" w:lineRule="auto"/>
        <w:ind w:left="709" w:hanging="709"/>
        <w:jc w:val="both"/>
        <w:rPr>
          <w:rFonts w:ascii="Times New Roman" w:hAnsi="Times New Roman"/>
          <w:sz w:val="24"/>
          <w:szCs w:val="24"/>
        </w:rPr>
      </w:pPr>
      <w:r w:rsidRPr="00184B62">
        <w:rPr>
          <w:rFonts w:ascii="Times New Roman" w:hAnsi="Times New Roman"/>
          <w:sz w:val="24"/>
          <w:szCs w:val="24"/>
          <w:lang w:val="ru-RU"/>
        </w:rPr>
        <w:t xml:space="preserve">Проект </w:t>
      </w:r>
      <w:r w:rsidRPr="00184B62">
        <w:rPr>
          <w:rFonts w:ascii="Times New Roman" w:hAnsi="Times New Roman"/>
          <w:sz w:val="24"/>
          <w:szCs w:val="24"/>
        </w:rPr>
        <w:t>„</w:t>
      </w:r>
      <w:r w:rsidRPr="00184B62">
        <w:rPr>
          <w:rFonts w:ascii="Times New Roman" w:hAnsi="Times New Roman"/>
          <w:sz w:val="24"/>
          <w:szCs w:val="24"/>
          <w:lang w:val="ru-RU"/>
        </w:rPr>
        <w:t xml:space="preserve">Проучване и оценка на екологичното състояние на българския участък на р. Дунав в рамките на четвъртата международна програма </w:t>
      </w:r>
      <w:r w:rsidRPr="00184B62">
        <w:rPr>
          <w:rFonts w:ascii="Times New Roman" w:hAnsi="Times New Roman"/>
          <w:sz w:val="24"/>
          <w:szCs w:val="24"/>
        </w:rPr>
        <w:t>Joint</w:t>
      </w:r>
      <w:r w:rsidRPr="00184B62">
        <w:rPr>
          <w:rFonts w:ascii="Times New Roman" w:hAnsi="Times New Roman"/>
          <w:sz w:val="24"/>
          <w:szCs w:val="24"/>
          <w:lang w:val="ru-RU"/>
        </w:rPr>
        <w:t xml:space="preserve"> </w:t>
      </w:r>
      <w:r w:rsidRPr="00184B62">
        <w:rPr>
          <w:rFonts w:ascii="Times New Roman" w:hAnsi="Times New Roman"/>
          <w:sz w:val="24"/>
          <w:szCs w:val="24"/>
        </w:rPr>
        <w:t>Danube</w:t>
      </w:r>
      <w:r w:rsidRPr="00184B62">
        <w:rPr>
          <w:rFonts w:ascii="Times New Roman" w:hAnsi="Times New Roman"/>
          <w:sz w:val="24"/>
          <w:szCs w:val="24"/>
          <w:lang w:val="ru-RU"/>
        </w:rPr>
        <w:t xml:space="preserve"> </w:t>
      </w:r>
      <w:r w:rsidRPr="00184B62">
        <w:rPr>
          <w:rFonts w:ascii="Times New Roman" w:hAnsi="Times New Roman"/>
          <w:sz w:val="24"/>
          <w:szCs w:val="24"/>
        </w:rPr>
        <w:t>Survey</w:t>
      </w:r>
      <w:r w:rsidRPr="00184B62">
        <w:rPr>
          <w:rFonts w:ascii="Times New Roman" w:hAnsi="Times New Roman"/>
          <w:sz w:val="24"/>
          <w:szCs w:val="24"/>
          <w:lang w:val="ru-RU"/>
        </w:rPr>
        <w:t xml:space="preserve"> (</w:t>
      </w:r>
      <w:r w:rsidRPr="00184B62">
        <w:rPr>
          <w:rFonts w:ascii="Times New Roman" w:hAnsi="Times New Roman"/>
          <w:sz w:val="24"/>
          <w:szCs w:val="24"/>
        </w:rPr>
        <w:t>JDS</w:t>
      </w:r>
      <w:r w:rsidRPr="00184B62">
        <w:rPr>
          <w:rFonts w:ascii="Times New Roman" w:hAnsi="Times New Roman"/>
          <w:sz w:val="24"/>
          <w:szCs w:val="24"/>
          <w:lang w:val="ru-RU"/>
        </w:rPr>
        <w:t>4) през 2019 г.</w:t>
      </w:r>
      <w:r w:rsidRPr="00184B62">
        <w:rPr>
          <w:rFonts w:ascii="Times New Roman" w:hAnsi="Times New Roman"/>
          <w:sz w:val="24"/>
          <w:szCs w:val="24"/>
          <w:lang w:val="en-US"/>
        </w:rPr>
        <w:t>”</w:t>
      </w:r>
      <w:r w:rsidRPr="00184B62">
        <w:rPr>
          <w:rFonts w:ascii="Times New Roman" w:hAnsi="Times New Roman"/>
          <w:sz w:val="24"/>
          <w:szCs w:val="24"/>
        </w:rPr>
        <w:t>,</w:t>
      </w:r>
      <w:r w:rsidRPr="00184B62">
        <w:rPr>
          <w:rFonts w:ascii="Times New Roman" w:hAnsi="Times New Roman"/>
          <w:sz w:val="24"/>
          <w:szCs w:val="24"/>
          <w:lang w:val="ru-RU"/>
        </w:rPr>
        <w:t xml:space="preserve"> финансиран от ПУДООС.</w:t>
      </w:r>
    </w:p>
    <w:p w:rsidR="00184B62" w:rsidRPr="00184B62" w:rsidRDefault="00184B62" w:rsidP="00715A84">
      <w:pPr>
        <w:spacing w:after="0" w:line="240" w:lineRule="auto"/>
        <w:ind w:left="709" w:hanging="709"/>
        <w:jc w:val="both"/>
        <w:rPr>
          <w:rFonts w:ascii="Times New Roman" w:hAnsi="Times New Roman"/>
          <w:sz w:val="24"/>
          <w:szCs w:val="24"/>
        </w:rPr>
      </w:pPr>
      <w:r w:rsidRPr="00184B62">
        <w:rPr>
          <w:rFonts w:ascii="Times New Roman" w:hAnsi="Times New Roman"/>
          <w:noProof/>
          <w:sz w:val="24"/>
          <w:szCs w:val="24"/>
        </w:rPr>
        <w:t>Русев, Б. 1966. Зообентосът на река Дунав между 845-ия и 375-ия речен километър. I. Състав, разпределение и екология. Известия на Зоологическия институт с музей, 20: 55-131.</w:t>
      </w:r>
    </w:p>
    <w:p w:rsidR="00184B62" w:rsidRPr="00184B62" w:rsidRDefault="00184B62" w:rsidP="00715A84">
      <w:pPr>
        <w:spacing w:after="0" w:line="240" w:lineRule="auto"/>
        <w:ind w:left="709" w:hanging="709"/>
        <w:jc w:val="both"/>
        <w:rPr>
          <w:rFonts w:ascii="Times New Roman" w:hAnsi="Times New Roman"/>
          <w:noProof/>
          <w:sz w:val="24"/>
          <w:szCs w:val="24"/>
        </w:rPr>
      </w:pPr>
      <w:r w:rsidRPr="00184B62">
        <w:rPr>
          <w:rFonts w:ascii="Times New Roman" w:hAnsi="Times New Roman"/>
          <w:noProof/>
          <w:sz w:val="24"/>
          <w:szCs w:val="24"/>
        </w:rPr>
        <w:t>Angelov,</w:t>
      </w:r>
      <w:r w:rsidRPr="00184B62">
        <w:rPr>
          <w:rFonts w:ascii="Times New Roman" w:hAnsi="Times New Roman"/>
          <w:smallCaps/>
          <w:noProof/>
          <w:sz w:val="24"/>
          <w:szCs w:val="24"/>
        </w:rPr>
        <w:t xml:space="preserve"> </w:t>
      </w:r>
      <w:r w:rsidRPr="00184B62">
        <w:rPr>
          <w:rFonts w:ascii="Times New Roman" w:hAnsi="Times New Roman"/>
          <w:noProof/>
          <w:sz w:val="24"/>
          <w:szCs w:val="24"/>
        </w:rPr>
        <w:t>A. 2000. Mollusca (Gastropoda et Bivalvia ) aquae dulcis. Catalogus Faunae Bulgaicae. Pensoft &amp; Backhuys Publ., Sofia, Leiden, 54 pp.</w:t>
      </w:r>
    </w:p>
    <w:p w:rsidR="00184B62" w:rsidRPr="00184B62" w:rsidRDefault="00184B62" w:rsidP="00715A84">
      <w:pPr>
        <w:spacing w:after="0" w:line="240" w:lineRule="auto"/>
        <w:ind w:left="709" w:hanging="709"/>
        <w:jc w:val="both"/>
        <w:rPr>
          <w:rFonts w:ascii="Times New Roman" w:hAnsi="Times New Roman"/>
          <w:noProof/>
          <w:sz w:val="24"/>
          <w:szCs w:val="24"/>
        </w:rPr>
      </w:pPr>
      <w:r w:rsidRPr="00184B62">
        <w:rPr>
          <w:rFonts w:ascii="Times New Roman" w:hAnsi="Times New Roman"/>
          <w:noProof/>
          <w:sz w:val="24"/>
          <w:szCs w:val="24"/>
        </w:rPr>
        <w:t xml:space="preserve">European commission. The State of Nature in the EU – Article 17 reporting. </w:t>
      </w:r>
      <w:hyperlink r:id="rId48" w:history="1">
        <w:r w:rsidRPr="00184B62">
          <w:rPr>
            <w:rFonts w:ascii="Times New Roman" w:hAnsi="Times New Roman"/>
            <w:color w:val="184CF4"/>
            <w:sz w:val="24"/>
            <w:szCs w:val="24"/>
            <w:u w:val="single"/>
            <w:shd w:val="clear" w:color="auto" w:fill="FFFFFF"/>
          </w:rPr>
          <w:t>https://nature-art17.eionet.europa.eu/article17/species/report/?period=5&amp;group=Molluscs&amp;country=BG&amp;region=</w:t>
        </w:r>
      </w:hyperlink>
      <w:r w:rsidRPr="00184B62">
        <w:rPr>
          <w:rFonts w:ascii="Times New Roman" w:hAnsi="Times New Roman"/>
          <w:noProof/>
          <w:sz w:val="24"/>
          <w:szCs w:val="24"/>
        </w:rPr>
        <w:t xml:space="preserve">. Last visited on </w:t>
      </w:r>
      <w:r w:rsidRPr="00184B62">
        <w:rPr>
          <w:rFonts w:ascii="Times New Roman" w:hAnsi="Times New Roman"/>
          <w:noProof/>
          <w:sz w:val="24"/>
          <w:szCs w:val="24"/>
          <w:lang w:val="en-US"/>
        </w:rPr>
        <w:t>01</w:t>
      </w:r>
      <w:r w:rsidRPr="00184B62">
        <w:rPr>
          <w:rFonts w:ascii="Times New Roman" w:hAnsi="Times New Roman"/>
          <w:noProof/>
          <w:sz w:val="24"/>
          <w:szCs w:val="24"/>
        </w:rPr>
        <w:t>.</w:t>
      </w:r>
      <w:r w:rsidRPr="00184B62">
        <w:rPr>
          <w:rFonts w:ascii="Times New Roman" w:hAnsi="Times New Roman"/>
          <w:noProof/>
          <w:sz w:val="24"/>
          <w:szCs w:val="24"/>
          <w:lang w:val="en-US"/>
        </w:rPr>
        <w:t>11</w:t>
      </w:r>
      <w:r w:rsidRPr="00184B62">
        <w:rPr>
          <w:rFonts w:ascii="Times New Roman" w:hAnsi="Times New Roman"/>
          <w:noProof/>
          <w:sz w:val="24"/>
          <w:szCs w:val="24"/>
        </w:rPr>
        <w:t>.2021.</w:t>
      </w:r>
    </w:p>
    <w:p w:rsidR="00184B62" w:rsidRPr="00184B62" w:rsidRDefault="00184B62" w:rsidP="00715A84">
      <w:pPr>
        <w:spacing w:after="0" w:line="240" w:lineRule="auto"/>
        <w:ind w:left="709" w:hanging="709"/>
        <w:jc w:val="both"/>
        <w:rPr>
          <w:rFonts w:ascii="Times New Roman" w:hAnsi="Times New Roman"/>
          <w:sz w:val="24"/>
          <w:szCs w:val="24"/>
          <w:lang w:val="en-US"/>
        </w:rPr>
      </w:pPr>
      <w:r w:rsidRPr="00184B62">
        <w:rPr>
          <w:rFonts w:ascii="Times New Roman" w:hAnsi="Times New Roman"/>
          <w:sz w:val="24"/>
          <w:szCs w:val="24"/>
        </w:rPr>
        <w:t xml:space="preserve">Pavlova M., Ihtimanska </w:t>
      </w:r>
      <w:r w:rsidRPr="00184B62">
        <w:rPr>
          <w:rFonts w:ascii="Times New Roman" w:hAnsi="Times New Roman"/>
          <w:sz w:val="24"/>
          <w:szCs w:val="24"/>
          <w:lang w:val="en-US"/>
        </w:rPr>
        <w:t>M.,</w:t>
      </w:r>
      <w:r w:rsidRPr="00184B62">
        <w:rPr>
          <w:rFonts w:ascii="Times New Roman" w:hAnsi="Times New Roman"/>
          <w:sz w:val="24"/>
          <w:szCs w:val="24"/>
        </w:rPr>
        <w:t xml:space="preserve"> Dedov I., Biserkov</w:t>
      </w:r>
      <w:r w:rsidRPr="00184B62">
        <w:rPr>
          <w:rFonts w:ascii="Times New Roman" w:hAnsi="Times New Roman"/>
          <w:sz w:val="24"/>
          <w:szCs w:val="24"/>
          <w:lang w:val="en-US"/>
        </w:rPr>
        <w:t xml:space="preserve"> V.</w:t>
      </w:r>
      <w:r w:rsidRPr="00184B62">
        <w:rPr>
          <w:rFonts w:ascii="Times New Roman" w:hAnsi="Times New Roman"/>
          <w:sz w:val="24"/>
          <w:szCs w:val="24"/>
        </w:rPr>
        <w:t>, Uzunov</w:t>
      </w:r>
      <w:r w:rsidRPr="00184B62">
        <w:rPr>
          <w:rFonts w:ascii="Times New Roman" w:hAnsi="Times New Roman"/>
          <w:sz w:val="24"/>
          <w:szCs w:val="24"/>
          <w:lang w:val="en-US"/>
        </w:rPr>
        <w:t xml:space="preserve"> Y.</w:t>
      </w:r>
      <w:r w:rsidRPr="00184B62">
        <w:rPr>
          <w:rFonts w:ascii="Times New Roman" w:hAnsi="Times New Roman"/>
          <w:sz w:val="24"/>
          <w:szCs w:val="24"/>
        </w:rPr>
        <w:t>, Pehlivanov</w:t>
      </w:r>
      <w:r w:rsidRPr="00184B62">
        <w:rPr>
          <w:rFonts w:ascii="Times New Roman" w:hAnsi="Times New Roman"/>
          <w:sz w:val="24"/>
          <w:szCs w:val="24"/>
          <w:lang w:val="en-US"/>
        </w:rPr>
        <w:t xml:space="preserve"> L. 2013. New Localities of </w:t>
      </w:r>
      <w:r w:rsidRPr="00184B62">
        <w:rPr>
          <w:rFonts w:ascii="Times New Roman" w:hAnsi="Times New Roman"/>
          <w:i/>
          <w:sz w:val="24"/>
          <w:szCs w:val="24"/>
          <w:lang w:val="en-US"/>
        </w:rPr>
        <w:t>Theodoxus transversalis</w:t>
      </w:r>
      <w:r w:rsidRPr="00184B62">
        <w:rPr>
          <w:rFonts w:ascii="Times New Roman" w:hAnsi="Times New Roman"/>
          <w:sz w:val="24"/>
          <w:szCs w:val="24"/>
          <w:lang w:val="en-US"/>
        </w:rPr>
        <w:t xml:space="preserve"> (C. Pfeiffer, 1828) within European Natura 2000 Network on the Islands of the Lower Danube River. Acta zoologica bulgarica 65(1): 121-123.</w:t>
      </w:r>
    </w:p>
    <w:p w:rsidR="00184B62" w:rsidRPr="00184B62" w:rsidRDefault="00184B62" w:rsidP="00715A84">
      <w:pPr>
        <w:spacing w:after="0" w:line="240" w:lineRule="auto"/>
        <w:ind w:left="709" w:hanging="709"/>
        <w:jc w:val="both"/>
        <w:rPr>
          <w:rFonts w:ascii="Times New Roman" w:hAnsi="Times New Roman"/>
          <w:color w:val="080100"/>
          <w:sz w:val="24"/>
          <w:szCs w:val="24"/>
          <w:shd w:val="clear" w:color="auto" w:fill="FFFFFF"/>
          <w:lang w:val="en-US"/>
        </w:rPr>
      </w:pPr>
      <w:r w:rsidRPr="00184B62">
        <w:rPr>
          <w:rFonts w:ascii="Times New Roman" w:hAnsi="Times New Roman"/>
          <w:color w:val="080100"/>
          <w:sz w:val="24"/>
          <w:szCs w:val="24"/>
          <w:shd w:val="clear" w:color="auto" w:fill="FFFFFF"/>
        </w:rPr>
        <w:t>Solymos, P. &amp; Feher, Z.</w:t>
      </w:r>
      <w:r w:rsidRPr="00184B62">
        <w:rPr>
          <w:rFonts w:ascii="Times New Roman" w:hAnsi="Times New Roman"/>
          <w:color w:val="080100"/>
          <w:sz w:val="24"/>
          <w:szCs w:val="24"/>
          <w:shd w:val="clear" w:color="auto" w:fill="FFFFFF"/>
          <w:lang w:val="en-US"/>
        </w:rPr>
        <w:t xml:space="preserve"> </w:t>
      </w:r>
      <w:r w:rsidRPr="00184B62">
        <w:rPr>
          <w:rFonts w:ascii="Times New Roman" w:hAnsi="Times New Roman"/>
          <w:color w:val="080100"/>
          <w:sz w:val="24"/>
          <w:szCs w:val="24"/>
          <w:bdr w:val="none" w:sz="0" w:space="0" w:color="auto" w:frame="1"/>
          <w:shd w:val="clear" w:color="auto" w:fill="FFFFFF"/>
        </w:rPr>
        <w:t>2011.</w:t>
      </w:r>
      <w:r w:rsidRPr="00184B62">
        <w:rPr>
          <w:rFonts w:ascii="Times New Roman" w:hAnsi="Times New Roman"/>
          <w:color w:val="080100"/>
          <w:sz w:val="24"/>
          <w:szCs w:val="24"/>
          <w:bdr w:val="none" w:sz="0" w:space="0" w:color="auto" w:frame="1"/>
          <w:shd w:val="clear" w:color="auto" w:fill="FFFFFF"/>
          <w:lang w:val="en-US"/>
        </w:rPr>
        <w:t xml:space="preserve"> </w:t>
      </w:r>
      <w:r w:rsidRPr="00184B62">
        <w:rPr>
          <w:rFonts w:ascii="Times New Roman" w:hAnsi="Times New Roman"/>
          <w:i/>
          <w:iCs/>
          <w:color w:val="080100"/>
          <w:sz w:val="24"/>
          <w:szCs w:val="24"/>
          <w:bdr w:val="none" w:sz="0" w:space="0" w:color="auto" w:frame="1"/>
          <w:shd w:val="clear" w:color="auto" w:fill="FFFFFF"/>
        </w:rPr>
        <w:t>Theodoxus transversalis</w:t>
      </w:r>
      <w:r w:rsidRPr="00184B62">
        <w:rPr>
          <w:rFonts w:ascii="Times New Roman" w:hAnsi="Times New Roman"/>
          <w:color w:val="080100"/>
          <w:sz w:val="24"/>
          <w:szCs w:val="24"/>
          <w:bdr w:val="none" w:sz="0" w:space="0" w:color="auto" w:frame="1"/>
          <w:shd w:val="clear" w:color="auto" w:fill="FFFFFF"/>
        </w:rPr>
        <w:t>.</w:t>
      </w:r>
      <w:r w:rsidRPr="00184B62">
        <w:rPr>
          <w:rFonts w:ascii="Times New Roman" w:hAnsi="Times New Roman"/>
          <w:color w:val="080100"/>
          <w:sz w:val="24"/>
          <w:szCs w:val="24"/>
          <w:bdr w:val="none" w:sz="0" w:space="0" w:color="auto" w:frame="1"/>
          <w:shd w:val="clear" w:color="auto" w:fill="FFFFFF"/>
          <w:lang w:val="en-US"/>
        </w:rPr>
        <w:t xml:space="preserve"> </w:t>
      </w:r>
      <w:r w:rsidRPr="00184B62">
        <w:rPr>
          <w:rFonts w:ascii="Times New Roman" w:hAnsi="Times New Roman"/>
          <w:i/>
          <w:iCs/>
          <w:color w:val="080100"/>
          <w:sz w:val="24"/>
          <w:szCs w:val="24"/>
          <w:bdr w:val="none" w:sz="0" w:space="0" w:color="auto" w:frame="1"/>
          <w:shd w:val="clear" w:color="auto" w:fill="FFFFFF"/>
        </w:rPr>
        <w:t>The IUCN Red List of Threatened Species</w:t>
      </w:r>
      <w:r w:rsidRPr="00184B62">
        <w:rPr>
          <w:rFonts w:ascii="Times New Roman" w:hAnsi="Times New Roman"/>
          <w:i/>
          <w:iCs/>
          <w:color w:val="080100"/>
          <w:sz w:val="24"/>
          <w:szCs w:val="24"/>
          <w:bdr w:val="none" w:sz="0" w:space="0" w:color="auto" w:frame="1"/>
          <w:shd w:val="clear" w:color="auto" w:fill="FFFFFF"/>
          <w:lang w:val="en-US"/>
        </w:rPr>
        <w:t xml:space="preserve"> </w:t>
      </w:r>
      <w:r w:rsidRPr="00184B62">
        <w:rPr>
          <w:rFonts w:ascii="Times New Roman" w:hAnsi="Times New Roman"/>
          <w:color w:val="080100"/>
          <w:sz w:val="24"/>
          <w:szCs w:val="24"/>
          <w:bdr w:val="none" w:sz="0" w:space="0" w:color="auto" w:frame="1"/>
          <w:shd w:val="clear" w:color="auto" w:fill="FFFFFF"/>
        </w:rPr>
        <w:t>2011: e.T21726A9314252.</w:t>
      </w:r>
      <w:r w:rsidRPr="00184B62">
        <w:rPr>
          <w:rFonts w:ascii="Times New Roman" w:hAnsi="Times New Roman"/>
          <w:color w:val="080100"/>
          <w:sz w:val="24"/>
          <w:szCs w:val="24"/>
          <w:bdr w:val="none" w:sz="0" w:space="0" w:color="auto" w:frame="1"/>
          <w:shd w:val="clear" w:color="auto" w:fill="FFFFFF"/>
          <w:lang w:val="en-US"/>
        </w:rPr>
        <w:t xml:space="preserve"> </w:t>
      </w:r>
      <w:hyperlink r:id="rId49" w:history="1">
        <w:r w:rsidRPr="00184B62">
          <w:rPr>
            <w:rFonts w:ascii="Times New Roman" w:hAnsi="Times New Roman"/>
            <w:color w:val="184CF4"/>
            <w:sz w:val="24"/>
            <w:szCs w:val="24"/>
            <w:u w:val="single"/>
            <w:bdr w:val="none" w:sz="0" w:space="0" w:color="auto" w:frame="1"/>
            <w:shd w:val="clear" w:color="auto" w:fill="FFFFFF"/>
          </w:rPr>
          <w:t>https://dx.doi.org/10.2305/IUCN.UK.2011-2.RLTS.T21726A9314252.en</w:t>
        </w:r>
      </w:hyperlink>
      <w:r w:rsidRPr="00184B62">
        <w:rPr>
          <w:rFonts w:ascii="Times New Roman" w:hAnsi="Times New Roman"/>
          <w:color w:val="080100"/>
          <w:sz w:val="24"/>
          <w:szCs w:val="24"/>
          <w:bdr w:val="none" w:sz="0" w:space="0" w:color="auto" w:frame="1"/>
          <w:shd w:val="clear" w:color="auto" w:fill="FFFFFF"/>
        </w:rPr>
        <w:t>.</w:t>
      </w:r>
      <w:r w:rsidRPr="00184B62">
        <w:rPr>
          <w:rFonts w:ascii="Times New Roman" w:hAnsi="Times New Roman"/>
          <w:color w:val="080100"/>
          <w:sz w:val="24"/>
          <w:szCs w:val="24"/>
          <w:bdr w:val="none" w:sz="0" w:space="0" w:color="auto" w:frame="1"/>
          <w:shd w:val="clear" w:color="auto" w:fill="FFFFFF"/>
          <w:lang w:val="en-US"/>
        </w:rPr>
        <w:t xml:space="preserve"> </w:t>
      </w:r>
      <w:r w:rsidRPr="00184B62">
        <w:rPr>
          <w:rFonts w:ascii="Times New Roman" w:hAnsi="Times New Roman"/>
          <w:color w:val="080100"/>
          <w:sz w:val="24"/>
          <w:szCs w:val="24"/>
          <w:shd w:val="clear" w:color="auto" w:fill="FFFFFF"/>
        </w:rPr>
        <w:t>Downloaded on</w:t>
      </w:r>
      <w:r w:rsidRPr="00184B62">
        <w:rPr>
          <w:rFonts w:ascii="Times New Roman" w:hAnsi="Times New Roman"/>
          <w:color w:val="080100"/>
          <w:sz w:val="24"/>
          <w:szCs w:val="24"/>
          <w:shd w:val="clear" w:color="auto" w:fill="FFFFFF"/>
          <w:lang w:val="en-US"/>
        </w:rPr>
        <w:t xml:space="preserve"> </w:t>
      </w:r>
      <w:r w:rsidRPr="00184B62">
        <w:rPr>
          <w:rFonts w:ascii="Times New Roman" w:hAnsi="Times New Roman"/>
          <w:color w:val="080100"/>
          <w:sz w:val="24"/>
          <w:szCs w:val="24"/>
          <w:shd w:val="clear" w:color="auto" w:fill="FFFFFF"/>
        </w:rPr>
        <w:t>02 November 2021.</w:t>
      </w:r>
    </w:p>
    <w:p w:rsidR="00184B62" w:rsidRPr="00184B62" w:rsidRDefault="00184B62" w:rsidP="00715A84">
      <w:pPr>
        <w:spacing w:after="0" w:line="240" w:lineRule="auto"/>
        <w:ind w:left="709" w:hanging="709"/>
        <w:jc w:val="both"/>
        <w:rPr>
          <w:rFonts w:ascii="Times New Roman" w:hAnsi="Times New Roman"/>
          <w:color w:val="080100"/>
          <w:sz w:val="24"/>
          <w:szCs w:val="24"/>
          <w:shd w:val="clear" w:color="auto" w:fill="FFFFFF"/>
          <w:lang w:val="en-US"/>
        </w:rPr>
      </w:pPr>
    </w:p>
    <w:p w:rsidR="00184B62" w:rsidRPr="00184B62" w:rsidRDefault="00184B62" w:rsidP="00184B62">
      <w:pPr>
        <w:spacing w:after="0" w:line="240" w:lineRule="auto"/>
        <w:ind w:left="709" w:hanging="709"/>
        <w:contextualSpacing/>
        <w:jc w:val="both"/>
        <w:rPr>
          <w:rFonts w:ascii="Times New Roman" w:hAnsi="Times New Roman"/>
          <w:bCs/>
          <w:sz w:val="24"/>
          <w:szCs w:val="24"/>
          <w:lang w:eastAsia="bg-BG"/>
        </w:rPr>
      </w:pPr>
      <w:r w:rsidRPr="00184B62">
        <w:rPr>
          <w:rFonts w:ascii="Times New Roman" w:hAnsi="Times New Roman"/>
          <w:bCs/>
          <w:i/>
          <w:sz w:val="24"/>
          <w:szCs w:val="24"/>
          <w:lang w:eastAsia="bg-BG"/>
        </w:rPr>
        <w:t>Автор:</w:t>
      </w:r>
      <w:r w:rsidRPr="00184B62">
        <w:rPr>
          <w:rFonts w:ascii="Times New Roman" w:hAnsi="Times New Roman"/>
          <w:bCs/>
          <w:sz w:val="24"/>
          <w:szCs w:val="24"/>
          <w:lang w:eastAsia="bg-BG"/>
        </w:rPr>
        <w:t xml:space="preserve"> Милчо Тодоров</w:t>
      </w:r>
    </w:p>
    <w:p w:rsidR="0070678B" w:rsidRDefault="0070678B" w:rsidP="0070678B">
      <w:pPr>
        <w:rPr>
          <w:rFonts w:ascii="Times New Roman" w:hAnsi="Times New Roman"/>
          <w:b/>
          <w:color w:val="1F497D" w:themeColor="text2"/>
          <w:sz w:val="28"/>
          <w:szCs w:val="28"/>
        </w:rPr>
      </w:pPr>
    </w:p>
    <w:p w:rsidR="0070678B" w:rsidRDefault="0070678B" w:rsidP="00EC5D51">
      <w:pPr>
        <w:outlineLvl w:val="0"/>
        <w:rPr>
          <w:rFonts w:ascii="Times New Roman" w:hAnsi="Times New Roman"/>
          <w:b/>
          <w:color w:val="1F497D" w:themeColor="text2"/>
          <w:sz w:val="28"/>
          <w:szCs w:val="28"/>
          <w:u w:val="single"/>
        </w:rPr>
      </w:pPr>
      <w:bookmarkStart w:id="30" w:name="_Toc98838541"/>
      <w:r w:rsidRPr="0070678B">
        <w:rPr>
          <w:rFonts w:ascii="Times New Roman" w:hAnsi="Times New Roman"/>
          <w:b/>
          <w:color w:val="1F497D" w:themeColor="text2"/>
          <w:sz w:val="28"/>
          <w:szCs w:val="28"/>
          <w:u w:val="single"/>
        </w:rPr>
        <w:t>Риби</w:t>
      </w:r>
      <w:bookmarkEnd w:id="30"/>
    </w:p>
    <w:p w:rsidR="0070678B" w:rsidRDefault="00107719" w:rsidP="00EC5D51">
      <w:pPr>
        <w:outlineLvl w:val="1"/>
        <w:rPr>
          <w:rFonts w:ascii="Times New Roman" w:hAnsi="Times New Roman"/>
          <w:i/>
          <w:color w:val="1F497D" w:themeColor="text2"/>
          <w:sz w:val="28"/>
          <w:szCs w:val="28"/>
        </w:rPr>
      </w:pPr>
      <w:bookmarkStart w:id="31" w:name="_Toc98838542"/>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4125 </w:t>
      </w:r>
      <w:r w:rsidR="0070678B" w:rsidRPr="00107719">
        <w:rPr>
          <w:rFonts w:ascii="Times New Roman" w:hAnsi="Times New Roman"/>
          <w:i/>
          <w:color w:val="1F497D" w:themeColor="text2"/>
          <w:sz w:val="28"/>
          <w:szCs w:val="28"/>
        </w:rPr>
        <w:t>Alosa immaculata</w:t>
      </w:r>
      <w:bookmarkEnd w:id="31"/>
    </w:p>
    <w:p w:rsidR="003D617F" w:rsidRPr="003D617F" w:rsidRDefault="003D617F" w:rsidP="003D617F">
      <w:pPr>
        <w:spacing w:after="160" w:line="240" w:lineRule="auto"/>
        <w:jc w:val="both"/>
        <w:rPr>
          <w:rFonts w:ascii="Times New Roman" w:eastAsia="Calibri" w:hAnsi="Times New Roman"/>
          <w:bCs/>
          <w:sz w:val="24"/>
          <w:szCs w:val="24"/>
        </w:rPr>
      </w:pPr>
      <w:r w:rsidRPr="003D617F">
        <w:rPr>
          <w:rFonts w:ascii="Times New Roman" w:eastAsia="Calibri" w:hAnsi="Times New Roman"/>
          <w:b/>
          <w:sz w:val="24"/>
          <w:szCs w:val="24"/>
        </w:rPr>
        <w:lastRenderedPageBreak/>
        <w:t>1. Код и наименование на вида</w:t>
      </w:r>
      <w:r w:rsidRPr="003D617F">
        <w:rPr>
          <w:rFonts w:ascii="Times New Roman" w:eastAsia="Calibri" w:hAnsi="Times New Roman"/>
          <w:sz w:val="24"/>
          <w:szCs w:val="24"/>
        </w:rPr>
        <w:t xml:space="preserve">: </w:t>
      </w:r>
      <w:r w:rsidRPr="003D617F">
        <w:rPr>
          <w:rFonts w:ascii="Times New Roman" w:hAnsi="Times New Roman"/>
          <w:bCs/>
          <w:color w:val="000000"/>
          <w:sz w:val="24"/>
          <w:szCs w:val="24"/>
          <w:lang w:eastAsia="bg-BG"/>
        </w:rPr>
        <w:t xml:space="preserve">4125 </w:t>
      </w:r>
      <w:r w:rsidRPr="003D617F">
        <w:rPr>
          <w:rFonts w:ascii="Times New Roman" w:hAnsi="Times New Roman"/>
          <w:bCs/>
          <w:i/>
          <w:iCs/>
          <w:color w:val="000000"/>
          <w:sz w:val="24"/>
          <w:szCs w:val="24"/>
          <w:lang w:val="en-US" w:eastAsia="bg-BG"/>
        </w:rPr>
        <w:t>Alosa immaculata</w:t>
      </w:r>
      <w:r w:rsidRPr="003D617F">
        <w:rPr>
          <w:rFonts w:ascii="Times New Roman" w:hAnsi="Times New Roman"/>
          <w:bCs/>
          <w:color w:val="000000"/>
          <w:sz w:val="24"/>
          <w:szCs w:val="24"/>
          <w:lang w:eastAsia="bg-BG"/>
        </w:rPr>
        <w:t xml:space="preserve"> Карагьоз</w:t>
      </w: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2. Кратка х</w:t>
      </w:r>
      <w:r>
        <w:rPr>
          <w:rFonts w:ascii="Times New Roman" w:eastAsia="Calibri" w:hAnsi="Times New Roman"/>
          <w:b/>
          <w:sz w:val="24"/>
          <w:szCs w:val="24"/>
        </w:rPr>
        <w:t>арактеристика на целевия обект</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Риба от сем. Селдови (</w:t>
      </w:r>
      <w:r w:rsidRPr="003D617F">
        <w:rPr>
          <w:rFonts w:ascii="Times New Roman" w:eastAsia="Calibri" w:hAnsi="Times New Roman"/>
          <w:sz w:val="24"/>
          <w:szCs w:val="24"/>
          <w:lang w:val="en-US"/>
        </w:rPr>
        <w:t>Clupeidae</w:t>
      </w:r>
      <w:r w:rsidRPr="003D617F">
        <w:rPr>
          <w:rFonts w:ascii="Times New Roman" w:eastAsia="Calibri" w:hAnsi="Times New Roman"/>
          <w:sz w:val="24"/>
          <w:szCs w:val="24"/>
        </w:rPr>
        <w:t>). Тялото е удължено, ниско, странично сплеснато, със силно изразен коремен кил от шиповидни люспи. Главата е къса, ниска. Челюстите са еднакво дълги, със зъби. За разлика от другите родове от семейството устата е голяма, а горната челюст е изрязана по средата. Мастните клепачи са силно развити. Хрилните капачета са с ясни радиални бразди. Зад тях на тялото има едно тъмно петно. Гръбната перка е с 3-5 твърди и 12-16 меки лъча. Гръдните перки са къси.</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Видът е разпространен в Черно и Азовско море. </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color w:val="000000"/>
          <w:sz w:val="24"/>
          <w:szCs w:val="24"/>
        </w:rPr>
        <w:t xml:space="preserve">Проходна риба. По-голяма част от живота си прекарва в морето, а за размножаване навлиза в р. Дунав и други големи реки. </w:t>
      </w:r>
      <w:r w:rsidRPr="003D617F">
        <w:rPr>
          <w:rFonts w:ascii="Times New Roman" w:eastAsia="Calibri" w:hAnsi="Times New Roman"/>
          <w:sz w:val="24"/>
          <w:szCs w:val="24"/>
        </w:rPr>
        <w:t>Полово съзрява на 3-4 години. През март-април се появява в крайбрежните морски води, след което започва размножителната миграция в реките. Размножава се през май-юни, като повечето риби след това умират и само малка част се връщат в морето. Хайверът е плаващ и се носи по течението, както и новоизлюпените рибки. Възрастните се хранят с риба и висши ракообразни. По време на размножителната миграция в реките не се хранят.</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Обект за стопански риболов в крайбрежните морски води и в р. Дунав.</w:t>
      </w:r>
    </w:p>
    <w:p w:rsidR="003D617F" w:rsidRPr="003D617F" w:rsidRDefault="003D617F" w:rsidP="003D617F">
      <w:pPr>
        <w:spacing w:after="0" w:line="240" w:lineRule="auto"/>
        <w:ind w:firstLine="709"/>
        <w:jc w:val="both"/>
        <w:rPr>
          <w:rFonts w:ascii="Times New Roman" w:eastAsia="Calibri" w:hAnsi="Times New Roman"/>
          <w:sz w:val="24"/>
          <w:szCs w:val="24"/>
        </w:rPr>
      </w:pPr>
      <w:r w:rsidRPr="00F0212F">
        <w:rPr>
          <w:rFonts w:ascii="Times New Roman" w:eastAsia="Calibri" w:hAnsi="Times New Roman"/>
          <w:i/>
          <w:sz w:val="24"/>
          <w:szCs w:val="24"/>
        </w:rPr>
        <w:t>Характеристики на местообитанието в България</w:t>
      </w:r>
      <w:r w:rsidR="00F0212F">
        <w:rPr>
          <w:rFonts w:ascii="Times New Roman" w:eastAsia="Calibri" w:hAnsi="Times New Roman"/>
          <w:sz w:val="24"/>
          <w:szCs w:val="24"/>
        </w:rPr>
        <w:t>.</w:t>
      </w:r>
      <w:r w:rsidRPr="003D617F">
        <w:rPr>
          <w:rFonts w:ascii="Times New Roman" w:eastAsia="Calibri" w:hAnsi="Times New Roman"/>
          <w:sz w:val="24"/>
          <w:szCs w:val="24"/>
        </w:rPr>
        <w:t xml:space="preserve"> Пелагична риба, активен плувец, обитава райони, отдалечени от брега. В българските крайбрежни морски води се появява през март-април. В българския участък от р. Дунав, където се размножава, навлиза през май-юни. Интензивността на миграцията зависи от температурата на водата и режима на оттока в р. Дунав.</w:t>
      </w:r>
    </w:p>
    <w:p w:rsidR="003D617F" w:rsidRPr="003D617F" w:rsidRDefault="003D617F" w:rsidP="003D617F">
      <w:pPr>
        <w:spacing w:before="120"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3. Състояние на биогеографско ниво и разпространение в мрежата </w:t>
      </w:r>
    </w:p>
    <w:p w:rsidR="003D617F" w:rsidRPr="003D617F" w:rsidRDefault="003D617F" w:rsidP="003D617F">
      <w:pPr>
        <w:spacing w:after="0" w:line="240" w:lineRule="auto"/>
        <w:ind w:firstLine="709"/>
        <w:jc w:val="both"/>
        <w:rPr>
          <w:rFonts w:ascii="Times New Roman" w:eastAsia="Calibri" w:hAnsi="Times New Roman"/>
          <w:color w:val="0563C1"/>
          <w:sz w:val="24"/>
          <w:szCs w:val="24"/>
          <w:u w:val="single"/>
        </w:rPr>
      </w:pPr>
      <w:r w:rsidRPr="003D617F">
        <w:rPr>
          <w:rFonts w:ascii="Times New Roman" w:eastAsia="Calibri" w:hAnsi="Times New Roman"/>
          <w:sz w:val="24"/>
          <w:szCs w:val="24"/>
        </w:rPr>
        <w:t>При двете проучвания предмет на докладване съгласно чл. 17 от Директивата за местообитанията (92/43/ЕИО) видът е оценен в Благоприят</w:t>
      </w:r>
      <w:r w:rsidR="00F0212F">
        <w:rPr>
          <w:rFonts w:ascii="Times New Roman" w:eastAsia="Calibri" w:hAnsi="Times New Roman"/>
          <w:sz w:val="24"/>
          <w:szCs w:val="24"/>
        </w:rPr>
        <w:t>но</w:t>
      </w:r>
      <w:r w:rsidRPr="003D617F">
        <w:rPr>
          <w:rFonts w:ascii="Times New Roman" w:eastAsia="Calibri" w:hAnsi="Times New Roman"/>
          <w:sz w:val="24"/>
          <w:szCs w:val="24"/>
        </w:rPr>
        <w:t xml:space="preserve"> ПС по всички показатели в </w:t>
      </w:r>
      <w:r>
        <w:rPr>
          <w:rFonts w:ascii="Times New Roman" w:eastAsia="Calibri" w:hAnsi="Times New Roman"/>
          <w:sz w:val="24"/>
          <w:szCs w:val="24"/>
        </w:rPr>
        <w:t>К</w:t>
      </w:r>
      <w:r w:rsidRPr="003D617F">
        <w:rPr>
          <w:rFonts w:ascii="Times New Roman" w:eastAsia="Calibri" w:hAnsi="Times New Roman"/>
          <w:sz w:val="24"/>
          <w:szCs w:val="24"/>
        </w:rPr>
        <w:t xml:space="preserve">онтиненталния биогеографски </w:t>
      </w:r>
      <w:r>
        <w:rPr>
          <w:rFonts w:ascii="Times New Roman" w:eastAsia="Calibri" w:hAnsi="Times New Roman"/>
          <w:sz w:val="24"/>
          <w:szCs w:val="24"/>
        </w:rPr>
        <w:t>регион</w:t>
      </w:r>
      <w:r w:rsidRPr="003D617F">
        <w:rPr>
          <w:rFonts w:ascii="Times New Roman" w:eastAsia="Calibri" w:hAnsi="Times New Roman"/>
          <w:sz w:val="24"/>
          <w:szCs w:val="24"/>
        </w:rPr>
        <w:t xml:space="preserve">, но е отбелязано, че няма данни и не е ясно на базата на каква информация е направена тази оценка. Източник на информацията: </w:t>
      </w:r>
      <w:hyperlink r:id="rId50" w:history="1">
        <w:r w:rsidRPr="003D617F">
          <w:rPr>
            <w:rFonts w:ascii="Times New Roman" w:eastAsia="Calibri" w:hAnsi="Times New Roman"/>
            <w:color w:val="0563C1"/>
            <w:sz w:val="24"/>
            <w:szCs w:val="24"/>
            <w:u w:val="single"/>
          </w:rPr>
          <w:t>https://nature-art17.eionet.europa.eu/article17/species/report/</w:t>
        </w:r>
      </w:hyperlink>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3D617F" w:rsidRPr="003D617F" w:rsidRDefault="003D617F" w:rsidP="003D617F">
      <w:pPr>
        <w:spacing w:after="0" w:line="240" w:lineRule="auto"/>
        <w:jc w:val="both"/>
        <w:rPr>
          <w:rFonts w:ascii="Times New Roman" w:eastAsia="Calibri" w:hAnsi="Times New Roman"/>
          <w:sz w:val="24"/>
          <w:szCs w:val="24"/>
        </w:rPr>
      </w:pPr>
      <w:r>
        <w:rPr>
          <w:rFonts w:ascii="Times New Roman" w:eastAsia="Calibri" w:hAnsi="Times New Roman"/>
          <w:sz w:val="24"/>
          <w:szCs w:val="24"/>
        </w:rPr>
        <w:t>1</w:t>
      </w:r>
      <w:r w:rsidRPr="003D617F">
        <w:rPr>
          <w:rFonts w:ascii="Times New Roman" w:eastAsia="Calibri" w:hAnsi="Times New Roman"/>
          <w:sz w:val="24"/>
          <w:szCs w:val="24"/>
        </w:rPr>
        <w:t>Пряко въздействащи негативни антропогенни фактори:</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 xml:space="preserve">Замърсяване на водите; </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Риболов, в т.ч. бракониерски.</w:t>
      </w:r>
    </w:p>
    <w:p w:rsidR="003D617F" w:rsidRPr="003D617F" w:rsidRDefault="003D617F" w:rsidP="003D617F">
      <w:pPr>
        <w:spacing w:after="0" w:line="240" w:lineRule="auto"/>
        <w:ind w:left="720"/>
        <w:contextualSpacing/>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4. Състояние на ниво защитена зона </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3D617F" w:rsidRPr="003D617F" w:rsidTr="003D617F">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3D617F">
        <w:trPr>
          <w:tblCellSpacing w:w="15" w:type="dxa"/>
        </w:trPr>
        <w:tc>
          <w:tcPr>
            <w:tcW w:w="151"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3D617F">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9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Glo.</w:t>
            </w:r>
          </w:p>
        </w:tc>
      </w:tr>
      <w:tr w:rsidR="003D617F" w:rsidRPr="003D617F" w:rsidTr="003D617F">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F0212F" w:rsidRDefault="00F0212F" w:rsidP="003D617F">
            <w:pPr>
              <w:spacing w:before="120" w:after="0" w:line="259" w:lineRule="auto"/>
              <w:jc w:val="both"/>
              <w:rPr>
                <w:rFonts w:ascii="Times New Roman" w:eastAsia="Calibri" w:hAnsi="Times New Roman"/>
                <w:b/>
                <w:bCs/>
                <w:sz w:val="16"/>
                <w:szCs w:val="16"/>
              </w:rPr>
            </w:pPr>
            <w:r>
              <w:rPr>
                <w:rFonts w:ascii="Times New Roman" w:eastAsia="Calibri" w:hAnsi="Times New Roman"/>
                <w:b/>
                <w:bCs/>
                <w:sz w:val="16"/>
                <w:szCs w:val="16"/>
              </w:rPr>
              <w:t>4125</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sz w:val="16"/>
                <w:szCs w:val="16"/>
                <w:lang w:val="en-US"/>
              </w:rPr>
              <w:t>Alosa immaculata</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845</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845</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i</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Р</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G</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С</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А</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C</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В</w:t>
            </w:r>
          </w:p>
        </w:tc>
      </w:tr>
    </w:tbl>
    <w:p w:rsidR="003D617F" w:rsidRPr="003D617F" w:rsidRDefault="003D617F" w:rsidP="003D617F">
      <w:pPr>
        <w:autoSpaceDE w:val="0"/>
        <w:autoSpaceDN w:val="0"/>
        <w:adjustRightInd w:val="0"/>
        <w:spacing w:after="0" w:line="240" w:lineRule="auto"/>
        <w:jc w:val="both"/>
        <w:rPr>
          <w:rFonts w:ascii="Times New Roman" w:eastAsia="Calibri" w:hAnsi="Times New Roman"/>
          <w:b/>
          <w:sz w:val="24"/>
          <w:szCs w:val="24"/>
        </w:rPr>
      </w:pPr>
    </w:p>
    <w:p w:rsidR="003D617F" w:rsidRPr="003D617F" w:rsidRDefault="003D617F" w:rsidP="003D617F">
      <w:pPr>
        <w:autoSpaceDE w:val="0"/>
        <w:autoSpaceDN w:val="0"/>
        <w:adjustRightInd w:val="0"/>
        <w:spacing w:after="0" w:line="240" w:lineRule="auto"/>
        <w:jc w:val="both"/>
        <w:rPr>
          <w:rFonts w:ascii="Times New Roman" w:eastAsia="Calibri" w:hAnsi="Times New Roman"/>
          <w:bCs/>
          <w:color w:val="000000"/>
          <w:kern w:val="36"/>
          <w:sz w:val="24"/>
          <w:szCs w:val="24"/>
        </w:rPr>
      </w:pPr>
      <w:r w:rsidRPr="003D617F">
        <w:rPr>
          <w:rFonts w:ascii="Times New Roman" w:eastAsia="Calibri" w:hAnsi="Times New Roman"/>
          <w:b/>
          <w:sz w:val="24"/>
          <w:szCs w:val="24"/>
        </w:rPr>
        <w:t xml:space="preserve">Източник: </w:t>
      </w:r>
    </w:p>
    <w:p w:rsidR="003D617F" w:rsidRPr="003D617F" w:rsidRDefault="00DE51FF" w:rsidP="003D617F">
      <w:pPr>
        <w:spacing w:after="160" w:line="240" w:lineRule="auto"/>
        <w:jc w:val="both"/>
        <w:rPr>
          <w:rFonts w:ascii="Times New Roman" w:eastAsia="Calibri" w:hAnsi="Times New Roman"/>
          <w:sz w:val="24"/>
          <w:szCs w:val="24"/>
        </w:rPr>
      </w:pPr>
      <w:hyperlink r:id="rId51" w:history="1">
        <w:r w:rsidR="003D617F" w:rsidRPr="003D617F">
          <w:rPr>
            <w:rFonts w:ascii="Times New Roman" w:eastAsia="Calibri" w:hAnsi="Times New Roman"/>
            <w:color w:val="0563C1"/>
            <w:sz w:val="24"/>
            <w:szCs w:val="24"/>
            <w:u w:val="single"/>
          </w:rPr>
          <w:t>http://natura2000.moew.government.bg/Home/ProtectedSite?code=BG0000334&amp;siteType=HabitatDirective</w:t>
        </w:r>
      </w:hyperlink>
      <w:r w:rsidR="003D617F" w:rsidRPr="003D617F">
        <w:rPr>
          <w:rFonts w:ascii="Times New Roman" w:eastAsia="Calibri" w:hAnsi="Times New Roman"/>
          <w:sz w:val="24"/>
          <w:szCs w:val="24"/>
        </w:rPr>
        <w:t>.</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Качеството на данните за карагьоза е оценено като „добро“ (</w:t>
      </w:r>
      <w:r w:rsidRPr="003D617F">
        <w:rPr>
          <w:rFonts w:ascii="Times New Roman" w:eastAsia="Calibri" w:hAnsi="Times New Roman"/>
          <w:sz w:val="24"/>
          <w:szCs w:val="24"/>
          <w:lang w:val="en-US"/>
        </w:rPr>
        <w:t>G</w:t>
      </w:r>
      <w:r w:rsidRPr="003D617F">
        <w:rPr>
          <w:rFonts w:ascii="Times New Roman" w:eastAsia="Calibri" w:hAnsi="Times New Roman"/>
          <w:sz w:val="24"/>
          <w:szCs w:val="24"/>
        </w:rPr>
        <w:t>). Опазването на вида е оценено с „А</w:t>
      </w:r>
      <w:r w:rsidRPr="003D617F">
        <w:rPr>
          <w:rFonts w:ascii="Times New Roman" w:eastAsia="Calibri" w:hAnsi="Times New Roman"/>
          <w:bCs/>
          <w:color w:val="000000"/>
          <w:kern w:val="36"/>
          <w:sz w:val="24"/>
          <w:szCs w:val="24"/>
        </w:rPr>
        <w:t>“ (отлично опазване)</w:t>
      </w:r>
      <w:r w:rsidRPr="003D617F">
        <w:rPr>
          <w:rFonts w:ascii="Times New Roman" w:eastAsia="Calibri" w:hAnsi="Times New Roman"/>
          <w:sz w:val="24"/>
          <w:szCs w:val="24"/>
        </w:rPr>
        <w:t>. Изолираността на популацията е оценен</w:t>
      </w:r>
      <w:r w:rsidR="00F0212F">
        <w:rPr>
          <w:rFonts w:ascii="Times New Roman" w:eastAsia="Calibri" w:hAnsi="Times New Roman"/>
          <w:sz w:val="24"/>
          <w:szCs w:val="24"/>
        </w:rPr>
        <w:t>а</w:t>
      </w:r>
      <w:r w:rsidRPr="003D617F">
        <w:rPr>
          <w:rFonts w:ascii="Times New Roman" w:eastAsia="Calibri" w:hAnsi="Times New Roman"/>
          <w:sz w:val="24"/>
          <w:szCs w:val="24"/>
        </w:rPr>
        <w:t xml:space="preserve"> с „</w:t>
      </w:r>
      <w:r w:rsidRPr="003D617F">
        <w:rPr>
          <w:rFonts w:ascii="Times New Roman" w:eastAsia="Calibri" w:hAnsi="Times New Roman"/>
          <w:bCs/>
          <w:color w:val="000000"/>
          <w:kern w:val="36"/>
          <w:sz w:val="24"/>
          <w:szCs w:val="24"/>
        </w:rPr>
        <w:t>C“ (не изолирана популация в широк обхват на разпространение).</w:t>
      </w:r>
      <w:r w:rsidRPr="003D617F">
        <w:rPr>
          <w:rFonts w:ascii="Times New Roman" w:eastAsia="Calibri" w:hAnsi="Times New Roman"/>
          <w:sz w:val="24"/>
          <w:szCs w:val="24"/>
        </w:rPr>
        <w:t xml:space="preserve"> Цялостна оценка на стойността на зоната за опазването на вида попада в категорията „</w:t>
      </w:r>
      <w:r w:rsidRPr="003D617F">
        <w:rPr>
          <w:rFonts w:ascii="Times New Roman" w:eastAsia="Calibri" w:hAnsi="Times New Roman"/>
          <w:bCs/>
          <w:color w:val="000000"/>
          <w:kern w:val="36"/>
          <w:sz w:val="24"/>
          <w:szCs w:val="24"/>
        </w:rPr>
        <w:t>В“ (добра стойност)</w:t>
      </w:r>
      <w:r w:rsidRPr="003D617F">
        <w:rPr>
          <w:rFonts w:ascii="Times New Roman" w:eastAsia="Calibri" w:hAnsi="Times New Roman"/>
          <w:sz w:val="24"/>
          <w:szCs w:val="24"/>
        </w:rPr>
        <w:t>. Като популационна единица е използвана численост в зоната.</w:t>
      </w:r>
    </w:p>
    <w:p w:rsidR="003D617F" w:rsidRPr="003D617F" w:rsidRDefault="003D617F" w:rsidP="003D617F">
      <w:pPr>
        <w:autoSpaceDE w:val="0"/>
        <w:autoSpaceDN w:val="0"/>
        <w:adjustRightInd w:val="0"/>
        <w:spacing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5. Анализ на наличната информация.</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Видът е регистриран ниска численост през 2013 г. в зоната по време на проект "Картиране и определяне на природозащитното състояние на природни местообитания и видове - фаза I". Стойностите на параметрите „Биомаса“ и „Възрастова структура“ съответстват на „Благоприятно“ ПС, но поради малкия брой уловени риби параметърът „Численост“ съответства на „Неблагоприятно-незадоволителен“ ПС. Поради тази причинна видът е категоризиран в „неблагоприятно-незадоволително“ ПС по критерий „Популация в границите на зоната“. По всички останали критерии ПС е оценено като „благоприятно“, но цялостната оценка е „неблагоприятно-незадоволително“ ПС според приетата методика за оценяване. В стандартния формуляр е посочена информацията за числеността на популацията в ЗЗ – 845 (мин.</w:t>
      </w:r>
      <w:r w:rsidRPr="003D617F">
        <w:rPr>
          <w:rFonts w:ascii="Times New Roman" w:eastAsia="Calibri" w:hAnsi="Times New Roman"/>
          <w:sz w:val="24"/>
          <w:szCs w:val="24"/>
          <w:lang w:val="en-US"/>
        </w:rPr>
        <w:t>-</w:t>
      </w:r>
      <w:r w:rsidRPr="003D617F">
        <w:rPr>
          <w:rFonts w:ascii="Times New Roman" w:eastAsia="Calibri" w:hAnsi="Times New Roman"/>
          <w:sz w:val="24"/>
          <w:szCs w:val="24"/>
        </w:rPr>
        <w:t>макс.</w:t>
      </w:r>
      <w:r w:rsidRPr="003D617F">
        <w:rPr>
          <w:rFonts w:ascii="Times New Roman" w:eastAsia="Calibri" w:hAnsi="Times New Roman"/>
          <w:sz w:val="24"/>
          <w:szCs w:val="24"/>
          <w:lang w:val="en-US"/>
        </w:rPr>
        <w:t>)</w:t>
      </w:r>
      <w:r w:rsidRPr="003D617F">
        <w:rPr>
          <w:rFonts w:ascii="Times New Roman" w:eastAsia="Calibri" w:hAnsi="Times New Roman"/>
          <w:sz w:val="24"/>
          <w:szCs w:val="24"/>
        </w:rPr>
        <w:t xml:space="preserve"> индивида. Видът е обект на стопански риболов и се отчита в риболовната статистика. Според статистически данни за последните 5 години, декларираните улови на карагьоз варират от 0,5 до 2,5 т. Измененията в уловите са свързани с интензивността на размножителната мигрирация в р. Дунав, но и от силата на риболовния натиск в румънския участък на реката – от делтата до гр. Кълъраш.</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Участъкът от река Дунав в зоната, според своите хидроморфологични характеристики, представлява преди всичко ефективен екокоридор за връзка с останалите части на популацията, тъй като е много малък за да представлява значимо размножително местообитание, но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По данни от международното научно изследване </w:t>
      </w:r>
      <w:r w:rsidRPr="003D617F">
        <w:rPr>
          <w:rFonts w:ascii="Times New Roman" w:eastAsia="Calibri" w:hAnsi="Times New Roman"/>
          <w:sz w:val="24"/>
          <w:szCs w:val="24"/>
          <w:lang w:val="en-US"/>
        </w:rPr>
        <w:t>“Joint Danube Survey 4”</w:t>
      </w:r>
      <w:r w:rsidRPr="003D617F">
        <w:rPr>
          <w:rFonts w:ascii="Times New Roman" w:eastAsia="Calibri" w:hAnsi="Times New Roman"/>
          <w:sz w:val="24"/>
          <w:szCs w:val="24"/>
        </w:rPr>
        <w:t>, през 2019 на най-близкия мониторингов пункт на р. Дунав при с. Ветрен е определен като Добър екологичен потенциал по БЕК Риби, БЕК Макрозообентос и БЕК Макрофити.</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При полевото проучване </w:t>
      </w:r>
      <w:r w:rsidR="00F0212F">
        <w:rPr>
          <w:rFonts w:ascii="Times New Roman" w:eastAsia="Calibri" w:hAnsi="Times New Roman"/>
          <w:sz w:val="24"/>
          <w:szCs w:val="24"/>
        </w:rPr>
        <w:t xml:space="preserve">през 2021 г. </w:t>
      </w:r>
      <w:r w:rsidRPr="003D617F">
        <w:rPr>
          <w:rFonts w:ascii="Times New Roman" w:eastAsia="Calibri" w:hAnsi="Times New Roman"/>
          <w:sz w:val="24"/>
          <w:szCs w:val="24"/>
        </w:rPr>
        <w:t xml:space="preserve">по време на проекта за определяне на целите за опазване на вида в защитената зона са извършени пробни улови. Пронабиране е извършено през юни в откритата централна част на реката с добре изразено течение. Използван е един метод за пробонабиране приложим за този вид </w:t>
      </w:r>
      <w:bookmarkStart w:id="32" w:name="_Hlk88841037"/>
      <w:r w:rsidRPr="003D617F">
        <w:rPr>
          <w:rFonts w:ascii="Times New Roman" w:eastAsia="Calibri" w:hAnsi="Times New Roman"/>
          <w:sz w:val="24"/>
          <w:szCs w:val="24"/>
        </w:rPr>
        <w:t>(подход за мониторинг на риби в р. Дунав)</w:t>
      </w:r>
      <w:r w:rsidR="00F0212F" w:rsidRPr="00F0212F">
        <w:rPr>
          <w:rFonts w:ascii="Times New Roman" w:eastAsia="Calibri" w:hAnsi="Times New Roman"/>
          <w:sz w:val="24"/>
          <w:szCs w:val="24"/>
        </w:rPr>
        <w:t xml:space="preserve"> </w:t>
      </w:r>
      <w:r w:rsidR="00F0212F" w:rsidRPr="003D617F">
        <w:rPr>
          <w:rFonts w:ascii="Times New Roman" w:eastAsia="Calibri" w:hAnsi="Times New Roman"/>
          <w:sz w:val="24"/>
          <w:szCs w:val="24"/>
        </w:rPr>
        <w:t>)</w:t>
      </w:r>
      <w:r w:rsidR="00F0212F">
        <w:rPr>
          <w:rFonts w:ascii="Times New Roman" w:eastAsia="Calibri" w:hAnsi="Times New Roman"/>
          <w:sz w:val="24"/>
          <w:szCs w:val="24"/>
        </w:rPr>
        <w:t xml:space="preserve">, </w:t>
      </w:r>
      <w:r w:rsidR="00F0212F" w:rsidRPr="003D617F">
        <w:rPr>
          <w:rFonts w:ascii="Times New Roman" w:eastAsia="Calibri" w:hAnsi="Times New Roman"/>
          <w:sz w:val="24"/>
          <w:szCs w:val="24"/>
        </w:rPr>
        <w:t>приет в Националната система за мониторинг на биологичното разнообразие (</w:t>
      </w:r>
      <w:hyperlink r:id="rId52" w:history="1">
        <w:r w:rsidR="00F0212F" w:rsidRPr="003D617F">
          <w:rPr>
            <w:rFonts w:ascii="Times New Roman" w:eastAsia="Calibri" w:hAnsi="Times New Roman"/>
            <w:color w:val="0563C1"/>
            <w:sz w:val="24"/>
            <w:szCs w:val="24"/>
            <w:u w:val="single"/>
          </w:rPr>
          <w:t>http://eea.government.bg/bg/bio/nsmbr/praktichesko-rakovodstvo-metodiki-za-monitoring-i-otsenka/Podhod_Dunav_Alosa.pdf</w:t>
        </w:r>
      </w:hyperlink>
      <w:r w:rsidR="00F0212F" w:rsidRPr="003D617F">
        <w:rPr>
          <w:rFonts w:ascii="Times New Roman" w:eastAsia="Calibri" w:hAnsi="Times New Roman"/>
          <w:sz w:val="24"/>
          <w:szCs w:val="24"/>
        </w:rPr>
        <w:t>)</w:t>
      </w:r>
      <w:r w:rsidRPr="003D617F">
        <w:rPr>
          <w:rFonts w:ascii="Times New Roman" w:eastAsia="Calibri" w:hAnsi="Times New Roman"/>
          <w:sz w:val="24"/>
          <w:szCs w:val="24"/>
        </w:rPr>
        <w:t>: плаващи мрежи с размер на отворите 2-3 см, пускани на рибарските тони или в други участъци с чакълесто дън</w:t>
      </w:r>
      <w:r w:rsidR="00F0212F">
        <w:rPr>
          <w:rFonts w:ascii="Times New Roman" w:eastAsia="Calibri" w:hAnsi="Times New Roman"/>
          <w:sz w:val="24"/>
          <w:szCs w:val="24"/>
        </w:rPr>
        <w:t xml:space="preserve">о. </w:t>
      </w:r>
      <w:r w:rsidRPr="003D617F">
        <w:rPr>
          <w:rFonts w:ascii="Times New Roman" w:eastAsia="Calibri" w:hAnsi="Times New Roman"/>
          <w:sz w:val="24"/>
          <w:szCs w:val="24"/>
        </w:rPr>
        <w:t xml:space="preserve">Извършено е трикратно пробонабиране с плаваща хрилна мрежа с дължина 100 м и размер на отворите 3 см. Дължината на трансектите е около 800 м. При този подход числеността на рибите се определя като улов (индивиди) на единица риболовно усилие (ind. CPUE). При определяне на CPUE се отчитат размерите на мрежата, времето на експозиция и </w:t>
      </w:r>
      <w:r w:rsidRPr="003D617F">
        <w:rPr>
          <w:rFonts w:ascii="Times New Roman" w:eastAsia="Calibri" w:hAnsi="Times New Roman"/>
          <w:sz w:val="24"/>
          <w:szCs w:val="24"/>
        </w:rPr>
        <w:lastRenderedPageBreak/>
        <w:t>разстоянието, което е изминато за това време. Не е регистриран нито един екземпляр на вида в нито един от трансектите.</w:t>
      </w:r>
    </w:p>
    <w:bookmarkEnd w:id="32"/>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Според информация за уловите от извършвания стопански риболов в границите на ЗЗ карагьоз се лови регулярно през пролетта в значителни количества.</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Защитена зона </w:t>
      </w:r>
      <w:r w:rsidRPr="003D617F">
        <w:rPr>
          <w:rFonts w:ascii="Times New Roman" w:eastAsia="Calibri" w:hAnsi="Times New Roman"/>
          <w:sz w:val="24"/>
          <w:szCs w:val="24"/>
          <w:lang w:val="en-US"/>
        </w:rPr>
        <w:t>BG0000241</w:t>
      </w:r>
      <w:r w:rsidRPr="003D617F">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w:t>
      </w:r>
      <w:r w:rsidR="00F0212F">
        <w:rPr>
          <w:rFonts w:ascii="Times New Roman" w:eastAsia="Calibri" w:hAnsi="Times New Roman"/>
          <w:sz w:val="24"/>
          <w:szCs w:val="24"/>
        </w:rPr>
        <w:t>незаконен</w:t>
      </w:r>
      <w:r w:rsidRPr="003D617F">
        <w:rPr>
          <w:rFonts w:ascii="Times New Roman" w:eastAsia="Calibri" w:hAnsi="Times New Roman"/>
          <w:sz w:val="24"/>
          <w:szCs w:val="24"/>
        </w:rPr>
        <w:t>),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3D617F" w:rsidRPr="003D617F" w:rsidRDefault="003D617F" w:rsidP="003D617F">
      <w:pPr>
        <w:spacing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6. Цели за подобряване/поддържане на природозащитното състояние на </w:t>
      </w:r>
      <w:r>
        <w:rPr>
          <w:rFonts w:ascii="Times New Roman" w:eastAsia="Calibri" w:hAnsi="Times New Roman"/>
          <w:b/>
          <w:sz w:val="24"/>
          <w:szCs w:val="24"/>
        </w:rPr>
        <w:t>вида в зоната</w:t>
      </w:r>
    </w:p>
    <w:p w:rsidR="003D617F" w:rsidRPr="003D617F" w:rsidRDefault="003D617F" w:rsidP="003D617F">
      <w:pPr>
        <w:spacing w:before="120" w:after="0" w:line="240" w:lineRule="auto"/>
        <w:jc w:val="both"/>
        <w:rPr>
          <w:rFonts w:ascii="Times New Roman" w:eastAsia="Calibri" w:hAnsi="Times New Roman"/>
          <w:sz w:val="24"/>
          <w:szCs w:val="24"/>
        </w:rPr>
      </w:pPr>
      <w:r w:rsidRPr="003D617F">
        <w:rPr>
          <w:rFonts w:ascii="Times New Roman" w:eastAsia="Calibri" w:hAnsi="Times New Roman"/>
          <w:sz w:val="24"/>
          <w:szCs w:val="24"/>
        </w:rPr>
        <w:t>Целите са формулирани по показатели, в таблицата по-долу.</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133"/>
        <w:gridCol w:w="1137"/>
        <w:gridCol w:w="3460"/>
        <w:gridCol w:w="1855"/>
      </w:tblGrid>
      <w:tr w:rsidR="003D617F" w:rsidRPr="003D617F" w:rsidTr="003D617F">
        <w:trPr>
          <w:tblHeader/>
          <w:jc w:val="center"/>
        </w:trPr>
        <w:tc>
          <w:tcPr>
            <w:tcW w:w="75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t>Параметър</w:t>
            </w:r>
          </w:p>
        </w:tc>
        <w:tc>
          <w:tcPr>
            <w:tcW w:w="634"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Мерна единица</w:t>
            </w:r>
          </w:p>
        </w:tc>
        <w:tc>
          <w:tcPr>
            <w:tcW w:w="63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Целева стойност</w:t>
            </w:r>
          </w:p>
        </w:tc>
        <w:tc>
          <w:tcPr>
            <w:tcW w:w="193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t>Специфични цели на опазване за зоната</w:t>
            </w:r>
          </w:p>
        </w:tc>
      </w:tr>
      <w:tr w:rsidR="003D617F" w:rsidRPr="003D617F" w:rsidTr="003D617F">
        <w:trPr>
          <w:trHeight w:val="575"/>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lang w:val="en-US"/>
              </w:rPr>
            </w:pPr>
            <w:r w:rsidRPr="003D617F">
              <w:rPr>
                <w:rFonts w:ascii="Times New Roman" w:eastAsia="Calibri" w:hAnsi="Times New Roman"/>
                <w:b/>
              </w:rPr>
              <w:t>Плътност на популацията</w:t>
            </w:r>
          </w:p>
        </w:tc>
        <w:tc>
          <w:tcPr>
            <w:tcW w:w="634" w:type="pct"/>
            <w:shd w:val="clear" w:color="auto" w:fill="auto"/>
          </w:tcPr>
          <w:p w:rsidR="003D617F" w:rsidRDefault="00F0212F" w:rsidP="00F0212F">
            <w:pPr>
              <w:spacing w:before="120" w:after="120" w:line="240" w:lineRule="auto"/>
              <w:rPr>
                <w:rFonts w:ascii="Times New Roman" w:eastAsia="Calibri" w:hAnsi="Times New Roman"/>
              </w:rPr>
            </w:pPr>
            <w:r>
              <w:rPr>
                <w:rFonts w:ascii="Times New Roman" w:eastAsia="Calibri" w:hAnsi="Times New Roman"/>
              </w:rPr>
              <w:t>Брой индивиди, уловени на единица риболовно усилие</w:t>
            </w:r>
          </w:p>
          <w:p w:rsidR="00F0212F" w:rsidRPr="003D617F" w:rsidRDefault="00F0212F" w:rsidP="00F0212F">
            <w:pPr>
              <w:spacing w:before="120" w:after="120" w:line="240" w:lineRule="auto"/>
              <w:rPr>
                <w:rFonts w:ascii="Times New Roman" w:eastAsia="Calibri" w:hAnsi="Times New Roman"/>
              </w:rPr>
            </w:pPr>
            <w:r>
              <w:rPr>
                <w:rFonts w:ascii="Times New Roman" w:hAnsi="Times New Roman"/>
                <w:lang w:val="en-US"/>
              </w:rPr>
              <w:t>ind. CPUE</w:t>
            </w:r>
          </w:p>
        </w:tc>
        <w:tc>
          <w:tcPr>
            <w:tcW w:w="636" w:type="pct"/>
            <w:shd w:val="clear" w:color="auto" w:fill="auto"/>
          </w:tcPr>
          <w:p w:rsidR="003D617F" w:rsidRPr="003D617F" w:rsidRDefault="00F0212F" w:rsidP="003D617F">
            <w:pPr>
              <w:spacing w:before="120" w:after="120" w:line="240" w:lineRule="auto"/>
              <w:rPr>
                <w:rFonts w:ascii="Times New Roman" w:eastAsia="Calibri" w:hAnsi="Times New Roman"/>
              </w:rPr>
            </w:pPr>
            <w:r>
              <w:rPr>
                <w:rFonts w:ascii="Times New Roman" w:eastAsia="Calibri" w:hAnsi="Times New Roman"/>
              </w:rPr>
              <w:t>Минимум 20</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Според наличните данни (проект "Картиране и определяне на природозащитното състояние на природни местообитания и видове - фаза I".) референтната стойност на числеността на вида в зоната е определена на 15-50 инд./ха. При проучването през 2021 г. е получена информация за улови от стопанския риболов в ЗЗ. Минималната целева стойност на популацията се определя чрез експертна преценка като се отчита  референтната стойност, предложена експертно за други ЗЗ по време на проект "Картиране и определяне на природозащитното състояние на природни местообитания и видове - фаза I", както и информацията за стопанските улови в границите на ЗЗ.</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По отношение на натиска, този конкретен речен участък в рамките на защитената зона може да се счита за хомогенен. Кумулативния натиск с </w:t>
            </w:r>
            <w:r w:rsidRPr="003D617F">
              <w:rPr>
                <w:rFonts w:ascii="Times New Roman" w:eastAsia="Calibri" w:hAnsi="Times New Roman"/>
              </w:rPr>
              <w:lastRenderedPageBreak/>
              <w:t>източници на произход извън зоната може да бъде значим, но към момента не може да бъде отчетен.</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Съгласно методиката за оценка на състоянието на риби в НСМБР референтните стойности за плътността на популацията на този вид не са установени. Целевата стойност е определена на базата на информация за уловите от стопанския риболов в района.</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Предотвратяване на бракониерския риболов, в т.ч.: използване на незаконни уреди и начини за риболов, неспазване на сезонните ограничения, извършване на стопански риболов без съответно разрешително</w:t>
            </w: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 xml:space="preserve">Местообитание на вида: </w:t>
            </w:r>
          </w:p>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речна мрежа, представляваща потенциално местообитание за вида</w:t>
            </w:r>
          </w:p>
        </w:tc>
        <w:tc>
          <w:tcPr>
            <w:tcW w:w="634"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км</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shd w:val="clear" w:color="auto" w:fill="FFFFFF"/>
              </w:rPr>
              <w:t>Най-малко 3 км</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Тъй като в границите на зоната видът се среща само в р. Дунав, като размер на местообитанието на вида се определя дължината на участъка от р. Дунав в границите на ЗЗ Чрез ГИС анализ е установено, че 3 км от р. Дунав в защитената зона отговарят на посочените критерии. Според наличните данни за вида, той присътва в ЗЗ само през размножителния период.</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Поддържане на речната мрежа, представляваща подходящо местообитание, обитавано от вида, най-малко 3 км. </w:t>
            </w:r>
          </w:p>
          <w:p w:rsidR="003D617F" w:rsidRPr="003D617F" w:rsidRDefault="003D617F" w:rsidP="003D617F">
            <w:pPr>
              <w:spacing w:before="120" w:after="120" w:line="240" w:lineRule="auto"/>
              <w:jc w:val="both"/>
              <w:rPr>
                <w:rFonts w:ascii="Times New Roman" w:eastAsia="Calibri" w:hAnsi="Times New Roman"/>
              </w:rPr>
            </w:pPr>
          </w:p>
          <w:p w:rsidR="003D617F" w:rsidRPr="003D617F" w:rsidRDefault="003D617F" w:rsidP="003D617F">
            <w:pPr>
              <w:spacing w:before="120" w:after="120" w:line="240" w:lineRule="auto"/>
              <w:jc w:val="both"/>
              <w:rPr>
                <w:rFonts w:ascii="Times New Roman" w:eastAsia="Calibri" w:hAnsi="Times New Roman"/>
              </w:rPr>
            </w:pP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 xml:space="preserve">Местообитание на вида: </w:t>
            </w:r>
          </w:p>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 xml:space="preserve">Степен на свързаност на местообитанието на вида </w:t>
            </w:r>
          </w:p>
          <w:p w:rsidR="003D617F" w:rsidRPr="003D617F" w:rsidRDefault="003D617F" w:rsidP="003D617F">
            <w:pPr>
              <w:spacing w:before="120" w:after="120" w:line="240" w:lineRule="auto"/>
              <w:rPr>
                <w:rFonts w:ascii="Times New Roman" w:eastAsia="Calibri" w:hAnsi="Times New Roman"/>
                <w:b/>
              </w:rPr>
            </w:pPr>
          </w:p>
          <w:p w:rsidR="003D617F" w:rsidRPr="003D617F" w:rsidRDefault="003D617F" w:rsidP="003D617F">
            <w:pPr>
              <w:spacing w:before="120" w:after="120" w:line="240" w:lineRule="auto"/>
              <w:rPr>
                <w:rFonts w:ascii="Times New Roman" w:eastAsia="Calibri" w:hAnsi="Times New Roman"/>
                <w:b/>
              </w:rPr>
            </w:pPr>
          </w:p>
        </w:tc>
        <w:tc>
          <w:tcPr>
            <w:tcW w:w="634"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 xml:space="preserve">5 степенна скала за всяка бариера </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lang w:val="en-US"/>
              </w:rPr>
            </w:pPr>
            <w:r w:rsidRPr="003D617F">
              <w:rPr>
                <w:rFonts w:ascii="Times New Roman" w:eastAsia="Calibri" w:hAnsi="Times New Roman"/>
              </w:rPr>
              <w:t>Степен</w:t>
            </w:r>
            <w:r w:rsidRPr="003D617F">
              <w:rPr>
                <w:rFonts w:ascii="Times New Roman" w:eastAsia="Calibri" w:hAnsi="Times New Roman"/>
                <w:lang w:val="en-US"/>
              </w:rPr>
              <w:t xml:space="preserve"> 1</w:t>
            </w:r>
          </w:p>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за всяка бариера</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Натискът от изграждане на миграционни бариери е оценен съгласно приетите критерии, използвайки 5 степенна скала.</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На базата на информацията в ПУБР 2016-2021 г. и пробонабирането през 2021г.,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 xml:space="preserve">Поддържане на свързаност на местообитанието на вида от Степен 1 за всяка бариера в речния участък. </w:t>
            </w: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 xml:space="preserve">Местообитание на вида: Екологично 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634"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 xml:space="preserve">5 степенна скала за екологично състояние съгласно РДВ </w:t>
            </w:r>
          </w:p>
        </w:tc>
        <w:tc>
          <w:tcPr>
            <w:tcW w:w="636" w:type="pct"/>
            <w:shd w:val="clear" w:color="auto" w:fill="auto"/>
          </w:tcPr>
          <w:p w:rsidR="003D617F" w:rsidRPr="003D617F" w:rsidRDefault="003D617F" w:rsidP="00F0212F">
            <w:pPr>
              <w:spacing w:before="120" w:after="120" w:line="240" w:lineRule="auto"/>
              <w:rPr>
                <w:rFonts w:ascii="Times New Roman" w:eastAsia="Calibri" w:hAnsi="Times New Roman"/>
              </w:rPr>
            </w:pPr>
            <w:r w:rsidRPr="003D617F">
              <w:rPr>
                <w:rFonts w:ascii="Times New Roman" w:eastAsia="Calibri" w:hAnsi="Times New Roman"/>
              </w:rPr>
              <w:t xml:space="preserve">По-висока или равна на 2 – </w:t>
            </w:r>
            <w:r w:rsidR="00F0212F">
              <w:rPr>
                <w:rFonts w:ascii="Times New Roman" w:eastAsia="Calibri" w:hAnsi="Times New Roman"/>
              </w:rPr>
              <w:t>Добър потенциал</w:t>
            </w:r>
          </w:p>
        </w:tc>
        <w:tc>
          <w:tcPr>
            <w:tcW w:w="1936" w:type="pct"/>
            <w:shd w:val="clear" w:color="auto" w:fill="auto"/>
          </w:tcPr>
          <w:p w:rsidR="003D617F" w:rsidRPr="003D617F" w:rsidRDefault="003D617F" w:rsidP="003D617F">
            <w:pPr>
              <w:spacing w:after="0" w:line="240" w:lineRule="auto"/>
              <w:jc w:val="both"/>
              <w:rPr>
                <w:rFonts w:ascii="Times New Roman" w:eastAsia="Calibri" w:hAnsi="Times New Roman"/>
              </w:rPr>
            </w:pPr>
            <w:r w:rsidRPr="003D617F">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3D617F" w:rsidRPr="003D617F" w:rsidTr="003D617F">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3D617F" w:rsidRPr="003D617F" w:rsidRDefault="003D617F" w:rsidP="003D617F">
                  <w:pPr>
                    <w:spacing w:after="0" w:line="240" w:lineRule="auto"/>
                    <w:jc w:val="center"/>
                    <w:rPr>
                      <w:rFonts w:ascii="Times New Roman" w:eastAsia="Calibri" w:hAnsi="Times New Roman"/>
                      <w:b/>
                      <w:bCs/>
                      <w:color w:val="000000"/>
                    </w:rPr>
                  </w:pPr>
                  <w:r w:rsidRPr="003D617F">
                    <w:rPr>
                      <w:rFonts w:ascii="Times New Roman" w:eastAsia="Calibri" w:hAnsi="Times New Roman"/>
                      <w:b/>
                      <w:bCs/>
                      <w:color w:val="000000"/>
                    </w:rPr>
                    <w:t>ЕС/ЕП</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1 - Отлично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2 - Добро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3 - Умерено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4 - Лошо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5 - Много лошо</w:t>
                  </w:r>
                </w:p>
              </w:tc>
            </w:tr>
          </w:tbl>
          <w:p w:rsidR="003D617F" w:rsidRPr="003D617F" w:rsidRDefault="00F0212F" w:rsidP="003D617F">
            <w:pPr>
              <w:spacing w:before="120" w:after="120" w:line="240" w:lineRule="auto"/>
              <w:jc w:val="both"/>
              <w:rPr>
                <w:rFonts w:ascii="Times New Roman" w:eastAsia="Calibri" w:hAnsi="Times New Roman"/>
              </w:rPr>
            </w:pPr>
            <w:r w:rsidRPr="003020BC">
              <w:rPr>
                <w:rFonts w:ascii="Times New Roman" w:eastAsia="Calibri" w:hAnsi="Times New Roman"/>
              </w:rPr>
              <w:t xml:space="preserve">Съгласно ПУРБ 2016-2021 г. </w:t>
            </w:r>
            <w:r w:rsidRPr="008F22F8">
              <w:rPr>
                <w:rFonts w:ascii="Times New Roman" w:eastAsia="Calibri" w:hAnsi="Times New Roman"/>
              </w:rPr>
              <w:t xml:space="preserve">целият български участък от </w:t>
            </w:r>
            <w:r w:rsidRPr="003020BC">
              <w:rPr>
                <w:rFonts w:ascii="Times New Roman" w:eastAsia="Calibri" w:hAnsi="Times New Roman"/>
              </w:rPr>
              <w:t xml:space="preserve">р. Дунав представлява силно </w:t>
            </w:r>
            <w:r w:rsidRPr="003020BC">
              <w:rPr>
                <w:rFonts w:ascii="Times New Roman" w:eastAsia="Calibri" w:hAnsi="Times New Roman"/>
              </w:rPr>
              <w:lastRenderedPageBreak/>
              <w:t>модифицирано водно тяло, с код (</w:t>
            </w:r>
            <w:hyperlink r:id="rId53" w:history="1">
              <w:r w:rsidRPr="003020BC">
                <w:rPr>
                  <w:rFonts w:ascii="Times New Roman" w:eastAsia="Calibri" w:hAnsi="Times New Roman"/>
                  <w:color w:val="0000FF"/>
                  <w:u w:val="single"/>
                </w:rPr>
                <w:t>http://www.bd-dunav.org/uploads/content/files/upravlenie-na-vodite/PURB-2016-2021-final/Razdel-1/prilojenia_R1/Pril_1244.pdf</w:t>
              </w:r>
            </w:hyperlink>
            <w:r w:rsidRPr="003020BC">
              <w:rPr>
                <w:rFonts w:ascii="Times New Roman" w:eastAsia="Calibri" w:hAnsi="Times New Roman"/>
              </w:rPr>
              <w:t>).Екологичният потенциал на р. Дунав е оценен като Умерен, (3),  (</w:t>
            </w:r>
            <w:hyperlink r:id="rId54" w:history="1">
              <w:r w:rsidRPr="003020BC">
                <w:rPr>
                  <w:rFonts w:ascii="Times New Roman" w:eastAsia="Calibri" w:hAnsi="Times New Roman"/>
                  <w:color w:val="0000FF"/>
                  <w:u w:val="single"/>
                </w:rPr>
                <w:t>https://www.eea.europa.eu/data-and-maps/explore-interactive-maps/water-framework-directive-quality-elements?utm_source=EEASubscriptions&amp;utm_medium=RSSFeeds&amp;utm_campaign=Generic</w:t>
              </w:r>
            </w:hyperlink>
            <w:r w:rsidRPr="003020BC">
              <w:rPr>
                <w:rFonts w:ascii="Times New Roman" w:eastAsia="Calibri" w:hAnsi="Times New Roman"/>
              </w:rPr>
              <w:t>)</w:t>
            </w:r>
            <w:r w:rsidR="003D617F" w:rsidRPr="003D617F">
              <w:rPr>
                <w:rFonts w:ascii="Times New Roman" w:eastAsia="Calibri" w:hAnsi="Times New Roman"/>
              </w:rPr>
              <w:t>.</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 xml:space="preserve">Постигане и поддържане на екологичния потенциал на участъка от р. Дунав в границата на зоната на стойност от по-висока или равна на 2 – Добър </w:t>
            </w:r>
            <w:r w:rsidR="00F0212F">
              <w:rPr>
                <w:rFonts w:ascii="Times New Roman" w:eastAsia="Calibri" w:hAnsi="Times New Roman"/>
              </w:rPr>
              <w:t>потенциал</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Междинна цел:</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4" w:type="pct"/>
            <w:shd w:val="clear" w:color="auto" w:fill="auto"/>
          </w:tcPr>
          <w:p w:rsidR="003D617F" w:rsidRPr="003D617F" w:rsidRDefault="003D617F" w:rsidP="003D617F">
            <w:pPr>
              <w:spacing w:before="120" w:after="120" w:line="240" w:lineRule="auto"/>
              <w:rPr>
                <w:rFonts w:ascii="Times New Roman" w:eastAsia="Calibri" w:hAnsi="Times New Roman"/>
                <w:lang w:val="en-US"/>
              </w:rPr>
            </w:pPr>
            <w:r w:rsidRPr="003D617F">
              <w:rPr>
                <w:rFonts w:ascii="Times New Roman" w:eastAsia="Calibri" w:hAnsi="Times New Roman"/>
                <w:lang w:val="en-US"/>
              </w:rPr>
              <w:t>ha</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Карагьозът е пелагичен вид, за когото р. Дунав е размножително местообитание. В тази връзка, важен фактор за състоянието на вида, динамиката на миграциите и разножителния успех е качеството на водата, което е разгледано по-горе.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Не е установен значим натиск в зоната по този параметър.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Състоянието на дънния субстрат не е значим фактор за вида.</w:t>
            </w:r>
          </w:p>
        </w:tc>
        <w:tc>
          <w:tcPr>
            <w:tcW w:w="1038" w:type="pct"/>
          </w:tcPr>
          <w:p w:rsidR="003D617F" w:rsidRPr="003D617F" w:rsidRDefault="003D617F" w:rsidP="003D617F">
            <w:pPr>
              <w:spacing w:before="120" w:after="120" w:line="240" w:lineRule="auto"/>
              <w:jc w:val="both"/>
              <w:rPr>
                <w:rFonts w:ascii="Times New Roman" w:eastAsia="Calibri" w:hAnsi="Times New Roman"/>
              </w:rPr>
            </w:pPr>
          </w:p>
        </w:tc>
      </w:tr>
    </w:tbl>
    <w:p w:rsidR="003D617F" w:rsidRPr="003D617F" w:rsidRDefault="003D617F" w:rsidP="003D617F">
      <w:pPr>
        <w:spacing w:before="120" w:after="120" w:line="240" w:lineRule="auto"/>
        <w:jc w:val="both"/>
        <w:rPr>
          <w:rFonts w:ascii="Times New Roman" w:eastAsia="Calibri" w:hAnsi="Times New Roman"/>
          <w:b/>
          <w:sz w:val="24"/>
          <w:szCs w:val="24"/>
        </w:rPr>
      </w:pPr>
      <w:r w:rsidRPr="003D617F">
        <w:rPr>
          <w:rFonts w:ascii="Times New Roman" w:eastAsia="Calibri" w:hAnsi="Times New Roman"/>
          <w:b/>
          <w:sz w:val="24"/>
          <w:szCs w:val="24"/>
        </w:rPr>
        <w:t>7. Необходимост от актуализация на СФ</w:t>
      </w:r>
      <w:r>
        <w:rPr>
          <w:rFonts w:ascii="Times New Roman" w:eastAsia="Calibri" w:hAnsi="Times New Roman"/>
          <w:b/>
          <w:sz w:val="24"/>
          <w:szCs w:val="24"/>
        </w:rPr>
        <w:t xml:space="preserve"> на защитената зона</w:t>
      </w:r>
    </w:p>
    <w:p w:rsidR="003D617F" w:rsidRPr="003D617F" w:rsidRDefault="00F0212F" w:rsidP="003D617F">
      <w:pPr>
        <w:spacing w:after="160" w:line="240" w:lineRule="auto"/>
        <w:ind w:firstLine="709"/>
        <w:jc w:val="both"/>
        <w:rPr>
          <w:rFonts w:ascii="Times New Roman" w:eastAsia="Calibri" w:hAnsi="Times New Roman"/>
          <w:sz w:val="24"/>
          <w:szCs w:val="24"/>
        </w:rPr>
      </w:pPr>
      <w:r>
        <w:rPr>
          <w:rFonts w:ascii="Times New Roman" w:eastAsia="Calibri" w:hAnsi="Times New Roman"/>
          <w:sz w:val="24"/>
          <w:szCs w:val="24"/>
        </w:rPr>
        <w:t xml:space="preserve">В съответствие с </w:t>
      </w:r>
      <w:r w:rsidRPr="003D617F">
        <w:rPr>
          <w:rFonts w:ascii="Times New Roman" w:eastAsia="Calibri" w:hAnsi="Times New Roman"/>
          <w:sz w:val="24"/>
          <w:szCs w:val="24"/>
        </w:rPr>
        <w:t>методиката</w:t>
      </w:r>
      <w:r>
        <w:rPr>
          <w:rFonts w:ascii="Times New Roman" w:eastAsia="Calibri" w:hAnsi="Times New Roman"/>
          <w:sz w:val="24"/>
          <w:szCs w:val="24"/>
        </w:rPr>
        <w:t>, приложима</w:t>
      </w:r>
      <w:r w:rsidRPr="003D617F">
        <w:rPr>
          <w:rFonts w:ascii="Times New Roman" w:eastAsia="Calibri" w:hAnsi="Times New Roman"/>
          <w:sz w:val="24"/>
          <w:szCs w:val="24"/>
        </w:rPr>
        <w:t xml:space="preserve"> за </w:t>
      </w:r>
      <w:r>
        <w:rPr>
          <w:rFonts w:ascii="Times New Roman" w:eastAsia="Calibri" w:hAnsi="Times New Roman"/>
          <w:sz w:val="24"/>
          <w:szCs w:val="24"/>
        </w:rPr>
        <w:t>пробонабиране</w:t>
      </w:r>
      <w:r w:rsidRPr="003D617F">
        <w:rPr>
          <w:rFonts w:ascii="Times New Roman" w:eastAsia="Calibri" w:hAnsi="Times New Roman"/>
          <w:sz w:val="24"/>
          <w:szCs w:val="24"/>
        </w:rPr>
        <w:t xml:space="preserve"> на </w:t>
      </w:r>
      <w:r>
        <w:rPr>
          <w:rFonts w:ascii="Times New Roman" w:eastAsia="Calibri" w:hAnsi="Times New Roman"/>
          <w:sz w:val="24"/>
          <w:szCs w:val="24"/>
        </w:rPr>
        <w:t>карагьоз</w:t>
      </w:r>
      <w:r w:rsidRPr="003D617F">
        <w:rPr>
          <w:rFonts w:ascii="Times New Roman" w:eastAsia="Calibri" w:hAnsi="Times New Roman"/>
          <w:sz w:val="24"/>
          <w:szCs w:val="24"/>
        </w:rPr>
        <w:t xml:space="preserve">, най-подходящата </w:t>
      </w:r>
      <w:r>
        <w:rPr>
          <w:rFonts w:ascii="Times New Roman" w:eastAsia="Calibri" w:hAnsi="Times New Roman"/>
          <w:sz w:val="24"/>
          <w:szCs w:val="24"/>
        </w:rPr>
        <w:t xml:space="preserve">популационна </w:t>
      </w:r>
      <w:r w:rsidRPr="003D617F">
        <w:rPr>
          <w:rFonts w:ascii="Times New Roman" w:eastAsia="Calibri" w:hAnsi="Times New Roman"/>
          <w:sz w:val="24"/>
          <w:szCs w:val="24"/>
        </w:rPr>
        <w:t xml:space="preserve">единица за определянето на състоянието на вида е брой уловени индивиди </w:t>
      </w:r>
      <w:r>
        <w:rPr>
          <w:rFonts w:ascii="Times New Roman" w:eastAsia="Calibri" w:hAnsi="Times New Roman"/>
          <w:sz w:val="24"/>
          <w:szCs w:val="24"/>
        </w:rPr>
        <w:t xml:space="preserve">на единица риболовно усилие </w:t>
      </w:r>
      <w:r w:rsidRPr="00E702E1">
        <w:rPr>
          <w:rFonts w:ascii="Times New Roman" w:eastAsia="Calibri" w:hAnsi="Times New Roman"/>
          <w:sz w:val="24"/>
          <w:szCs w:val="24"/>
        </w:rPr>
        <w:t>(CPUE)</w:t>
      </w:r>
      <w:r w:rsidRPr="003D617F">
        <w:rPr>
          <w:rFonts w:ascii="Times New Roman" w:eastAsia="Calibri" w:hAnsi="Times New Roman"/>
          <w:sz w:val="24"/>
          <w:szCs w:val="24"/>
        </w:rPr>
        <w:t xml:space="preserve">, което позволява да се използва информацията от стопанските улови. </w:t>
      </w:r>
      <w:r w:rsidRPr="0095092B">
        <w:rPr>
          <w:rFonts w:ascii="Times New Roman" w:eastAsia="Calibri" w:hAnsi="Times New Roman"/>
          <w:sz w:val="24"/>
          <w:szCs w:val="24"/>
        </w:rPr>
        <w:t xml:space="preserve">Тази единица обаче засега не е приета за оценка на </w:t>
      </w:r>
      <w:r>
        <w:rPr>
          <w:rFonts w:ascii="Times New Roman" w:eastAsia="Calibri" w:hAnsi="Times New Roman"/>
          <w:sz w:val="24"/>
          <w:szCs w:val="24"/>
        </w:rPr>
        <w:t>видове риби</w:t>
      </w:r>
      <w:r w:rsidRPr="0095092B">
        <w:rPr>
          <w:rFonts w:ascii="Times New Roman" w:eastAsia="Calibri" w:hAnsi="Times New Roman"/>
          <w:sz w:val="24"/>
          <w:szCs w:val="24"/>
        </w:rPr>
        <w:t xml:space="preserve"> </w:t>
      </w:r>
      <w:r>
        <w:rPr>
          <w:rFonts w:ascii="Times New Roman" w:eastAsia="Calibri" w:hAnsi="Times New Roman"/>
          <w:sz w:val="24"/>
          <w:szCs w:val="24"/>
        </w:rPr>
        <w:t>при докладванията в ЕК</w:t>
      </w:r>
      <w:r w:rsidRPr="0095092B">
        <w:rPr>
          <w:rFonts w:ascii="Times New Roman" w:eastAsia="Calibri" w:hAnsi="Times New Roman"/>
          <w:sz w:val="24"/>
          <w:szCs w:val="24"/>
        </w:rPr>
        <w:t>. Затова, като се има предвид високата сезонна вариабилност на числеността на вида в зоната и с оглед унифицирането на подхода за внасянето на данни в СФ на този етап като единица за оценка се използва „Площ“ (</w:t>
      </w:r>
      <w:r w:rsidRPr="0095092B">
        <w:rPr>
          <w:rFonts w:ascii="Times New Roman" w:eastAsia="Calibri" w:hAnsi="Times New Roman"/>
          <w:sz w:val="24"/>
          <w:szCs w:val="24"/>
          <w:lang w:val="en-US"/>
        </w:rPr>
        <w:t>area</w:t>
      </w:r>
      <w:r w:rsidRPr="0095092B">
        <w:rPr>
          <w:rFonts w:ascii="Times New Roman" w:eastAsia="Calibri" w:hAnsi="Times New Roman"/>
          <w:sz w:val="24"/>
          <w:szCs w:val="24"/>
        </w:rPr>
        <w:t>) на местообитанията</w:t>
      </w:r>
      <w:r>
        <w:rPr>
          <w:rFonts w:ascii="Times New Roman" w:eastAsia="Calibri" w:hAnsi="Times New Roman"/>
          <w:sz w:val="24"/>
          <w:szCs w:val="24"/>
        </w:rPr>
        <w:t xml:space="preserve">“, </w:t>
      </w:r>
      <w:r w:rsidRPr="003D617F">
        <w:rPr>
          <w:rFonts w:ascii="Times New Roman" w:eastAsia="Calibri" w:hAnsi="Times New Roman"/>
          <w:sz w:val="24"/>
          <w:szCs w:val="24"/>
        </w:rPr>
        <w:t>като е уточнена площта на участъка от р. Дунав в зоната</w:t>
      </w:r>
      <w:r>
        <w:rPr>
          <w:rFonts w:ascii="Times New Roman" w:eastAsia="Calibri" w:hAnsi="Times New Roman"/>
          <w:sz w:val="24"/>
          <w:szCs w:val="24"/>
        </w:rPr>
        <w:t>. Видът е обикновен в зоната, но  присъства в нея само през размножителния период. Нанесени са съответните промени в СФ.</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08"/>
        <w:gridCol w:w="546"/>
        <w:gridCol w:w="1043"/>
        <w:gridCol w:w="262"/>
        <w:gridCol w:w="836"/>
        <w:gridCol w:w="286"/>
        <w:gridCol w:w="583"/>
        <w:gridCol w:w="718"/>
        <w:gridCol w:w="593"/>
        <w:gridCol w:w="482"/>
        <w:gridCol w:w="1209"/>
        <w:gridCol w:w="737"/>
        <w:gridCol w:w="513"/>
        <w:gridCol w:w="437"/>
        <w:gridCol w:w="899"/>
      </w:tblGrid>
      <w:tr w:rsidR="003D617F" w:rsidRPr="003D617F" w:rsidTr="00F0212F">
        <w:trPr>
          <w:tblCellSpacing w:w="15" w:type="dxa"/>
        </w:trPr>
        <w:tc>
          <w:tcPr>
            <w:tcW w:w="1554"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2033"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49"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F0212F">
        <w:trPr>
          <w:tblCellSpacing w:w="15" w:type="dxa"/>
        </w:trPr>
        <w:tc>
          <w:tcPr>
            <w:tcW w:w="145"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G </w:t>
            </w:r>
          </w:p>
        </w:tc>
        <w:tc>
          <w:tcPr>
            <w:tcW w:w="284"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558"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382"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41"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684"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31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4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58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38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44"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F0212F">
        <w:trPr>
          <w:tblCellSpacing w:w="15" w:type="dxa"/>
        </w:trPr>
        <w:tc>
          <w:tcPr>
            <w:tcW w:w="14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lastRenderedPageBreak/>
              <w:t> </w:t>
            </w:r>
          </w:p>
        </w:tc>
        <w:tc>
          <w:tcPr>
            <w:tcW w:w="28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55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8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4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31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4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58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8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26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Con.</w:t>
            </w:r>
          </w:p>
        </w:tc>
        <w:tc>
          <w:tcPr>
            <w:tcW w:w="22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Iso.</w:t>
            </w:r>
          </w:p>
        </w:tc>
        <w:tc>
          <w:tcPr>
            <w:tcW w:w="4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Glo.</w:t>
            </w:r>
          </w:p>
        </w:tc>
      </w:tr>
      <w:tr w:rsidR="00F0212F" w:rsidRPr="003D617F" w:rsidTr="00F0212F">
        <w:trPr>
          <w:tblCellSpacing w:w="15" w:type="dxa"/>
        </w:trPr>
        <w:tc>
          <w:tcPr>
            <w:tcW w:w="14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F0212F" w:rsidRPr="003D617F" w:rsidRDefault="00F0212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F</w:t>
            </w:r>
          </w:p>
        </w:tc>
        <w:tc>
          <w:tcPr>
            <w:tcW w:w="28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F0212F" w:rsidRPr="003D617F" w:rsidRDefault="00F0212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1159</w:t>
            </w:r>
          </w:p>
        </w:tc>
        <w:tc>
          <w:tcPr>
            <w:tcW w:w="55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F0212F" w:rsidRPr="003D617F" w:rsidRDefault="00F0212F"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sz w:val="16"/>
                <w:szCs w:val="16"/>
                <w:lang w:val="en-US"/>
              </w:rPr>
              <w:t>Alosa immaculata</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F0212F" w:rsidRPr="003D617F" w:rsidRDefault="00F0212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F0212F" w:rsidRPr="003D617F" w:rsidRDefault="00F0212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14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F0212F" w:rsidRPr="00E702E1" w:rsidRDefault="00F0212F" w:rsidP="00F0212F">
            <w:pPr>
              <w:spacing w:before="120" w:after="0" w:line="259" w:lineRule="auto"/>
              <w:jc w:val="both"/>
              <w:rPr>
                <w:rFonts w:ascii="Times New Roman" w:eastAsia="Calibri" w:hAnsi="Times New Roman"/>
                <w:b/>
                <w:bCs/>
                <w:color w:val="FF0000"/>
                <w:sz w:val="16"/>
                <w:szCs w:val="16"/>
                <w:lang w:val="en-US"/>
              </w:rPr>
            </w:pPr>
            <w:r w:rsidRPr="00E702E1">
              <w:rPr>
                <w:rFonts w:ascii="Times New Roman" w:eastAsia="Calibri" w:hAnsi="Times New Roman"/>
                <w:b/>
                <w:bCs/>
                <w:color w:val="FF0000"/>
                <w:sz w:val="16"/>
                <w:szCs w:val="16"/>
                <w:lang w:val="en-US"/>
              </w:rPr>
              <w:t>r</w:t>
            </w:r>
          </w:p>
        </w:tc>
        <w:tc>
          <w:tcPr>
            <w:tcW w:w="3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F0212F" w:rsidRPr="0061058D" w:rsidRDefault="00F0212F" w:rsidP="00F0212F">
            <w:pPr>
              <w:spacing w:before="120" w:after="0" w:line="259" w:lineRule="auto"/>
              <w:jc w:val="both"/>
              <w:rPr>
                <w:rFonts w:ascii="Times New Roman" w:eastAsia="Calibri" w:hAnsi="Times New Roman"/>
                <w:b/>
                <w:bCs/>
                <w:color w:val="FF0000"/>
                <w:sz w:val="16"/>
                <w:szCs w:val="16"/>
              </w:rPr>
            </w:pPr>
            <w:r w:rsidRPr="0061058D">
              <w:rPr>
                <w:rFonts w:ascii="Times New Roman" w:eastAsia="Calibri" w:hAnsi="Times New Roman"/>
                <w:b/>
                <w:bCs/>
                <w:color w:val="FF0000"/>
                <w:sz w:val="16"/>
                <w:szCs w:val="16"/>
              </w:rPr>
              <w:t>593180</w:t>
            </w:r>
          </w:p>
          <w:p w:rsidR="00F0212F" w:rsidRPr="003D617F" w:rsidRDefault="00F0212F" w:rsidP="00F0212F">
            <w:pPr>
              <w:spacing w:before="120" w:after="0" w:line="259" w:lineRule="auto"/>
              <w:jc w:val="both"/>
              <w:rPr>
                <w:rFonts w:ascii="Times New Roman" w:eastAsia="Calibri" w:hAnsi="Times New Roman"/>
                <w:b/>
                <w:bCs/>
                <w:color w:val="FF0000"/>
                <w:sz w:val="16"/>
                <w:szCs w:val="16"/>
              </w:rPr>
            </w:pPr>
          </w:p>
        </w:tc>
        <w:tc>
          <w:tcPr>
            <w:tcW w:w="36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F0212F" w:rsidRPr="0061058D" w:rsidRDefault="00F0212F" w:rsidP="00F0212F">
            <w:pPr>
              <w:spacing w:before="120" w:after="0" w:line="259" w:lineRule="auto"/>
              <w:jc w:val="both"/>
              <w:rPr>
                <w:rFonts w:ascii="Times New Roman" w:eastAsia="Calibri" w:hAnsi="Times New Roman"/>
                <w:b/>
                <w:bCs/>
                <w:color w:val="FF0000"/>
                <w:sz w:val="16"/>
                <w:szCs w:val="16"/>
              </w:rPr>
            </w:pPr>
            <w:r w:rsidRPr="0061058D">
              <w:rPr>
                <w:rFonts w:ascii="Times New Roman" w:eastAsia="Calibri" w:hAnsi="Times New Roman"/>
                <w:b/>
                <w:bCs/>
                <w:color w:val="FF0000"/>
                <w:sz w:val="16"/>
                <w:szCs w:val="16"/>
              </w:rPr>
              <w:t>593180</w:t>
            </w:r>
          </w:p>
          <w:p w:rsidR="00F0212F" w:rsidRPr="003D617F" w:rsidRDefault="00F0212F" w:rsidP="00F0212F">
            <w:pPr>
              <w:spacing w:before="120" w:after="0" w:line="259" w:lineRule="auto"/>
              <w:jc w:val="both"/>
              <w:rPr>
                <w:rFonts w:ascii="Times New Roman" w:eastAsia="Calibri" w:hAnsi="Times New Roman"/>
                <w:b/>
                <w:bCs/>
                <w:color w:val="FF0000"/>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F0212F" w:rsidRPr="0061058D" w:rsidRDefault="00F0212F" w:rsidP="00F0212F">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color w:val="FF0000"/>
                <w:sz w:val="16"/>
                <w:szCs w:val="16"/>
                <w:lang w:val="en-US"/>
              </w:rPr>
              <w:t>area</w:t>
            </w:r>
          </w:p>
        </w:tc>
        <w:tc>
          <w:tcPr>
            <w:tcW w:w="24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F0212F" w:rsidRPr="00B905E3" w:rsidRDefault="00F0212F" w:rsidP="00F0212F">
            <w:pPr>
              <w:spacing w:before="120" w:after="0" w:line="259" w:lineRule="auto"/>
              <w:jc w:val="both"/>
              <w:rPr>
                <w:rFonts w:ascii="Times New Roman" w:eastAsia="Calibri" w:hAnsi="Times New Roman"/>
                <w:b/>
                <w:bCs/>
                <w:color w:val="FF0000"/>
                <w:sz w:val="16"/>
                <w:szCs w:val="16"/>
                <w:lang w:val="en-US"/>
              </w:rPr>
            </w:pPr>
            <w:r w:rsidRPr="00F0212F">
              <w:rPr>
                <w:rFonts w:ascii="Times New Roman" w:eastAsia="Calibri" w:hAnsi="Times New Roman"/>
                <w:b/>
                <w:bCs/>
                <w:sz w:val="16"/>
                <w:szCs w:val="16"/>
                <w:lang w:val="en-US"/>
              </w:rPr>
              <w:t>C</w:t>
            </w:r>
          </w:p>
        </w:tc>
        <w:tc>
          <w:tcPr>
            <w:tcW w:w="58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F0212F" w:rsidRPr="003D617F" w:rsidRDefault="00F0212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G</w:t>
            </w:r>
          </w:p>
        </w:tc>
        <w:tc>
          <w:tcPr>
            <w:tcW w:w="38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F0212F" w:rsidRPr="003D617F" w:rsidRDefault="00F0212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С</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F0212F" w:rsidRPr="003D617F" w:rsidRDefault="00F0212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B</w:t>
            </w:r>
          </w:p>
        </w:tc>
        <w:tc>
          <w:tcPr>
            <w:tcW w:w="22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F0212F" w:rsidRPr="003D617F" w:rsidRDefault="00F0212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C</w:t>
            </w:r>
          </w:p>
        </w:tc>
        <w:tc>
          <w:tcPr>
            <w:tcW w:w="4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F0212F" w:rsidRPr="003D617F" w:rsidRDefault="00F0212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В</w:t>
            </w:r>
          </w:p>
        </w:tc>
      </w:tr>
    </w:tbl>
    <w:p w:rsidR="003D617F" w:rsidRPr="003D617F" w:rsidRDefault="003D617F" w:rsidP="003D617F">
      <w:pPr>
        <w:spacing w:after="16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8.</w:t>
      </w:r>
      <w:r>
        <w:rPr>
          <w:rFonts w:ascii="Times New Roman" w:eastAsia="Calibri" w:hAnsi="Times New Roman"/>
          <w:b/>
          <w:sz w:val="24"/>
          <w:szCs w:val="24"/>
        </w:rPr>
        <w:t xml:space="preserve"> Цитирана литература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Големански, В. и др. (ред.) 2011. Червена книга на Република България. Том 2. Животни. ИБЕИ - БАН &amp; МОСВ, София. Електронно издание: Том II - Животни (bas.bg)</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1951. Рибите в България. Фауна на България II. С., БАН, 270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Информационна система за защитени зони от екологична мрежа НАТУРА 2000.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http://natura2000.moew.government.bg/; http://natura2000.moew.government.bg/Home/Reports?reportType=Fishes</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1972. Ихтиофауна на р. Янтра. – Изв. на Зоолог. инст. с музей, 36: 149–182.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М. Живков. 1995. Рибите в България. С., "Гея-Либрис", 247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Моров, Т. 1931. Сладководните риби в България. С., "Художник", 93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https://ec.europa.eu/environment/nature/natura2000/management/docs/art6/BG_art_6_guide_jun_2019.pdf</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lastRenderedPageBreak/>
        <w:t>Шишков Г. 1939. Няколко думи за риболова по р. Искър. – Рибарски преглед, 9(8): 4–7.</w:t>
      </w:r>
    </w:p>
    <w:p w:rsidR="003D617F" w:rsidRPr="003D617F" w:rsidRDefault="003D617F" w:rsidP="003D617F">
      <w:pPr>
        <w:spacing w:after="0" w:line="259" w:lineRule="auto"/>
        <w:ind w:left="720" w:hanging="720"/>
        <w:jc w:val="both"/>
        <w:rPr>
          <w:rFonts w:ascii="Times New Roman" w:eastAsia="Calibri" w:hAnsi="Times New Roman"/>
          <w:sz w:val="24"/>
          <w:szCs w:val="24"/>
          <w:lang w:val="en-GB"/>
        </w:rPr>
      </w:pPr>
      <w:r w:rsidRPr="003D617F">
        <w:rPr>
          <w:rFonts w:ascii="Times New Roman" w:eastAsia="Calibri" w:hAnsi="Times New Roman"/>
          <w:sz w:val="24"/>
          <w:szCs w:val="24"/>
        </w:rPr>
        <w:t>Информация от ИАРА за улов на риба и други водни организми в р. Дунав (2016-2020 г.)</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Bauer, C. Bobeldy, A., Lamberti G. 2006.  Predicting habitat use and trophic interactions of Eurasian ruffe, round gobies, and zebra mussels in nearshore areas of the Great Lakes. – Biol Invasions,  DOI 10.1007/s10530-006-9067-8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Bern Convention on the Conservation of European Wildlife and Natural Habitats. https://www.coe.int/en/web/bern-convention</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CEN - EN 14011, 2003. Water quality - Sampling of fish with electricity. Brussels, 16 p.</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3–680.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Froese, R., D. Pauly. Editors. 2021. FishBase. World Wide Web electronic publication. www.fishbase.org, (06/2021): Search FishBase (mnhn.fr)</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IUCN 2021. The IUCN Red List of Threatened Species. Version 2021-2. </w:t>
      </w:r>
      <w:hyperlink r:id="rId55" w:history="1">
        <w:r w:rsidRPr="003D617F">
          <w:rPr>
            <w:rFonts w:ascii="Times New Roman" w:eastAsia="Calibri" w:hAnsi="Times New Roman"/>
            <w:color w:val="0563C1"/>
            <w:sz w:val="24"/>
            <w:szCs w:val="24"/>
            <w:u w:val="single"/>
          </w:rPr>
          <w:t>https://www.iucnredlist.org</w:t>
        </w:r>
      </w:hyperlink>
      <w:r w:rsidRPr="003D617F">
        <w:rPr>
          <w:rFonts w:ascii="Times New Roman" w:eastAsia="Calibri" w:hAnsi="Times New Roman"/>
          <w:sz w:val="24"/>
          <w:szCs w:val="24"/>
        </w:rPr>
        <w:t>.</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Juza T., Blabolil P., Baran R., Barton B.,  Cech M., Drastık V., Frouzova J., Holubova M., Ketelaars H., Kocvara L., Kubecka J., Muska M. Prchalova M., Rıha M., Sajdlova Z., Smejkal M.,Tuser M., Vasek M., Vejrık L., Vejrıkova I., Wagenvoort A., Zak J., Peterka J. 2018. Collapse of the native ruffe (Gymnocephalus cernua) population in the Biesbosch lakes (the Netherlands) owing to round goby (Neogobius melanostomus) invasion. Biol. Invasions, 20:1523–1535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Kottelat, M., J. Freyhof, 2007. Handbook of European freshwater fishes. Publications Kottelat, Cornol and Freyhof, Berlin. 646 pp.</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Naseka, A., N. Bogutskaya, P. Banarescu. 1999. Gobio albipinnatus Lukasch, 1933. – In: Banarescu P. (Ed.), The Freshwater Fishes of Europe. Vol. 5 / I. Cyprinidae 2 / I. AULA-Verlag, Wiesbaden, 37–68.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Vassilev, M., L. Pehlivanov. 2005. Checklist of Bulgarian freshwater fishes. – Acta zool. bulg., 57(2): 161–190.Публичен регистър по екологични оценки - </w:t>
      </w:r>
      <w:hyperlink r:id="rId56" w:history="1">
        <w:r w:rsidRPr="003D617F">
          <w:rPr>
            <w:rFonts w:ascii="Times New Roman" w:eastAsia="Calibri" w:hAnsi="Times New Roman"/>
            <w:color w:val="0563C1"/>
            <w:sz w:val="24"/>
            <w:szCs w:val="24"/>
            <w:u w:val="single"/>
          </w:rPr>
          <w:t>http://registers.moew.government.bg/eo</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Публичен регистър по оценки за въздействие на околната среда </w:t>
      </w:r>
      <w:hyperlink r:id="rId57" w:history="1">
        <w:r w:rsidRPr="003D617F">
          <w:rPr>
            <w:rFonts w:ascii="Times New Roman" w:eastAsia="Calibri" w:hAnsi="Times New Roman"/>
            <w:color w:val="0563C1"/>
            <w:sz w:val="24"/>
            <w:szCs w:val="24"/>
            <w:u w:val="single"/>
          </w:rPr>
          <w:t>http://registers.moew.government.bg/ovos/</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40"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3D617F">
        <w:rPr>
          <w:rFonts w:ascii="Times New Roman" w:eastAsia="Calibri" w:hAnsi="Times New Roman"/>
          <w:color w:val="0563C1"/>
          <w:sz w:val="24"/>
          <w:szCs w:val="24"/>
          <w:u w:val="single"/>
        </w:rPr>
        <w:t>https://riew-pleven.eu/</w:t>
      </w:r>
    </w:p>
    <w:p w:rsidR="003D617F" w:rsidRPr="003D617F" w:rsidRDefault="00DE51FF" w:rsidP="003D617F">
      <w:pPr>
        <w:spacing w:after="160" w:line="240" w:lineRule="auto"/>
        <w:jc w:val="both"/>
        <w:rPr>
          <w:rFonts w:ascii="Times New Roman" w:eastAsia="Calibri" w:hAnsi="Times New Roman"/>
          <w:iCs/>
          <w:color w:val="0563C1"/>
          <w:sz w:val="24"/>
          <w:szCs w:val="24"/>
          <w:u w:val="single"/>
        </w:rPr>
      </w:pPr>
      <w:hyperlink r:id="rId58" w:history="1">
        <w:r w:rsidR="003D617F" w:rsidRPr="003D617F">
          <w:rPr>
            <w:rFonts w:ascii="Times New Roman" w:eastAsia="Calibri" w:hAnsi="Times New Roman"/>
            <w:iCs/>
            <w:color w:val="0563C1"/>
            <w:sz w:val="24"/>
            <w:szCs w:val="24"/>
            <w:u w:val="single"/>
          </w:rPr>
          <w:t>http://eea.government.bg/bg/bio/nsmbr/praktichesko-rakovodstvo-metodiki-za-monitoring-i-otsenka/Podhod_Dunav.pdf</w:t>
        </w:r>
      </w:hyperlink>
    </w:p>
    <w:p w:rsidR="003D617F" w:rsidRPr="003D617F" w:rsidRDefault="003D617F" w:rsidP="003D617F">
      <w:pPr>
        <w:spacing w:after="160" w:line="240" w:lineRule="auto"/>
        <w:jc w:val="both"/>
        <w:rPr>
          <w:rFonts w:ascii="Times New Roman" w:eastAsia="Calibri" w:hAnsi="Times New Roman"/>
          <w:sz w:val="24"/>
          <w:szCs w:val="24"/>
        </w:rPr>
      </w:pPr>
      <w:r w:rsidRPr="003D617F">
        <w:rPr>
          <w:rFonts w:ascii="Times New Roman" w:eastAsia="Calibri" w:hAnsi="Times New Roman"/>
          <w:i/>
          <w:sz w:val="24"/>
          <w:szCs w:val="24"/>
        </w:rPr>
        <w:t>Автори</w:t>
      </w:r>
      <w:r w:rsidRPr="003D617F">
        <w:rPr>
          <w:rFonts w:ascii="Times New Roman" w:eastAsia="Calibri" w:hAnsi="Times New Roman"/>
          <w:sz w:val="24"/>
          <w:szCs w:val="24"/>
        </w:rPr>
        <w:t>:</w:t>
      </w:r>
      <w:r w:rsidRPr="003D617F">
        <w:rPr>
          <w:rFonts w:ascii="Times New Roman" w:eastAsia="Calibri" w:hAnsi="Times New Roman"/>
          <w:b/>
          <w:sz w:val="24"/>
          <w:szCs w:val="24"/>
        </w:rPr>
        <w:t xml:space="preserve"> </w:t>
      </w:r>
      <w:r w:rsidRPr="00F0212F">
        <w:rPr>
          <w:rFonts w:ascii="Times New Roman" w:eastAsia="Calibri" w:hAnsi="Times New Roman"/>
          <w:iCs/>
          <w:sz w:val="24"/>
          <w:szCs w:val="24"/>
        </w:rPr>
        <w:t>Апостолос Апостолу, Лъчезар Пехливанов, Стефан Казаков</w:t>
      </w:r>
    </w:p>
    <w:p w:rsidR="00EC5D51" w:rsidRPr="0070678B" w:rsidRDefault="00EC5D51" w:rsidP="0070678B">
      <w:pPr>
        <w:rPr>
          <w:rFonts w:ascii="Times New Roman" w:hAnsi="Times New Roman"/>
          <w:color w:val="1F497D" w:themeColor="text2"/>
          <w:sz w:val="28"/>
          <w:szCs w:val="28"/>
        </w:rPr>
      </w:pPr>
    </w:p>
    <w:p w:rsidR="0070678B" w:rsidRDefault="00107719" w:rsidP="00EC5D51">
      <w:pPr>
        <w:outlineLvl w:val="1"/>
        <w:rPr>
          <w:rFonts w:ascii="Times New Roman" w:hAnsi="Times New Roman"/>
          <w:i/>
          <w:color w:val="1F497D" w:themeColor="text2"/>
          <w:sz w:val="28"/>
          <w:szCs w:val="28"/>
        </w:rPr>
      </w:pPr>
      <w:bookmarkStart w:id="33" w:name="_Toc98838543"/>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4127 </w:t>
      </w:r>
      <w:r w:rsidR="0070678B" w:rsidRPr="00107719">
        <w:rPr>
          <w:rFonts w:ascii="Times New Roman" w:hAnsi="Times New Roman"/>
          <w:i/>
          <w:color w:val="1F497D" w:themeColor="text2"/>
          <w:sz w:val="28"/>
          <w:szCs w:val="28"/>
        </w:rPr>
        <w:t>Alosa tanaica</w:t>
      </w:r>
      <w:bookmarkEnd w:id="33"/>
    </w:p>
    <w:p w:rsidR="003D617F" w:rsidRPr="003D617F" w:rsidRDefault="003D617F" w:rsidP="003D617F">
      <w:pPr>
        <w:spacing w:after="160" w:line="240" w:lineRule="auto"/>
        <w:jc w:val="both"/>
        <w:rPr>
          <w:rFonts w:ascii="Times New Roman" w:eastAsia="Calibri" w:hAnsi="Times New Roman"/>
          <w:b/>
          <w:bCs/>
          <w:sz w:val="24"/>
          <w:szCs w:val="24"/>
        </w:rPr>
      </w:pPr>
      <w:r w:rsidRPr="003D617F">
        <w:rPr>
          <w:rFonts w:ascii="Times New Roman" w:eastAsia="Calibri" w:hAnsi="Times New Roman"/>
          <w:b/>
          <w:sz w:val="24"/>
          <w:szCs w:val="24"/>
        </w:rPr>
        <w:lastRenderedPageBreak/>
        <w:t xml:space="preserve">1. Код и наименование на вида: </w:t>
      </w:r>
      <w:r w:rsidRPr="003D617F">
        <w:rPr>
          <w:rFonts w:ascii="Times New Roman" w:hAnsi="Times New Roman"/>
          <w:bCs/>
          <w:color w:val="000000"/>
          <w:sz w:val="24"/>
          <w:szCs w:val="24"/>
          <w:lang w:eastAsia="bg-BG"/>
        </w:rPr>
        <w:t>412</w:t>
      </w:r>
      <w:r w:rsidR="00F0212F">
        <w:rPr>
          <w:rFonts w:ascii="Times New Roman" w:hAnsi="Times New Roman"/>
          <w:bCs/>
          <w:color w:val="000000"/>
          <w:sz w:val="24"/>
          <w:szCs w:val="24"/>
          <w:lang w:eastAsia="bg-BG"/>
        </w:rPr>
        <w:t>7</w:t>
      </w:r>
      <w:r w:rsidRPr="003D617F">
        <w:rPr>
          <w:rFonts w:ascii="Times New Roman" w:hAnsi="Times New Roman"/>
          <w:bCs/>
          <w:color w:val="000000"/>
          <w:sz w:val="24"/>
          <w:szCs w:val="24"/>
          <w:lang w:eastAsia="bg-BG"/>
        </w:rPr>
        <w:t xml:space="preserve"> </w:t>
      </w:r>
      <w:r w:rsidRPr="003D617F">
        <w:rPr>
          <w:rFonts w:ascii="Times New Roman" w:hAnsi="Times New Roman"/>
          <w:bCs/>
          <w:i/>
          <w:iCs/>
          <w:color w:val="000000"/>
          <w:sz w:val="24"/>
          <w:szCs w:val="24"/>
          <w:lang w:val="en-US" w:eastAsia="bg-BG"/>
        </w:rPr>
        <w:t>Alosa tanaica</w:t>
      </w:r>
      <w:r w:rsidRPr="003D617F">
        <w:rPr>
          <w:rFonts w:ascii="Times New Roman" w:hAnsi="Times New Roman"/>
          <w:bCs/>
          <w:color w:val="000000"/>
          <w:sz w:val="24"/>
          <w:szCs w:val="24"/>
          <w:lang w:eastAsia="bg-BG"/>
        </w:rPr>
        <w:t xml:space="preserve"> Малък карагьоз</w:t>
      </w:r>
      <w:r w:rsidRPr="003D617F">
        <w:rPr>
          <w:rFonts w:ascii="Times New Roman" w:hAnsi="Times New Roman"/>
          <w:bCs/>
          <w:color w:val="000000"/>
          <w:sz w:val="24"/>
          <w:szCs w:val="24"/>
          <w:lang w:val="en-US" w:eastAsia="bg-BG"/>
        </w:rPr>
        <w:t xml:space="preserve">, </w:t>
      </w:r>
      <w:r w:rsidRPr="003D617F">
        <w:rPr>
          <w:rFonts w:ascii="Times New Roman" w:hAnsi="Times New Roman"/>
          <w:bCs/>
          <w:color w:val="000000"/>
          <w:sz w:val="24"/>
          <w:szCs w:val="24"/>
          <w:lang w:eastAsia="bg-BG"/>
        </w:rPr>
        <w:t>харип</w:t>
      </w: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2. Кратка х</w:t>
      </w:r>
      <w:r>
        <w:rPr>
          <w:rFonts w:ascii="Times New Roman" w:eastAsia="Calibri" w:hAnsi="Times New Roman"/>
          <w:b/>
          <w:sz w:val="24"/>
          <w:szCs w:val="24"/>
        </w:rPr>
        <w:t>арактеристика на целевия обект</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Риба от сем. Селдови (</w:t>
      </w:r>
      <w:r w:rsidRPr="003D617F">
        <w:rPr>
          <w:rFonts w:ascii="Times New Roman" w:eastAsia="Calibri" w:hAnsi="Times New Roman"/>
          <w:sz w:val="24"/>
          <w:szCs w:val="24"/>
          <w:lang w:val="en-US"/>
        </w:rPr>
        <w:t>Clupeidae</w:t>
      </w:r>
      <w:r w:rsidRPr="003D617F">
        <w:rPr>
          <w:rFonts w:ascii="Times New Roman" w:eastAsia="Calibri" w:hAnsi="Times New Roman"/>
          <w:sz w:val="24"/>
          <w:szCs w:val="24"/>
        </w:rPr>
        <w:t>). Тялото е удължено, ниско, странично сплеснато, със силно изразен коремен кил от шиповидни люспи. Главата е къса, ниска. Челюстите са еднакво дълги, със зъби. Прилича на карагьоза, но се различава от него по по-малките размери, по-слабо развитите зъби и по-толемия брой хрилни тичинки.</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Видът е разпространен в Черно и Азовско море. В миналото е обикновен вид за българското черноморско крайбрежие. Намиран е в реките Камчия, Ропотамо, Велека и Резовска и езерата Варненско и Белославско. В р. Камчия е намиран на около 100 km от устието. В отделни години навлиза в българския сектор на р. Дунав. През последните години e установен във Варненския залив и в р. Ропотамо. Понастоящем числеността му е по-висока в азовско, отколкото в Черно море.</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color w:val="000000"/>
          <w:sz w:val="24"/>
          <w:szCs w:val="24"/>
        </w:rPr>
        <w:t xml:space="preserve">Проходна риба. По-голяма част от живота си прекарва в морето, а за размножаване навлиза в р. Дунав и други големи реки, както и в крайбрежни бракични езера. </w:t>
      </w:r>
      <w:r w:rsidRPr="003D617F">
        <w:rPr>
          <w:rFonts w:ascii="Times New Roman" w:eastAsia="Calibri" w:hAnsi="Times New Roman"/>
          <w:sz w:val="24"/>
          <w:szCs w:val="24"/>
        </w:rPr>
        <w:t>Полово съзрява на 2 години. През февруари-март се появява в крайбрежните морски води, след което започва размножителната миграция в реките. Размножава се през април-май при температура на водата 14-24</w:t>
      </w:r>
      <w:r w:rsidRPr="003D617F">
        <w:rPr>
          <w:rFonts w:ascii="Times New Roman" w:eastAsia="Calibri" w:hAnsi="Times New Roman"/>
          <w:sz w:val="24"/>
          <w:szCs w:val="24"/>
          <w:vertAlign w:val="superscript"/>
        </w:rPr>
        <w:t>о</w:t>
      </w:r>
      <w:r w:rsidRPr="003D617F">
        <w:rPr>
          <w:rFonts w:ascii="Times New Roman" w:eastAsia="Calibri" w:hAnsi="Times New Roman"/>
          <w:sz w:val="24"/>
          <w:szCs w:val="24"/>
        </w:rPr>
        <w:t xml:space="preserve">С. Хвърля хайвера си в тихи води близо до брега. Развитието на яйцата протича докато потъват бавно към даното или на дъното. Към края на първата си година новоизлюпените малки се връщат в морето, където остават до настъпване на полова зрялост. Храни се с ракообразен планктон, ларви на насекоми и дребни риби. По време на размножителната миграция в реките не се хранят. </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Обект за стопански риболов в крайбрежните морски води и в р. Дунав.</w:t>
      </w:r>
    </w:p>
    <w:p w:rsidR="003D617F" w:rsidRPr="003D617F" w:rsidRDefault="003D617F" w:rsidP="003D617F">
      <w:pPr>
        <w:spacing w:after="0" w:line="240" w:lineRule="auto"/>
        <w:ind w:firstLine="709"/>
        <w:jc w:val="both"/>
        <w:rPr>
          <w:rFonts w:ascii="Times New Roman" w:eastAsia="Calibri" w:hAnsi="Times New Roman"/>
          <w:sz w:val="24"/>
          <w:szCs w:val="24"/>
        </w:rPr>
      </w:pPr>
      <w:r w:rsidRPr="00F0212F">
        <w:rPr>
          <w:rFonts w:ascii="Times New Roman" w:eastAsia="Calibri" w:hAnsi="Times New Roman"/>
          <w:i/>
          <w:sz w:val="24"/>
          <w:szCs w:val="24"/>
        </w:rPr>
        <w:t>Характеристи</w:t>
      </w:r>
      <w:r w:rsidR="00F0212F">
        <w:rPr>
          <w:rFonts w:ascii="Times New Roman" w:eastAsia="Calibri" w:hAnsi="Times New Roman"/>
          <w:i/>
          <w:sz w:val="24"/>
          <w:szCs w:val="24"/>
        </w:rPr>
        <w:t xml:space="preserve">ки на местообитанието в България. </w:t>
      </w:r>
      <w:r w:rsidRPr="003D617F">
        <w:rPr>
          <w:rFonts w:ascii="Times New Roman" w:eastAsia="Calibri" w:hAnsi="Times New Roman"/>
          <w:sz w:val="24"/>
          <w:szCs w:val="24"/>
        </w:rPr>
        <w:t>Пелагична риба, активен плувец, обитава райони, отдалечени от брега. В българските крайбрежни морски води се появява през февруари-март. В българския участък от р. Дунав, където се размножава, навлиза през през април-май, но не всяка година. Интензивността на миграцията зависи от температурата на водата и режима на оттока в р. Дунав.</w:t>
      </w:r>
    </w:p>
    <w:p w:rsidR="003D617F" w:rsidRPr="003D617F" w:rsidRDefault="003D617F" w:rsidP="003D617F">
      <w:pPr>
        <w:spacing w:before="120"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3. Състояние на биогеографско ниво и разпространение в мрежата </w:t>
      </w:r>
    </w:p>
    <w:p w:rsidR="003D617F" w:rsidRPr="003D617F" w:rsidRDefault="003D617F" w:rsidP="003D617F">
      <w:pPr>
        <w:spacing w:after="0" w:line="240" w:lineRule="auto"/>
        <w:ind w:firstLine="709"/>
        <w:jc w:val="both"/>
        <w:rPr>
          <w:rFonts w:ascii="Times New Roman" w:eastAsia="Calibri" w:hAnsi="Times New Roman"/>
          <w:color w:val="0563C1"/>
          <w:sz w:val="24"/>
          <w:szCs w:val="24"/>
          <w:u w:val="single"/>
        </w:rPr>
      </w:pPr>
      <w:r w:rsidRPr="003D617F">
        <w:rPr>
          <w:rFonts w:ascii="Times New Roman" w:eastAsia="Calibri" w:hAnsi="Times New Roman"/>
          <w:sz w:val="24"/>
          <w:szCs w:val="24"/>
        </w:rPr>
        <w:t>При докладването съгласно чл. 17 от Директивата за местообитанията (92/43/ЕИО) през 2012 г. видът е оценен в Благоприят</w:t>
      </w:r>
      <w:r w:rsidR="001D13B2">
        <w:rPr>
          <w:rFonts w:ascii="Times New Roman" w:eastAsia="Calibri" w:hAnsi="Times New Roman"/>
          <w:sz w:val="24"/>
          <w:szCs w:val="24"/>
        </w:rPr>
        <w:t>но</w:t>
      </w:r>
      <w:r w:rsidRPr="003D617F">
        <w:rPr>
          <w:rFonts w:ascii="Times New Roman" w:eastAsia="Calibri" w:hAnsi="Times New Roman"/>
          <w:sz w:val="24"/>
          <w:szCs w:val="24"/>
        </w:rPr>
        <w:t xml:space="preserve"> ПС по всички критерии в </w:t>
      </w:r>
      <w:r>
        <w:rPr>
          <w:rFonts w:ascii="Times New Roman" w:eastAsia="Calibri" w:hAnsi="Times New Roman"/>
          <w:sz w:val="24"/>
          <w:szCs w:val="24"/>
        </w:rPr>
        <w:t>К</w:t>
      </w:r>
      <w:r w:rsidRPr="003D617F">
        <w:rPr>
          <w:rFonts w:ascii="Times New Roman" w:eastAsia="Calibri" w:hAnsi="Times New Roman"/>
          <w:sz w:val="24"/>
          <w:szCs w:val="24"/>
        </w:rPr>
        <w:t xml:space="preserve">онтиненталния биогеографски </w:t>
      </w:r>
      <w:r>
        <w:rPr>
          <w:rFonts w:ascii="Times New Roman" w:eastAsia="Calibri" w:hAnsi="Times New Roman"/>
          <w:sz w:val="24"/>
          <w:szCs w:val="24"/>
        </w:rPr>
        <w:t>регион</w:t>
      </w:r>
      <w:r w:rsidRPr="003D617F">
        <w:rPr>
          <w:rFonts w:ascii="Times New Roman" w:eastAsia="Calibri" w:hAnsi="Times New Roman"/>
          <w:sz w:val="24"/>
          <w:szCs w:val="24"/>
        </w:rPr>
        <w:t>. При докладването през 2018 г. е посочен Благоприят</w:t>
      </w:r>
      <w:r w:rsidR="00F0212F">
        <w:rPr>
          <w:rFonts w:ascii="Times New Roman" w:eastAsia="Calibri" w:hAnsi="Times New Roman"/>
          <w:sz w:val="24"/>
          <w:szCs w:val="24"/>
        </w:rPr>
        <w:t>но</w:t>
      </w:r>
      <w:r w:rsidRPr="003D617F">
        <w:rPr>
          <w:rFonts w:ascii="Times New Roman" w:eastAsia="Calibri" w:hAnsi="Times New Roman"/>
          <w:sz w:val="24"/>
          <w:szCs w:val="24"/>
        </w:rPr>
        <w:t xml:space="preserve"> ПС по критерии обхват и местообитания, а за другите критерии е посочено, че няма достоверни данни. Източник на информацията: </w:t>
      </w:r>
      <w:hyperlink r:id="rId59" w:history="1">
        <w:r w:rsidRPr="003D617F">
          <w:rPr>
            <w:rFonts w:ascii="Times New Roman" w:eastAsia="Calibri" w:hAnsi="Times New Roman"/>
            <w:color w:val="0563C1"/>
            <w:sz w:val="24"/>
            <w:szCs w:val="24"/>
            <w:u w:val="single"/>
          </w:rPr>
          <w:t>https://nature-art17.eionet.europa.eu/article17/species/report/</w:t>
        </w:r>
      </w:hyperlink>
    </w:p>
    <w:p w:rsid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Основните заплахи за вида могат да бъдат резюмиран</w:t>
      </w:r>
      <w:r>
        <w:rPr>
          <w:rFonts w:ascii="Times New Roman" w:eastAsia="Calibri" w:hAnsi="Times New Roman"/>
          <w:sz w:val="24"/>
          <w:szCs w:val="24"/>
        </w:rPr>
        <w:t>и до следните негативни фактори.</w:t>
      </w:r>
    </w:p>
    <w:p w:rsidR="003D617F" w:rsidRPr="003D617F" w:rsidRDefault="003D617F" w:rsidP="003D617F">
      <w:pPr>
        <w:spacing w:after="0" w:line="240" w:lineRule="auto"/>
        <w:jc w:val="both"/>
        <w:rPr>
          <w:rFonts w:ascii="Times New Roman" w:eastAsia="Calibri" w:hAnsi="Times New Roman"/>
          <w:sz w:val="24"/>
          <w:szCs w:val="24"/>
        </w:rPr>
      </w:pPr>
      <w:r w:rsidRPr="003D617F">
        <w:rPr>
          <w:rFonts w:ascii="Times New Roman" w:eastAsia="Calibri" w:hAnsi="Times New Roman"/>
          <w:sz w:val="24"/>
          <w:szCs w:val="24"/>
        </w:rPr>
        <w:t>Пряко въздействащи негативни антропогенни фактори:</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 xml:space="preserve">Замърсяване на водите; </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Риболов, в т.ч. бракониерски.</w:t>
      </w:r>
    </w:p>
    <w:p w:rsidR="003D617F" w:rsidRPr="003D617F" w:rsidRDefault="003D617F" w:rsidP="003D617F">
      <w:pPr>
        <w:spacing w:after="0" w:line="240" w:lineRule="auto"/>
        <w:ind w:left="720"/>
        <w:contextualSpacing/>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4. Състояние на ниво защитена зона </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3D617F" w:rsidRPr="003D617F" w:rsidTr="003D617F">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3D617F">
        <w:trPr>
          <w:tblCellSpacing w:w="15" w:type="dxa"/>
        </w:trPr>
        <w:tc>
          <w:tcPr>
            <w:tcW w:w="151"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3D617F">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lastRenderedPageBreak/>
              <w:t> </w:t>
            </w:r>
          </w:p>
        </w:tc>
        <w:tc>
          <w:tcPr>
            <w:tcW w:w="29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Glo.</w:t>
            </w:r>
          </w:p>
        </w:tc>
      </w:tr>
      <w:tr w:rsidR="003D617F" w:rsidRPr="003D617F" w:rsidTr="003D617F">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F0212F" w:rsidRDefault="00F0212F" w:rsidP="003D617F">
            <w:pPr>
              <w:spacing w:before="120" w:after="0" w:line="259" w:lineRule="auto"/>
              <w:jc w:val="both"/>
              <w:rPr>
                <w:rFonts w:ascii="Times New Roman" w:eastAsia="Calibri" w:hAnsi="Times New Roman"/>
                <w:b/>
                <w:bCs/>
                <w:sz w:val="16"/>
                <w:szCs w:val="16"/>
              </w:rPr>
            </w:pPr>
            <w:r>
              <w:rPr>
                <w:rFonts w:ascii="Times New Roman" w:eastAsia="Calibri" w:hAnsi="Times New Roman"/>
                <w:b/>
                <w:bCs/>
                <w:sz w:val="16"/>
                <w:szCs w:val="16"/>
              </w:rPr>
              <w:t>4127</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sz w:val="16"/>
                <w:szCs w:val="16"/>
                <w:lang w:val="en-US"/>
              </w:rPr>
              <w:t>Alosa tanaica</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70</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70</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i</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R</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G</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С</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А</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A</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C</w:t>
            </w:r>
          </w:p>
        </w:tc>
      </w:tr>
    </w:tbl>
    <w:p w:rsidR="003D617F" w:rsidRPr="003D617F" w:rsidRDefault="003D617F" w:rsidP="003D617F">
      <w:pPr>
        <w:autoSpaceDE w:val="0"/>
        <w:autoSpaceDN w:val="0"/>
        <w:adjustRightInd w:val="0"/>
        <w:spacing w:after="0" w:line="240" w:lineRule="auto"/>
        <w:jc w:val="both"/>
        <w:rPr>
          <w:rFonts w:ascii="Times New Roman" w:eastAsia="Calibri" w:hAnsi="Times New Roman"/>
          <w:b/>
          <w:sz w:val="24"/>
          <w:szCs w:val="24"/>
        </w:rPr>
      </w:pPr>
    </w:p>
    <w:p w:rsidR="003D617F" w:rsidRPr="003D617F" w:rsidRDefault="003D617F" w:rsidP="003D617F">
      <w:pPr>
        <w:autoSpaceDE w:val="0"/>
        <w:autoSpaceDN w:val="0"/>
        <w:adjustRightInd w:val="0"/>
        <w:spacing w:after="0" w:line="240" w:lineRule="auto"/>
        <w:jc w:val="both"/>
        <w:rPr>
          <w:rFonts w:ascii="Times New Roman" w:eastAsia="Calibri" w:hAnsi="Times New Roman"/>
          <w:bCs/>
          <w:color w:val="000000"/>
          <w:kern w:val="36"/>
          <w:sz w:val="24"/>
          <w:szCs w:val="24"/>
        </w:rPr>
      </w:pPr>
      <w:r w:rsidRPr="003D617F">
        <w:rPr>
          <w:rFonts w:ascii="Times New Roman" w:eastAsia="Calibri" w:hAnsi="Times New Roman"/>
          <w:b/>
          <w:sz w:val="24"/>
          <w:szCs w:val="24"/>
        </w:rPr>
        <w:t xml:space="preserve">Източник: </w:t>
      </w:r>
    </w:p>
    <w:p w:rsidR="003D617F" w:rsidRPr="003D617F" w:rsidRDefault="00DE51FF" w:rsidP="003D617F">
      <w:pPr>
        <w:spacing w:after="160" w:line="240" w:lineRule="auto"/>
        <w:jc w:val="both"/>
        <w:rPr>
          <w:rFonts w:ascii="Times New Roman" w:eastAsia="Calibri" w:hAnsi="Times New Roman"/>
          <w:sz w:val="24"/>
          <w:szCs w:val="24"/>
        </w:rPr>
      </w:pPr>
      <w:hyperlink r:id="rId60" w:history="1">
        <w:r w:rsidR="003D617F" w:rsidRPr="003D617F">
          <w:rPr>
            <w:rFonts w:ascii="Times New Roman" w:eastAsia="Calibri" w:hAnsi="Times New Roman"/>
            <w:color w:val="0563C1"/>
            <w:sz w:val="24"/>
            <w:szCs w:val="24"/>
            <w:u w:val="single"/>
          </w:rPr>
          <w:t>http://natura2000.moew.government.bg/Home/ProtectedSite?code=BG0000334&amp;siteType=HabitatDirective</w:t>
        </w:r>
      </w:hyperlink>
      <w:r w:rsidR="003D617F" w:rsidRPr="003D617F">
        <w:rPr>
          <w:rFonts w:ascii="Times New Roman" w:eastAsia="Calibri" w:hAnsi="Times New Roman"/>
          <w:sz w:val="24"/>
          <w:szCs w:val="24"/>
        </w:rPr>
        <w:t>.</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Качеството на данните за харипа е оценено като „добро“ (</w:t>
      </w:r>
      <w:r w:rsidRPr="003D617F">
        <w:rPr>
          <w:rFonts w:ascii="Times New Roman" w:eastAsia="Calibri" w:hAnsi="Times New Roman"/>
          <w:sz w:val="24"/>
          <w:szCs w:val="24"/>
          <w:lang w:val="en-US"/>
        </w:rPr>
        <w:t>G</w:t>
      </w:r>
      <w:r w:rsidRPr="003D617F">
        <w:rPr>
          <w:rFonts w:ascii="Times New Roman" w:eastAsia="Calibri" w:hAnsi="Times New Roman"/>
          <w:sz w:val="24"/>
          <w:szCs w:val="24"/>
        </w:rPr>
        <w:t>), но това противоречи на отбелязаната липса на данни за оценка по критериите „Популация“ и „Бъдещи песпективи“, и, съответно, за „Обща оценака“. Опазването на вида е оценено с „А</w:t>
      </w:r>
      <w:r w:rsidRPr="003D617F">
        <w:rPr>
          <w:rFonts w:ascii="Times New Roman" w:eastAsia="Calibri" w:hAnsi="Times New Roman"/>
          <w:bCs/>
          <w:color w:val="000000"/>
          <w:kern w:val="36"/>
          <w:sz w:val="24"/>
          <w:szCs w:val="24"/>
        </w:rPr>
        <w:t>“ (отлично опазване)</w:t>
      </w:r>
      <w:r w:rsidRPr="003D617F">
        <w:rPr>
          <w:rFonts w:ascii="Times New Roman" w:eastAsia="Calibri" w:hAnsi="Times New Roman"/>
          <w:sz w:val="24"/>
          <w:szCs w:val="24"/>
        </w:rPr>
        <w:t>. Степента на изолация на популацията е оценен</w:t>
      </w:r>
      <w:r w:rsidR="001D13B2">
        <w:rPr>
          <w:rFonts w:ascii="Times New Roman" w:eastAsia="Calibri" w:hAnsi="Times New Roman"/>
          <w:sz w:val="24"/>
          <w:szCs w:val="24"/>
        </w:rPr>
        <w:t>а</w:t>
      </w:r>
      <w:r w:rsidRPr="003D617F">
        <w:rPr>
          <w:rFonts w:ascii="Times New Roman" w:eastAsia="Calibri" w:hAnsi="Times New Roman"/>
          <w:sz w:val="24"/>
          <w:szCs w:val="24"/>
        </w:rPr>
        <w:t xml:space="preserve"> с „</w:t>
      </w:r>
      <w:r w:rsidR="001D13B2">
        <w:rPr>
          <w:rFonts w:ascii="Times New Roman" w:eastAsia="Calibri" w:hAnsi="Times New Roman"/>
          <w:bCs/>
          <w:color w:val="000000"/>
          <w:kern w:val="36"/>
          <w:sz w:val="24"/>
          <w:szCs w:val="24"/>
        </w:rPr>
        <w:t xml:space="preserve">А“ </w:t>
      </w:r>
      <w:r w:rsidRPr="003D617F">
        <w:rPr>
          <w:rFonts w:ascii="Times New Roman" w:eastAsia="Calibri" w:hAnsi="Times New Roman"/>
          <w:bCs/>
          <w:color w:val="000000"/>
          <w:kern w:val="36"/>
          <w:sz w:val="24"/>
          <w:szCs w:val="24"/>
        </w:rPr>
        <w:t>(почти) изолирана популация), което не отговаря на реалното положение.</w:t>
      </w:r>
      <w:r w:rsidRPr="003D617F">
        <w:rPr>
          <w:rFonts w:ascii="Times New Roman" w:eastAsia="Calibri" w:hAnsi="Times New Roman"/>
          <w:sz w:val="24"/>
          <w:szCs w:val="24"/>
        </w:rPr>
        <w:t xml:space="preserve"> Цялостна оценка на стойността на зоната за опазването на вида попада в категорията „</w:t>
      </w:r>
      <w:r w:rsidRPr="003D617F">
        <w:rPr>
          <w:rFonts w:ascii="Times New Roman" w:eastAsia="Calibri" w:hAnsi="Times New Roman"/>
          <w:bCs/>
          <w:color w:val="000000"/>
          <w:kern w:val="36"/>
          <w:sz w:val="24"/>
          <w:szCs w:val="24"/>
        </w:rPr>
        <w:t>С“ (значима стойност)</w:t>
      </w:r>
      <w:r w:rsidRPr="003D617F">
        <w:rPr>
          <w:rFonts w:ascii="Times New Roman" w:eastAsia="Calibri" w:hAnsi="Times New Roman"/>
          <w:sz w:val="24"/>
          <w:szCs w:val="24"/>
        </w:rPr>
        <w:t>. Като популационна единица е използвана численост в зоната.</w:t>
      </w:r>
    </w:p>
    <w:p w:rsidR="003D617F" w:rsidRPr="003D617F" w:rsidRDefault="003D617F" w:rsidP="003D617F">
      <w:pPr>
        <w:autoSpaceDE w:val="0"/>
        <w:autoSpaceDN w:val="0"/>
        <w:adjustRightInd w:val="0"/>
        <w:spacing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5.</w:t>
      </w:r>
      <w:r>
        <w:rPr>
          <w:rFonts w:ascii="Times New Roman" w:eastAsia="Calibri" w:hAnsi="Times New Roman"/>
          <w:b/>
          <w:sz w:val="24"/>
          <w:szCs w:val="24"/>
        </w:rPr>
        <w:t xml:space="preserve"> Анализ на наличната информация</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Видът е регистриран през 2013 г. в зоната по време на проект "Картиране и определяне на природозащитното състояние на природни местообитания и видове - фаза I". По всички критерии е категоризиран в „благоприятно“ ПС. В стандартния формуляр е посочена информацията за числеността на популацията 70 (мин.</w:t>
      </w:r>
      <w:r w:rsidRPr="003D617F">
        <w:rPr>
          <w:rFonts w:ascii="Times New Roman" w:eastAsia="Calibri" w:hAnsi="Times New Roman"/>
          <w:sz w:val="24"/>
          <w:szCs w:val="24"/>
          <w:lang w:val="en-US"/>
        </w:rPr>
        <w:t>-</w:t>
      </w:r>
      <w:r w:rsidRPr="003D617F">
        <w:rPr>
          <w:rFonts w:ascii="Times New Roman" w:eastAsia="Calibri" w:hAnsi="Times New Roman"/>
          <w:sz w:val="24"/>
          <w:szCs w:val="24"/>
        </w:rPr>
        <w:t>макс.</w:t>
      </w:r>
      <w:r w:rsidRPr="003D617F">
        <w:rPr>
          <w:rFonts w:ascii="Times New Roman" w:eastAsia="Calibri" w:hAnsi="Times New Roman"/>
          <w:sz w:val="24"/>
          <w:szCs w:val="24"/>
          <w:lang w:val="en-US"/>
        </w:rPr>
        <w:t>)</w:t>
      </w:r>
      <w:r w:rsidRPr="003D617F">
        <w:rPr>
          <w:rFonts w:ascii="Times New Roman" w:eastAsia="Calibri" w:hAnsi="Times New Roman"/>
          <w:sz w:val="24"/>
          <w:szCs w:val="24"/>
        </w:rPr>
        <w:t xml:space="preserve"> индивида. Видът е обект на стопански риболов, но се отчита в риболовната статистика заедно с карагьоза , затова не може да се направи диференцирана оценка на уловите. Според статистически данни за последните 5 години, декларираните улови на карагьоз варират от 0,5 до 2,5 т. Измененията в уловите са свързани с интензивността на размножителната мигрирация в р. Дунав, но и от силата на риболовния натиск в румънския участък на реката – от делтата до гр. Кълъраш. В Червената книга на Република България е посочено, че харипът не всяка година навлиза в българския участък от р. Дунав.</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Участъкът от река Дунав в зоната, </w:t>
      </w:r>
      <w:bookmarkStart w:id="34" w:name="_Hlk89012717"/>
      <w:r w:rsidRPr="003D617F">
        <w:rPr>
          <w:rFonts w:ascii="Times New Roman" w:eastAsia="Calibri" w:hAnsi="Times New Roman"/>
          <w:sz w:val="24"/>
          <w:szCs w:val="24"/>
        </w:rPr>
        <w:t xml:space="preserve">според своите хидроморфологични характеристики представлява преди всичко ефективен екокоридор за връзка с останалите части на популацията, тъй като е много малък за да представлява значимо размножително местообитание, но няма прегради, нарушаващи коридорните функции. </w:t>
      </w:r>
      <w:bookmarkEnd w:id="34"/>
      <w:r w:rsidRPr="003D617F">
        <w:rPr>
          <w:rFonts w:ascii="Times New Roman" w:eastAsia="Calibri" w:hAnsi="Times New Roman"/>
          <w:sz w:val="24"/>
          <w:szCs w:val="24"/>
        </w:rPr>
        <w:t xml:space="preserve">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По данни от международното научно изследване </w:t>
      </w:r>
      <w:r w:rsidRPr="003D617F">
        <w:rPr>
          <w:rFonts w:ascii="Times New Roman" w:eastAsia="Calibri" w:hAnsi="Times New Roman"/>
          <w:sz w:val="24"/>
          <w:szCs w:val="24"/>
          <w:lang w:val="en-US"/>
        </w:rPr>
        <w:t>“Joint Danube Survey 4”</w:t>
      </w:r>
      <w:r w:rsidRPr="003D617F">
        <w:rPr>
          <w:rFonts w:ascii="Times New Roman" w:eastAsia="Calibri" w:hAnsi="Times New Roman"/>
          <w:sz w:val="24"/>
          <w:szCs w:val="24"/>
        </w:rPr>
        <w:t>, през 2019 на най-близкия мониторингов пункт на р. Дунав при с. Ветрен е определен като Добър екологичен потенциал по БЕК Риби, БЕК Макрозообентос и БЕК Макрофити.</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При полевото проучване </w:t>
      </w:r>
      <w:r w:rsidR="00F0212F">
        <w:rPr>
          <w:rFonts w:ascii="Times New Roman" w:eastAsia="Calibri" w:hAnsi="Times New Roman"/>
          <w:sz w:val="24"/>
          <w:szCs w:val="24"/>
        </w:rPr>
        <w:t xml:space="preserve">през 2021 г. </w:t>
      </w:r>
      <w:r w:rsidRPr="003D617F">
        <w:rPr>
          <w:rFonts w:ascii="Times New Roman" w:eastAsia="Calibri" w:hAnsi="Times New Roman"/>
          <w:sz w:val="24"/>
          <w:szCs w:val="24"/>
        </w:rPr>
        <w:t>по време на проекта за определяне на целите за опазване на вида в защитената</w:t>
      </w:r>
      <w:r w:rsidR="00F0212F">
        <w:rPr>
          <w:rFonts w:ascii="Times New Roman" w:eastAsia="Calibri" w:hAnsi="Times New Roman"/>
          <w:sz w:val="24"/>
          <w:szCs w:val="24"/>
        </w:rPr>
        <w:t xml:space="preserve"> зона са извършени пробни улови. </w:t>
      </w:r>
      <w:r w:rsidRPr="003D617F">
        <w:rPr>
          <w:rFonts w:ascii="Times New Roman" w:eastAsia="Calibri" w:hAnsi="Times New Roman"/>
          <w:sz w:val="24"/>
          <w:szCs w:val="24"/>
        </w:rPr>
        <w:t>Пронабиране е извършено през юни в откритата централна част на реката с добре изразено течение. Използван е един метод за пробонабиране приложим за този вид (подход за мониторинг на риби в р. Дунав)</w:t>
      </w:r>
      <w:r w:rsidR="00F0212F" w:rsidRPr="00F0212F">
        <w:rPr>
          <w:rFonts w:ascii="Times New Roman" w:eastAsia="Calibri" w:hAnsi="Times New Roman"/>
          <w:sz w:val="24"/>
          <w:szCs w:val="24"/>
        </w:rPr>
        <w:t xml:space="preserve"> </w:t>
      </w:r>
      <w:r w:rsidR="00F0212F" w:rsidRPr="003D617F">
        <w:rPr>
          <w:rFonts w:ascii="Times New Roman" w:eastAsia="Calibri" w:hAnsi="Times New Roman"/>
          <w:sz w:val="24"/>
          <w:szCs w:val="24"/>
        </w:rPr>
        <w:t>)</w:t>
      </w:r>
      <w:r w:rsidR="00F0212F">
        <w:rPr>
          <w:rFonts w:ascii="Times New Roman" w:eastAsia="Calibri" w:hAnsi="Times New Roman"/>
          <w:sz w:val="24"/>
          <w:szCs w:val="24"/>
        </w:rPr>
        <w:t>,</w:t>
      </w:r>
      <w:r w:rsidR="00F0212F" w:rsidRPr="008F22F8">
        <w:rPr>
          <w:rFonts w:ascii="Times New Roman" w:eastAsia="Calibri" w:hAnsi="Times New Roman"/>
          <w:sz w:val="24"/>
          <w:szCs w:val="24"/>
        </w:rPr>
        <w:t xml:space="preserve"> </w:t>
      </w:r>
      <w:r w:rsidR="00F0212F" w:rsidRPr="003D617F">
        <w:rPr>
          <w:rFonts w:ascii="Times New Roman" w:eastAsia="Calibri" w:hAnsi="Times New Roman"/>
          <w:sz w:val="24"/>
          <w:szCs w:val="24"/>
        </w:rPr>
        <w:t xml:space="preserve">приет в Националната система за мониторинг на биологичното разнообразие </w:t>
      </w:r>
      <w:r w:rsidR="00F0212F" w:rsidRPr="003D617F">
        <w:rPr>
          <w:rFonts w:ascii="Times New Roman" w:eastAsia="Calibri" w:hAnsi="Times New Roman"/>
          <w:sz w:val="24"/>
          <w:szCs w:val="24"/>
        </w:rPr>
        <w:lastRenderedPageBreak/>
        <w:t>(</w:t>
      </w:r>
      <w:hyperlink r:id="rId61" w:history="1">
        <w:r w:rsidR="00F0212F" w:rsidRPr="003D617F">
          <w:rPr>
            <w:rFonts w:ascii="Times New Roman" w:eastAsia="Calibri" w:hAnsi="Times New Roman"/>
            <w:color w:val="0563C1"/>
            <w:sz w:val="24"/>
            <w:szCs w:val="24"/>
            <w:u w:val="single"/>
          </w:rPr>
          <w:t>http://eea.government.bg/bg/bio/nsmbr/praktichesko-rakovodstvo-metodiki-za-monitoring-i-otsenka/Podhod_Dunav_Alosa.pdf</w:t>
        </w:r>
      </w:hyperlink>
      <w:r w:rsidR="00F0212F" w:rsidRPr="003D617F">
        <w:rPr>
          <w:rFonts w:ascii="Times New Roman" w:eastAsia="Calibri" w:hAnsi="Times New Roman"/>
          <w:sz w:val="24"/>
          <w:szCs w:val="24"/>
        </w:rPr>
        <w:t>)</w:t>
      </w:r>
      <w:r w:rsidRPr="003D617F">
        <w:rPr>
          <w:rFonts w:ascii="Times New Roman" w:eastAsia="Calibri" w:hAnsi="Times New Roman"/>
          <w:sz w:val="24"/>
          <w:szCs w:val="24"/>
        </w:rPr>
        <w:t xml:space="preserve">: плаващи мрежи с размер на отворите 2-3 см, пускани на рибарските тони или в </w:t>
      </w:r>
      <w:r w:rsidR="00F0212F">
        <w:rPr>
          <w:rFonts w:ascii="Times New Roman" w:eastAsia="Calibri" w:hAnsi="Times New Roman"/>
          <w:sz w:val="24"/>
          <w:szCs w:val="24"/>
        </w:rPr>
        <w:t>други участъци с чакълесто дъно</w:t>
      </w:r>
      <w:r w:rsidRPr="003D617F">
        <w:rPr>
          <w:rFonts w:ascii="Times New Roman" w:eastAsia="Calibri" w:hAnsi="Times New Roman"/>
          <w:sz w:val="24"/>
          <w:szCs w:val="24"/>
        </w:rPr>
        <w:t>. Извършено е трикратно пробонабиране с плаваща хрилна мрежа с дължина 100 м и размер на отворите 3 см. Дължината на трансектите е около 800 м. При този подход числеността на рибите се определя като улов (индивиди) на единица риболовно усилие (ind. CPUE). При определяне на CPUE се отчитат размерите на мрежата, времето на експозиция и разстоянието, което е изминато за това време. Не е регистриран нито един екземпляр на вида в нито един от трансектите.</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Според информация за уловите от извършвания стопански риболов в границите на ЗЗ карагьоз се лови регулярно през пролетта в значителни количества, но рибарите като цяло не диференцират карагьоз и харип.</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Защитена зона </w:t>
      </w:r>
      <w:r w:rsidRPr="003D617F">
        <w:rPr>
          <w:rFonts w:ascii="Times New Roman" w:eastAsia="Calibri" w:hAnsi="Times New Roman"/>
          <w:sz w:val="24"/>
          <w:szCs w:val="24"/>
          <w:lang w:val="en-US"/>
        </w:rPr>
        <w:t>BG0000241</w:t>
      </w:r>
      <w:r w:rsidRPr="003D617F">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w:t>
      </w:r>
      <w:r w:rsidR="00F0212F">
        <w:rPr>
          <w:rFonts w:ascii="Times New Roman" w:eastAsia="Calibri" w:hAnsi="Times New Roman"/>
          <w:sz w:val="24"/>
          <w:szCs w:val="24"/>
        </w:rPr>
        <w:t>незаконен</w:t>
      </w:r>
      <w:r w:rsidRPr="003D617F">
        <w:rPr>
          <w:rFonts w:ascii="Times New Roman" w:eastAsia="Calibri" w:hAnsi="Times New Roman"/>
          <w:sz w:val="24"/>
          <w:szCs w:val="24"/>
        </w:rPr>
        <w:t>),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3D617F" w:rsidRPr="003D617F" w:rsidRDefault="003D617F" w:rsidP="003D617F">
      <w:pPr>
        <w:spacing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6. Цели за подобряване/поддържане на природозащит</w:t>
      </w:r>
      <w:r w:rsidR="00F0212F">
        <w:rPr>
          <w:rFonts w:ascii="Times New Roman" w:eastAsia="Calibri" w:hAnsi="Times New Roman"/>
          <w:b/>
          <w:sz w:val="24"/>
          <w:szCs w:val="24"/>
        </w:rPr>
        <w:t>ното състояние на вида в зоната</w:t>
      </w:r>
    </w:p>
    <w:p w:rsidR="003D617F" w:rsidRPr="00F0212F" w:rsidRDefault="00F0212F" w:rsidP="003D617F">
      <w:pPr>
        <w:spacing w:after="0" w:line="240" w:lineRule="auto"/>
        <w:ind w:firstLine="709"/>
        <w:jc w:val="both"/>
        <w:rPr>
          <w:rFonts w:ascii="Times New Roman" w:eastAsia="Calibri" w:hAnsi="Times New Roman"/>
          <w:i/>
          <w:iCs/>
          <w:sz w:val="24"/>
          <w:szCs w:val="24"/>
        </w:rPr>
      </w:pPr>
      <w:r>
        <w:rPr>
          <w:rFonts w:ascii="Times New Roman" w:eastAsia="Calibri" w:hAnsi="Times New Roman"/>
          <w:sz w:val="24"/>
          <w:szCs w:val="24"/>
        </w:rPr>
        <w:t>Целите са формулирани в таблицата по-долу.</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133"/>
        <w:gridCol w:w="1137"/>
        <w:gridCol w:w="3460"/>
        <w:gridCol w:w="1855"/>
      </w:tblGrid>
      <w:tr w:rsidR="00F0212F" w:rsidRPr="003D617F" w:rsidTr="00F0212F">
        <w:trPr>
          <w:tblHeader/>
          <w:jc w:val="center"/>
        </w:trPr>
        <w:tc>
          <w:tcPr>
            <w:tcW w:w="756" w:type="pct"/>
            <w:shd w:val="clear" w:color="auto" w:fill="DBE5F1" w:themeFill="accent1" w:themeFillTint="33"/>
            <w:vAlign w:val="center"/>
          </w:tcPr>
          <w:p w:rsidR="00F0212F" w:rsidRPr="003D617F" w:rsidRDefault="00F0212F" w:rsidP="00F0212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t>Параметър</w:t>
            </w:r>
          </w:p>
        </w:tc>
        <w:tc>
          <w:tcPr>
            <w:tcW w:w="634" w:type="pct"/>
            <w:shd w:val="clear" w:color="auto" w:fill="DBE5F1" w:themeFill="accent1" w:themeFillTint="33"/>
            <w:vAlign w:val="center"/>
          </w:tcPr>
          <w:p w:rsidR="00F0212F" w:rsidRPr="003D617F" w:rsidRDefault="00F0212F" w:rsidP="00F0212F">
            <w:pPr>
              <w:widowControl w:val="0"/>
              <w:spacing w:before="120" w:after="120" w:line="240" w:lineRule="auto"/>
              <w:jc w:val="center"/>
              <w:rPr>
                <w:rFonts w:ascii="Times New Roman" w:eastAsia="Calibri" w:hAnsi="Times New Roman"/>
                <w:b/>
                <w:bCs/>
              </w:rPr>
            </w:pPr>
            <w:r w:rsidRPr="003D617F">
              <w:rPr>
                <w:rFonts w:ascii="Times New Roman" w:hAnsi="Times New Roman"/>
                <w:b/>
                <w:bCs/>
              </w:rPr>
              <w:t>Мерна единица</w:t>
            </w:r>
          </w:p>
        </w:tc>
        <w:tc>
          <w:tcPr>
            <w:tcW w:w="636" w:type="pct"/>
            <w:shd w:val="clear" w:color="auto" w:fill="DBE5F1" w:themeFill="accent1" w:themeFillTint="33"/>
            <w:vAlign w:val="center"/>
          </w:tcPr>
          <w:p w:rsidR="00F0212F" w:rsidRPr="003D617F" w:rsidRDefault="00F0212F" w:rsidP="00F0212F">
            <w:pPr>
              <w:widowControl w:val="0"/>
              <w:spacing w:before="120" w:after="120" w:line="240" w:lineRule="auto"/>
              <w:jc w:val="center"/>
              <w:rPr>
                <w:rFonts w:ascii="Times New Roman" w:eastAsia="Calibri" w:hAnsi="Times New Roman"/>
                <w:b/>
                <w:bCs/>
              </w:rPr>
            </w:pPr>
            <w:r w:rsidRPr="003D617F">
              <w:rPr>
                <w:rFonts w:ascii="Times New Roman" w:hAnsi="Times New Roman"/>
                <w:b/>
                <w:bCs/>
              </w:rPr>
              <w:t>Целева стойност</w:t>
            </w:r>
          </w:p>
        </w:tc>
        <w:tc>
          <w:tcPr>
            <w:tcW w:w="1936" w:type="pct"/>
            <w:shd w:val="clear" w:color="auto" w:fill="DBE5F1" w:themeFill="accent1" w:themeFillTint="33"/>
            <w:vAlign w:val="center"/>
          </w:tcPr>
          <w:p w:rsidR="00F0212F" w:rsidRPr="003D617F" w:rsidRDefault="00F0212F" w:rsidP="00F0212F">
            <w:pPr>
              <w:widowControl w:val="0"/>
              <w:spacing w:before="120" w:after="120" w:line="240" w:lineRule="auto"/>
              <w:jc w:val="center"/>
              <w:rPr>
                <w:rFonts w:ascii="Times New Roman" w:eastAsia="Calibri" w:hAnsi="Times New Roman"/>
                <w:b/>
                <w:bCs/>
              </w:rPr>
            </w:pPr>
            <w:r w:rsidRPr="003D617F">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F0212F" w:rsidRPr="003D617F" w:rsidRDefault="00F0212F" w:rsidP="00F0212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t>Специфични цели на опазване за зоната</w:t>
            </w:r>
          </w:p>
        </w:tc>
      </w:tr>
      <w:tr w:rsidR="00F0212F" w:rsidRPr="003D617F" w:rsidTr="00F0212F">
        <w:trPr>
          <w:trHeight w:val="575"/>
          <w:jc w:val="center"/>
        </w:trPr>
        <w:tc>
          <w:tcPr>
            <w:tcW w:w="756" w:type="pct"/>
            <w:shd w:val="clear" w:color="auto" w:fill="auto"/>
          </w:tcPr>
          <w:p w:rsidR="00F0212F" w:rsidRPr="003D617F" w:rsidRDefault="00F0212F" w:rsidP="00F0212F">
            <w:pPr>
              <w:spacing w:before="120" w:after="120" w:line="240" w:lineRule="auto"/>
              <w:rPr>
                <w:rFonts w:ascii="Times New Roman" w:eastAsia="Calibri" w:hAnsi="Times New Roman"/>
                <w:b/>
                <w:lang w:val="en-US"/>
              </w:rPr>
            </w:pPr>
            <w:r w:rsidRPr="003D617F">
              <w:rPr>
                <w:rFonts w:ascii="Times New Roman" w:eastAsia="Calibri" w:hAnsi="Times New Roman"/>
                <w:b/>
              </w:rPr>
              <w:t>Плътност на популацията</w:t>
            </w:r>
          </w:p>
        </w:tc>
        <w:tc>
          <w:tcPr>
            <w:tcW w:w="634" w:type="pct"/>
            <w:shd w:val="clear" w:color="auto" w:fill="auto"/>
          </w:tcPr>
          <w:p w:rsidR="00F0212F" w:rsidRPr="003D617F" w:rsidRDefault="00F0212F" w:rsidP="00F0212F">
            <w:pPr>
              <w:spacing w:before="120" w:after="120" w:line="240" w:lineRule="auto"/>
              <w:rPr>
                <w:rFonts w:ascii="Times New Roman" w:eastAsia="Calibri" w:hAnsi="Times New Roman"/>
              </w:rPr>
            </w:pPr>
            <w:r w:rsidRPr="00067DFF">
              <w:rPr>
                <w:rFonts w:ascii="Times New Roman" w:hAnsi="Times New Roman"/>
              </w:rPr>
              <w:t>Брой индивиди</w:t>
            </w:r>
            <w:r>
              <w:rPr>
                <w:rFonts w:ascii="Times New Roman" w:hAnsi="Times New Roman"/>
                <w:lang w:val="en-GB"/>
              </w:rPr>
              <w:t xml:space="preserve"> </w:t>
            </w:r>
            <w:r>
              <w:rPr>
                <w:rFonts w:ascii="Times New Roman" w:hAnsi="Times New Roman"/>
              </w:rPr>
              <w:t>в  уловени на единица риболовно усилие (</w:t>
            </w:r>
            <w:r>
              <w:rPr>
                <w:rFonts w:ascii="Times New Roman" w:hAnsi="Times New Roman"/>
                <w:lang w:val="en-US"/>
              </w:rPr>
              <w:t>ind. CPUE</w:t>
            </w:r>
            <w:r>
              <w:rPr>
                <w:rFonts w:ascii="Times New Roman" w:hAnsi="Times New Roman"/>
              </w:rPr>
              <w:t>)</w:t>
            </w:r>
          </w:p>
        </w:tc>
        <w:tc>
          <w:tcPr>
            <w:tcW w:w="636" w:type="pct"/>
            <w:shd w:val="clear" w:color="auto" w:fill="auto"/>
          </w:tcPr>
          <w:p w:rsidR="00F0212F" w:rsidRPr="00E702E1" w:rsidRDefault="00F0212F" w:rsidP="00F0212F">
            <w:pPr>
              <w:spacing w:before="120" w:after="120" w:line="240" w:lineRule="auto"/>
              <w:rPr>
                <w:rFonts w:ascii="Times New Roman" w:eastAsia="Calibri" w:hAnsi="Times New Roman"/>
                <w:highlight w:val="yellow"/>
              </w:rPr>
            </w:pPr>
            <w:r>
              <w:rPr>
                <w:rFonts w:ascii="Times New Roman" w:hAnsi="Times New Roman"/>
              </w:rPr>
              <w:t>Не е определена</w:t>
            </w:r>
          </w:p>
        </w:tc>
        <w:tc>
          <w:tcPr>
            <w:tcW w:w="1936" w:type="pct"/>
            <w:shd w:val="clear" w:color="auto" w:fill="auto"/>
          </w:tcPr>
          <w:p w:rsidR="00F0212F" w:rsidRDefault="00F0212F" w:rsidP="00F0212F">
            <w:pPr>
              <w:spacing w:before="120" w:after="120" w:line="240" w:lineRule="auto"/>
              <w:jc w:val="both"/>
              <w:rPr>
                <w:rFonts w:ascii="Times New Roman" w:eastAsia="Calibri" w:hAnsi="Times New Roman"/>
              </w:rPr>
            </w:pPr>
            <w:r>
              <w:rPr>
                <w:rFonts w:ascii="Times New Roman" w:eastAsia="Calibri" w:hAnsi="Times New Roman"/>
              </w:rPr>
              <w:t>За определяне на целева стойност на популационната плътност са необходими допълнителни проучвания и анализ на данни от стопанските улови за по-дълъг период.</w:t>
            </w:r>
          </w:p>
          <w:p w:rsidR="00F0212F" w:rsidRPr="003D617F" w:rsidRDefault="00F0212F" w:rsidP="00F0212F">
            <w:pPr>
              <w:spacing w:before="120" w:after="120" w:line="240" w:lineRule="auto"/>
              <w:jc w:val="both"/>
              <w:rPr>
                <w:rFonts w:ascii="Times New Roman" w:eastAsia="Calibri" w:hAnsi="Times New Roman"/>
              </w:rPr>
            </w:pPr>
            <w:r w:rsidRPr="003D617F">
              <w:rPr>
                <w:rFonts w:ascii="Times New Roman" w:eastAsia="Calibri" w:hAnsi="Times New Roman"/>
              </w:rPr>
              <w:t>По отношение на натиска, този конкретен речен участък в рамките на защитената зона може да се счита за хомогенен. Кумулативния натиск с източници на произход извън зоната може да бъде значим, но към момента не може да бъде отчетен.</w:t>
            </w:r>
          </w:p>
          <w:p w:rsidR="00F0212F" w:rsidRPr="003D617F" w:rsidRDefault="00F0212F" w:rsidP="00F0212F">
            <w:pPr>
              <w:spacing w:before="120" w:after="120" w:line="240" w:lineRule="auto"/>
              <w:jc w:val="both"/>
              <w:rPr>
                <w:rFonts w:ascii="Times New Roman" w:eastAsia="Calibri" w:hAnsi="Times New Roman"/>
              </w:rPr>
            </w:pPr>
            <w:r w:rsidRPr="003D617F">
              <w:rPr>
                <w:rFonts w:ascii="Times New Roman" w:eastAsia="Calibri" w:hAnsi="Times New Roman"/>
              </w:rPr>
              <w:t xml:space="preserve">Съгласно методиката за оценка на състоянието на риби в НСМБР референтните стойности за </w:t>
            </w:r>
            <w:r w:rsidRPr="003D617F">
              <w:rPr>
                <w:rFonts w:ascii="Times New Roman" w:eastAsia="Calibri" w:hAnsi="Times New Roman"/>
              </w:rPr>
              <w:lastRenderedPageBreak/>
              <w:t>плътността на популацията на този вид не са установени. Целевата стойност е определена на базата на информация за уловите от стопанския риболов в района.</w:t>
            </w:r>
          </w:p>
        </w:tc>
        <w:tc>
          <w:tcPr>
            <w:tcW w:w="1038" w:type="pct"/>
          </w:tcPr>
          <w:p w:rsidR="00F0212F" w:rsidRDefault="00F0212F" w:rsidP="00F0212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Предотвратяване на бракониерския риболов, в т.ч.: използване на незаконни уреди и начини за риболов, неспазване на сезонните ограничения, извършване на стопански риболов без съответно разрешително</w:t>
            </w:r>
          </w:p>
          <w:p w:rsidR="00F0212F" w:rsidRDefault="00F0212F" w:rsidP="00F0212F">
            <w:pPr>
              <w:spacing w:before="120" w:after="120" w:line="240" w:lineRule="auto"/>
              <w:jc w:val="both"/>
              <w:rPr>
                <w:rFonts w:ascii="Times New Roman" w:eastAsia="Calibri" w:hAnsi="Times New Roman"/>
              </w:rPr>
            </w:pPr>
          </w:p>
          <w:p w:rsidR="00F0212F" w:rsidRDefault="00F0212F" w:rsidP="00F0212F">
            <w:pPr>
              <w:spacing w:before="120" w:after="120" w:line="240" w:lineRule="auto"/>
              <w:jc w:val="both"/>
              <w:rPr>
                <w:rFonts w:ascii="Times New Roman" w:eastAsia="Calibri" w:hAnsi="Times New Roman"/>
              </w:rPr>
            </w:pPr>
            <w:r>
              <w:rPr>
                <w:rFonts w:ascii="Times New Roman" w:eastAsia="Calibri" w:hAnsi="Times New Roman"/>
              </w:rPr>
              <w:t>Междинна цел:</w:t>
            </w:r>
          </w:p>
          <w:p w:rsidR="00F0212F" w:rsidRDefault="00F0212F" w:rsidP="00F0212F">
            <w:pPr>
              <w:spacing w:before="120" w:after="120" w:line="240" w:lineRule="auto"/>
              <w:jc w:val="both"/>
              <w:rPr>
                <w:rFonts w:ascii="Times New Roman" w:eastAsia="Calibri" w:hAnsi="Times New Roman"/>
              </w:rPr>
            </w:pPr>
            <w:r>
              <w:rPr>
                <w:rFonts w:ascii="Times New Roman" w:eastAsia="Calibri" w:hAnsi="Times New Roman"/>
              </w:rPr>
              <w:lastRenderedPageBreak/>
              <w:t>Извършване на специализирани проучвания за потвърждаване на присъствието на вида в зоната и уточняване на количествените характеристики на популацията</w:t>
            </w:r>
          </w:p>
          <w:p w:rsidR="00F0212F" w:rsidRPr="003D617F" w:rsidRDefault="00F0212F" w:rsidP="00F0212F">
            <w:pPr>
              <w:spacing w:before="120" w:after="120" w:line="240" w:lineRule="auto"/>
              <w:jc w:val="both"/>
              <w:rPr>
                <w:rFonts w:ascii="Times New Roman" w:eastAsia="Calibri" w:hAnsi="Times New Roman"/>
              </w:rPr>
            </w:pPr>
          </w:p>
        </w:tc>
      </w:tr>
      <w:tr w:rsidR="00F0212F" w:rsidRPr="003D617F" w:rsidTr="00F0212F">
        <w:trPr>
          <w:jc w:val="center"/>
        </w:trPr>
        <w:tc>
          <w:tcPr>
            <w:tcW w:w="756" w:type="pct"/>
            <w:shd w:val="clear" w:color="auto" w:fill="auto"/>
          </w:tcPr>
          <w:p w:rsidR="00F0212F" w:rsidRPr="003D617F" w:rsidRDefault="00F0212F" w:rsidP="00F0212F">
            <w:pPr>
              <w:spacing w:before="120" w:after="120" w:line="240" w:lineRule="auto"/>
              <w:rPr>
                <w:rFonts w:ascii="Times New Roman" w:eastAsia="Calibri" w:hAnsi="Times New Roman"/>
                <w:b/>
              </w:rPr>
            </w:pPr>
            <w:r w:rsidRPr="003D617F">
              <w:rPr>
                <w:rFonts w:ascii="Times New Roman" w:eastAsia="Calibri" w:hAnsi="Times New Roman"/>
                <w:b/>
              </w:rPr>
              <w:lastRenderedPageBreak/>
              <w:t xml:space="preserve">Местообитание на вида: </w:t>
            </w:r>
          </w:p>
          <w:p w:rsidR="00F0212F" w:rsidRPr="003D617F" w:rsidRDefault="00F0212F" w:rsidP="00F0212F">
            <w:pPr>
              <w:spacing w:before="120" w:after="120" w:line="240" w:lineRule="auto"/>
              <w:rPr>
                <w:rFonts w:ascii="Times New Roman" w:eastAsia="Calibri" w:hAnsi="Times New Roman"/>
                <w:b/>
              </w:rPr>
            </w:pPr>
            <w:r w:rsidRPr="003D617F">
              <w:rPr>
                <w:rFonts w:ascii="Times New Roman" w:eastAsia="Calibri" w:hAnsi="Times New Roman"/>
                <w:b/>
              </w:rPr>
              <w:t>речна мрежа, представляваща потенциално местообитание за вида</w:t>
            </w:r>
          </w:p>
        </w:tc>
        <w:tc>
          <w:tcPr>
            <w:tcW w:w="634" w:type="pct"/>
            <w:shd w:val="clear" w:color="auto" w:fill="auto"/>
          </w:tcPr>
          <w:p w:rsidR="00F0212F" w:rsidRPr="003D617F" w:rsidRDefault="00F0212F" w:rsidP="00F0212F">
            <w:pPr>
              <w:spacing w:before="120" w:after="120" w:line="240" w:lineRule="auto"/>
              <w:rPr>
                <w:rFonts w:ascii="Times New Roman" w:eastAsia="Calibri" w:hAnsi="Times New Roman"/>
              </w:rPr>
            </w:pPr>
            <w:r w:rsidRPr="003D617F">
              <w:rPr>
                <w:rFonts w:ascii="Times New Roman" w:eastAsia="Calibri" w:hAnsi="Times New Roman"/>
              </w:rPr>
              <w:t>км</w:t>
            </w:r>
          </w:p>
        </w:tc>
        <w:tc>
          <w:tcPr>
            <w:tcW w:w="636" w:type="pct"/>
            <w:shd w:val="clear" w:color="auto" w:fill="auto"/>
          </w:tcPr>
          <w:p w:rsidR="00F0212F" w:rsidRPr="003D617F" w:rsidRDefault="00F0212F" w:rsidP="00F0212F">
            <w:pPr>
              <w:spacing w:before="120" w:after="120" w:line="240" w:lineRule="auto"/>
              <w:rPr>
                <w:rFonts w:ascii="Times New Roman" w:eastAsia="Calibri" w:hAnsi="Times New Roman"/>
              </w:rPr>
            </w:pPr>
            <w:r w:rsidRPr="003D617F">
              <w:rPr>
                <w:rFonts w:ascii="Times New Roman" w:eastAsia="Calibri" w:hAnsi="Times New Roman"/>
                <w:shd w:val="clear" w:color="auto" w:fill="FFFFFF"/>
              </w:rPr>
              <w:t>Най-малко 3 км</w:t>
            </w:r>
          </w:p>
        </w:tc>
        <w:tc>
          <w:tcPr>
            <w:tcW w:w="1936" w:type="pct"/>
            <w:shd w:val="clear" w:color="auto" w:fill="auto"/>
          </w:tcPr>
          <w:p w:rsidR="00F0212F" w:rsidRPr="003D617F" w:rsidRDefault="00F0212F" w:rsidP="00F0212F">
            <w:pPr>
              <w:spacing w:before="120" w:after="120" w:line="240" w:lineRule="auto"/>
              <w:jc w:val="both"/>
              <w:rPr>
                <w:rFonts w:ascii="Times New Roman" w:eastAsia="Calibri" w:hAnsi="Times New Roman"/>
              </w:rPr>
            </w:pPr>
            <w:r w:rsidRPr="003D617F">
              <w:rPr>
                <w:rFonts w:ascii="Times New Roman" w:eastAsia="Calibri" w:hAnsi="Times New Roman"/>
              </w:rPr>
              <w:t>Тъй като в границите на зоната видът се среща само в р. Дунав, като размер на местообитанието на вида се определя дължината на участъка от р. Дунав в границите на ЗЗ Чрез ГИС анализ е установено, че 3 км от р. Дунав в защитената зона отговарят на посочените критерии. Според наличните данни за вида, той присътва в ЗЗ само през размножителния период.</w:t>
            </w:r>
          </w:p>
        </w:tc>
        <w:tc>
          <w:tcPr>
            <w:tcW w:w="1038" w:type="pct"/>
          </w:tcPr>
          <w:p w:rsidR="00F0212F" w:rsidRPr="003D617F" w:rsidRDefault="00F0212F" w:rsidP="00F0212F">
            <w:pPr>
              <w:spacing w:before="120" w:after="120" w:line="240" w:lineRule="auto"/>
              <w:jc w:val="both"/>
              <w:rPr>
                <w:rFonts w:ascii="Times New Roman" w:eastAsia="Calibri" w:hAnsi="Times New Roman"/>
              </w:rPr>
            </w:pPr>
            <w:r w:rsidRPr="003D617F">
              <w:rPr>
                <w:rFonts w:ascii="Times New Roman" w:eastAsia="Calibri" w:hAnsi="Times New Roman"/>
              </w:rPr>
              <w:t xml:space="preserve">Поддържане на речната мрежа, представляваща подходящо местообитание, обитавано от вида, най-малко 3 км. </w:t>
            </w:r>
          </w:p>
          <w:p w:rsidR="00F0212F" w:rsidRPr="003D617F" w:rsidRDefault="00F0212F" w:rsidP="00F0212F">
            <w:pPr>
              <w:spacing w:before="120" w:after="120" w:line="240" w:lineRule="auto"/>
              <w:jc w:val="both"/>
              <w:rPr>
                <w:rFonts w:ascii="Times New Roman" w:eastAsia="Calibri" w:hAnsi="Times New Roman"/>
              </w:rPr>
            </w:pPr>
          </w:p>
          <w:p w:rsidR="00F0212F" w:rsidRPr="003D617F" w:rsidRDefault="00F0212F" w:rsidP="00F0212F">
            <w:pPr>
              <w:spacing w:before="120" w:after="120" w:line="240" w:lineRule="auto"/>
              <w:jc w:val="both"/>
              <w:rPr>
                <w:rFonts w:ascii="Times New Roman" w:eastAsia="Calibri" w:hAnsi="Times New Roman"/>
              </w:rPr>
            </w:pPr>
          </w:p>
        </w:tc>
      </w:tr>
      <w:tr w:rsidR="00F0212F" w:rsidRPr="003D617F" w:rsidTr="00F0212F">
        <w:trPr>
          <w:jc w:val="center"/>
        </w:trPr>
        <w:tc>
          <w:tcPr>
            <w:tcW w:w="756" w:type="pct"/>
            <w:shd w:val="clear" w:color="auto" w:fill="auto"/>
          </w:tcPr>
          <w:p w:rsidR="00F0212F" w:rsidRPr="003D617F" w:rsidRDefault="00F0212F" w:rsidP="00F0212F">
            <w:pPr>
              <w:spacing w:before="120" w:after="120" w:line="240" w:lineRule="auto"/>
              <w:rPr>
                <w:rFonts w:ascii="Times New Roman" w:eastAsia="Calibri" w:hAnsi="Times New Roman"/>
                <w:b/>
              </w:rPr>
            </w:pPr>
            <w:r w:rsidRPr="003D617F">
              <w:rPr>
                <w:rFonts w:ascii="Times New Roman" w:eastAsia="Calibri" w:hAnsi="Times New Roman"/>
                <w:b/>
              </w:rPr>
              <w:t xml:space="preserve">Местообитание на вида: </w:t>
            </w:r>
          </w:p>
          <w:p w:rsidR="00F0212F" w:rsidRPr="003D617F" w:rsidRDefault="00F0212F" w:rsidP="00F0212F">
            <w:pPr>
              <w:spacing w:before="120" w:after="120" w:line="240" w:lineRule="auto"/>
              <w:rPr>
                <w:rFonts w:ascii="Times New Roman" w:eastAsia="Calibri" w:hAnsi="Times New Roman"/>
                <w:b/>
              </w:rPr>
            </w:pPr>
            <w:r w:rsidRPr="003D617F">
              <w:rPr>
                <w:rFonts w:ascii="Times New Roman" w:eastAsia="Calibri" w:hAnsi="Times New Roman"/>
                <w:b/>
              </w:rPr>
              <w:t xml:space="preserve">Степен на свързаност на местообитанието на вида </w:t>
            </w:r>
          </w:p>
          <w:p w:rsidR="00F0212F" w:rsidRPr="003D617F" w:rsidRDefault="00F0212F" w:rsidP="00F0212F">
            <w:pPr>
              <w:spacing w:before="120" w:after="120" w:line="240" w:lineRule="auto"/>
              <w:rPr>
                <w:rFonts w:ascii="Times New Roman" w:eastAsia="Calibri" w:hAnsi="Times New Roman"/>
                <w:b/>
              </w:rPr>
            </w:pPr>
          </w:p>
          <w:p w:rsidR="00F0212F" w:rsidRPr="003D617F" w:rsidRDefault="00F0212F" w:rsidP="00F0212F">
            <w:pPr>
              <w:spacing w:before="120" w:after="120" w:line="240" w:lineRule="auto"/>
              <w:rPr>
                <w:rFonts w:ascii="Times New Roman" w:eastAsia="Calibri" w:hAnsi="Times New Roman"/>
                <w:b/>
              </w:rPr>
            </w:pPr>
          </w:p>
        </w:tc>
        <w:tc>
          <w:tcPr>
            <w:tcW w:w="634" w:type="pct"/>
            <w:shd w:val="clear" w:color="auto" w:fill="auto"/>
          </w:tcPr>
          <w:p w:rsidR="00F0212F" w:rsidRPr="003D617F" w:rsidRDefault="00F0212F" w:rsidP="00F0212F">
            <w:pPr>
              <w:spacing w:before="120" w:after="120" w:line="240" w:lineRule="auto"/>
              <w:rPr>
                <w:rFonts w:ascii="Times New Roman" w:eastAsia="Calibri" w:hAnsi="Times New Roman"/>
              </w:rPr>
            </w:pPr>
            <w:r w:rsidRPr="003D617F">
              <w:rPr>
                <w:rFonts w:ascii="Times New Roman" w:eastAsia="Calibri" w:hAnsi="Times New Roman"/>
              </w:rPr>
              <w:t xml:space="preserve">5 степенна скала за всяка бариера </w:t>
            </w:r>
          </w:p>
        </w:tc>
        <w:tc>
          <w:tcPr>
            <w:tcW w:w="636" w:type="pct"/>
            <w:shd w:val="clear" w:color="auto" w:fill="auto"/>
          </w:tcPr>
          <w:p w:rsidR="00F0212F" w:rsidRPr="003D617F" w:rsidRDefault="00F0212F" w:rsidP="00F0212F">
            <w:pPr>
              <w:spacing w:before="120" w:after="120" w:line="240" w:lineRule="auto"/>
              <w:rPr>
                <w:rFonts w:ascii="Times New Roman" w:eastAsia="Calibri" w:hAnsi="Times New Roman"/>
                <w:lang w:val="en-US"/>
              </w:rPr>
            </w:pPr>
            <w:r w:rsidRPr="003D617F">
              <w:rPr>
                <w:rFonts w:ascii="Times New Roman" w:eastAsia="Calibri" w:hAnsi="Times New Roman"/>
              </w:rPr>
              <w:t>Степен</w:t>
            </w:r>
            <w:r w:rsidRPr="003D617F">
              <w:rPr>
                <w:rFonts w:ascii="Times New Roman" w:eastAsia="Calibri" w:hAnsi="Times New Roman"/>
                <w:lang w:val="en-US"/>
              </w:rPr>
              <w:t xml:space="preserve"> 1</w:t>
            </w:r>
          </w:p>
          <w:p w:rsidR="00F0212F" w:rsidRPr="003D617F" w:rsidRDefault="00F0212F" w:rsidP="00F0212F">
            <w:pPr>
              <w:spacing w:before="120" w:after="120" w:line="240" w:lineRule="auto"/>
              <w:rPr>
                <w:rFonts w:ascii="Times New Roman" w:eastAsia="Calibri" w:hAnsi="Times New Roman"/>
              </w:rPr>
            </w:pPr>
            <w:r w:rsidRPr="003D617F">
              <w:rPr>
                <w:rFonts w:ascii="Times New Roman" w:eastAsia="Calibri" w:hAnsi="Times New Roman"/>
              </w:rPr>
              <w:t>за всяка бариера</w:t>
            </w:r>
          </w:p>
        </w:tc>
        <w:tc>
          <w:tcPr>
            <w:tcW w:w="1936" w:type="pct"/>
            <w:shd w:val="clear" w:color="auto" w:fill="auto"/>
          </w:tcPr>
          <w:p w:rsidR="00F0212F" w:rsidRPr="003D617F" w:rsidRDefault="00F0212F" w:rsidP="00F0212F">
            <w:pPr>
              <w:spacing w:before="120" w:after="120" w:line="240" w:lineRule="auto"/>
              <w:jc w:val="both"/>
              <w:rPr>
                <w:rFonts w:ascii="Times New Roman" w:eastAsia="Calibri" w:hAnsi="Times New Roman"/>
              </w:rPr>
            </w:pPr>
            <w:r w:rsidRPr="003D617F">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F0212F" w:rsidRPr="003D617F" w:rsidRDefault="00F0212F" w:rsidP="00F0212F">
            <w:pPr>
              <w:spacing w:before="120" w:after="120" w:line="240" w:lineRule="auto"/>
              <w:jc w:val="both"/>
              <w:rPr>
                <w:rFonts w:ascii="Times New Roman" w:eastAsia="Calibri" w:hAnsi="Times New Roman"/>
              </w:rPr>
            </w:pPr>
            <w:r w:rsidRPr="003D617F">
              <w:rPr>
                <w:rFonts w:ascii="Times New Roman" w:eastAsia="Calibri" w:hAnsi="Times New Roman"/>
              </w:rPr>
              <w:t xml:space="preserve">Натискът от изграждане на миграционни бариери е оценен </w:t>
            </w:r>
            <w:r w:rsidRPr="003D617F">
              <w:rPr>
                <w:rFonts w:ascii="Times New Roman" w:eastAsia="Calibri" w:hAnsi="Times New Roman"/>
              </w:rPr>
              <w:lastRenderedPageBreak/>
              <w:t>съгласно приетите критерии, използвайки 5 степенна скала.</w:t>
            </w:r>
          </w:p>
          <w:p w:rsidR="00F0212F" w:rsidRPr="003D617F" w:rsidRDefault="00F0212F" w:rsidP="00F0212F">
            <w:pPr>
              <w:spacing w:before="120" w:after="120" w:line="240" w:lineRule="auto"/>
              <w:jc w:val="both"/>
              <w:rPr>
                <w:rFonts w:ascii="Times New Roman" w:eastAsia="Calibri" w:hAnsi="Times New Roman"/>
              </w:rPr>
            </w:pPr>
            <w:r w:rsidRPr="003D617F">
              <w:rPr>
                <w:rFonts w:ascii="Times New Roman" w:eastAsia="Calibri" w:hAnsi="Times New Roman"/>
              </w:rPr>
              <w:t>На базата на информацията в ПУБР 2016-2021 г. и пробонабирането през 2021г.,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F0212F" w:rsidRPr="003D617F" w:rsidRDefault="00F0212F" w:rsidP="00F0212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 xml:space="preserve">Поддържане на свързаност на местообитанието на вида от Степен 1 за всяка бариера в речния участък. </w:t>
            </w:r>
          </w:p>
        </w:tc>
      </w:tr>
      <w:tr w:rsidR="00F0212F" w:rsidRPr="003D617F" w:rsidTr="00F0212F">
        <w:trPr>
          <w:jc w:val="center"/>
        </w:trPr>
        <w:tc>
          <w:tcPr>
            <w:tcW w:w="756" w:type="pct"/>
            <w:shd w:val="clear" w:color="auto" w:fill="auto"/>
          </w:tcPr>
          <w:p w:rsidR="00F0212F" w:rsidRPr="003D617F" w:rsidRDefault="00F0212F" w:rsidP="00F0212F">
            <w:pPr>
              <w:spacing w:before="120" w:after="120" w:line="240" w:lineRule="auto"/>
              <w:rPr>
                <w:rFonts w:ascii="Times New Roman" w:eastAsia="Calibri" w:hAnsi="Times New Roman"/>
                <w:b/>
              </w:rPr>
            </w:pPr>
            <w:r w:rsidRPr="003D617F">
              <w:rPr>
                <w:rFonts w:ascii="Times New Roman" w:eastAsia="Calibri" w:hAnsi="Times New Roman"/>
                <w:b/>
              </w:rPr>
              <w:lastRenderedPageBreak/>
              <w:t xml:space="preserve">Местообитание на вида: Екологично 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634" w:type="pct"/>
            <w:shd w:val="clear" w:color="auto" w:fill="auto"/>
          </w:tcPr>
          <w:p w:rsidR="00F0212F" w:rsidRPr="003D617F" w:rsidRDefault="00F0212F" w:rsidP="00F0212F">
            <w:pPr>
              <w:spacing w:before="120" w:after="120" w:line="240" w:lineRule="auto"/>
              <w:rPr>
                <w:rFonts w:ascii="Times New Roman" w:eastAsia="Calibri" w:hAnsi="Times New Roman"/>
              </w:rPr>
            </w:pPr>
            <w:r w:rsidRPr="003D617F">
              <w:rPr>
                <w:rFonts w:ascii="Times New Roman" w:eastAsia="Calibri" w:hAnsi="Times New Roman"/>
              </w:rPr>
              <w:t xml:space="preserve">5 степенна скала за екологично състояние съгласно РДВ </w:t>
            </w:r>
          </w:p>
        </w:tc>
        <w:tc>
          <w:tcPr>
            <w:tcW w:w="636" w:type="pct"/>
            <w:shd w:val="clear" w:color="auto" w:fill="auto"/>
          </w:tcPr>
          <w:p w:rsidR="00F0212F" w:rsidRPr="003D617F" w:rsidRDefault="00F0212F" w:rsidP="00F0212F">
            <w:pPr>
              <w:spacing w:before="120" w:after="120" w:line="240" w:lineRule="auto"/>
              <w:rPr>
                <w:rFonts w:ascii="Times New Roman" w:eastAsia="Calibri" w:hAnsi="Times New Roman"/>
              </w:rPr>
            </w:pPr>
            <w:r w:rsidRPr="003D617F">
              <w:rPr>
                <w:rFonts w:ascii="Times New Roman" w:eastAsia="Calibri" w:hAnsi="Times New Roman"/>
              </w:rPr>
              <w:t>По-висока или равна на 2 – Доб</w:t>
            </w:r>
            <w:r>
              <w:rPr>
                <w:rFonts w:ascii="Times New Roman" w:eastAsia="Calibri" w:hAnsi="Times New Roman"/>
              </w:rPr>
              <w:t>ър потенциал</w:t>
            </w:r>
          </w:p>
        </w:tc>
        <w:tc>
          <w:tcPr>
            <w:tcW w:w="1936" w:type="pct"/>
            <w:shd w:val="clear" w:color="auto" w:fill="auto"/>
          </w:tcPr>
          <w:p w:rsidR="00F0212F" w:rsidRPr="003D617F" w:rsidRDefault="00F0212F" w:rsidP="00F0212F">
            <w:pPr>
              <w:spacing w:after="0" w:line="240" w:lineRule="auto"/>
              <w:jc w:val="both"/>
              <w:rPr>
                <w:rFonts w:ascii="Times New Roman" w:eastAsia="Calibri" w:hAnsi="Times New Roman"/>
              </w:rPr>
            </w:pPr>
            <w:r w:rsidRPr="003D617F">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F0212F" w:rsidRPr="003D617F" w:rsidTr="00F0212F">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F0212F" w:rsidRPr="003D617F" w:rsidRDefault="00F0212F" w:rsidP="00F0212F">
                  <w:pPr>
                    <w:spacing w:after="0" w:line="240" w:lineRule="auto"/>
                    <w:jc w:val="center"/>
                    <w:rPr>
                      <w:rFonts w:ascii="Times New Roman" w:eastAsia="Calibri" w:hAnsi="Times New Roman"/>
                      <w:b/>
                      <w:bCs/>
                      <w:color w:val="000000"/>
                    </w:rPr>
                  </w:pPr>
                  <w:r w:rsidRPr="003D617F">
                    <w:rPr>
                      <w:rFonts w:ascii="Times New Roman" w:eastAsia="Calibri" w:hAnsi="Times New Roman"/>
                      <w:b/>
                      <w:bCs/>
                      <w:color w:val="000000"/>
                    </w:rPr>
                    <w:t>ЕС/ЕП</w:t>
                  </w:r>
                </w:p>
              </w:tc>
            </w:tr>
            <w:tr w:rsidR="00F0212F" w:rsidRPr="003D617F" w:rsidTr="00F0212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F0212F" w:rsidRPr="003D617F" w:rsidRDefault="00F0212F" w:rsidP="00F0212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1 - Отлично</w:t>
                  </w:r>
                </w:p>
              </w:tc>
            </w:tr>
            <w:tr w:rsidR="00F0212F" w:rsidRPr="003D617F" w:rsidTr="00F0212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F0212F" w:rsidRPr="003D617F" w:rsidRDefault="00F0212F" w:rsidP="00F0212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2 - Добро</w:t>
                  </w:r>
                </w:p>
              </w:tc>
            </w:tr>
            <w:tr w:rsidR="00F0212F" w:rsidRPr="003D617F" w:rsidTr="00F0212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F0212F" w:rsidRPr="003D617F" w:rsidRDefault="00F0212F" w:rsidP="00F0212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3 - Умерено</w:t>
                  </w:r>
                </w:p>
              </w:tc>
            </w:tr>
            <w:tr w:rsidR="00F0212F" w:rsidRPr="003D617F" w:rsidTr="00F0212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F0212F" w:rsidRPr="003D617F" w:rsidRDefault="00F0212F" w:rsidP="00F0212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4 - Лошо</w:t>
                  </w:r>
                </w:p>
              </w:tc>
            </w:tr>
            <w:tr w:rsidR="00F0212F" w:rsidRPr="003D617F" w:rsidTr="00F0212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F0212F" w:rsidRPr="003D617F" w:rsidRDefault="00F0212F" w:rsidP="00F0212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5 - Много лошо</w:t>
                  </w:r>
                </w:p>
              </w:tc>
            </w:tr>
          </w:tbl>
          <w:p w:rsidR="00F0212F" w:rsidRPr="003D617F" w:rsidRDefault="00F0212F" w:rsidP="00F0212F">
            <w:pPr>
              <w:spacing w:before="120" w:after="120" w:line="240" w:lineRule="auto"/>
              <w:jc w:val="both"/>
              <w:rPr>
                <w:rFonts w:ascii="Times New Roman" w:eastAsia="Calibri" w:hAnsi="Times New Roman"/>
              </w:rPr>
            </w:pPr>
            <w:r w:rsidRPr="003020BC">
              <w:rPr>
                <w:rFonts w:ascii="Times New Roman" w:eastAsia="Calibri" w:hAnsi="Times New Roman"/>
              </w:rPr>
              <w:t xml:space="preserve">Съгласно ПУРБ 2016-2021 г. </w:t>
            </w:r>
            <w:r w:rsidRPr="008F22F8">
              <w:rPr>
                <w:rFonts w:ascii="Times New Roman" w:eastAsia="Calibri" w:hAnsi="Times New Roman"/>
              </w:rPr>
              <w:t xml:space="preserve">целият български участък от </w:t>
            </w:r>
            <w:r w:rsidRPr="003020BC">
              <w:rPr>
                <w:rFonts w:ascii="Times New Roman" w:eastAsia="Calibri" w:hAnsi="Times New Roman"/>
              </w:rPr>
              <w:t>р. Дунав представлява силно модифицирано водно тяло, с код (</w:t>
            </w:r>
            <w:hyperlink r:id="rId62" w:history="1">
              <w:r w:rsidRPr="003020BC">
                <w:rPr>
                  <w:rFonts w:ascii="Times New Roman" w:eastAsia="Calibri" w:hAnsi="Times New Roman"/>
                  <w:color w:val="0000FF"/>
                  <w:u w:val="single"/>
                </w:rPr>
                <w:t>http://www.bd-</w:t>
              </w:r>
              <w:r w:rsidRPr="003020BC">
                <w:rPr>
                  <w:rFonts w:ascii="Times New Roman" w:eastAsia="Calibri" w:hAnsi="Times New Roman"/>
                  <w:color w:val="0000FF"/>
                  <w:u w:val="single"/>
                </w:rPr>
                <w:lastRenderedPageBreak/>
                <w:t>dunav.org/uploads/content/files/upravlenie-na-vodite/PURB-2016-2021-final/Razdel-1/prilojenia_R1/Pril_1244.pdf</w:t>
              </w:r>
            </w:hyperlink>
            <w:r w:rsidRPr="003020BC">
              <w:rPr>
                <w:rFonts w:ascii="Times New Roman" w:eastAsia="Calibri" w:hAnsi="Times New Roman"/>
              </w:rPr>
              <w:t>).Екологичният потенциал на р. Дунав е оценен като Умерен, (3),  (</w:t>
            </w:r>
            <w:hyperlink r:id="rId63" w:history="1">
              <w:r w:rsidRPr="003020BC">
                <w:rPr>
                  <w:rFonts w:ascii="Times New Roman" w:eastAsia="Calibri" w:hAnsi="Times New Roman"/>
                  <w:color w:val="0000FF"/>
                  <w:u w:val="single"/>
                </w:rPr>
                <w:t>https://www.eea.europa.eu/data-and-maps/explore-interactive-maps/water-framework-directive-quality-elements?utm_source=EEASubscriptions&amp;utm_medium=RSSFeeds&amp;utm_campaign=Generic</w:t>
              </w:r>
            </w:hyperlink>
            <w:r w:rsidRPr="003020BC">
              <w:rPr>
                <w:rFonts w:ascii="Times New Roman" w:eastAsia="Calibri" w:hAnsi="Times New Roman"/>
              </w:rPr>
              <w:t>)</w:t>
            </w:r>
            <w:r w:rsidRPr="008F22F8">
              <w:rPr>
                <w:rFonts w:ascii="Times New Roman" w:eastAsia="Calibri" w:hAnsi="Times New Roman"/>
              </w:rPr>
              <w:t>.</w:t>
            </w:r>
          </w:p>
        </w:tc>
        <w:tc>
          <w:tcPr>
            <w:tcW w:w="1038" w:type="pct"/>
          </w:tcPr>
          <w:p w:rsidR="00F0212F" w:rsidRPr="003D617F" w:rsidRDefault="00F0212F" w:rsidP="00F0212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 xml:space="preserve">Постигане и поддържане на екологичния потенциал на участъка от р. Дунав в границата на зоната на стойност от по-висока или равна на 2 – Добър </w:t>
            </w:r>
            <w:r>
              <w:rPr>
                <w:rFonts w:ascii="Times New Roman" w:eastAsia="Calibri" w:hAnsi="Times New Roman"/>
              </w:rPr>
              <w:t>потенциал</w:t>
            </w:r>
          </w:p>
          <w:p w:rsidR="00F0212F" w:rsidRPr="003D617F" w:rsidRDefault="00F0212F" w:rsidP="00F0212F">
            <w:pPr>
              <w:spacing w:before="120" w:after="120" w:line="240" w:lineRule="auto"/>
              <w:jc w:val="both"/>
              <w:rPr>
                <w:rFonts w:ascii="Times New Roman" w:eastAsia="Calibri" w:hAnsi="Times New Roman"/>
              </w:rPr>
            </w:pPr>
            <w:r w:rsidRPr="003D617F">
              <w:rPr>
                <w:rFonts w:ascii="Times New Roman" w:eastAsia="Calibri" w:hAnsi="Times New Roman"/>
              </w:rPr>
              <w:t>Междинна цел:</w:t>
            </w:r>
          </w:p>
          <w:p w:rsidR="00F0212F" w:rsidRPr="003D617F" w:rsidRDefault="00F0212F" w:rsidP="00F0212F">
            <w:pPr>
              <w:spacing w:before="120" w:after="120" w:line="240" w:lineRule="auto"/>
              <w:jc w:val="both"/>
              <w:rPr>
                <w:rFonts w:ascii="Times New Roman" w:eastAsia="Calibri" w:hAnsi="Times New Roman"/>
              </w:rPr>
            </w:pPr>
            <w:r w:rsidRPr="003D617F">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F0212F" w:rsidRPr="003D617F" w:rsidTr="00F0212F">
        <w:trPr>
          <w:jc w:val="center"/>
        </w:trPr>
        <w:tc>
          <w:tcPr>
            <w:tcW w:w="756" w:type="pct"/>
            <w:shd w:val="clear" w:color="auto" w:fill="auto"/>
          </w:tcPr>
          <w:p w:rsidR="00F0212F" w:rsidRPr="003D617F" w:rsidRDefault="00F0212F" w:rsidP="00F0212F">
            <w:pPr>
              <w:spacing w:before="120" w:after="120" w:line="240" w:lineRule="auto"/>
              <w:rPr>
                <w:rFonts w:ascii="Times New Roman" w:eastAsia="Calibri" w:hAnsi="Times New Roman"/>
                <w:b/>
              </w:rPr>
            </w:pPr>
            <w:r w:rsidRPr="003D617F">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4" w:type="pct"/>
            <w:shd w:val="clear" w:color="auto" w:fill="auto"/>
          </w:tcPr>
          <w:p w:rsidR="00F0212F" w:rsidRPr="003D617F" w:rsidRDefault="00F0212F" w:rsidP="00F0212F">
            <w:pPr>
              <w:spacing w:before="120" w:after="120" w:line="240" w:lineRule="auto"/>
              <w:rPr>
                <w:rFonts w:ascii="Times New Roman" w:eastAsia="Calibri" w:hAnsi="Times New Roman"/>
                <w:lang w:val="en-US"/>
              </w:rPr>
            </w:pPr>
            <w:r w:rsidRPr="003D617F">
              <w:rPr>
                <w:rFonts w:ascii="Times New Roman" w:eastAsia="Calibri" w:hAnsi="Times New Roman"/>
                <w:lang w:val="en-US"/>
              </w:rPr>
              <w:t>ha</w:t>
            </w:r>
          </w:p>
        </w:tc>
        <w:tc>
          <w:tcPr>
            <w:tcW w:w="636" w:type="pct"/>
            <w:shd w:val="clear" w:color="auto" w:fill="auto"/>
          </w:tcPr>
          <w:p w:rsidR="00F0212F" w:rsidRPr="003D617F" w:rsidRDefault="00F0212F" w:rsidP="00F0212F">
            <w:pPr>
              <w:spacing w:before="120" w:after="120" w:line="240" w:lineRule="auto"/>
              <w:rPr>
                <w:rFonts w:ascii="Times New Roman" w:eastAsia="Calibri" w:hAnsi="Times New Roman"/>
              </w:rPr>
            </w:pPr>
          </w:p>
        </w:tc>
        <w:tc>
          <w:tcPr>
            <w:tcW w:w="1936" w:type="pct"/>
            <w:shd w:val="clear" w:color="auto" w:fill="auto"/>
          </w:tcPr>
          <w:p w:rsidR="00F0212F" w:rsidRPr="003D617F" w:rsidRDefault="00F0212F" w:rsidP="00F0212F">
            <w:pPr>
              <w:spacing w:before="120" w:after="120" w:line="240" w:lineRule="auto"/>
              <w:jc w:val="both"/>
              <w:rPr>
                <w:rFonts w:ascii="Times New Roman" w:eastAsia="Calibri" w:hAnsi="Times New Roman"/>
              </w:rPr>
            </w:pPr>
            <w:r w:rsidRPr="003D617F">
              <w:rPr>
                <w:rFonts w:ascii="Times New Roman" w:eastAsia="Calibri" w:hAnsi="Times New Roman"/>
              </w:rPr>
              <w:t xml:space="preserve">Карагьозът е пелагичен вид, за когото р. Дунав е размножително местообитание. В тази връзка, важен фактор за състоянието на вида, динамиката на миграциите и разножителния успех е качеството на водата, което е разгледано по-горе. </w:t>
            </w:r>
          </w:p>
          <w:p w:rsidR="00F0212F" w:rsidRPr="003D617F" w:rsidRDefault="00F0212F" w:rsidP="00F0212F">
            <w:pPr>
              <w:spacing w:before="120" w:after="120" w:line="240" w:lineRule="auto"/>
              <w:jc w:val="both"/>
              <w:rPr>
                <w:rFonts w:ascii="Times New Roman" w:eastAsia="Calibri" w:hAnsi="Times New Roman"/>
              </w:rPr>
            </w:pPr>
            <w:r w:rsidRPr="003D617F">
              <w:rPr>
                <w:rFonts w:ascii="Times New Roman" w:eastAsia="Calibri" w:hAnsi="Times New Roman"/>
              </w:rPr>
              <w:t xml:space="preserve">Не е установен значим натиск в зоната по този параметър. </w:t>
            </w:r>
          </w:p>
          <w:p w:rsidR="00F0212F" w:rsidRPr="003D617F" w:rsidRDefault="00F0212F" w:rsidP="00F0212F">
            <w:pPr>
              <w:spacing w:before="120" w:after="120" w:line="240" w:lineRule="auto"/>
              <w:jc w:val="both"/>
              <w:rPr>
                <w:rFonts w:ascii="Times New Roman" w:eastAsia="Calibri" w:hAnsi="Times New Roman"/>
              </w:rPr>
            </w:pPr>
            <w:r w:rsidRPr="003D617F">
              <w:rPr>
                <w:rFonts w:ascii="Times New Roman" w:eastAsia="Calibri" w:hAnsi="Times New Roman"/>
              </w:rPr>
              <w:t>Състоянието на дънния субстрат не е значим фактор за вида.</w:t>
            </w:r>
          </w:p>
        </w:tc>
        <w:tc>
          <w:tcPr>
            <w:tcW w:w="1038" w:type="pct"/>
          </w:tcPr>
          <w:p w:rsidR="00F0212F" w:rsidRPr="003D617F" w:rsidRDefault="00F0212F" w:rsidP="00F0212F">
            <w:pPr>
              <w:spacing w:before="120" w:after="120" w:line="240" w:lineRule="auto"/>
              <w:jc w:val="both"/>
              <w:rPr>
                <w:rFonts w:ascii="Times New Roman" w:eastAsia="Calibri" w:hAnsi="Times New Roman"/>
              </w:rPr>
            </w:pPr>
          </w:p>
        </w:tc>
      </w:tr>
    </w:tbl>
    <w:p w:rsidR="003D617F" w:rsidRPr="003D617F" w:rsidRDefault="003D617F" w:rsidP="003D617F">
      <w:pPr>
        <w:spacing w:before="120" w:after="0" w:line="240" w:lineRule="auto"/>
        <w:jc w:val="both"/>
        <w:rPr>
          <w:rFonts w:ascii="Times New Roman" w:eastAsia="Calibri" w:hAnsi="Times New Roman"/>
          <w:i/>
          <w:iCs/>
          <w:sz w:val="24"/>
          <w:szCs w:val="24"/>
          <w:lang w:val="en-US"/>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7. Необходимост от актуали</w:t>
      </w:r>
      <w:r>
        <w:rPr>
          <w:rFonts w:ascii="Times New Roman" w:eastAsia="Calibri" w:hAnsi="Times New Roman"/>
          <w:b/>
          <w:sz w:val="24"/>
          <w:szCs w:val="24"/>
        </w:rPr>
        <w:t>зация на СФ на защитената зона</w:t>
      </w:r>
    </w:p>
    <w:p w:rsidR="003D617F" w:rsidRPr="003D617F" w:rsidRDefault="00F0212F" w:rsidP="00F0212F">
      <w:pPr>
        <w:spacing w:after="160" w:line="240" w:lineRule="auto"/>
        <w:ind w:firstLine="709"/>
        <w:jc w:val="both"/>
        <w:rPr>
          <w:rFonts w:ascii="Times New Roman" w:eastAsia="Calibri" w:hAnsi="Times New Roman"/>
          <w:sz w:val="24"/>
          <w:szCs w:val="24"/>
        </w:rPr>
      </w:pPr>
      <w:r>
        <w:rPr>
          <w:rFonts w:ascii="Times New Roman" w:eastAsia="Calibri" w:hAnsi="Times New Roman"/>
          <w:sz w:val="24"/>
          <w:szCs w:val="24"/>
        </w:rPr>
        <w:t xml:space="preserve">В съответствие с </w:t>
      </w:r>
      <w:r w:rsidRPr="003D617F">
        <w:rPr>
          <w:rFonts w:ascii="Times New Roman" w:eastAsia="Calibri" w:hAnsi="Times New Roman"/>
          <w:sz w:val="24"/>
          <w:szCs w:val="24"/>
        </w:rPr>
        <w:t>методика</w:t>
      </w:r>
      <w:r>
        <w:rPr>
          <w:rFonts w:ascii="Times New Roman" w:eastAsia="Calibri" w:hAnsi="Times New Roman"/>
          <w:sz w:val="24"/>
          <w:szCs w:val="24"/>
        </w:rPr>
        <w:t>та, приложима</w:t>
      </w:r>
      <w:r w:rsidRPr="003D617F">
        <w:rPr>
          <w:rFonts w:ascii="Times New Roman" w:eastAsia="Calibri" w:hAnsi="Times New Roman"/>
          <w:sz w:val="24"/>
          <w:szCs w:val="24"/>
        </w:rPr>
        <w:t xml:space="preserve"> за </w:t>
      </w:r>
      <w:r>
        <w:rPr>
          <w:rFonts w:ascii="Times New Roman" w:eastAsia="Calibri" w:hAnsi="Times New Roman"/>
          <w:sz w:val="24"/>
          <w:szCs w:val="24"/>
        </w:rPr>
        <w:t>пробонабираве</w:t>
      </w:r>
      <w:r>
        <w:rPr>
          <w:rFonts w:ascii="Times New Roman" w:eastAsia="Calibri" w:hAnsi="Times New Roman"/>
          <w:sz w:val="24"/>
          <w:szCs w:val="24"/>
          <w:lang w:val="en-US"/>
        </w:rPr>
        <w:t xml:space="preserve"> </w:t>
      </w:r>
      <w:r>
        <w:rPr>
          <w:rFonts w:ascii="Times New Roman" w:eastAsia="Calibri" w:hAnsi="Times New Roman"/>
          <w:sz w:val="24"/>
          <w:szCs w:val="24"/>
        </w:rPr>
        <w:t>на вида</w:t>
      </w:r>
      <w:r w:rsidRPr="003D617F">
        <w:rPr>
          <w:rFonts w:ascii="Times New Roman" w:eastAsia="Calibri" w:hAnsi="Times New Roman"/>
          <w:sz w:val="24"/>
          <w:szCs w:val="24"/>
        </w:rPr>
        <w:t xml:space="preserve">, най-подходящата </w:t>
      </w:r>
      <w:r>
        <w:rPr>
          <w:rFonts w:ascii="Times New Roman" w:eastAsia="Calibri" w:hAnsi="Times New Roman"/>
          <w:sz w:val="24"/>
          <w:szCs w:val="24"/>
        </w:rPr>
        <w:t xml:space="preserve">популационна </w:t>
      </w:r>
      <w:r w:rsidRPr="003D617F">
        <w:rPr>
          <w:rFonts w:ascii="Times New Roman" w:eastAsia="Calibri" w:hAnsi="Times New Roman"/>
          <w:sz w:val="24"/>
          <w:szCs w:val="24"/>
        </w:rPr>
        <w:t xml:space="preserve">единица за определянето на състоянието на вида е брой уловени индивиди </w:t>
      </w:r>
      <w:r>
        <w:rPr>
          <w:rFonts w:ascii="Times New Roman" w:eastAsia="Calibri" w:hAnsi="Times New Roman"/>
          <w:sz w:val="24"/>
          <w:szCs w:val="24"/>
        </w:rPr>
        <w:t xml:space="preserve">на единица риболовно усилие </w:t>
      </w:r>
      <w:r w:rsidRPr="00E702E1">
        <w:rPr>
          <w:rFonts w:ascii="Times New Roman" w:eastAsia="Calibri" w:hAnsi="Times New Roman"/>
          <w:sz w:val="24"/>
          <w:szCs w:val="24"/>
        </w:rPr>
        <w:t>(CPUE)</w:t>
      </w:r>
      <w:r w:rsidRPr="003D617F">
        <w:rPr>
          <w:rFonts w:ascii="Times New Roman" w:eastAsia="Calibri" w:hAnsi="Times New Roman"/>
          <w:sz w:val="24"/>
          <w:szCs w:val="24"/>
        </w:rPr>
        <w:t xml:space="preserve">, което позволява да се използва информацията от стопанските улови. </w:t>
      </w:r>
      <w:r w:rsidRPr="0095092B">
        <w:rPr>
          <w:rFonts w:ascii="Times New Roman" w:eastAsia="Calibri" w:hAnsi="Times New Roman"/>
          <w:sz w:val="24"/>
          <w:szCs w:val="24"/>
        </w:rPr>
        <w:t xml:space="preserve">Тази единица обаче засега не е приета за оценка на </w:t>
      </w:r>
      <w:r>
        <w:rPr>
          <w:rFonts w:ascii="Times New Roman" w:eastAsia="Calibri" w:hAnsi="Times New Roman"/>
          <w:sz w:val="24"/>
          <w:szCs w:val="24"/>
        </w:rPr>
        <w:t>видове риби</w:t>
      </w:r>
      <w:r w:rsidRPr="0095092B">
        <w:rPr>
          <w:rFonts w:ascii="Times New Roman" w:eastAsia="Calibri" w:hAnsi="Times New Roman"/>
          <w:sz w:val="24"/>
          <w:szCs w:val="24"/>
        </w:rPr>
        <w:t xml:space="preserve"> </w:t>
      </w:r>
      <w:r>
        <w:rPr>
          <w:rFonts w:ascii="Times New Roman" w:eastAsia="Calibri" w:hAnsi="Times New Roman"/>
          <w:sz w:val="24"/>
          <w:szCs w:val="24"/>
        </w:rPr>
        <w:t>при докладванията в ЕК</w:t>
      </w:r>
      <w:r w:rsidRPr="0095092B">
        <w:rPr>
          <w:rFonts w:ascii="Times New Roman" w:eastAsia="Calibri" w:hAnsi="Times New Roman"/>
          <w:sz w:val="24"/>
          <w:szCs w:val="24"/>
        </w:rPr>
        <w:t>. Затова, като се има предвид високата сезонна вариабилност на числеността на вида в зоната и с оглед унифицирането на подхода за внасянето на данни в СФ на този етап като единица за оценка се използва „Площ“ (</w:t>
      </w:r>
      <w:r w:rsidRPr="0095092B">
        <w:rPr>
          <w:rFonts w:ascii="Times New Roman" w:eastAsia="Calibri" w:hAnsi="Times New Roman"/>
          <w:sz w:val="24"/>
          <w:szCs w:val="24"/>
          <w:lang w:val="en-US"/>
        </w:rPr>
        <w:t>area</w:t>
      </w:r>
      <w:r w:rsidRPr="0095092B">
        <w:rPr>
          <w:rFonts w:ascii="Times New Roman" w:eastAsia="Calibri" w:hAnsi="Times New Roman"/>
          <w:sz w:val="24"/>
          <w:szCs w:val="24"/>
        </w:rPr>
        <w:t>) на местообитанията</w:t>
      </w:r>
      <w:r>
        <w:rPr>
          <w:rFonts w:ascii="Times New Roman" w:eastAsia="Calibri" w:hAnsi="Times New Roman"/>
          <w:sz w:val="24"/>
          <w:szCs w:val="24"/>
        </w:rPr>
        <w:t xml:space="preserve">“, </w:t>
      </w:r>
      <w:r w:rsidRPr="003D617F">
        <w:rPr>
          <w:rFonts w:ascii="Times New Roman" w:eastAsia="Calibri" w:hAnsi="Times New Roman"/>
          <w:sz w:val="24"/>
          <w:szCs w:val="24"/>
        </w:rPr>
        <w:t>като е уточнена площта на участъка от р. Дунав в зоната</w:t>
      </w:r>
      <w:r>
        <w:rPr>
          <w:rFonts w:ascii="Times New Roman" w:eastAsia="Calibri" w:hAnsi="Times New Roman"/>
          <w:sz w:val="24"/>
          <w:szCs w:val="24"/>
        </w:rPr>
        <w:t xml:space="preserve">. </w:t>
      </w:r>
      <w:r w:rsidRPr="003D617F">
        <w:rPr>
          <w:rFonts w:ascii="Times New Roman" w:eastAsia="Calibri" w:hAnsi="Times New Roman"/>
          <w:sz w:val="24"/>
          <w:szCs w:val="24"/>
        </w:rPr>
        <w:t>Въз основа на направения анализ на нали</w:t>
      </w:r>
      <w:r>
        <w:rPr>
          <w:rFonts w:ascii="Times New Roman" w:eastAsia="Calibri" w:hAnsi="Times New Roman"/>
          <w:sz w:val="24"/>
          <w:szCs w:val="24"/>
        </w:rPr>
        <w:t>ч</w:t>
      </w:r>
      <w:r w:rsidRPr="003D617F">
        <w:rPr>
          <w:rFonts w:ascii="Times New Roman" w:eastAsia="Calibri" w:hAnsi="Times New Roman"/>
          <w:sz w:val="24"/>
          <w:szCs w:val="24"/>
        </w:rPr>
        <w:t>ните данни се предлага актуализация на СФ на защитената зона</w:t>
      </w:r>
      <w:r>
        <w:rPr>
          <w:rFonts w:ascii="Times New Roman" w:eastAsia="Calibri" w:hAnsi="Times New Roman"/>
          <w:sz w:val="24"/>
          <w:szCs w:val="24"/>
        </w:rPr>
        <w:t>.</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08"/>
        <w:gridCol w:w="546"/>
        <w:gridCol w:w="1043"/>
        <w:gridCol w:w="262"/>
        <w:gridCol w:w="836"/>
        <w:gridCol w:w="286"/>
        <w:gridCol w:w="583"/>
        <w:gridCol w:w="718"/>
        <w:gridCol w:w="593"/>
        <w:gridCol w:w="482"/>
        <w:gridCol w:w="1209"/>
        <w:gridCol w:w="737"/>
        <w:gridCol w:w="513"/>
        <w:gridCol w:w="437"/>
        <w:gridCol w:w="899"/>
      </w:tblGrid>
      <w:tr w:rsidR="003D617F" w:rsidRPr="003D617F" w:rsidTr="00D95C99">
        <w:trPr>
          <w:tblCellSpacing w:w="15" w:type="dxa"/>
        </w:trPr>
        <w:tc>
          <w:tcPr>
            <w:tcW w:w="1554"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2033"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49"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D95C99">
        <w:trPr>
          <w:tblCellSpacing w:w="15" w:type="dxa"/>
        </w:trPr>
        <w:tc>
          <w:tcPr>
            <w:tcW w:w="145"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G </w:t>
            </w:r>
          </w:p>
        </w:tc>
        <w:tc>
          <w:tcPr>
            <w:tcW w:w="284"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558"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382"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41"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684"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31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4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58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38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44"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D95C99">
        <w:trPr>
          <w:tblCellSpacing w:w="15" w:type="dxa"/>
        </w:trPr>
        <w:tc>
          <w:tcPr>
            <w:tcW w:w="14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8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55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8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4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31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4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58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8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26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w:t>
            </w:r>
            <w:r w:rsidRPr="003D617F">
              <w:rPr>
                <w:rFonts w:ascii="Times New Roman" w:eastAsia="Calibri" w:hAnsi="Times New Roman"/>
                <w:b/>
                <w:bCs/>
                <w:sz w:val="16"/>
                <w:szCs w:val="16"/>
              </w:rPr>
              <w:lastRenderedPageBreak/>
              <w:t>n.</w:t>
            </w:r>
          </w:p>
        </w:tc>
        <w:tc>
          <w:tcPr>
            <w:tcW w:w="22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lastRenderedPageBreak/>
              <w:t>Is</w:t>
            </w:r>
            <w:r w:rsidRPr="003D617F">
              <w:rPr>
                <w:rFonts w:ascii="Times New Roman" w:eastAsia="Calibri" w:hAnsi="Times New Roman"/>
                <w:b/>
                <w:bCs/>
                <w:sz w:val="16"/>
                <w:szCs w:val="16"/>
              </w:rPr>
              <w:lastRenderedPageBreak/>
              <w:t>o.</w:t>
            </w:r>
          </w:p>
        </w:tc>
        <w:tc>
          <w:tcPr>
            <w:tcW w:w="4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lastRenderedPageBreak/>
              <w:t>Glo.</w:t>
            </w:r>
          </w:p>
        </w:tc>
      </w:tr>
      <w:tr w:rsidR="00D95C99" w:rsidRPr="003D617F" w:rsidTr="00D95C99">
        <w:trPr>
          <w:tblCellSpacing w:w="15" w:type="dxa"/>
        </w:trPr>
        <w:tc>
          <w:tcPr>
            <w:tcW w:w="14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95C99" w:rsidRPr="003D617F" w:rsidRDefault="00D95C99"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lastRenderedPageBreak/>
              <w:t>F</w:t>
            </w:r>
          </w:p>
        </w:tc>
        <w:tc>
          <w:tcPr>
            <w:tcW w:w="28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95C99" w:rsidRPr="00D95C99" w:rsidRDefault="00D95C99" w:rsidP="003D617F">
            <w:pPr>
              <w:spacing w:before="120" w:after="0" w:line="259" w:lineRule="auto"/>
              <w:jc w:val="both"/>
              <w:rPr>
                <w:rFonts w:ascii="Times New Roman" w:eastAsia="Calibri" w:hAnsi="Times New Roman"/>
                <w:b/>
                <w:bCs/>
                <w:sz w:val="16"/>
                <w:szCs w:val="16"/>
              </w:rPr>
            </w:pPr>
            <w:r>
              <w:rPr>
                <w:rFonts w:ascii="Times New Roman" w:eastAsia="Calibri" w:hAnsi="Times New Roman"/>
                <w:b/>
                <w:bCs/>
                <w:sz w:val="16"/>
                <w:szCs w:val="16"/>
              </w:rPr>
              <w:t>4127</w:t>
            </w:r>
          </w:p>
        </w:tc>
        <w:tc>
          <w:tcPr>
            <w:tcW w:w="55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95C99" w:rsidRPr="003D617F" w:rsidRDefault="00D95C99"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sz w:val="16"/>
                <w:szCs w:val="16"/>
                <w:lang w:val="en-US"/>
              </w:rPr>
              <w:t xml:space="preserve">Alosa </w:t>
            </w:r>
            <w:r>
              <w:rPr>
                <w:rFonts w:ascii="Times New Roman" w:eastAsia="Calibri" w:hAnsi="Times New Roman"/>
                <w:b/>
                <w:bCs/>
                <w:sz w:val="16"/>
                <w:szCs w:val="16"/>
                <w:lang w:val="en-US"/>
              </w:rPr>
              <w:t>tanaica</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95C99" w:rsidRPr="003D617F" w:rsidRDefault="00D95C99"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95C99" w:rsidRPr="003D617F" w:rsidRDefault="00D95C99"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14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95C99" w:rsidRPr="003D617F" w:rsidRDefault="00D95C99" w:rsidP="00051A9F">
            <w:pPr>
              <w:spacing w:before="120" w:after="0" w:line="259" w:lineRule="auto"/>
              <w:jc w:val="both"/>
              <w:rPr>
                <w:rFonts w:ascii="Times New Roman" w:eastAsia="Calibri" w:hAnsi="Times New Roman"/>
                <w:b/>
                <w:bCs/>
                <w:sz w:val="16"/>
                <w:szCs w:val="16"/>
                <w:lang w:val="en-US"/>
              </w:rPr>
            </w:pPr>
            <w:r w:rsidRPr="00E702E1">
              <w:rPr>
                <w:rFonts w:ascii="Times New Roman" w:eastAsia="Calibri" w:hAnsi="Times New Roman"/>
                <w:b/>
                <w:bCs/>
                <w:color w:val="FF0000"/>
                <w:sz w:val="16"/>
                <w:szCs w:val="16"/>
                <w:lang w:val="en-US"/>
              </w:rPr>
              <w:t>r</w:t>
            </w:r>
          </w:p>
        </w:tc>
        <w:tc>
          <w:tcPr>
            <w:tcW w:w="3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95C99" w:rsidRPr="0061058D" w:rsidRDefault="00D95C99" w:rsidP="00051A9F">
            <w:pPr>
              <w:spacing w:before="120" w:after="0" w:line="259" w:lineRule="auto"/>
              <w:jc w:val="both"/>
              <w:rPr>
                <w:rFonts w:ascii="Times New Roman" w:eastAsia="Calibri" w:hAnsi="Times New Roman"/>
                <w:b/>
                <w:bCs/>
                <w:color w:val="FF0000"/>
                <w:sz w:val="16"/>
                <w:szCs w:val="16"/>
              </w:rPr>
            </w:pPr>
            <w:r w:rsidRPr="0061058D">
              <w:rPr>
                <w:rFonts w:ascii="Times New Roman" w:eastAsia="Calibri" w:hAnsi="Times New Roman"/>
                <w:b/>
                <w:bCs/>
                <w:color w:val="FF0000"/>
                <w:sz w:val="16"/>
                <w:szCs w:val="16"/>
              </w:rPr>
              <w:t>593180</w:t>
            </w:r>
          </w:p>
          <w:p w:rsidR="00D95C99" w:rsidRPr="003D617F" w:rsidRDefault="00D95C99" w:rsidP="00051A9F">
            <w:pPr>
              <w:spacing w:before="120" w:after="0" w:line="259" w:lineRule="auto"/>
              <w:jc w:val="both"/>
              <w:rPr>
                <w:rFonts w:ascii="Times New Roman" w:eastAsia="Calibri" w:hAnsi="Times New Roman"/>
                <w:b/>
                <w:bCs/>
                <w:color w:val="FF0000"/>
                <w:sz w:val="16"/>
                <w:szCs w:val="16"/>
              </w:rPr>
            </w:pPr>
          </w:p>
        </w:tc>
        <w:tc>
          <w:tcPr>
            <w:tcW w:w="36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95C99" w:rsidRPr="0061058D" w:rsidRDefault="00D95C99" w:rsidP="00051A9F">
            <w:pPr>
              <w:spacing w:before="120" w:after="0" w:line="259" w:lineRule="auto"/>
              <w:jc w:val="both"/>
              <w:rPr>
                <w:rFonts w:ascii="Times New Roman" w:eastAsia="Calibri" w:hAnsi="Times New Roman"/>
                <w:b/>
                <w:bCs/>
                <w:color w:val="FF0000"/>
                <w:sz w:val="16"/>
                <w:szCs w:val="16"/>
              </w:rPr>
            </w:pPr>
            <w:r w:rsidRPr="0061058D">
              <w:rPr>
                <w:rFonts w:ascii="Times New Roman" w:eastAsia="Calibri" w:hAnsi="Times New Roman"/>
                <w:b/>
                <w:bCs/>
                <w:color w:val="FF0000"/>
                <w:sz w:val="16"/>
                <w:szCs w:val="16"/>
              </w:rPr>
              <w:t>593180</w:t>
            </w:r>
          </w:p>
          <w:p w:rsidR="00D95C99" w:rsidRPr="003D617F" w:rsidRDefault="00D95C99" w:rsidP="00051A9F">
            <w:pPr>
              <w:spacing w:before="120" w:after="0" w:line="259" w:lineRule="auto"/>
              <w:jc w:val="both"/>
              <w:rPr>
                <w:rFonts w:ascii="Times New Roman" w:eastAsia="Calibri" w:hAnsi="Times New Roman"/>
                <w:b/>
                <w:bCs/>
                <w:color w:val="FF0000"/>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95C99" w:rsidRPr="003D617F" w:rsidRDefault="00D95C99" w:rsidP="00051A9F">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color w:val="FF0000"/>
                <w:sz w:val="16"/>
                <w:szCs w:val="16"/>
                <w:lang w:val="en-US"/>
              </w:rPr>
              <w:t>area</w:t>
            </w:r>
          </w:p>
        </w:tc>
        <w:tc>
          <w:tcPr>
            <w:tcW w:w="24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95C99" w:rsidRPr="003D617F" w:rsidRDefault="00D95C99" w:rsidP="00051A9F">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sz w:val="16"/>
                <w:szCs w:val="16"/>
                <w:lang w:val="en-US"/>
              </w:rPr>
              <w:t>R</w:t>
            </w:r>
          </w:p>
        </w:tc>
        <w:tc>
          <w:tcPr>
            <w:tcW w:w="58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95C99" w:rsidRPr="003D617F" w:rsidRDefault="00D95C99" w:rsidP="00051A9F">
            <w:pPr>
              <w:spacing w:before="120" w:after="0" w:line="259" w:lineRule="auto"/>
              <w:jc w:val="both"/>
              <w:rPr>
                <w:rFonts w:ascii="Times New Roman" w:eastAsia="Calibri" w:hAnsi="Times New Roman"/>
                <w:b/>
                <w:bCs/>
                <w:color w:val="FF0000"/>
                <w:sz w:val="16"/>
                <w:szCs w:val="16"/>
                <w:lang w:val="en-US"/>
              </w:rPr>
            </w:pPr>
            <w:r w:rsidRPr="003D617F">
              <w:rPr>
                <w:rFonts w:ascii="Times New Roman" w:eastAsia="Calibri" w:hAnsi="Times New Roman"/>
                <w:b/>
                <w:bCs/>
                <w:color w:val="FF0000"/>
                <w:sz w:val="16"/>
                <w:szCs w:val="16"/>
                <w:lang w:val="en-US"/>
              </w:rPr>
              <w:t>DD</w:t>
            </w:r>
          </w:p>
        </w:tc>
        <w:tc>
          <w:tcPr>
            <w:tcW w:w="38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95C99" w:rsidRPr="00B3118A" w:rsidRDefault="00D95C99" w:rsidP="00051A9F">
            <w:pPr>
              <w:spacing w:before="120" w:after="0" w:line="259" w:lineRule="auto"/>
              <w:jc w:val="both"/>
              <w:rPr>
                <w:rFonts w:ascii="Times New Roman" w:eastAsia="Calibri" w:hAnsi="Times New Roman"/>
                <w:b/>
                <w:bCs/>
                <w:sz w:val="16"/>
                <w:szCs w:val="16"/>
                <w:lang w:val="en-US"/>
              </w:rPr>
            </w:pPr>
            <w:r w:rsidRPr="00B3118A">
              <w:rPr>
                <w:rFonts w:ascii="Times New Roman" w:eastAsia="Calibri" w:hAnsi="Times New Roman"/>
                <w:b/>
                <w:bCs/>
                <w:sz w:val="16"/>
                <w:szCs w:val="16"/>
                <w:lang w:val="en-US"/>
              </w:rPr>
              <w:t>C</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95C99" w:rsidRPr="003D617F" w:rsidRDefault="00D95C99" w:rsidP="00051A9F">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sz w:val="16"/>
                <w:szCs w:val="16"/>
                <w:lang w:val="en-US"/>
              </w:rPr>
              <w:t>A</w:t>
            </w:r>
          </w:p>
        </w:tc>
        <w:tc>
          <w:tcPr>
            <w:tcW w:w="22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95C99" w:rsidRPr="003D617F" w:rsidRDefault="00D95C99" w:rsidP="00051A9F">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sz w:val="16"/>
                <w:szCs w:val="16"/>
                <w:lang w:val="en-US"/>
              </w:rPr>
              <w:t>A</w:t>
            </w:r>
          </w:p>
        </w:tc>
        <w:tc>
          <w:tcPr>
            <w:tcW w:w="4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95C99" w:rsidRPr="00B3118A" w:rsidRDefault="00D95C99" w:rsidP="00051A9F">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sz w:val="16"/>
                <w:szCs w:val="16"/>
                <w:lang w:val="en-US"/>
              </w:rPr>
              <w:t>C</w:t>
            </w:r>
          </w:p>
        </w:tc>
      </w:tr>
    </w:tbl>
    <w:p w:rsidR="003D617F" w:rsidRPr="003D617F" w:rsidRDefault="003D617F" w:rsidP="003D617F">
      <w:pPr>
        <w:spacing w:after="16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8.</w:t>
      </w:r>
      <w:r>
        <w:rPr>
          <w:rFonts w:ascii="Times New Roman" w:eastAsia="Calibri" w:hAnsi="Times New Roman"/>
          <w:b/>
          <w:sz w:val="24"/>
          <w:szCs w:val="24"/>
        </w:rPr>
        <w:t xml:space="preserve"> Цитирана литература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Големански, В. и др. (ред.) 2011. Червена книга на Република България. Том 2. Животни. ИБЕИ - БАН &amp; МОСВ, София. Електронно издание: Том II - Животни (bas.bg)</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1951. Рибите в България. Фауна на България II. С., БАН, 270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Информационна система за защитени зони от екологична мрежа НАТУРА 2000.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http://natura2000.moew.government.bg/; http://natura2000.moew.government.bg/Home/Reports?reportType=Fishes</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1972. Ихтиофауна на р. Янтра. – Изв. на Зоолог. инст. с музей, 36: 149–182.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М. Живков. 1995. Рибите в България. С., "Гея-Либрис", 247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Моров, Т. 1931. Сладководните риби в България. С., "Художник", 93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https://ec.europa.eu/environment/nature/natura2000/management/docs/art6/BG_art_6_guide_jun_2019.pdf</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Шишков Г. 1939. Няколко думи за риболова по р. Искър. – Рибарски преглед, 9(8): 4–7.</w:t>
      </w:r>
    </w:p>
    <w:p w:rsidR="003D617F" w:rsidRPr="003D617F" w:rsidRDefault="003D617F" w:rsidP="003D617F">
      <w:pPr>
        <w:spacing w:after="0" w:line="259" w:lineRule="auto"/>
        <w:ind w:left="720" w:hanging="720"/>
        <w:jc w:val="both"/>
        <w:rPr>
          <w:rFonts w:ascii="Times New Roman" w:eastAsia="Calibri" w:hAnsi="Times New Roman"/>
          <w:sz w:val="24"/>
          <w:szCs w:val="24"/>
          <w:lang w:val="en-GB"/>
        </w:rPr>
      </w:pPr>
      <w:r w:rsidRPr="003D617F">
        <w:rPr>
          <w:rFonts w:ascii="Times New Roman" w:eastAsia="Calibri" w:hAnsi="Times New Roman"/>
          <w:sz w:val="24"/>
          <w:szCs w:val="24"/>
        </w:rPr>
        <w:lastRenderedPageBreak/>
        <w:t>Информация от ИАРА за улов на риба и други водни организми в р. Дунав (2016-2020 г.)</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Bauer, C. Bobeldy, A., Lamberti G. 2006.  Predicting habitat use and trophic interactions of Eurasian ruffe, round gobies, and zebra mussels in nearshore areas of the Great Lakes. – Biol Invasions,  DOI 10.1007/s10530-006-9067-8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Bern Convention on the Conservation of European Wildlife and Natural Habitats. https://www.coe.int/en/web/bern-convention</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CEN - EN 14011, 2003. Water quality - Sampling of fish with electricity. Brussels, 16 p.</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3–680.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Froese, R., D. Pauly. Editors. 2021. FishBase. World Wide Web electronic publication. www.fishbase.org, (06/2021): Search FishBase (mnhn.fr)</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IUCN 2021. The IUCN Red List of Threatened Species. Version 2021-2. </w:t>
      </w:r>
      <w:hyperlink r:id="rId64" w:history="1">
        <w:r w:rsidRPr="003D617F">
          <w:rPr>
            <w:rFonts w:ascii="Times New Roman" w:eastAsia="Calibri" w:hAnsi="Times New Roman"/>
            <w:color w:val="0563C1"/>
            <w:sz w:val="24"/>
            <w:szCs w:val="24"/>
            <w:u w:val="single"/>
          </w:rPr>
          <w:t>https://www.iucnredlist.org</w:t>
        </w:r>
      </w:hyperlink>
      <w:r w:rsidRPr="003D617F">
        <w:rPr>
          <w:rFonts w:ascii="Times New Roman" w:eastAsia="Calibri" w:hAnsi="Times New Roman"/>
          <w:sz w:val="24"/>
          <w:szCs w:val="24"/>
        </w:rPr>
        <w:t>.</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Juza T., Blabolil P., Baran R., Barton B.,  Cech M., Drastık V., Frouzova J., Holubova M., Ketelaars H., Kocvara L., Kubecka J., Muska M. Prchalova M., Rıha M., Sajdlova Z., Smejkal M.,Tuser M., Vasek M., Vejrık L., Vejrıkova I., Wagenvoort A., Zak J., Peterka J. 2018. Collapse of the native ruffe (Gymnocephalus cernua) population in the Biesbosch lakes (the Netherlands) owing to round goby (Neogobius melanostomus) invasion. Biol. Invasions, 20:1523–1535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Kottelat, M., J. Freyhof, 2007. Handbook of European freshwater fishes. Publications Kottelat, Cornol and Freyhof, Berlin. 646 pp.</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Naseka, A., N. Bogutskaya, P. Banarescu. 1999. Gobio albipinnatus Lukasch, 1933. – In: Banarescu P. (Ed.), The Freshwater Fishes of Europe. Vol. 5 / I. Cyprinidae 2 / I. AULA-Verlag, Wiesbaden, 37–68.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Vassilev, M., L. Pehlivanov. 2005. Checklist of Bulgarian freshwater fishes. – Acta zool. bulg., 57(2): 161–190.Публичен регистър по екологични оценки - </w:t>
      </w:r>
      <w:hyperlink r:id="rId65" w:history="1">
        <w:r w:rsidRPr="003D617F">
          <w:rPr>
            <w:rFonts w:ascii="Times New Roman" w:eastAsia="Calibri" w:hAnsi="Times New Roman"/>
            <w:color w:val="0563C1"/>
            <w:sz w:val="24"/>
            <w:szCs w:val="24"/>
            <w:u w:val="single"/>
          </w:rPr>
          <w:t>http://registers.moew.government.bg/eo</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Публичен регистър по оценки за въздействие на околната среда </w:t>
      </w:r>
      <w:hyperlink r:id="rId66" w:history="1">
        <w:r w:rsidRPr="003D617F">
          <w:rPr>
            <w:rFonts w:ascii="Times New Roman" w:eastAsia="Calibri" w:hAnsi="Times New Roman"/>
            <w:color w:val="0563C1"/>
            <w:sz w:val="24"/>
            <w:szCs w:val="24"/>
            <w:u w:val="single"/>
          </w:rPr>
          <w:t>http://registers.moew.government.bg/ovos/</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40"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3D617F">
        <w:rPr>
          <w:rFonts w:ascii="Times New Roman" w:eastAsia="Calibri" w:hAnsi="Times New Roman"/>
          <w:color w:val="0563C1"/>
          <w:sz w:val="24"/>
          <w:szCs w:val="24"/>
          <w:u w:val="single"/>
        </w:rPr>
        <w:t>https://riew-pleven.eu/</w:t>
      </w:r>
    </w:p>
    <w:p w:rsidR="003D617F" w:rsidRPr="003D617F" w:rsidRDefault="00DE51FF" w:rsidP="003D617F">
      <w:pPr>
        <w:spacing w:after="160" w:line="240" w:lineRule="auto"/>
        <w:jc w:val="both"/>
        <w:rPr>
          <w:rFonts w:ascii="Times New Roman" w:eastAsia="Calibri" w:hAnsi="Times New Roman"/>
          <w:iCs/>
          <w:color w:val="0563C1"/>
          <w:sz w:val="24"/>
          <w:szCs w:val="24"/>
          <w:u w:val="single"/>
        </w:rPr>
      </w:pPr>
      <w:hyperlink r:id="rId67" w:history="1">
        <w:r w:rsidR="003D617F" w:rsidRPr="003D617F">
          <w:rPr>
            <w:rFonts w:ascii="Times New Roman" w:eastAsia="Calibri" w:hAnsi="Times New Roman"/>
            <w:iCs/>
            <w:color w:val="0563C1"/>
            <w:sz w:val="24"/>
            <w:szCs w:val="24"/>
            <w:u w:val="single"/>
          </w:rPr>
          <w:t>http://eea.government.bg/bg/bio/nsmbr/praktichesko-rakovodstvo-metodiki-za-monitoring-i-otsenka/Podhod_Dunav.pdf</w:t>
        </w:r>
      </w:hyperlink>
    </w:p>
    <w:p w:rsidR="003D617F" w:rsidRPr="003D617F" w:rsidRDefault="003D617F" w:rsidP="003D617F">
      <w:pPr>
        <w:spacing w:after="160" w:line="240" w:lineRule="auto"/>
        <w:jc w:val="both"/>
        <w:rPr>
          <w:rFonts w:ascii="Times New Roman" w:eastAsia="Calibri" w:hAnsi="Times New Roman"/>
          <w:sz w:val="24"/>
          <w:szCs w:val="24"/>
        </w:rPr>
      </w:pPr>
      <w:r w:rsidRPr="003D617F">
        <w:rPr>
          <w:rFonts w:ascii="Times New Roman" w:eastAsia="Calibri" w:hAnsi="Times New Roman"/>
          <w:i/>
          <w:sz w:val="24"/>
          <w:szCs w:val="24"/>
        </w:rPr>
        <w:t>Автори</w:t>
      </w:r>
      <w:r w:rsidRPr="003D617F">
        <w:rPr>
          <w:rFonts w:ascii="Times New Roman" w:eastAsia="Calibri" w:hAnsi="Times New Roman"/>
          <w:sz w:val="24"/>
          <w:szCs w:val="24"/>
        </w:rPr>
        <w:t>:</w:t>
      </w:r>
      <w:r w:rsidRPr="003D617F">
        <w:rPr>
          <w:rFonts w:ascii="Times New Roman" w:eastAsia="Calibri" w:hAnsi="Times New Roman"/>
          <w:b/>
          <w:sz w:val="24"/>
          <w:szCs w:val="24"/>
        </w:rPr>
        <w:t xml:space="preserve"> </w:t>
      </w:r>
      <w:r w:rsidRPr="007D1C8A">
        <w:rPr>
          <w:rFonts w:ascii="Times New Roman" w:eastAsia="Calibri" w:hAnsi="Times New Roman"/>
          <w:iCs/>
          <w:sz w:val="24"/>
          <w:szCs w:val="24"/>
        </w:rPr>
        <w:t>Апостолос Апостолу, Лъч</w:t>
      </w:r>
      <w:r w:rsidR="007D1C8A" w:rsidRPr="007D1C8A">
        <w:rPr>
          <w:rFonts w:ascii="Times New Roman" w:eastAsia="Calibri" w:hAnsi="Times New Roman"/>
          <w:iCs/>
          <w:sz w:val="24"/>
          <w:szCs w:val="24"/>
        </w:rPr>
        <w:t>езар Пехливанов, Стефан Казаков</w:t>
      </w:r>
    </w:p>
    <w:p w:rsidR="003D617F" w:rsidRPr="003D617F" w:rsidRDefault="003D617F" w:rsidP="003D617F">
      <w:pPr>
        <w:spacing w:after="160" w:line="240" w:lineRule="auto"/>
        <w:jc w:val="center"/>
        <w:rPr>
          <w:rFonts w:ascii="Times New Roman" w:eastAsia="Calibri" w:hAnsi="Times New Roman"/>
          <w:smallCaps/>
          <w:color w:val="1F497D"/>
          <w:sz w:val="28"/>
          <w:szCs w:val="28"/>
          <w:lang w:eastAsia="bg-BG"/>
        </w:rPr>
      </w:pPr>
    </w:p>
    <w:p w:rsidR="003D617F" w:rsidRPr="003D617F" w:rsidRDefault="003D617F" w:rsidP="003D617F">
      <w:pPr>
        <w:spacing w:after="160" w:line="240" w:lineRule="auto"/>
        <w:outlineLvl w:val="1"/>
        <w:rPr>
          <w:rFonts w:ascii="Times New Roman" w:eastAsia="Calibri" w:hAnsi="Times New Roman"/>
          <w:sz w:val="24"/>
          <w:szCs w:val="24"/>
          <w:lang w:val="en-US"/>
        </w:rPr>
      </w:pPr>
      <w:bookmarkStart w:id="35" w:name="_Toc98838544"/>
      <w:r w:rsidRPr="003D617F">
        <w:rPr>
          <w:rFonts w:ascii="Times New Roman" w:eastAsia="Calibri" w:hAnsi="Times New Roman"/>
          <w:color w:val="1F497D"/>
          <w:sz w:val="28"/>
          <w:szCs w:val="28"/>
          <w:lang w:eastAsia="bg-BG"/>
        </w:rPr>
        <w:t xml:space="preserve">Природозащитни цели за </w:t>
      </w:r>
      <w:r w:rsidRPr="003D617F">
        <w:rPr>
          <w:rFonts w:ascii="Times New Roman" w:eastAsia="Calibri" w:hAnsi="Times New Roman"/>
          <w:color w:val="1F497D"/>
          <w:sz w:val="28"/>
          <w:szCs w:val="28"/>
          <w:lang w:val="en-US" w:eastAsia="bg-BG"/>
        </w:rPr>
        <w:t>5329</w:t>
      </w:r>
      <w:r w:rsidRPr="003D617F">
        <w:rPr>
          <w:rFonts w:ascii="Times New Roman" w:eastAsia="Calibri" w:hAnsi="Times New Roman"/>
          <w:color w:val="1F497D"/>
          <w:sz w:val="28"/>
          <w:szCs w:val="28"/>
          <w:lang w:eastAsia="bg-BG"/>
        </w:rPr>
        <w:t xml:space="preserve"> </w:t>
      </w:r>
      <w:r w:rsidRPr="003D617F">
        <w:rPr>
          <w:rFonts w:ascii="Times New Roman" w:eastAsia="Calibri" w:hAnsi="Times New Roman"/>
          <w:i/>
          <w:color w:val="1F497D"/>
          <w:sz w:val="28"/>
          <w:szCs w:val="28"/>
          <w:lang w:val="en-US" w:eastAsia="bg-BG"/>
        </w:rPr>
        <w:t>Romanogobio vladykovi</w:t>
      </w:r>
      <w:bookmarkEnd w:id="35"/>
    </w:p>
    <w:p w:rsidR="003D617F" w:rsidRPr="003D617F" w:rsidRDefault="003D617F" w:rsidP="003D617F">
      <w:pPr>
        <w:spacing w:after="160" w:line="240" w:lineRule="auto"/>
        <w:jc w:val="both"/>
        <w:rPr>
          <w:rFonts w:ascii="Times New Roman" w:eastAsia="Calibri" w:hAnsi="Times New Roman"/>
          <w:b/>
          <w:bCs/>
          <w:sz w:val="24"/>
          <w:szCs w:val="24"/>
        </w:rPr>
      </w:pPr>
      <w:r w:rsidRPr="003D617F">
        <w:rPr>
          <w:rFonts w:ascii="Times New Roman" w:eastAsia="Calibri" w:hAnsi="Times New Roman"/>
          <w:b/>
          <w:sz w:val="24"/>
          <w:szCs w:val="24"/>
        </w:rPr>
        <w:t xml:space="preserve">1. Код и наименование на вида: </w:t>
      </w:r>
      <w:r w:rsidRPr="003D617F">
        <w:rPr>
          <w:rFonts w:ascii="Times New Roman" w:hAnsi="Times New Roman"/>
          <w:bCs/>
          <w:color w:val="000000"/>
          <w:sz w:val="24"/>
          <w:szCs w:val="24"/>
          <w:lang w:eastAsia="bg-BG"/>
        </w:rPr>
        <w:t xml:space="preserve">5329 </w:t>
      </w:r>
      <w:r w:rsidRPr="003D617F">
        <w:rPr>
          <w:rFonts w:ascii="Times New Roman" w:hAnsi="Times New Roman"/>
          <w:bCs/>
          <w:i/>
          <w:color w:val="000000"/>
          <w:sz w:val="24"/>
          <w:szCs w:val="24"/>
          <w:lang w:val="en-US" w:eastAsia="bg-BG"/>
        </w:rPr>
        <w:t>Romanogobio</w:t>
      </w:r>
      <w:r w:rsidRPr="003D617F">
        <w:rPr>
          <w:rFonts w:ascii="Times New Roman" w:hAnsi="Times New Roman"/>
          <w:bCs/>
          <w:i/>
          <w:color w:val="000000"/>
          <w:sz w:val="24"/>
          <w:szCs w:val="24"/>
          <w:lang w:eastAsia="bg-BG"/>
        </w:rPr>
        <w:t xml:space="preserve"> </w:t>
      </w:r>
      <w:r w:rsidRPr="003D617F">
        <w:rPr>
          <w:rFonts w:ascii="Times New Roman" w:hAnsi="Times New Roman"/>
          <w:bCs/>
          <w:i/>
          <w:color w:val="000000"/>
          <w:sz w:val="24"/>
          <w:szCs w:val="24"/>
          <w:lang w:val="en-US" w:eastAsia="bg-BG"/>
        </w:rPr>
        <w:t>vladykovi</w:t>
      </w:r>
      <w:r w:rsidRPr="003D617F">
        <w:rPr>
          <w:rFonts w:ascii="Times New Roman" w:hAnsi="Times New Roman"/>
          <w:bCs/>
          <w:color w:val="000000"/>
          <w:sz w:val="24"/>
          <w:szCs w:val="24"/>
          <w:lang w:eastAsia="bg-BG"/>
        </w:rPr>
        <w:t xml:space="preserve"> - Белопера кротушка</w:t>
      </w: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lastRenderedPageBreak/>
        <w:t xml:space="preserve">2. Кратка </w:t>
      </w:r>
      <w:r>
        <w:rPr>
          <w:rFonts w:ascii="Times New Roman" w:eastAsia="Calibri" w:hAnsi="Times New Roman"/>
          <w:b/>
          <w:sz w:val="24"/>
          <w:szCs w:val="24"/>
        </w:rPr>
        <w:t>характеристика на целевия обект</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От всички кротушки се отличава по по-светлата окраска на тялото, перките (без опашната) са без пигментни петънца. Отстрани на тялото има 7-8 тъмни петна.</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От балканската кротушка (</w:t>
      </w:r>
      <w:r w:rsidRPr="001D13B2">
        <w:rPr>
          <w:rFonts w:ascii="Times New Roman" w:eastAsia="Calibri" w:hAnsi="Times New Roman"/>
          <w:i/>
          <w:sz w:val="24"/>
          <w:szCs w:val="24"/>
        </w:rPr>
        <w:t>Romanogobio kessleri</w:t>
      </w:r>
      <w:r w:rsidRPr="003D617F">
        <w:rPr>
          <w:rFonts w:ascii="Times New Roman" w:eastAsia="Calibri" w:hAnsi="Times New Roman"/>
          <w:sz w:val="24"/>
          <w:szCs w:val="24"/>
        </w:rPr>
        <w:t>) се отличава по броя на разклонените лъчи в гръбната перка (7), по-големи очи - почти равни на междуочното разстояние, аналният отвор е по-близо до коремните перки.</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От малката кротушка (</w:t>
      </w:r>
      <w:r w:rsidRPr="001D13B2">
        <w:rPr>
          <w:rFonts w:ascii="Times New Roman" w:eastAsia="Calibri" w:hAnsi="Times New Roman"/>
          <w:i/>
          <w:sz w:val="24"/>
          <w:szCs w:val="24"/>
        </w:rPr>
        <w:t>Romanogobio uranoscopus</w:t>
      </w:r>
      <w:r w:rsidRPr="003D617F">
        <w:rPr>
          <w:rFonts w:ascii="Times New Roman" w:eastAsia="Calibri" w:hAnsi="Times New Roman"/>
          <w:sz w:val="24"/>
          <w:szCs w:val="24"/>
        </w:rPr>
        <w:t>) се отличава по по-късите мустачки -не достигат предния край на очите.</w:t>
      </w:r>
      <w:r w:rsidR="00D95C99">
        <w:rPr>
          <w:rFonts w:ascii="Times New Roman" w:eastAsia="Calibri" w:hAnsi="Times New Roman"/>
          <w:sz w:val="24"/>
          <w:szCs w:val="24"/>
        </w:rPr>
        <w:t xml:space="preserve"> </w:t>
      </w:r>
      <w:r w:rsidRPr="003D617F">
        <w:rPr>
          <w:rFonts w:ascii="Times New Roman" w:eastAsia="Calibri" w:hAnsi="Times New Roman"/>
          <w:sz w:val="24"/>
          <w:szCs w:val="24"/>
        </w:rPr>
        <w:t>Видът е установен за пръв път в България в р. Огоста при с. Лехчево. В последствие е намерен и в реките Янтра и Вит. Среща се и в целия български участък от р. Дунав. В миналото се е изкачвал сравнително нагоре по притоците – в р. Янтра е намиран при Велико Търново. Днес със сигурност обитава само основното течение на р. Дунав, както и приустиевите участъци на по-големите притоци. Бентосен, реофилен вид. Храни се с дънни безгръбначни животни (хирономиди и ларви на насекоми), детрит и в много по-малка степен с водорасли. Достига полова зрялост на втората година. Размножителния период е от средата на май до началото на юли. Размножава се порционно, като женската отлага хайверните зърна в участъци с по-слабо течение.</w:t>
      </w:r>
    </w:p>
    <w:p w:rsidR="003D617F" w:rsidRPr="003D617F" w:rsidRDefault="003D617F" w:rsidP="003D617F">
      <w:pPr>
        <w:spacing w:after="0" w:line="240" w:lineRule="auto"/>
        <w:ind w:firstLine="709"/>
        <w:jc w:val="both"/>
        <w:rPr>
          <w:rFonts w:ascii="Times New Roman" w:eastAsia="Calibri" w:hAnsi="Times New Roman"/>
          <w:sz w:val="24"/>
          <w:szCs w:val="24"/>
        </w:rPr>
      </w:pPr>
      <w:r w:rsidRPr="001D13B2">
        <w:rPr>
          <w:rFonts w:ascii="Times New Roman" w:eastAsia="Calibri" w:hAnsi="Times New Roman"/>
          <w:i/>
          <w:sz w:val="24"/>
          <w:szCs w:val="24"/>
        </w:rPr>
        <w:t>Характеристики на местообитанието в България</w:t>
      </w:r>
      <w:r w:rsidR="001D13B2">
        <w:rPr>
          <w:rFonts w:ascii="Times New Roman" w:eastAsia="Calibri" w:hAnsi="Times New Roman"/>
          <w:sz w:val="24"/>
          <w:szCs w:val="24"/>
        </w:rPr>
        <w:t>.</w:t>
      </w:r>
      <w:r w:rsidRPr="003D617F">
        <w:rPr>
          <w:rFonts w:ascii="Times New Roman" w:eastAsia="Calibri" w:hAnsi="Times New Roman"/>
          <w:sz w:val="24"/>
          <w:szCs w:val="24"/>
        </w:rPr>
        <w:t xml:space="preserve"> Бентосен реофилен вид. Обитава големи или средни по големина низини реки с умерено течение и пясъчно-чакълест субстрат. В България целият участък на р. Дунав и долните течения на големите му притоци. (Kottelat, Freyhof 2007)</w:t>
      </w:r>
    </w:p>
    <w:p w:rsidR="003D617F" w:rsidRPr="003D617F" w:rsidRDefault="003D617F" w:rsidP="003D617F">
      <w:pPr>
        <w:spacing w:before="120"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3. Състояние на биогеографско ни</w:t>
      </w:r>
      <w:r>
        <w:rPr>
          <w:rFonts w:ascii="Times New Roman" w:eastAsia="Calibri" w:hAnsi="Times New Roman"/>
          <w:b/>
          <w:sz w:val="24"/>
          <w:szCs w:val="24"/>
        </w:rPr>
        <w:t xml:space="preserve">во и разпространение в мрежата </w:t>
      </w:r>
    </w:p>
    <w:p w:rsidR="003D617F" w:rsidRPr="003D617F" w:rsidRDefault="003D617F" w:rsidP="003D617F">
      <w:pPr>
        <w:spacing w:after="0" w:line="240" w:lineRule="auto"/>
        <w:ind w:firstLine="709"/>
        <w:jc w:val="both"/>
        <w:rPr>
          <w:rFonts w:ascii="Times New Roman" w:eastAsia="Calibri" w:hAnsi="Times New Roman"/>
          <w:color w:val="0563C1"/>
          <w:sz w:val="24"/>
          <w:szCs w:val="24"/>
          <w:u w:val="single"/>
        </w:rPr>
      </w:pPr>
      <w:r w:rsidRPr="003D617F">
        <w:rPr>
          <w:rFonts w:ascii="Times New Roman" w:eastAsia="Calibri" w:hAnsi="Times New Roman"/>
          <w:sz w:val="24"/>
          <w:szCs w:val="24"/>
        </w:rPr>
        <w:t xml:space="preserve">При двете проучвания предмет на докладване съгласно чл. 17 от Директивата за местообитанията (92/43/ЕИО) видът е оценен по различен начин по всички показатели в </w:t>
      </w:r>
      <w:r>
        <w:rPr>
          <w:rFonts w:ascii="Times New Roman" w:eastAsia="Calibri" w:hAnsi="Times New Roman"/>
          <w:sz w:val="24"/>
          <w:szCs w:val="24"/>
        </w:rPr>
        <w:t>К</w:t>
      </w:r>
      <w:r w:rsidRPr="003D617F">
        <w:rPr>
          <w:rFonts w:ascii="Times New Roman" w:eastAsia="Calibri" w:hAnsi="Times New Roman"/>
          <w:sz w:val="24"/>
          <w:szCs w:val="24"/>
        </w:rPr>
        <w:t xml:space="preserve">онтиненталния биогеографски </w:t>
      </w:r>
      <w:r>
        <w:rPr>
          <w:rFonts w:ascii="Times New Roman" w:eastAsia="Calibri" w:hAnsi="Times New Roman"/>
          <w:sz w:val="24"/>
          <w:szCs w:val="24"/>
        </w:rPr>
        <w:t>регион</w:t>
      </w:r>
      <w:r w:rsidRPr="003D617F">
        <w:rPr>
          <w:rFonts w:ascii="Times New Roman" w:eastAsia="Calibri" w:hAnsi="Times New Roman"/>
          <w:sz w:val="24"/>
          <w:szCs w:val="24"/>
        </w:rPr>
        <w:t xml:space="preserve">. Източник на информацията: </w:t>
      </w:r>
      <w:hyperlink r:id="rId68" w:history="1">
        <w:r w:rsidRPr="003D617F">
          <w:rPr>
            <w:rFonts w:ascii="Times New Roman" w:eastAsia="Calibri" w:hAnsi="Times New Roman"/>
            <w:color w:val="0563C1"/>
            <w:sz w:val="24"/>
            <w:szCs w:val="24"/>
            <w:u w:val="single"/>
          </w:rPr>
          <w:t>https://nature-art17.eionet.europa.eu/article17/species/report/</w:t>
        </w:r>
      </w:hyperlink>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3D617F" w:rsidRPr="003D617F" w:rsidRDefault="003D617F" w:rsidP="003D617F">
      <w:pPr>
        <w:spacing w:after="0" w:line="240" w:lineRule="auto"/>
        <w:jc w:val="both"/>
        <w:rPr>
          <w:rFonts w:ascii="Times New Roman" w:eastAsia="Calibri" w:hAnsi="Times New Roman"/>
          <w:sz w:val="24"/>
          <w:szCs w:val="24"/>
        </w:rPr>
      </w:pPr>
      <w:r w:rsidRPr="003D617F">
        <w:rPr>
          <w:rFonts w:ascii="Times New Roman" w:eastAsia="Calibri" w:hAnsi="Times New Roman"/>
          <w:sz w:val="24"/>
          <w:szCs w:val="24"/>
        </w:rPr>
        <w:t>Пряко въздействащи негативни антропогенни фактори.</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 xml:space="preserve">Улавяне в риболовни уреди; </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Разрушаване на местообитанията и прекъсване на биокоридорите: добив на инертни материали, корекции на реки, изграждане на прегради;</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 xml:space="preserve">Замърсяване на водите. </w:t>
      </w:r>
    </w:p>
    <w:p w:rsidR="003D617F" w:rsidRPr="003D617F" w:rsidRDefault="003D617F" w:rsidP="003D617F">
      <w:pPr>
        <w:spacing w:after="0" w:line="240" w:lineRule="auto"/>
        <w:jc w:val="both"/>
        <w:rPr>
          <w:rFonts w:ascii="Times New Roman" w:eastAsia="Calibri" w:hAnsi="Times New Roman"/>
          <w:b/>
          <w:sz w:val="24"/>
          <w:szCs w:val="24"/>
          <w:lang w:val="en-US"/>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4. Състояние на ниво защитена зона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44"/>
        <w:gridCol w:w="610"/>
        <w:gridCol w:w="1175"/>
        <w:gridCol w:w="271"/>
        <w:gridCol w:w="564"/>
        <w:gridCol w:w="321"/>
        <w:gridCol w:w="656"/>
        <w:gridCol w:w="713"/>
        <w:gridCol w:w="551"/>
        <w:gridCol w:w="539"/>
        <w:gridCol w:w="987"/>
        <w:gridCol w:w="826"/>
        <w:gridCol w:w="574"/>
        <w:gridCol w:w="489"/>
        <w:gridCol w:w="724"/>
      </w:tblGrid>
      <w:tr w:rsidR="003D617F" w:rsidRPr="003D617F" w:rsidTr="003D617F">
        <w:trPr>
          <w:tblCellSpacing w:w="15" w:type="dxa"/>
        </w:trPr>
        <w:tc>
          <w:tcPr>
            <w:tcW w:w="1560"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1996"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80"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3D617F">
        <w:trPr>
          <w:tblCellSpacing w:w="15" w:type="dxa"/>
        </w:trPr>
        <w:tc>
          <w:tcPr>
            <w:tcW w:w="167"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G </w:t>
            </w:r>
          </w:p>
        </w:tc>
        <w:tc>
          <w:tcPr>
            <w:tcW w:w="324"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638"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34"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23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62"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728"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29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8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46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44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21"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3D617F">
        <w:trPr>
          <w:tblCellSpacing w:w="15" w:type="dxa"/>
        </w:trPr>
        <w:tc>
          <w:tcPr>
            <w:tcW w:w="16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2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63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3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3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6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4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29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8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46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44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30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Con.</w:t>
            </w:r>
          </w:p>
        </w:tc>
        <w:tc>
          <w:tcPr>
            <w:tcW w:w="25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Iso.</w:t>
            </w:r>
          </w:p>
        </w:tc>
        <w:tc>
          <w:tcPr>
            <w:tcW w:w="32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Glo.</w:t>
            </w:r>
          </w:p>
        </w:tc>
      </w:tr>
      <w:tr w:rsidR="003D617F" w:rsidRPr="003D617F" w:rsidTr="003D617F">
        <w:trPr>
          <w:tblCellSpacing w:w="15" w:type="dxa"/>
        </w:trPr>
        <w:tc>
          <w:tcPr>
            <w:tcW w:w="1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F</w:t>
            </w:r>
          </w:p>
        </w:tc>
        <w:tc>
          <w:tcPr>
            <w:tcW w:w="32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5329</w:t>
            </w:r>
          </w:p>
        </w:tc>
        <w:tc>
          <w:tcPr>
            <w:tcW w:w="63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i/>
                <w:sz w:val="16"/>
                <w:szCs w:val="16"/>
                <w:lang w:val="en-US"/>
              </w:rPr>
              <w:t>Romanogobio vladykovi</w:t>
            </w:r>
          </w:p>
        </w:tc>
        <w:tc>
          <w:tcPr>
            <w:tcW w:w="13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p>
        </w:tc>
        <w:tc>
          <w:tcPr>
            <w:tcW w:w="23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p>
        </w:tc>
        <w:tc>
          <w:tcPr>
            <w:tcW w:w="16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p</w:t>
            </w:r>
          </w:p>
        </w:tc>
        <w:tc>
          <w:tcPr>
            <w:tcW w:w="34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2914</w:t>
            </w:r>
          </w:p>
        </w:tc>
        <w:tc>
          <w:tcPr>
            <w:tcW w:w="36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2914</w:t>
            </w:r>
          </w:p>
        </w:tc>
        <w:tc>
          <w:tcPr>
            <w:tcW w:w="29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GB"/>
              </w:rPr>
            </w:pPr>
            <w:r w:rsidRPr="003D617F">
              <w:rPr>
                <w:rFonts w:ascii="Times New Roman" w:eastAsia="Calibri" w:hAnsi="Times New Roman"/>
                <w:b/>
                <w:bCs/>
                <w:sz w:val="16"/>
                <w:szCs w:val="16"/>
                <w:lang w:val="en-US"/>
              </w:rPr>
              <w:t>Ind.</w:t>
            </w:r>
          </w:p>
        </w:tc>
        <w:tc>
          <w:tcPr>
            <w:tcW w:w="28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C</w:t>
            </w:r>
          </w:p>
        </w:tc>
        <w:tc>
          <w:tcPr>
            <w:tcW w:w="4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G</w:t>
            </w:r>
          </w:p>
        </w:tc>
        <w:tc>
          <w:tcPr>
            <w:tcW w:w="44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С</w:t>
            </w:r>
          </w:p>
        </w:tc>
        <w:tc>
          <w:tcPr>
            <w:tcW w:w="30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A</w:t>
            </w:r>
          </w:p>
        </w:tc>
        <w:tc>
          <w:tcPr>
            <w:tcW w:w="25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В</w:t>
            </w:r>
          </w:p>
        </w:tc>
        <w:tc>
          <w:tcPr>
            <w:tcW w:w="32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A</w:t>
            </w:r>
          </w:p>
        </w:tc>
      </w:tr>
    </w:tbl>
    <w:p w:rsidR="003D617F" w:rsidRPr="003D617F" w:rsidRDefault="003D617F" w:rsidP="003D617F">
      <w:pPr>
        <w:autoSpaceDE w:val="0"/>
        <w:autoSpaceDN w:val="0"/>
        <w:adjustRightInd w:val="0"/>
        <w:spacing w:after="0" w:line="240" w:lineRule="auto"/>
        <w:jc w:val="both"/>
        <w:rPr>
          <w:rFonts w:ascii="Times New Roman" w:eastAsia="Calibri" w:hAnsi="Times New Roman"/>
          <w:b/>
          <w:sz w:val="24"/>
          <w:szCs w:val="24"/>
        </w:rPr>
      </w:pPr>
    </w:p>
    <w:p w:rsidR="003D617F" w:rsidRPr="003D617F" w:rsidRDefault="003D617F" w:rsidP="003D617F">
      <w:pPr>
        <w:autoSpaceDE w:val="0"/>
        <w:autoSpaceDN w:val="0"/>
        <w:adjustRightInd w:val="0"/>
        <w:spacing w:after="0" w:line="240" w:lineRule="auto"/>
        <w:jc w:val="both"/>
        <w:rPr>
          <w:rFonts w:ascii="Times New Roman" w:eastAsia="Calibri" w:hAnsi="Times New Roman"/>
          <w:bCs/>
          <w:color w:val="000000"/>
          <w:kern w:val="36"/>
          <w:sz w:val="24"/>
          <w:szCs w:val="24"/>
        </w:rPr>
      </w:pPr>
      <w:r w:rsidRPr="003D617F">
        <w:rPr>
          <w:rFonts w:ascii="Times New Roman" w:eastAsia="Calibri" w:hAnsi="Times New Roman"/>
          <w:b/>
          <w:sz w:val="24"/>
          <w:szCs w:val="24"/>
        </w:rPr>
        <w:t xml:space="preserve">Източник: </w:t>
      </w:r>
    </w:p>
    <w:p w:rsidR="003D617F" w:rsidRPr="003D617F" w:rsidRDefault="00DE51FF" w:rsidP="003D617F">
      <w:pPr>
        <w:spacing w:after="160" w:line="240" w:lineRule="auto"/>
        <w:jc w:val="both"/>
        <w:rPr>
          <w:rFonts w:ascii="Times New Roman" w:eastAsia="Calibri" w:hAnsi="Times New Roman"/>
          <w:sz w:val="24"/>
          <w:szCs w:val="24"/>
        </w:rPr>
      </w:pPr>
      <w:hyperlink r:id="rId69" w:history="1">
        <w:r w:rsidR="003D617F" w:rsidRPr="003D617F">
          <w:rPr>
            <w:rFonts w:ascii="Times New Roman" w:eastAsia="Calibri" w:hAnsi="Times New Roman"/>
            <w:color w:val="0563C1"/>
            <w:sz w:val="24"/>
            <w:szCs w:val="24"/>
            <w:u w:val="single"/>
          </w:rPr>
          <w:t>http://natura2000.moew.government.bg/PublicDownloads/Auto/PS_SCI/BG0000530/BG0000530_PS_16.pdf</w:t>
        </w:r>
      </w:hyperlink>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lastRenderedPageBreak/>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Качеството на данните за вида е оценено като „добро“ (</w:t>
      </w:r>
      <w:r w:rsidRPr="003D617F">
        <w:rPr>
          <w:rFonts w:ascii="Times New Roman" w:eastAsia="Calibri" w:hAnsi="Times New Roman"/>
          <w:sz w:val="24"/>
          <w:szCs w:val="24"/>
          <w:lang w:val="en-GB"/>
        </w:rPr>
        <w:t>G</w:t>
      </w:r>
      <w:r w:rsidRPr="003D617F">
        <w:rPr>
          <w:rFonts w:ascii="Times New Roman" w:eastAsia="Calibri" w:hAnsi="Times New Roman"/>
          <w:sz w:val="24"/>
          <w:szCs w:val="24"/>
        </w:rPr>
        <w:t>).</w:t>
      </w:r>
      <w:r w:rsidR="00D95C99" w:rsidRPr="00D95C99">
        <w:rPr>
          <w:rFonts w:ascii="Times New Roman" w:eastAsia="Calibri" w:hAnsi="Times New Roman"/>
          <w:sz w:val="24"/>
          <w:szCs w:val="24"/>
        </w:rPr>
        <w:t xml:space="preserve"> </w:t>
      </w:r>
      <w:r w:rsidR="00D95C99" w:rsidRPr="003D617F">
        <w:rPr>
          <w:rFonts w:ascii="Times New Roman" w:eastAsia="Calibri" w:hAnsi="Times New Roman"/>
          <w:sz w:val="24"/>
          <w:szCs w:val="24"/>
        </w:rPr>
        <w:t xml:space="preserve">В стандартния формуляр </w:t>
      </w:r>
      <w:r w:rsidR="00D95C99">
        <w:rPr>
          <w:rFonts w:ascii="Times New Roman" w:eastAsia="Calibri" w:hAnsi="Times New Roman"/>
          <w:sz w:val="24"/>
          <w:szCs w:val="24"/>
        </w:rPr>
        <w:t xml:space="preserve">като популационна единица </w:t>
      </w:r>
      <w:r w:rsidR="00D95C99" w:rsidRPr="003D617F">
        <w:rPr>
          <w:rFonts w:ascii="Times New Roman" w:eastAsia="Calibri" w:hAnsi="Times New Roman"/>
          <w:sz w:val="24"/>
          <w:szCs w:val="24"/>
        </w:rPr>
        <w:t xml:space="preserve">е посочена численост на популацията 2914 </w:t>
      </w:r>
      <w:r w:rsidR="00D95C99" w:rsidRPr="003D617F">
        <w:rPr>
          <w:rFonts w:ascii="Times New Roman" w:eastAsia="Calibri" w:hAnsi="Times New Roman"/>
          <w:sz w:val="24"/>
          <w:szCs w:val="24"/>
          <w:lang w:val="en-US"/>
        </w:rPr>
        <w:t>ind</w:t>
      </w:r>
      <w:r w:rsidR="00D95C99" w:rsidRPr="003D617F">
        <w:rPr>
          <w:rFonts w:ascii="Times New Roman" w:eastAsia="Calibri" w:hAnsi="Times New Roman"/>
          <w:sz w:val="24"/>
          <w:szCs w:val="24"/>
        </w:rPr>
        <w:t xml:space="preserve">. </w:t>
      </w:r>
      <w:r w:rsidRPr="003D617F">
        <w:rPr>
          <w:rFonts w:ascii="Times New Roman" w:eastAsia="Calibri" w:hAnsi="Times New Roman"/>
          <w:sz w:val="24"/>
          <w:szCs w:val="24"/>
        </w:rPr>
        <w:t>Опазването на вида е оценено с „</w:t>
      </w:r>
      <w:r w:rsidRPr="003D617F">
        <w:rPr>
          <w:rFonts w:ascii="Times New Roman" w:eastAsia="Calibri" w:hAnsi="Times New Roman"/>
          <w:bCs/>
          <w:color w:val="000000"/>
          <w:kern w:val="36"/>
          <w:sz w:val="24"/>
          <w:szCs w:val="24"/>
        </w:rPr>
        <w:t>А“ (Отлично опазване)</w:t>
      </w:r>
      <w:r w:rsidRPr="003D617F">
        <w:rPr>
          <w:rFonts w:ascii="Times New Roman" w:eastAsia="Calibri" w:hAnsi="Times New Roman"/>
          <w:sz w:val="24"/>
          <w:szCs w:val="24"/>
        </w:rPr>
        <w:t>. Степента на изолация на популацията е оценен</w:t>
      </w:r>
      <w:r w:rsidR="001D13B2">
        <w:rPr>
          <w:rFonts w:ascii="Times New Roman" w:eastAsia="Calibri" w:hAnsi="Times New Roman"/>
          <w:sz w:val="24"/>
          <w:szCs w:val="24"/>
        </w:rPr>
        <w:t>а</w:t>
      </w:r>
      <w:r w:rsidRPr="003D617F">
        <w:rPr>
          <w:rFonts w:ascii="Times New Roman" w:eastAsia="Calibri" w:hAnsi="Times New Roman"/>
          <w:sz w:val="24"/>
          <w:szCs w:val="24"/>
        </w:rPr>
        <w:t xml:space="preserve"> с „В“</w:t>
      </w:r>
      <w:r w:rsidRPr="003D617F">
        <w:rPr>
          <w:rFonts w:ascii="Times New Roman" w:eastAsia="Calibri" w:hAnsi="Times New Roman"/>
          <w:bCs/>
          <w:color w:val="000000"/>
          <w:kern w:val="36"/>
          <w:sz w:val="24"/>
          <w:szCs w:val="24"/>
        </w:rPr>
        <w:t xml:space="preserve"> (не изолирана популация, но на границата на ареала).</w:t>
      </w:r>
      <w:r w:rsidRPr="003D617F">
        <w:rPr>
          <w:rFonts w:ascii="Times New Roman" w:eastAsia="Calibri" w:hAnsi="Times New Roman"/>
          <w:sz w:val="24"/>
          <w:szCs w:val="24"/>
        </w:rPr>
        <w:t xml:space="preserve"> Цялостна оценка на стойността на зоната за опазването на вида попада в категорията „А“</w:t>
      </w:r>
      <w:r w:rsidRPr="003D617F">
        <w:rPr>
          <w:rFonts w:ascii="Times New Roman" w:eastAsia="Calibri" w:hAnsi="Times New Roman"/>
          <w:bCs/>
          <w:color w:val="000000"/>
          <w:kern w:val="36"/>
          <w:sz w:val="24"/>
          <w:szCs w:val="24"/>
        </w:rPr>
        <w:t xml:space="preserve"> (отлична стойност)</w:t>
      </w:r>
      <w:r w:rsidRPr="003D617F">
        <w:rPr>
          <w:rFonts w:ascii="Times New Roman" w:eastAsia="Calibri" w:hAnsi="Times New Roman"/>
          <w:sz w:val="24"/>
          <w:szCs w:val="24"/>
        </w:rPr>
        <w:t xml:space="preserve">. </w:t>
      </w:r>
    </w:p>
    <w:p w:rsidR="003D617F" w:rsidRPr="003D617F" w:rsidRDefault="003D617F" w:rsidP="003D617F">
      <w:pPr>
        <w:autoSpaceDE w:val="0"/>
        <w:autoSpaceDN w:val="0"/>
        <w:adjustRightInd w:val="0"/>
        <w:spacing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5. </w:t>
      </w:r>
      <w:r>
        <w:rPr>
          <w:rFonts w:ascii="Times New Roman" w:eastAsia="Calibri" w:hAnsi="Times New Roman"/>
          <w:b/>
          <w:sz w:val="24"/>
          <w:szCs w:val="24"/>
        </w:rPr>
        <w:t>Анализ на наличната информация</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Видът е регистриран през 2013 г. в зоната по време на проект "Картиране и определяне на природозащитното състояние на природни местообитания и видове - фаза I", като е определена средна численост 80 екз./ха. Видът е категоризиран в „Благоприятно“ ПС по всички критерии. </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В границите на зоната местообитания на вида има само в р. Дунав. Участъкът от река Дунав в зоната, според своите хидроморфологични характеристики представлява подходящо местообитание за вида и ефективен екокоридор за връзка с останалите части на популацията, тъй като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въпреки, че стойностите на параметъра „Сапробност“ (ББИ) вероятно са индикатор за наличието на акумулиран натиск от по-горните участъци на р. Дунав. По данни от международното научно изследване </w:t>
      </w:r>
      <w:r w:rsidRPr="003D617F">
        <w:rPr>
          <w:rFonts w:ascii="Times New Roman" w:eastAsia="Calibri" w:hAnsi="Times New Roman"/>
          <w:sz w:val="24"/>
          <w:szCs w:val="24"/>
          <w:lang w:val="en-US"/>
        </w:rPr>
        <w:t>“JDS 4”</w:t>
      </w:r>
      <w:r w:rsidRPr="003D617F">
        <w:rPr>
          <w:rFonts w:ascii="Times New Roman" w:eastAsia="Calibri" w:hAnsi="Times New Roman"/>
          <w:sz w:val="24"/>
          <w:szCs w:val="24"/>
        </w:rPr>
        <w:t xml:space="preserve">, през 2019 </w:t>
      </w:r>
      <w:r w:rsidR="00D95C99">
        <w:rPr>
          <w:rFonts w:ascii="Times New Roman" w:eastAsia="Calibri" w:hAnsi="Times New Roman"/>
          <w:sz w:val="24"/>
          <w:szCs w:val="24"/>
        </w:rPr>
        <w:t xml:space="preserve">г. </w:t>
      </w:r>
      <w:r w:rsidRPr="003D617F">
        <w:rPr>
          <w:rFonts w:ascii="Times New Roman" w:eastAsia="Calibri" w:hAnsi="Times New Roman"/>
          <w:sz w:val="24"/>
          <w:szCs w:val="24"/>
        </w:rPr>
        <w:t xml:space="preserve">на най-близкия мониторингов пункт на р. Дунав при с. Ветрен е определен </w:t>
      </w:r>
      <w:r w:rsidR="00D95C99">
        <w:rPr>
          <w:rFonts w:ascii="Times New Roman" w:eastAsia="Calibri" w:hAnsi="Times New Roman"/>
          <w:sz w:val="24"/>
          <w:szCs w:val="24"/>
        </w:rPr>
        <w:t>„</w:t>
      </w:r>
      <w:r w:rsidRPr="003D617F">
        <w:rPr>
          <w:rFonts w:ascii="Times New Roman" w:eastAsia="Calibri" w:hAnsi="Times New Roman"/>
          <w:sz w:val="24"/>
          <w:szCs w:val="24"/>
        </w:rPr>
        <w:t>Добър екологичен потенциал</w:t>
      </w:r>
      <w:r w:rsidR="00D95C99">
        <w:rPr>
          <w:rFonts w:ascii="Times New Roman" w:eastAsia="Calibri" w:hAnsi="Times New Roman"/>
          <w:sz w:val="24"/>
          <w:szCs w:val="24"/>
        </w:rPr>
        <w:t>“</w:t>
      </w:r>
      <w:r w:rsidRPr="003D617F">
        <w:rPr>
          <w:rFonts w:ascii="Times New Roman" w:eastAsia="Calibri" w:hAnsi="Times New Roman"/>
          <w:sz w:val="24"/>
          <w:szCs w:val="24"/>
        </w:rPr>
        <w:t xml:space="preserve"> по БЕК Риби, БЕК Макрозообентос и БЕК Макрофити.</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Видът не е обект на стопански риболов, единични екземпляри попадат случайно в уловите и не се отчитат в риболовната статистика.</w:t>
      </w:r>
    </w:p>
    <w:p w:rsidR="003D617F" w:rsidRPr="003D617F" w:rsidRDefault="003D617F" w:rsidP="003D617F">
      <w:pPr>
        <w:spacing w:after="0" w:line="240" w:lineRule="auto"/>
        <w:ind w:firstLine="709"/>
        <w:jc w:val="both"/>
        <w:rPr>
          <w:rFonts w:ascii="Times New Roman" w:eastAsia="Calibri" w:hAnsi="Times New Roman"/>
          <w:sz w:val="24"/>
          <w:szCs w:val="24"/>
        </w:rPr>
      </w:pPr>
      <w:bookmarkStart w:id="36" w:name="_Hlk88851443"/>
      <w:r w:rsidRPr="003D617F">
        <w:rPr>
          <w:rFonts w:ascii="Times New Roman" w:eastAsia="Calibri" w:hAnsi="Times New Roman"/>
          <w:sz w:val="24"/>
          <w:szCs w:val="24"/>
        </w:rPr>
        <w:t xml:space="preserve">Полевото проучване </w:t>
      </w:r>
      <w:r w:rsidR="00D95C99">
        <w:rPr>
          <w:rFonts w:ascii="Times New Roman" w:eastAsia="Calibri" w:hAnsi="Times New Roman"/>
          <w:sz w:val="24"/>
          <w:szCs w:val="24"/>
        </w:rPr>
        <w:t xml:space="preserve">през 2021 г. </w:t>
      </w:r>
      <w:r w:rsidRPr="003D617F">
        <w:rPr>
          <w:rFonts w:ascii="Times New Roman" w:eastAsia="Calibri" w:hAnsi="Times New Roman"/>
          <w:sz w:val="24"/>
          <w:szCs w:val="24"/>
        </w:rPr>
        <w:t>по време на проекта за определяне на целите за опазване на вида в защитената зона е извършено в съответствие с утвърдените методики за мониторинг на риби в р. Дунав: методика за мониторинг на дребни дънни видове риби (</w:t>
      </w:r>
      <w:hyperlink r:id="rId70" w:history="1">
        <w:r w:rsidRPr="003D617F">
          <w:rPr>
            <w:rFonts w:ascii="Times New Roman" w:eastAsia="Calibri" w:hAnsi="Times New Roman"/>
            <w:color w:val="0563C1"/>
            <w:sz w:val="24"/>
            <w:szCs w:val="24"/>
            <w:u w:val="single"/>
          </w:rPr>
          <w:t>http://eea.government.bg/bg/bio/nsmbr/praktichesko-rakovodstvo-metodiki-za-monitoring-i-otsenka/Podhod_Dunav_demersal_fish.pdf</w:t>
        </w:r>
      </w:hyperlink>
      <w:r w:rsidRPr="003D617F">
        <w:rPr>
          <w:rFonts w:ascii="Times New Roman" w:eastAsia="Calibri" w:hAnsi="Times New Roman"/>
          <w:sz w:val="24"/>
          <w:szCs w:val="24"/>
        </w:rPr>
        <w:t>) и допълнителен подход за мониторинг на видове риби в р. Дунав (</w:t>
      </w:r>
      <w:hyperlink r:id="rId71" w:history="1">
        <w:r w:rsidRPr="003D617F">
          <w:rPr>
            <w:rFonts w:ascii="Times New Roman" w:eastAsia="Calibri" w:hAnsi="Times New Roman"/>
            <w:color w:val="0563C1"/>
            <w:sz w:val="24"/>
            <w:szCs w:val="24"/>
            <w:u w:val="single"/>
          </w:rPr>
          <w:t>http://eea.government.bg/bg/bio/nsmbr/praktichesko-rakovodstvo-metodiki-za-monitoring-i-otsenka/Podhod_Dunav_electrofishing.pdf</w:t>
        </w:r>
      </w:hyperlink>
      <w:r w:rsidRPr="003D617F">
        <w:rPr>
          <w:rFonts w:ascii="Times New Roman" w:eastAsia="Calibri" w:hAnsi="Times New Roman"/>
          <w:sz w:val="24"/>
          <w:szCs w:val="24"/>
        </w:rPr>
        <w:t>). Изпол</w:t>
      </w:r>
      <w:r w:rsidR="00D95C99">
        <w:rPr>
          <w:rFonts w:ascii="Times New Roman" w:eastAsia="Calibri" w:hAnsi="Times New Roman"/>
          <w:sz w:val="24"/>
          <w:szCs w:val="24"/>
        </w:rPr>
        <w:t>з</w:t>
      </w:r>
      <w:r w:rsidRPr="003D617F">
        <w:rPr>
          <w:rFonts w:ascii="Times New Roman" w:eastAsia="Calibri" w:hAnsi="Times New Roman"/>
          <w:sz w:val="24"/>
          <w:szCs w:val="24"/>
        </w:rPr>
        <w:t>вани са два метода за пробонабиране, с цел оптимални резултати: ръчен гриб и електроулов. В участъка от р. Дунав в зоната са избрани за пробонабиране 2 пункта, които да покриват представителни хабитати на вида, и които позволяват адекватна оценка на популацията в зоната. На всеки пункт пробонабирането е извършено на 3-5 трансекта с дължина по 30-50 м и ширина в зависимост от релефа на дъното. Средно за проучените участъци са установени 82 екз./ха.</w:t>
      </w:r>
    </w:p>
    <w:bookmarkEnd w:id="36"/>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Защитена зона </w:t>
      </w:r>
      <w:r w:rsidRPr="003D617F">
        <w:rPr>
          <w:rFonts w:ascii="Times New Roman" w:eastAsia="Calibri" w:hAnsi="Times New Roman"/>
          <w:sz w:val="24"/>
          <w:szCs w:val="24"/>
          <w:lang w:val="en-US"/>
        </w:rPr>
        <w:t>BG0000241</w:t>
      </w:r>
      <w:r w:rsidRPr="003D617F">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w:t>
      </w:r>
      <w:r w:rsidR="00D95C99">
        <w:rPr>
          <w:rFonts w:ascii="Times New Roman" w:eastAsia="Calibri" w:hAnsi="Times New Roman"/>
          <w:sz w:val="24"/>
          <w:szCs w:val="24"/>
        </w:rPr>
        <w:t>незаконен</w:t>
      </w:r>
      <w:r w:rsidRPr="003D617F">
        <w:rPr>
          <w:rFonts w:ascii="Times New Roman" w:eastAsia="Calibri" w:hAnsi="Times New Roman"/>
          <w:sz w:val="24"/>
          <w:szCs w:val="24"/>
        </w:rPr>
        <w:t xml:space="preserve">), навлизане на инвазивни видове, </w:t>
      </w:r>
      <w:r w:rsidRPr="003D617F">
        <w:rPr>
          <w:rFonts w:ascii="Times New Roman" w:eastAsia="Calibri" w:hAnsi="Times New Roman"/>
          <w:sz w:val="24"/>
          <w:szCs w:val="24"/>
        </w:rPr>
        <w:lastRenderedPageBreak/>
        <w:t>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3D617F" w:rsidRPr="003D617F" w:rsidRDefault="003D617F" w:rsidP="003D617F">
      <w:pPr>
        <w:spacing w:before="120" w:after="120" w:line="240" w:lineRule="auto"/>
        <w:jc w:val="both"/>
        <w:rPr>
          <w:rFonts w:ascii="Times New Roman" w:eastAsia="Calibri" w:hAnsi="Times New Roman"/>
          <w:b/>
          <w:sz w:val="24"/>
          <w:szCs w:val="24"/>
        </w:rPr>
      </w:pPr>
      <w:r w:rsidRPr="003D617F">
        <w:rPr>
          <w:rFonts w:ascii="Times New Roman" w:eastAsia="Calibri" w:hAnsi="Times New Roman"/>
          <w:b/>
          <w:sz w:val="24"/>
          <w:szCs w:val="24"/>
        </w:rPr>
        <w:t>6. Цели за подобряване/поддържане на природозащит</w:t>
      </w:r>
      <w:r w:rsidR="007D1C8A">
        <w:rPr>
          <w:rFonts w:ascii="Times New Roman" w:eastAsia="Calibri" w:hAnsi="Times New Roman"/>
          <w:b/>
          <w:sz w:val="24"/>
          <w:szCs w:val="24"/>
        </w:rPr>
        <w:t>ното състояние на вида в зоната</w:t>
      </w:r>
    </w:p>
    <w:p w:rsidR="003D617F" w:rsidRPr="003D617F" w:rsidRDefault="003D617F" w:rsidP="003D617F">
      <w:pPr>
        <w:spacing w:before="120" w:after="0" w:line="240" w:lineRule="auto"/>
        <w:jc w:val="both"/>
        <w:rPr>
          <w:rFonts w:ascii="Times New Roman" w:eastAsia="Calibri" w:hAnsi="Times New Roman"/>
          <w:sz w:val="24"/>
          <w:szCs w:val="24"/>
        </w:rPr>
      </w:pPr>
      <w:r w:rsidRPr="003D617F">
        <w:rPr>
          <w:rFonts w:ascii="Times New Roman" w:eastAsia="Calibri" w:hAnsi="Times New Roman"/>
          <w:sz w:val="24"/>
          <w:szCs w:val="24"/>
        </w:rPr>
        <w:t>Целите са формулирани по показатели, в таблицата по-долу.</w:t>
      </w:r>
    </w:p>
    <w:p w:rsidR="003D617F" w:rsidRPr="003D617F" w:rsidRDefault="003D617F" w:rsidP="003D617F">
      <w:pPr>
        <w:spacing w:before="120" w:after="0" w:line="240" w:lineRule="auto"/>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1137"/>
        <w:gridCol w:w="1135"/>
        <w:gridCol w:w="3460"/>
        <w:gridCol w:w="1854"/>
      </w:tblGrid>
      <w:tr w:rsidR="003D617F" w:rsidRPr="003D617F" w:rsidTr="003D617F">
        <w:trPr>
          <w:tblHeader/>
          <w:jc w:val="center"/>
        </w:trPr>
        <w:tc>
          <w:tcPr>
            <w:tcW w:w="75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t>Параметър</w:t>
            </w:r>
          </w:p>
        </w:tc>
        <w:tc>
          <w:tcPr>
            <w:tcW w:w="63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Мерна единица</w:t>
            </w:r>
          </w:p>
        </w:tc>
        <w:tc>
          <w:tcPr>
            <w:tcW w:w="635"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Целева стойност</w:t>
            </w:r>
          </w:p>
        </w:tc>
        <w:tc>
          <w:tcPr>
            <w:tcW w:w="193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t>Специфични цели на опазване за зоната</w:t>
            </w: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lang w:val="en-US"/>
              </w:rPr>
            </w:pPr>
            <w:r w:rsidRPr="003D617F">
              <w:rPr>
                <w:rFonts w:ascii="Times New Roman" w:eastAsia="Calibri" w:hAnsi="Times New Roman"/>
                <w:b/>
              </w:rPr>
              <w:t>Плътност на популацията</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lang w:val="en-US"/>
              </w:rPr>
            </w:pPr>
            <w:r w:rsidRPr="003D617F">
              <w:rPr>
                <w:rFonts w:ascii="Times New Roman" w:eastAsia="Calibri" w:hAnsi="Times New Roman"/>
              </w:rPr>
              <w:t>Брой индивиди/</w:t>
            </w:r>
            <w:r w:rsidRPr="003D617F">
              <w:rPr>
                <w:rFonts w:ascii="Times New Roman" w:eastAsia="Calibri" w:hAnsi="Times New Roman"/>
                <w:lang w:val="en-US"/>
              </w:rPr>
              <w:t>ha</w:t>
            </w:r>
          </w:p>
        </w:tc>
        <w:tc>
          <w:tcPr>
            <w:tcW w:w="635" w:type="pct"/>
            <w:shd w:val="clear" w:color="auto" w:fill="auto"/>
          </w:tcPr>
          <w:p w:rsidR="003D617F" w:rsidRPr="003D617F" w:rsidRDefault="003D617F" w:rsidP="00D95C99">
            <w:pPr>
              <w:spacing w:before="120" w:after="120" w:line="240" w:lineRule="auto"/>
              <w:rPr>
                <w:rFonts w:ascii="Times New Roman" w:eastAsia="Calibri" w:hAnsi="Times New Roman"/>
              </w:rPr>
            </w:pPr>
            <w:r w:rsidRPr="003D617F">
              <w:rPr>
                <w:rFonts w:ascii="Times New Roman" w:eastAsia="Calibri" w:hAnsi="Times New Roman"/>
              </w:rPr>
              <w:t>Най-малко</w:t>
            </w:r>
            <w:r w:rsidRPr="003D617F">
              <w:rPr>
                <w:rFonts w:ascii="Times New Roman" w:eastAsia="Calibri" w:hAnsi="Times New Roman"/>
                <w:lang w:val="en-US"/>
              </w:rPr>
              <w:t xml:space="preserve"> </w:t>
            </w:r>
            <w:r w:rsidR="00D95C99">
              <w:rPr>
                <w:rFonts w:ascii="Times New Roman" w:eastAsia="Calibri" w:hAnsi="Times New Roman"/>
              </w:rPr>
              <w:t>80</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Стойността по този параметър се определя на базата на броя на уловените екземпляри от вида на трансект, чиято площ се изчислява в м</w:t>
            </w:r>
            <w:r w:rsidRPr="003D617F">
              <w:rPr>
                <w:rFonts w:ascii="Times New Roman" w:eastAsia="Calibri" w:hAnsi="Times New Roman"/>
                <w:vertAlign w:val="superscript"/>
              </w:rPr>
              <w:t>2</w:t>
            </w:r>
            <w:r w:rsidRPr="003D617F">
              <w:rPr>
                <w:rFonts w:ascii="Times New Roman" w:eastAsia="Calibri" w:hAnsi="Times New Roman"/>
              </w:rPr>
              <w:t xml:space="preserve">. След това броят на уловените екземпляри се преизчислява на един хектар.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Според наличните данни (проект "Картиране и определяне на природозащитното състояние на природни местообитания и видове - фаза I".) в зоната е установена численост 80 екз./ха. През 2021 г. при проведеното теренно проучване за вида в зоната са установени 82 екз./ха. Минимална целева стойност на популацията се приема рефернтната стойност, определена по време на проект "Картиране и определяне на природозащитното състояние на природни местообитания и видове - фаза I".</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По отношение на натиска, този конкретен речен участък в рамките на защитената зона може да се счита за хомогенен.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От друга страна, кумулативния натиск с източници на произход извън зоната може да бъде значим.</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В методиката за оценка на състоянието на риби  в НСМБР референтните стойности за плътността на популацията на този вид не са определени. Въз основа на наличната информация </w:t>
            </w:r>
            <w:r w:rsidRPr="003D617F">
              <w:rPr>
                <w:rFonts w:ascii="Times New Roman" w:eastAsia="Calibri" w:hAnsi="Times New Roman"/>
              </w:rPr>
              <w:lastRenderedPageBreak/>
              <w:t>и получените резултати, ПС на вида по този показател в зоната е „Благоприятно“.</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 xml:space="preserve">Поддържане на популационна численост най-малко 80 инд./ха. </w:t>
            </w: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 xml:space="preserve">Местообитание на вида: </w:t>
            </w:r>
          </w:p>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Дължина на речната мрежа, представляваща потенциално местообитание за вида</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км</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shd w:val="clear" w:color="auto" w:fill="FFFFFF"/>
              </w:rPr>
              <w:t>Най-малко 3 км</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Площта на речния участък се определя чрез GIS анализ, използващ следните екологични критерии:</w:t>
            </w:r>
          </w:p>
          <w:p w:rsidR="003D617F" w:rsidRPr="003D617F" w:rsidRDefault="003D617F" w:rsidP="00635999">
            <w:pPr>
              <w:numPr>
                <w:ilvl w:val="0"/>
                <w:numId w:val="11"/>
              </w:numPr>
              <w:spacing w:before="120" w:after="120" w:line="240" w:lineRule="auto"/>
              <w:jc w:val="both"/>
              <w:rPr>
                <w:rFonts w:ascii="Times New Roman" w:eastAsia="Calibri" w:hAnsi="Times New Roman"/>
              </w:rPr>
            </w:pPr>
            <w:r w:rsidRPr="003D617F">
              <w:rPr>
                <w:rFonts w:ascii="Times New Roman" w:eastAsia="Calibri" w:hAnsi="Times New Roman"/>
              </w:rPr>
              <w:t>Река Дунав;</w:t>
            </w:r>
          </w:p>
          <w:p w:rsidR="003D617F" w:rsidRPr="003D617F" w:rsidRDefault="003D617F" w:rsidP="00635999">
            <w:pPr>
              <w:numPr>
                <w:ilvl w:val="0"/>
                <w:numId w:val="11"/>
              </w:numPr>
              <w:spacing w:before="120" w:after="120" w:line="240" w:lineRule="auto"/>
              <w:jc w:val="both"/>
              <w:rPr>
                <w:rFonts w:ascii="Times New Roman" w:eastAsia="Calibri" w:hAnsi="Times New Roman"/>
              </w:rPr>
            </w:pPr>
            <w:r w:rsidRPr="003D617F">
              <w:rPr>
                <w:rFonts w:ascii="Times New Roman" w:eastAsia="Calibri" w:hAnsi="Times New Roman"/>
              </w:rPr>
              <w:t>Изключени са всички стоящи водни тела в зоната.</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На базата на този анализ е установено, че 3 км в защитената зона отговарят на посочените критерии. Според наличните данни за вида, той се среща мозаечно в зоната.</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Поддържане на площта, представляваща подходящо местообитание, обитавано от вида, най-малко 3 км. </w:t>
            </w:r>
          </w:p>
          <w:p w:rsidR="003D617F" w:rsidRPr="003D617F" w:rsidRDefault="003D617F" w:rsidP="003D617F">
            <w:pPr>
              <w:spacing w:before="120" w:after="120" w:line="240" w:lineRule="auto"/>
              <w:jc w:val="both"/>
              <w:rPr>
                <w:rFonts w:ascii="Times New Roman" w:eastAsia="Calibri" w:hAnsi="Times New Roman"/>
              </w:rPr>
            </w:pPr>
          </w:p>
          <w:p w:rsidR="003D617F" w:rsidRPr="003D617F" w:rsidRDefault="003D617F" w:rsidP="003D617F">
            <w:pPr>
              <w:spacing w:before="120" w:after="120" w:line="240" w:lineRule="auto"/>
              <w:jc w:val="both"/>
              <w:rPr>
                <w:rFonts w:ascii="Times New Roman" w:eastAsia="Calibri" w:hAnsi="Times New Roman"/>
              </w:rPr>
            </w:pP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 xml:space="preserve">Местообитание на вида: </w:t>
            </w:r>
          </w:p>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 xml:space="preserve">Степен на свързаност на местообитанието на вида </w:t>
            </w:r>
          </w:p>
          <w:p w:rsidR="003D617F" w:rsidRPr="003D617F" w:rsidRDefault="003D617F" w:rsidP="003D617F">
            <w:pPr>
              <w:spacing w:before="120" w:after="120" w:line="240" w:lineRule="auto"/>
              <w:rPr>
                <w:rFonts w:ascii="Times New Roman" w:eastAsia="Calibri" w:hAnsi="Times New Roman"/>
                <w:b/>
              </w:rPr>
            </w:pPr>
          </w:p>
          <w:p w:rsidR="003D617F" w:rsidRPr="003D617F" w:rsidRDefault="003D617F" w:rsidP="003D617F">
            <w:pPr>
              <w:spacing w:before="120" w:after="120" w:line="240" w:lineRule="auto"/>
              <w:rPr>
                <w:rFonts w:ascii="Times New Roman" w:eastAsia="Calibri" w:hAnsi="Times New Roman"/>
                <w:b/>
              </w:rPr>
            </w:pP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 xml:space="preserve">5 степенна скала за всяка бариера </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lang w:val="en-US"/>
              </w:rPr>
            </w:pPr>
            <w:r w:rsidRPr="003D617F">
              <w:rPr>
                <w:rFonts w:ascii="Times New Roman" w:eastAsia="Calibri" w:hAnsi="Times New Roman"/>
              </w:rPr>
              <w:t>Степен</w:t>
            </w:r>
            <w:r w:rsidRPr="003D617F">
              <w:rPr>
                <w:rFonts w:ascii="Times New Roman" w:eastAsia="Calibri" w:hAnsi="Times New Roman"/>
                <w:lang w:val="en-US"/>
              </w:rPr>
              <w:t xml:space="preserve"> 1</w:t>
            </w:r>
          </w:p>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за всяка бариера</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На базата на информацията в ПУБР 2016-2021 г. и </w:t>
            </w:r>
            <w:r w:rsidRPr="003D617F">
              <w:rPr>
                <w:rFonts w:ascii="Times New Roman" w:eastAsia="Calibri" w:hAnsi="Times New Roman"/>
              </w:rPr>
              <w:lastRenderedPageBreak/>
              <w:t>пробонабирането през 2021г.,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 xml:space="preserve">Поддържане на свързаност на местообитанието на вида от Степен 1 за всяка бариера в речния участък. </w:t>
            </w: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 xml:space="preserve">Местообитание на вида: Екологично 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 xml:space="preserve">5 степенна скала за екологично състояние съгласно РДВ </w:t>
            </w:r>
          </w:p>
        </w:tc>
        <w:tc>
          <w:tcPr>
            <w:tcW w:w="635" w:type="pct"/>
            <w:shd w:val="clear" w:color="auto" w:fill="auto"/>
          </w:tcPr>
          <w:p w:rsidR="003D617F" w:rsidRPr="003D617F" w:rsidRDefault="003D617F" w:rsidP="00D95C99">
            <w:pPr>
              <w:spacing w:before="120" w:after="120" w:line="240" w:lineRule="auto"/>
              <w:rPr>
                <w:rFonts w:ascii="Times New Roman" w:eastAsia="Calibri" w:hAnsi="Times New Roman"/>
              </w:rPr>
            </w:pPr>
            <w:r w:rsidRPr="003D617F">
              <w:rPr>
                <w:rFonts w:ascii="Times New Roman" w:eastAsia="Calibri" w:hAnsi="Times New Roman"/>
              </w:rPr>
              <w:t xml:space="preserve">По-висока или равна на 2 – </w:t>
            </w:r>
            <w:r w:rsidR="00D95C99">
              <w:rPr>
                <w:rFonts w:ascii="Times New Roman" w:eastAsia="Calibri" w:hAnsi="Times New Roman"/>
              </w:rPr>
              <w:t>Добър поенциал</w:t>
            </w:r>
          </w:p>
        </w:tc>
        <w:tc>
          <w:tcPr>
            <w:tcW w:w="1936" w:type="pct"/>
            <w:shd w:val="clear" w:color="auto" w:fill="auto"/>
          </w:tcPr>
          <w:p w:rsidR="003D617F" w:rsidRPr="003D617F" w:rsidRDefault="003D617F" w:rsidP="003D617F">
            <w:pPr>
              <w:spacing w:after="0" w:line="240" w:lineRule="auto"/>
              <w:jc w:val="both"/>
              <w:rPr>
                <w:rFonts w:ascii="Times New Roman" w:eastAsia="Calibri" w:hAnsi="Times New Roman"/>
              </w:rPr>
            </w:pPr>
            <w:r w:rsidRPr="003D617F">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3D617F" w:rsidRPr="003D617F" w:rsidTr="003D617F">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3D617F" w:rsidRPr="003D617F" w:rsidRDefault="003D617F" w:rsidP="003D617F">
                  <w:pPr>
                    <w:spacing w:after="0" w:line="240" w:lineRule="auto"/>
                    <w:jc w:val="center"/>
                    <w:rPr>
                      <w:rFonts w:ascii="Times New Roman" w:eastAsia="Calibri" w:hAnsi="Times New Roman"/>
                      <w:b/>
                      <w:bCs/>
                      <w:color w:val="000000"/>
                    </w:rPr>
                  </w:pPr>
                  <w:r w:rsidRPr="003D617F">
                    <w:rPr>
                      <w:rFonts w:ascii="Times New Roman" w:eastAsia="Calibri" w:hAnsi="Times New Roman"/>
                      <w:b/>
                      <w:bCs/>
                      <w:color w:val="000000"/>
                    </w:rPr>
                    <w:t>ЕС/ЕП</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1 - Отлично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2 - Добро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3 - Умерено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4 - Лошо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5 - Много лошо</w:t>
                  </w:r>
                </w:p>
              </w:tc>
            </w:tr>
          </w:tbl>
          <w:p w:rsidR="003D617F" w:rsidRPr="003D617F" w:rsidRDefault="00D95C99" w:rsidP="003D617F">
            <w:pPr>
              <w:spacing w:before="120" w:after="120" w:line="240" w:lineRule="auto"/>
              <w:jc w:val="both"/>
              <w:rPr>
                <w:rFonts w:ascii="Times New Roman" w:eastAsia="Calibri" w:hAnsi="Times New Roman"/>
              </w:rPr>
            </w:pPr>
            <w:r w:rsidRPr="002D184F">
              <w:rPr>
                <w:rFonts w:ascii="Times New Roman" w:eastAsia="Calibri" w:hAnsi="Times New Roman"/>
              </w:rPr>
              <w:t>Съгласно ПУРБ 2016-2021 г. целият български участък от р. Дунав представлява силно модифицирано водно тяло, с код (</w:t>
            </w:r>
            <w:hyperlink r:id="rId72" w:history="1">
              <w:r w:rsidRPr="002D184F">
                <w:rPr>
                  <w:rFonts w:ascii="Times New Roman" w:eastAsia="Calibri" w:hAnsi="Times New Roman"/>
                  <w:color w:val="0000FF"/>
                  <w:u w:val="single"/>
                </w:rPr>
                <w:t>http://www.bd-dunav.org/uploads/content/files/upravlenie-na-vodite/PURB-2016-2021-final/Razdel-1/prilojenia_R1/Pril_1244.pdf</w:t>
              </w:r>
            </w:hyperlink>
            <w:r w:rsidRPr="002D184F">
              <w:rPr>
                <w:rFonts w:ascii="Times New Roman" w:eastAsia="Calibri" w:hAnsi="Times New Roman"/>
              </w:rPr>
              <w:t>).Еко</w:t>
            </w:r>
            <w:r w:rsidRPr="002D184F">
              <w:rPr>
                <w:rFonts w:ascii="Times New Roman" w:eastAsia="Calibri" w:hAnsi="Times New Roman"/>
              </w:rPr>
              <w:lastRenderedPageBreak/>
              <w:t>логичният потенциал на р. Дунав е оценен като Умерен, (3),  (</w:t>
            </w:r>
            <w:hyperlink r:id="rId73" w:history="1">
              <w:r w:rsidRPr="002D184F">
                <w:rPr>
                  <w:rFonts w:ascii="Times New Roman" w:eastAsia="Calibri" w:hAnsi="Times New Roman"/>
                  <w:color w:val="0000FF"/>
                  <w:u w:val="single"/>
                </w:rPr>
                <w:t>https://www.eea.europa.eu/data-and-maps/explore-interactive-maps/water-framework-directive-quality-elements?utm_source=EEASubscriptions&amp;utm_medium=RSSFeeds&amp;utm_campaign=Generic</w:t>
              </w:r>
            </w:hyperlink>
            <w:r w:rsidRPr="002D184F">
              <w:rPr>
                <w:rFonts w:ascii="Times New Roman" w:eastAsia="Calibri" w:hAnsi="Times New Roman"/>
              </w:rPr>
              <w:t>).</w:t>
            </w:r>
            <w:r w:rsidR="003D617F" w:rsidRPr="003D617F">
              <w:rPr>
                <w:rFonts w:ascii="Times New Roman" w:eastAsia="Calibri" w:hAnsi="Times New Roman"/>
              </w:rPr>
              <w:t>.</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 xml:space="preserve">Постигане и поддържане на екологичния потенциал на участъка от р. Дунав в границата на зоната на стойност от по-висока или равна на 2 – Добър </w:t>
            </w:r>
            <w:r w:rsidR="00D95C99">
              <w:rPr>
                <w:rFonts w:ascii="Times New Roman" w:eastAsia="Calibri" w:hAnsi="Times New Roman"/>
              </w:rPr>
              <w:t>потенциал</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Междинна цел:</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Съотношение в % от дължината на речните участъци с подходящи  местообитания на вида и с естествено структуриран субстрат, съотнесен към общата дължина на речните участъци с подходящи местообитания за вида</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95% от дължината на речните участъци с подходящи местообитания за вида имат естественоструктуриран субстрат</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Бентосен реофилен вид. Обитава големи или средни по големина низини реки с умерено течение и пясъчно-чакълест субстрат. В България целият участък на р. Дунав и долните течения на големите му притоци.  В тази връзка, поддържането на естествената структура на дънния субстрат в подходящите местообитания на вида е важно за неговото състояние.</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Фактори, водещи до нарушаване на естествената структура на дънния субстрат, са:</w:t>
            </w:r>
          </w:p>
          <w:p w:rsidR="003D617F" w:rsidRPr="003D617F" w:rsidRDefault="003D617F" w:rsidP="00635999">
            <w:pPr>
              <w:numPr>
                <w:ilvl w:val="0"/>
                <w:numId w:val="15"/>
              </w:numPr>
              <w:spacing w:before="120" w:after="120" w:line="240" w:lineRule="auto"/>
              <w:jc w:val="both"/>
              <w:rPr>
                <w:rFonts w:ascii="Times New Roman" w:eastAsia="Calibri" w:hAnsi="Times New Roman"/>
              </w:rPr>
            </w:pPr>
            <w:r w:rsidRPr="003D617F">
              <w:rPr>
                <w:rFonts w:ascii="Times New Roman" w:eastAsia="Calibri" w:hAnsi="Times New Roman"/>
              </w:rPr>
              <w:t>Отстраняване на чакъл и пясък от коритото на реката;</w:t>
            </w:r>
          </w:p>
          <w:p w:rsidR="003D617F" w:rsidRPr="003D617F" w:rsidRDefault="003D617F" w:rsidP="00635999">
            <w:pPr>
              <w:numPr>
                <w:ilvl w:val="0"/>
                <w:numId w:val="15"/>
              </w:numPr>
              <w:spacing w:before="120" w:after="120" w:line="240" w:lineRule="auto"/>
              <w:jc w:val="both"/>
              <w:rPr>
                <w:rFonts w:ascii="Times New Roman" w:eastAsia="Calibri" w:hAnsi="Times New Roman"/>
              </w:rPr>
            </w:pPr>
            <w:r w:rsidRPr="003D617F">
              <w:rPr>
                <w:rFonts w:ascii="Times New Roman" w:eastAsia="Calibri" w:hAnsi="Times New Roman"/>
              </w:rPr>
              <w:t>Изкопаване на речното корито, водещо до ускоряване на водния поток и отстраняване на субстрата;</w:t>
            </w:r>
          </w:p>
          <w:p w:rsidR="003D617F" w:rsidRPr="003D617F" w:rsidRDefault="003D617F" w:rsidP="00635999">
            <w:pPr>
              <w:numPr>
                <w:ilvl w:val="0"/>
                <w:numId w:val="15"/>
              </w:numPr>
              <w:spacing w:before="120" w:after="120" w:line="240" w:lineRule="auto"/>
              <w:jc w:val="both"/>
              <w:rPr>
                <w:rFonts w:ascii="Times New Roman" w:eastAsia="Calibri" w:hAnsi="Times New Roman"/>
              </w:rPr>
            </w:pPr>
            <w:r w:rsidRPr="003D617F">
              <w:rPr>
                <w:rFonts w:ascii="Times New Roman" w:eastAsia="Calibri" w:hAnsi="Times New Roman"/>
              </w:rPr>
              <w:t>Изграждане на хидротехнически съоръжения, водещи до забавяне на водния поток и задържане на утайки.</w:t>
            </w:r>
          </w:p>
          <w:p w:rsidR="003D617F" w:rsidRPr="003D617F" w:rsidRDefault="003D617F" w:rsidP="00635999">
            <w:pPr>
              <w:numPr>
                <w:ilvl w:val="0"/>
                <w:numId w:val="15"/>
              </w:numPr>
              <w:spacing w:before="120" w:after="120" w:line="240" w:lineRule="auto"/>
              <w:jc w:val="both"/>
              <w:rPr>
                <w:rFonts w:ascii="Times New Roman" w:eastAsia="Calibri" w:hAnsi="Times New Roman"/>
              </w:rPr>
            </w:pPr>
            <w:r w:rsidRPr="003D617F">
              <w:rPr>
                <w:rFonts w:ascii="Times New Roman" w:eastAsia="Calibri" w:hAnsi="Times New Roman"/>
              </w:rPr>
              <w:t>др.</w:t>
            </w:r>
          </w:p>
          <w:p w:rsidR="003D617F" w:rsidRPr="003D617F" w:rsidRDefault="003D617F" w:rsidP="003D617F">
            <w:pPr>
              <w:spacing w:before="120" w:after="120" w:line="240" w:lineRule="auto"/>
              <w:ind w:left="360"/>
              <w:jc w:val="both"/>
              <w:rPr>
                <w:rFonts w:ascii="Times New Roman" w:eastAsia="Calibri" w:hAnsi="Times New Roman"/>
              </w:rPr>
            </w:pPr>
            <w:r w:rsidRPr="003D617F">
              <w:rPr>
                <w:rFonts w:ascii="Times New Roman" w:eastAsia="Calibri" w:hAnsi="Times New Roman"/>
              </w:rPr>
              <w:t>Установени са 2,6% коригирани участъци в зоната, но същевременно повече от 95% от характера на дънния субстрат в зоната е благоприятен за съществуването на вида.</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Поддържане на 95 % от дължината на речните участъци с подходящи местообитания за вида да са с естествено структуриран субстрат.</w:t>
            </w:r>
          </w:p>
        </w:tc>
      </w:tr>
    </w:tbl>
    <w:p w:rsidR="003D617F" w:rsidRPr="003D617F" w:rsidRDefault="003D617F" w:rsidP="003D617F">
      <w:pPr>
        <w:spacing w:after="160" w:line="240" w:lineRule="auto"/>
        <w:jc w:val="both"/>
        <w:rPr>
          <w:rFonts w:ascii="Times New Roman" w:eastAsia="Calibri" w:hAnsi="Times New Roman"/>
          <w:b/>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8. Необходимост от актуали</w:t>
      </w:r>
      <w:r>
        <w:rPr>
          <w:rFonts w:ascii="Times New Roman" w:eastAsia="Calibri" w:hAnsi="Times New Roman"/>
          <w:b/>
          <w:sz w:val="24"/>
          <w:szCs w:val="24"/>
        </w:rPr>
        <w:t>зация на СФ на защитената зона</w:t>
      </w:r>
    </w:p>
    <w:p w:rsidR="003D617F" w:rsidRPr="003D617F" w:rsidRDefault="00D95C99" w:rsidP="003D617F">
      <w:pPr>
        <w:spacing w:after="120" w:line="240" w:lineRule="auto"/>
        <w:ind w:firstLine="709"/>
        <w:jc w:val="both"/>
        <w:rPr>
          <w:rFonts w:ascii="Times New Roman" w:eastAsia="Calibri" w:hAnsi="Times New Roman"/>
          <w:sz w:val="24"/>
          <w:szCs w:val="24"/>
        </w:rPr>
      </w:pPr>
      <w:r>
        <w:rPr>
          <w:rFonts w:ascii="Times New Roman" w:eastAsia="Calibri" w:hAnsi="Times New Roman"/>
          <w:sz w:val="24"/>
          <w:szCs w:val="24"/>
        </w:rPr>
        <w:lastRenderedPageBreak/>
        <w:t>В съответствие с утвърдената</w:t>
      </w:r>
      <w:r w:rsidRPr="003D617F">
        <w:rPr>
          <w:rFonts w:ascii="Times New Roman" w:eastAsia="Calibri" w:hAnsi="Times New Roman"/>
          <w:sz w:val="24"/>
          <w:szCs w:val="24"/>
        </w:rPr>
        <w:t xml:space="preserve"> методика за мониторинг на риби</w:t>
      </w:r>
      <w:r>
        <w:rPr>
          <w:rFonts w:ascii="Times New Roman" w:eastAsia="Calibri" w:hAnsi="Times New Roman"/>
          <w:sz w:val="24"/>
          <w:szCs w:val="24"/>
        </w:rPr>
        <w:t xml:space="preserve"> в р. Дунав</w:t>
      </w:r>
      <w:r w:rsidRPr="003D617F">
        <w:rPr>
          <w:rFonts w:ascii="Times New Roman" w:eastAsia="Calibri" w:hAnsi="Times New Roman"/>
          <w:sz w:val="24"/>
          <w:szCs w:val="24"/>
        </w:rPr>
        <w:t>, знай-подходящата единица за определянето на състоянието на вида е екз./ха (</w:t>
      </w:r>
      <w:r w:rsidRPr="003D617F">
        <w:rPr>
          <w:rFonts w:ascii="Times New Roman" w:eastAsia="Calibri" w:hAnsi="Times New Roman"/>
          <w:sz w:val="24"/>
          <w:szCs w:val="24"/>
          <w:lang w:val="en-US"/>
        </w:rPr>
        <w:t>ind</w:t>
      </w:r>
      <w:r w:rsidRPr="0061058D">
        <w:rPr>
          <w:rFonts w:ascii="Times New Roman" w:eastAsia="Calibri" w:hAnsi="Times New Roman"/>
          <w:sz w:val="24"/>
          <w:szCs w:val="24"/>
        </w:rPr>
        <w:t>./</w:t>
      </w:r>
      <w:r w:rsidRPr="003D617F">
        <w:rPr>
          <w:rFonts w:ascii="Times New Roman" w:eastAsia="Calibri" w:hAnsi="Times New Roman"/>
          <w:sz w:val="24"/>
          <w:szCs w:val="24"/>
          <w:lang w:val="en-US"/>
        </w:rPr>
        <w:t>ha</w:t>
      </w:r>
      <w:r w:rsidRPr="0061058D">
        <w:rPr>
          <w:rFonts w:ascii="Times New Roman" w:eastAsia="Calibri" w:hAnsi="Times New Roman"/>
          <w:sz w:val="24"/>
          <w:szCs w:val="24"/>
        </w:rPr>
        <w:t>)</w:t>
      </w:r>
      <w:r w:rsidRPr="003D617F">
        <w:rPr>
          <w:rFonts w:ascii="Times New Roman" w:eastAsia="Calibri" w:hAnsi="Times New Roman"/>
          <w:sz w:val="24"/>
          <w:szCs w:val="24"/>
        </w:rPr>
        <w:t xml:space="preserve">. </w:t>
      </w:r>
      <w:r w:rsidRPr="00B93A89">
        <w:rPr>
          <w:rFonts w:ascii="Times New Roman" w:eastAsia="Calibri" w:hAnsi="Times New Roman"/>
          <w:sz w:val="24"/>
          <w:szCs w:val="24"/>
        </w:rPr>
        <w:t>Тази единица обаче засега не е приета за оценка на видове риби при докладванията в ЕК. Затова, като се има предвид високата сезонна вариабилност на числеността на вида в зоната и с оглед унифицирането на подхода за внасянето на данни в СФ на този етап като единица за оценка се използва „Площ“ (</w:t>
      </w:r>
      <w:r w:rsidRPr="00B93A89">
        <w:rPr>
          <w:rFonts w:ascii="Times New Roman" w:eastAsia="Calibri" w:hAnsi="Times New Roman"/>
          <w:sz w:val="24"/>
          <w:szCs w:val="24"/>
          <w:lang w:val="en-US"/>
        </w:rPr>
        <w:t>area</w:t>
      </w:r>
      <w:r w:rsidRPr="00B93A89">
        <w:rPr>
          <w:rFonts w:ascii="Times New Roman" w:eastAsia="Calibri" w:hAnsi="Times New Roman"/>
          <w:sz w:val="24"/>
          <w:szCs w:val="24"/>
        </w:rPr>
        <w:t>) на местообитанията“</w:t>
      </w:r>
      <w:r>
        <w:rPr>
          <w:rFonts w:ascii="Times New Roman" w:eastAsia="Calibri" w:hAnsi="Times New Roman"/>
          <w:sz w:val="24"/>
          <w:szCs w:val="24"/>
        </w:rPr>
        <w:t>,</w:t>
      </w:r>
      <w:r w:rsidRPr="003D617F">
        <w:rPr>
          <w:rFonts w:ascii="Times New Roman" w:eastAsia="Calibri" w:hAnsi="Times New Roman"/>
          <w:sz w:val="24"/>
          <w:szCs w:val="24"/>
        </w:rPr>
        <w:t xml:space="preserve"> като е уточнена площта на участъка от р. Дунав в зоната</w:t>
      </w:r>
      <w:r>
        <w:rPr>
          <w:rFonts w:ascii="Times New Roman" w:eastAsia="Calibri" w:hAnsi="Times New Roman"/>
          <w:sz w:val="24"/>
          <w:szCs w:val="24"/>
        </w:rPr>
        <w:t xml:space="preserve">. Популацията на вида в ЗЗ не е изолирана, той обитава целия участък на р. Дунав в България. Нанесени са съответните промени в СФ. </w:t>
      </w:r>
      <w:r w:rsidR="003D617F" w:rsidRPr="003D617F">
        <w:rPr>
          <w:rFonts w:ascii="Times New Roman" w:eastAsia="Calibri" w:hAnsi="Times New Roman"/>
          <w:sz w:val="24"/>
          <w:szCs w:val="24"/>
        </w:rPr>
        <w:t>:</w:t>
      </w:r>
    </w:p>
    <w:tbl>
      <w:tblPr>
        <w:tblW w:w="5387" w:type="pct"/>
        <w:tblCellSpacing w:w="15"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0"/>
        <w:gridCol w:w="642"/>
        <w:gridCol w:w="1398"/>
        <w:gridCol w:w="292"/>
        <w:gridCol w:w="472"/>
        <w:gridCol w:w="354"/>
        <w:gridCol w:w="842"/>
        <w:gridCol w:w="842"/>
        <w:gridCol w:w="620"/>
        <w:gridCol w:w="604"/>
        <w:gridCol w:w="865"/>
        <w:gridCol w:w="941"/>
        <w:gridCol w:w="648"/>
        <w:gridCol w:w="548"/>
        <w:gridCol w:w="619"/>
      </w:tblGrid>
      <w:tr w:rsidR="003D617F" w:rsidRPr="003D617F" w:rsidTr="00D95C99">
        <w:trPr>
          <w:tblCellSpacing w:w="15" w:type="dxa"/>
        </w:trPr>
        <w:tc>
          <w:tcPr>
            <w:tcW w:w="1556"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Species </w:t>
            </w:r>
          </w:p>
        </w:tc>
        <w:tc>
          <w:tcPr>
            <w:tcW w:w="0" w:type="auto"/>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Population in the site </w:t>
            </w:r>
          </w:p>
        </w:tc>
        <w:tc>
          <w:tcPr>
            <w:tcW w:w="0" w:type="auto"/>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Site assessment </w:t>
            </w:r>
          </w:p>
        </w:tc>
      </w:tr>
      <w:tr w:rsidR="003D617F" w:rsidRPr="003D617F" w:rsidTr="00D95C99">
        <w:trPr>
          <w:tblCellSpacing w:w="15" w:type="dxa"/>
        </w:trPr>
        <w:tc>
          <w:tcPr>
            <w:tcW w:w="166"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G </w:t>
            </w:r>
          </w:p>
        </w:tc>
        <w:tc>
          <w:tcPr>
            <w:tcW w:w="0" w:type="auto"/>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Code </w:t>
            </w:r>
          </w:p>
        </w:tc>
        <w:tc>
          <w:tcPr>
            <w:tcW w:w="0" w:type="auto"/>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Scientific Name </w:t>
            </w:r>
          </w:p>
        </w:tc>
        <w:tc>
          <w:tcPr>
            <w:tcW w:w="0" w:type="auto"/>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S </w:t>
            </w:r>
          </w:p>
        </w:tc>
        <w:tc>
          <w:tcPr>
            <w:tcW w:w="0" w:type="auto"/>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NP </w:t>
            </w:r>
          </w:p>
        </w:tc>
        <w:tc>
          <w:tcPr>
            <w:tcW w:w="0" w:type="auto"/>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T </w:t>
            </w:r>
          </w:p>
        </w:tc>
        <w:tc>
          <w:tcPr>
            <w:tcW w:w="0" w:type="auto"/>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Size </w:t>
            </w:r>
          </w:p>
        </w:tc>
        <w:tc>
          <w:tcPr>
            <w:tcW w:w="0" w:type="auto"/>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Unit </w:t>
            </w:r>
          </w:p>
        </w:tc>
        <w:tc>
          <w:tcPr>
            <w:tcW w:w="0" w:type="auto"/>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Cat. </w:t>
            </w:r>
          </w:p>
        </w:tc>
        <w:tc>
          <w:tcPr>
            <w:tcW w:w="0" w:type="auto"/>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D.qual. </w:t>
            </w:r>
          </w:p>
        </w:tc>
        <w:tc>
          <w:tcPr>
            <w:tcW w:w="0" w:type="auto"/>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A|B|C|D </w:t>
            </w:r>
          </w:p>
        </w:tc>
        <w:tc>
          <w:tcPr>
            <w:tcW w:w="0" w:type="auto"/>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A|B|C </w:t>
            </w:r>
          </w:p>
        </w:tc>
      </w:tr>
      <w:tr w:rsidR="003D617F" w:rsidRPr="003D617F" w:rsidTr="00D95C99">
        <w:trPr>
          <w:tblCellSpacing w:w="15" w:type="dxa"/>
        </w:trPr>
        <w:tc>
          <w:tcPr>
            <w:tcW w:w="16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w:t>
            </w:r>
          </w:p>
        </w:tc>
        <w:tc>
          <w:tcPr>
            <w:tcW w:w="30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w:t>
            </w:r>
          </w:p>
        </w:tc>
        <w:tc>
          <w:tcPr>
            <w:tcW w:w="67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w:t>
            </w:r>
          </w:p>
        </w:tc>
        <w:tc>
          <w:tcPr>
            <w:tcW w:w="13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w:t>
            </w:r>
          </w:p>
        </w:tc>
        <w:tc>
          <w:tcPr>
            <w:tcW w:w="21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w:t>
            </w:r>
          </w:p>
        </w:tc>
        <w:tc>
          <w:tcPr>
            <w:tcW w:w="16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w:t>
            </w:r>
          </w:p>
        </w:tc>
        <w:tc>
          <w:tcPr>
            <w:tcW w:w="30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Min</w:t>
            </w:r>
          </w:p>
        </w:tc>
        <w:tc>
          <w:tcPr>
            <w:tcW w:w="32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Max</w:t>
            </w:r>
          </w:p>
        </w:tc>
        <w:tc>
          <w:tcPr>
            <w:tcW w:w="31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w:t>
            </w:r>
          </w:p>
        </w:tc>
        <w:tc>
          <w:tcPr>
            <w:tcW w:w="30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p>
        </w:tc>
        <w:tc>
          <w:tcPr>
            <w:tcW w:w="45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w:t>
            </w:r>
          </w:p>
        </w:tc>
        <w:tc>
          <w:tcPr>
            <w:tcW w:w="5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Pop.</w:t>
            </w:r>
          </w:p>
        </w:tc>
        <w:tc>
          <w:tcPr>
            <w:tcW w:w="33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Con.</w:t>
            </w:r>
          </w:p>
        </w:tc>
        <w:tc>
          <w:tcPr>
            <w:tcW w:w="27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Iso.</w:t>
            </w:r>
          </w:p>
        </w:tc>
        <w:tc>
          <w:tcPr>
            <w:tcW w:w="30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Glo.</w:t>
            </w:r>
          </w:p>
        </w:tc>
      </w:tr>
      <w:tr w:rsidR="00D95C99" w:rsidRPr="003D617F" w:rsidTr="00D95C99">
        <w:trPr>
          <w:tblCellSpacing w:w="15" w:type="dxa"/>
        </w:trPr>
        <w:tc>
          <w:tcPr>
            <w:tcW w:w="16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D95C99" w:rsidRPr="003D617F" w:rsidRDefault="00D95C99" w:rsidP="003D617F">
            <w:pPr>
              <w:spacing w:before="120" w:after="0" w:line="259" w:lineRule="auto"/>
              <w:jc w:val="both"/>
              <w:rPr>
                <w:rFonts w:ascii="Times New Roman" w:eastAsia="Calibri" w:hAnsi="Times New Roman"/>
                <w:b/>
                <w:bCs/>
                <w:sz w:val="20"/>
                <w:szCs w:val="20"/>
                <w:lang w:val="en-US"/>
              </w:rPr>
            </w:pPr>
            <w:r w:rsidRPr="003D617F">
              <w:rPr>
                <w:rFonts w:ascii="Times New Roman" w:eastAsia="Calibri" w:hAnsi="Times New Roman"/>
                <w:b/>
                <w:bCs/>
                <w:sz w:val="20"/>
                <w:szCs w:val="20"/>
                <w:lang w:val="en-US"/>
              </w:rPr>
              <w:t>F</w:t>
            </w:r>
          </w:p>
        </w:tc>
        <w:tc>
          <w:tcPr>
            <w:tcW w:w="30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D95C99" w:rsidRPr="003D617F" w:rsidRDefault="00D95C99" w:rsidP="003D617F">
            <w:pPr>
              <w:spacing w:before="120" w:after="0" w:line="259" w:lineRule="auto"/>
              <w:jc w:val="both"/>
              <w:rPr>
                <w:rFonts w:ascii="Times New Roman" w:eastAsia="Calibri" w:hAnsi="Times New Roman"/>
                <w:b/>
                <w:bCs/>
                <w:sz w:val="20"/>
                <w:szCs w:val="20"/>
                <w:lang w:val="en-US"/>
              </w:rPr>
            </w:pPr>
            <w:r w:rsidRPr="003D617F">
              <w:rPr>
                <w:rFonts w:ascii="Times New Roman" w:eastAsia="Calibri" w:hAnsi="Times New Roman"/>
                <w:b/>
                <w:bCs/>
                <w:sz w:val="20"/>
                <w:szCs w:val="20"/>
                <w:lang w:val="en-US"/>
              </w:rPr>
              <w:t>5329</w:t>
            </w:r>
          </w:p>
        </w:tc>
        <w:tc>
          <w:tcPr>
            <w:tcW w:w="67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D95C99" w:rsidRPr="003D617F" w:rsidRDefault="00D95C99" w:rsidP="003D617F">
            <w:pPr>
              <w:spacing w:before="120" w:after="0" w:line="259" w:lineRule="auto"/>
              <w:jc w:val="both"/>
              <w:rPr>
                <w:rFonts w:ascii="Times New Roman" w:eastAsia="Calibri" w:hAnsi="Times New Roman"/>
                <w:b/>
                <w:bCs/>
                <w:i/>
                <w:sz w:val="20"/>
                <w:szCs w:val="20"/>
                <w:lang w:val="en-US"/>
              </w:rPr>
            </w:pPr>
            <w:r w:rsidRPr="003D617F">
              <w:rPr>
                <w:rFonts w:ascii="Times New Roman" w:eastAsia="Calibri" w:hAnsi="Times New Roman"/>
                <w:b/>
                <w:bCs/>
                <w:i/>
                <w:sz w:val="20"/>
                <w:szCs w:val="20"/>
                <w:lang w:val="en-US"/>
              </w:rPr>
              <w:t>Romanogobio vladykovi</w:t>
            </w:r>
          </w:p>
        </w:tc>
        <w:tc>
          <w:tcPr>
            <w:tcW w:w="13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D95C99" w:rsidRPr="003D617F" w:rsidRDefault="00D95C99" w:rsidP="003D617F">
            <w:pPr>
              <w:spacing w:before="120" w:after="0" w:line="259" w:lineRule="auto"/>
              <w:jc w:val="both"/>
              <w:rPr>
                <w:rFonts w:ascii="Times New Roman" w:eastAsia="Calibri" w:hAnsi="Times New Roman"/>
                <w:b/>
                <w:bCs/>
                <w:sz w:val="20"/>
                <w:szCs w:val="20"/>
                <w:lang w:val="en-US"/>
              </w:rPr>
            </w:pPr>
          </w:p>
        </w:tc>
        <w:tc>
          <w:tcPr>
            <w:tcW w:w="21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D95C99" w:rsidRPr="003D617F" w:rsidRDefault="00D95C99" w:rsidP="003D617F">
            <w:pPr>
              <w:spacing w:before="120" w:after="0" w:line="259" w:lineRule="auto"/>
              <w:jc w:val="both"/>
              <w:rPr>
                <w:rFonts w:ascii="Times New Roman" w:eastAsia="Calibri" w:hAnsi="Times New Roman"/>
                <w:b/>
                <w:bCs/>
                <w:sz w:val="20"/>
                <w:szCs w:val="20"/>
                <w:lang w:val="en-US"/>
              </w:rPr>
            </w:pPr>
          </w:p>
        </w:tc>
        <w:tc>
          <w:tcPr>
            <w:tcW w:w="16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D95C99" w:rsidRPr="003D617F" w:rsidRDefault="00D95C99" w:rsidP="003D617F">
            <w:pPr>
              <w:spacing w:before="120" w:after="0" w:line="259" w:lineRule="auto"/>
              <w:jc w:val="both"/>
              <w:rPr>
                <w:rFonts w:ascii="Times New Roman" w:eastAsia="Calibri" w:hAnsi="Times New Roman"/>
                <w:b/>
                <w:bCs/>
                <w:sz w:val="20"/>
                <w:szCs w:val="20"/>
                <w:lang w:val="en-US"/>
              </w:rPr>
            </w:pPr>
            <w:r w:rsidRPr="003D617F">
              <w:rPr>
                <w:rFonts w:ascii="Times New Roman" w:eastAsia="Calibri" w:hAnsi="Times New Roman"/>
                <w:b/>
                <w:bCs/>
                <w:sz w:val="20"/>
                <w:szCs w:val="20"/>
                <w:lang w:val="en-US"/>
              </w:rPr>
              <w:t>p</w:t>
            </w:r>
          </w:p>
        </w:tc>
        <w:tc>
          <w:tcPr>
            <w:tcW w:w="30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D95C99" w:rsidRPr="00E567A3" w:rsidRDefault="00D95C99" w:rsidP="00051A9F">
            <w:pPr>
              <w:spacing w:before="120" w:after="0" w:line="259" w:lineRule="auto"/>
              <w:jc w:val="both"/>
              <w:rPr>
                <w:rFonts w:ascii="Times New Roman" w:eastAsia="Calibri" w:hAnsi="Times New Roman"/>
                <w:b/>
                <w:bCs/>
                <w:color w:val="FF0000"/>
                <w:sz w:val="20"/>
                <w:szCs w:val="20"/>
              </w:rPr>
            </w:pPr>
            <w:r w:rsidRPr="00E567A3">
              <w:rPr>
                <w:rFonts w:ascii="Times New Roman" w:hAnsi="Times New Roman"/>
                <w:b/>
                <w:bCs/>
                <w:color w:val="FF0000"/>
                <w:sz w:val="20"/>
                <w:szCs w:val="20"/>
              </w:rPr>
              <w:t>593180</w:t>
            </w:r>
          </w:p>
        </w:tc>
        <w:tc>
          <w:tcPr>
            <w:tcW w:w="32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D95C99" w:rsidRPr="00E567A3" w:rsidRDefault="00D95C99" w:rsidP="00051A9F">
            <w:pPr>
              <w:spacing w:before="120" w:after="0" w:line="259" w:lineRule="auto"/>
              <w:jc w:val="both"/>
              <w:rPr>
                <w:rFonts w:ascii="Times New Roman" w:eastAsia="Calibri" w:hAnsi="Times New Roman"/>
                <w:b/>
                <w:bCs/>
                <w:color w:val="FF0000"/>
                <w:sz w:val="20"/>
                <w:szCs w:val="20"/>
              </w:rPr>
            </w:pPr>
            <w:r w:rsidRPr="00E567A3">
              <w:rPr>
                <w:rFonts w:ascii="Times New Roman" w:hAnsi="Times New Roman"/>
                <w:b/>
                <w:bCs/>
                <w:color w:val="FF0000"/>
                <w:sz w:val="20"/>
                <w:szCs w:val="20"/>
              </w:rPr>
              <w:t>593180</w:t>
            </w:r>
          </w:p>
        </w:tc>
        <w:tc>
          <w:tcPr>
            <w:tcW w:w="31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D95C99" w:rsidRPr="00E567A3" w:rsidRDefault="00D95C99" w:rsidP="00051A9F">
            <w:pPr>
              <w:spacing w:before="120" w:after="0" w:line="259" w:lineRule="auto"/>
              <w:jc w:val="both"/>
              <w:rPr>
                <w:rFonts w:ascii="Times New Roman" w:eastAsia="Calibri" w:hAnsi="Times New Roman"/>
                <w:b/>
                <w:bCs/>
                <w:color w:val="FF0000"/>
                <w:sz w:val="20"/>
                <w:szCs w:val="20"/>
                <w:lang w:val="en-US"/>
              </w:rPr>
            </w:pPr>
            <w:r w:rsidRPr="00E567A3">
              <w:rPr>
                <w:rFonts w:ascii="Times New Roman" w:hAnsi="Times New Roman"/>
                <w:b/>
                <w:bCs/>
                <w:color w:val="FF0000"/>
                <w:sz w:val="20"/>
                <w:szCs w:val="20"/>
                <w:lang w:val="en-US"/>
              </w:rPr>
              <w:t>area</w:t>
            </w:r>
          </w:p>
        </w:tc>
        <w:tc>
          <w:tcPr>
            <w:tcW w:w="30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D95C99" w:rsidRPr="003D617F" w:rsidRDefault="00D95C99" w:rsidP="003D617F">
            <w:pPr>
              <w:spacing w:before="120" w:after="0" w:line="259" w:lineRule="auto"/>
              <w:jc w:val="both"/>
              <w:rPr>
                <w:rFonts w:ascii="Times New Roman" w:eastAsia="Calibri" w:hAnsi="Times New Roman"/>
                <w:b/>
                <w:bCs/>
                <w:sz w:val="20"/>
                <w:szCs w:val="20"/>
                <w:lang w:val="en-US"/>
              </w:rPr>
            </w:pPr>
            <w:r w:rsidRPr="003D617F">
              <w:rPr>
                <w:rFonts w:ascii="Times New Roman" w:eastAsia="Calibri" w:hAnsi="Times New Roman"/>
                <w:b/>
                <w:bCs/>
                <w:sz w:val="20"/>
                <w:szCs w:val="20"/>
                <w:lang w:val="en-US"/>
              </w:rPr>
              <w:t>C</w:t>
            </w:r>
          </w:p>
        </w:tc>
        <w:tc>
          <w:tcPr>
            <w:tcW w:w="45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D95C99" w:rsidRPr="003D617F" w:rsidRDefault="00D95C99" w:rsidP="003D617F">
            <w:pPr>
              <w:spacing w:before="120" w:after="0" w:line="259" w:lineRule="auto"/>
              <w:jc w:val="both"/>
              <w:rPr>
                <w:rFonts w:ascii="Times New Roman" w:eastAsia="Calibri" w:hAnsi="Times New Roman"/>
                <w:b/>
                <w:bCs/>
                <w:color w:val="FF0000"/>
                <w:sz w:val="20"/>
                <w:szCs w:val="20"/>
                <w:lang w:val="en-US"/>
              </w:rPr>
            </w:pPr>
            <w:r w:rsidRPr="003D617F">
              <w:rPr>
                <w:rFonts w:ascii="Times New Roman" w:eastAsia="Calibri" w:hAnsi="Times New Roman"/>
                <w:b/>
                <w:bCs/>
                <w:sz w:val="20"/>
                <w:szCs w:val="20"/>
                <w:lang w:val="en-US"/>
              </w:rPr>
              <w:t>G</w:t>
            </w:r>
          </w:p>
        </w:tc>
        <w:tc>
          <w:tcPr>
            <w:tcW w:w="50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D95C99" w:rsidRPr="003D617F" w:rsidRDefault="00D95C99" w:rsidP="003D617F">
            <w:pPr>
              <w:spacing w:before="120" w:after="0" w:line="259" w:lineRule="auto"/>
              <w:jc w:val="both"/>
              <w:rPr>
                <w:rFonts w:ascii="Times New Roman" w:eastAsia="Calibri" w:hAnsi="Times New Roman"/>
                <w:b/>
                <w:bCs/>
                <w:sz w:val="20"/>
                <w:szCs w:val="20"/>
                <w:lang w:val="en-US"/>
              </w:rPr>
            </w:pPr>
            <w:r w:rsidRPr="003D617F">
              <w:rPr>
                <w:rFonts w:ascii="Times New Roman" w:eastAsia="Calibri" w:hAnsi="Times New Roman"/>
                <w:b/>
                <w:bCs/>
                <w:sz w:val="20"/>
                <w:szCs w:val="20"/>
                <w:lang w:val="en-US"/>
              </w:rPr>
              <w:t>C</w:t>
            </w:r>
          </w:p>
        </w:tc>
        <w:tc>
          <w:tcPr>
            <w:tcW w:w="33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D95C99" w:rsidRPr="00D95C99" w:rsidRDefault="00D95C99" w:rsidP="003D617F">
            <w:pPr>
              <w:spacing w:before="120" w:after="0" w:line="259" w:lineRule="auto"/>
              <w:jc w:val="both"/>
              <w:rPr>
                <w:rFonts w:ascii="Times New Roman" w:eastAsia="Calibri" w:hAnsi="Times New Roman"/>
                <w:b/>
                <w:bCs/>
                <w:sz w:val="20"/>
                <w:szCs w:val="20"/>
              </w:rPr>
            </w:pPr>
            <w:r w:rsidRPr="00D95C99">
              <w:rPr>
                <w:rFonts w:ascii="Times New Roman" w:eastAsia="Calibri" w:hAnsi="Times New Roman"/>
                <w:b/>
                <w:bCs/>
                <w:sz w:val="20"/>
                <w:szCs w:val="20"/>
              </w:rPr>
              <w:t>А</w:t>
            </w:r>
          </w:p>
        </w:tc>
        <w:tc>
          <w:tcPr>
            <w:tcW w:w="27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D95C99" w:rsidRPr="00D95C99" w:rsidRDefault="00D95C99" w:rsidP="003D617F">
            <w:pPr>
              <w:spacing w:before="120" w:after="0" w:line="259" w:lineRule="auto"/>
              <w:jc w:val="both"/>
              <w:rPr>
                <w:rFonts w:ascii="Times New Roman" w:eastAsia="Calibri" w:hAnsi="Times New Roman"/>
                <w:b/>
                <w:bCs/>
                <w:color w:val="FF0000"/>
                <w:sz w:val="20"/>
                <w:szCs w:val="20"/>
                <w:lang w:val="en-US"/>
              </w:rPr>
            </w:pPr>
            <w:r w:rsidRPr="00D95C99">
              <w:rPr>
                <w:rFonts w:ascii="Times New Roman" w:eastAsia="Calibri" w:hAnsi="Times New Roman"/>
                <w:b/>
                <w:bCs/>
                <w:color w:val="FF0000"/>
                <w:sz w:val="20"/>
                <w:szCs w:val="20"/>
                <w:lang w:val="en-US"/>
              </w:rPr>
              <w:t>C</w:t>
            </w:r>
          </w:p>
        </w:tc>
        <w:tc>
          <w:tcPr>
            <w:tcW w:w="30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D95C99" w:rsidRPr="003D617F" w:rsidRDefault="00D95C99" w:rsidP="003D617F">
            <w:pPr>
              <w:spacing w:before="120" w:after="0" w:line="259" w:lineRule="auto"/>
              <w:jc w:val="both"/>
              <w:rPr>
                <w:rFonts w:ascii="Times New Roman" w:eastAsia="Calibri" w:hAnsi="Times New Roman"/>
                <w:b/>
                <w:bCs/>
                <w:sz w:val="20"/>
                <w:szCs w:val="20"/>
                <w:lang w:val="en-US"/>
              </w:rPr>
            </w:pPr>
            <w:r w:rsidRPr="003D617F">
              <w:rPr>
                <w:rFonts w:ascii="Times New Roman" w:eastAsia="Calibri" w:hAnsi="Times New Roman"/>
                <w:b/>
                <w:bCs/>
                <w:sz w:val="20"/>
                <w:szCs w:val="20"/>
                <w:lang w:val="en-US"/>
              </w:rPr>
              <w:t>A</w:t>
            </w:r>
          </w:p>
        </w:tc>
      </w:tr>
    </w:tbl>
    <w:p w:rsidR="003D617F" w:rsidRPr="003D617F" w:rsidRDefault="003D617F" w:rsidP="003D617F">
      <w:pPr>
        <w:spacing w:after="160" w:line="240" w:lineRule="auto"/>
        <w:jc w:val="both"/>
        <w:rPr>
          <w:rFonts w:ascii="Times New Roman" w:eastAsia="Calibri" w:hAnsi="Times New Roman"/>
          <w:sz w:val="24"/>
          <w:szCs w:val="24"/>
        </w:rPr>
      </w:pPr>
    </w:p>
    <w:p w:rsidR="003D617F" w:rsidRPr="003D617F" w:rsidRDefault="003774E5" w:rsidP="003D617F">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9. Цитирана литература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Булгурков, К. 1958. Хидроложки особености на резервата езерото Сребърна и състав на рибната му фауна. – Изв. на Зоолог. инст., 7: 251–268.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Големански, </w:t>
      </w:r>
      <w:r w:rsidR="003774E5">
        <w:rPr>
          <w:rFonts w:ascii="Times New Roman" w:eastAsia="Calibri" w:hAnsi="Times New Roman"/>
          <w:sz w:val="24"/>
          <w:szCs w:val="24"/>
        </w:rPr>
        <w:t>В.</w:t>
      </w:r>
      <w:r w:rsidRPr="003D617F">
        <w:rPr>
          <w:rFonts w:ascii="Times New Roman" w:eastAsia="Calibri" w:hAnsi="Times New Roman"/>
          <w:sz w:val="24"/>
          <w:szCs w:val="24"/>
        </w:rPr>
        <w:t xml:space="preserve"> и др. (ред.) 2011. Червена книга на Република България. Том 2. Животни. ИБЕИ - БАН &amp; МОСВ, София. Електронно издание: Том II - Животни (bas.bg)</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1951. Рибите в България. Фауна на България II. С., БАН, 270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Информационна система за защитени зони от екологична мрежа НАТУРА 2000.</w:t>
      </w:r>
    </w:p>
    <w:p w:rsidR="003D617F" w:rsidRPr="003D617F" w:rsidRDefault="003D617F" w:rsidP="001D13B2">
      <w:pPr>
        <w:spacing w:after="0" w:line="259" w:lineRule="auto"/>
        <w:ind w:left="720" w:hanging="12"/>
        <w:jc w:val="both"/>
        <w:rPr>
          <w:rFonts w:ascii="Times New Roman" w:eastAsia="Calibri" w:hAnsi="Times New Roman"/>
          <w:sz w:val="24"/>
          <w:szCs w:val="24"/>
        </w:rPr>
      </w:pPr>
      <w:r w:rsidRPr="003D617F">
        <w:rPr>
          <w:rFonts w:ascii="Times New Roman" w:eastAsia="Calibri" w:hAnsi="Times New Roman"/>
          <w:sz w:val="24"/>
          <w:szCs w:val="24"/>
        </w:rPr>
        <w:t>http://natura2000.moew.government.bg/; http://natura2000.moew.government.bg/Home/Reports?reportType=Fishes</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1972. Ихтиофауна на р. Янтра. – Изв. на Зоолог. инст. с музей, 36: 149–182.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М. Живков. 1995. Рибите в България. С., "Гея-Либрис", 247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lastRenderedPageBreak/>
        <w:t>Коларов, П. 1960. Една рядка находка в р. Дунав – минога от вида Eudontomyzon danfordi Regan, 1911. – Природа, 3: 70.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1967. Gobio albipinnatus Lukasch, 1933 – един неизвестен в България вид риба. – Годишник на Софийския университет – Биологически факултет, 59(1): 39–41.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Моров, Т. 1931. Сладководните риби в България. С., "Художник", 93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Сивков, Я. 1989. Морфологична харакеристика на кротушката (Gobio albipinnatus Lukasch, 1933) (Pisces, Cyprinidae) от българския участък на река Дунав. – Acta zool. bulg., 38: 11–15.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https://ec.europa.eu/environment/nature/natura2000/management/docs/art6/BG_art_6_guide_jun_2019.pdf</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Шишков, Г. 1929. Върху един нов вид риба от род Gobio Cuvier: G. similis n. sp. – Год. СУ Физико-матем. фак., 25(3): 158–171.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Шишков, Г. 1937. Върху нашенските видове от род Gobio Cuvier. – Год. СУ Физико-матем. фак., 33(3): 227–289.</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Шишков Г. 1939. Няколко думи за риболова по р. Искър. – Рибарски преглед, 9(8): 4–7.</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Шишков, Г. 1939a. Върху някои нови и слабо познати нашенски сладководни риби. – Год. СУ Физико-матем. фак., 35 (3): 91–199.</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Bănăduc, Angela &amp; Cismaș, Cristina &amp; Bănăduc, Doru. 2019. Gobio Genus Species Integrated Management System – Târnava Rivers Study Case (Transylvania, Romania). Transylvanian Review of Systematical and Ecological Research. 21. 10.2478/trser-2019-0007.</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Bern Convention on the Conservation of European Wildlife and Natural Habitats. https://www.coe.int/en/web/bern-convention</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CEN - EN 14011, 2003. Water quality - Sampling of fish with electricity. Brussels, 16 p.</w:t>
      </w:r>
      <w:r w:rsidR="001D13B2">
        <w:rPr>
          <w:rFonts w:ascii="Times New Roman" w:eastAsia="Calibri" w:hAnsi="Times New Roman"/>
          <w:sz w:val="24"/>
          <w:szCs w:val="24"/>
        </w:rPr>
        <w:t xml:space="preserve"> </w:t>
      </w:r>
      <w:r w:rsidRPr="003D617F">
        <w:rPr>
          <w:rFonts w:ascii="Times New Roman" w:eastAsia="Calibri" w:hAnsi="Times New Roman"/>
          <w:sz w:val="24"/>
          <w:szCs w:val="24"/>
        </w:rPr>
        <w:t>3–680.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Drensky, P. 1935. Petromyzontiden (Pisces) aus dem Donaugebiet. – Sitzungsbericht der Gesellschaft naturforschender Freunde, Berlin, 102–106.</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Froese, R., D. Pauly. Editors. 2021. FishBase. World Wide Web electronic publication. www.fishbase.org, (06/2021): Search FishBase (mnhn.fr)</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IUCN 2021. The IUCN Red List of Threatened Species. Version 2021-2. https://www.iucnredlist.org.</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lastRenderedPageBreak/>
        <w:t>Kottelat, M., J. Freyhof, 2007. Handbook of European freshwater fishes. Publications Kottelat, Cornol and Freyhof, Berlin. 646 pp.</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Naseka, A., N. Bogutskaya, P. Banarescu. 1999. Gobio albipinnatus Lukasch, 1933. – In: Banarescu P. (Ed.), The Freshwater Fishes of Europe. Vol. 5 / I. Cyprinidae 2 / I. AULA-Verlag, Wiesbaden, 37–68.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Vassilev, M., L. Pehlivanov. 2005. Checklist of Bulgarian freshwater fishes. – Acta zool. bulg., 57(2): 161–190.Публичен регистър по екологични оценки - </w:t>
      </w:r>
      <w:hyperlink r:id="rId74" w:history="1">
        <w:r w:rsidRPr="003D617F">
          <w:rPr>
            <w:rFonts w:ascii="Times New Roman" w:eastAsia="Calibri" w:hAnsi="Times New Roman"/>
            <w:color w:val="0563C1"/>
            <w:sz w:val="24"/>
            <w:szCs w:val="24"/>
            <w:u w:val="single"/>
          </w:rPr>
          <w:t>http://registers.moew.government.bg/eo</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Публичен регистър по оценки за въздействие на околната среда </w:t>
      </w:r>
      <w:hyperlink r:id="rId75" w:history="1">
        <w:r w:rsidRPr="003D617F">
          <w:rPr>
            <w:rFonts w:ascii="Times New Roman" w:eastAsia="Calibri" w:hAnsi="Times New Roman"/>
            <w:color w:val="0563C1"/>
            <w:sz w:val="24"/>
            <w:szCs w:val="24"/>
            <w:u w:val="single"/>
          </w:rPr>
          <w:t>http://registers.moew.government.bg/ovos/</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40"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3D617F">
        <w:rPr>
          <w:rFonts w:ascii="Times New Roman" w:eastAsia="Calibri" w:hAnsi="Times New Roman"/>
          <w:color w:val="0563C1"/>
          <w:sz w:val="24"/>
          <w:szCs w:val="24"/>
          <w:u w:val="single"/>
        </w:rPr>
        <w:t>https://riew-pleven.eu/</w:t>
      </w:r>
    </w:p>
    <w:p w:rsidR="003D617F" w:rsidRPr="003D617F" w:rsidRDefault="003D617F" w:rsidP="003D617F">
      <w:pPr>
        <w:spacing w:after="160" w:line="240" w:lineRule="auto"/>
        <w:jc w:val="both"/>
        <w:rPr>
          <w:rFonts w:ascii="Times New Roman" w:eastAsia="Calibri" w:hAnsi="Times New Roman"/>
          <w:i/>
          <w:sz w:val="24"/>
          <w:szCs w:val="24"/>
        </w:rPr>
      </w:pPr>
    </w:p>
    <w:p w:rsidR="003D617F" w:rsidRPr="003D617F" w:rsidRDefault="003D617F" w:rsidP="003D617F">
      <w:pPr>
        <w:spacing w:after="160" w:line="240" w:lineRule="auto"/>
        <w:jc w:val="both"/>
        <w:rPr>
          <w:rFonts w:ascii="Times New Roman" w:eastAsia="Calibri" w:hAnsi="Times New Roman"/>
          <w:sz w:val="24"/>
          <w:szCs w:val="24"/>
        </w:rPr>
      </w:pPr>
      <w:r w:rsidRPr="003D617F">
        <w:rPr>
          <w:rFonts w:ascii="Times New Roman" w:eastAsia="Calibri" w:hAnsi="Times New Roman"/>
          <w:i/>
          <w:sz w:val="24"/>
          <w:szCs w:val="24"/>
        </w:rPr>
        <w:t>Автори</w:t>
      </w:r>
      <w:r w:rsidRPr="003D617F">
        <w:rPr>
          <w:rFonts w:ascii="Times New Roman" w:eastAsia="Calibri" w:hAnsi="Times New Roman"/>
          <w:sz w:val="24"/>
          <w:szCs w:val="24"/>
        </w:rPr>
        <w:t>:</w:t>
      </w:r>
      <w:r w:rsidRPr="003D617F">
        <w:rPr>
          <w:rFonts w:ascii="Times New Roman" w:eastAsia="Calibri" w:hAnsi="Times New Roman"/>
          <w:b/>
          <w:sz w:val="24"/>
          <w:szCs w:val="24"/>
        </w:rPr>
        <w:t xml:space="preserve"> </w:t>
      </w:r>
      <w:r w:rsidRPr="003D617F">
        <w:rPr>
          <w:rFonts w:ascii="Times New Roman" w:eastAsia="Calibri" w:hAnsi="Times New Roman"/>
          <w:sz w:val="24"/>
          <w:szCs w:val="24"/>
        </w:rPr>
        <w:t>Апостолос Апостолу, Лъче</w:t>
      </w:r>
      <w:r w:rsidR="007D1C8A">
        <w:rPr>
          <w:rFonts w:ascii="Times New Roman" w:eastAsia="Calibri" w:hAnsi="Times New Roman"/>
          <w:sz w:val="24"/>
          <w:szCs w:val="24"/>
        </w:rPr>
        <w:t>зар Пехливанов, Стефан Казаков</w:t>
      </w:r>
    </w:p>
    <w:p w:rsidR="00EC5D51" w:rsidRDefault="00EC5D51" w:rsidP="0070678B">
      <w:pPr>
        <w:rPr>
          <w:rFonts w:ascii="Times New Roman" w:hAnsi="Times New Roman"/>
          <w:color w:val="1F497D" w:themeColor="text2"/>
          <w:sz w:val="28"/>
          <w:szCs w:val="28"/>
        </w:rPr>
      </w:pPr>
    </w:p>
    <w:p w:rsidR="0070678B" w:rsidRDefault="00107719" w:rsidP="00EC5D51">
      <w:pPr>
        <w:outlineLvl w:val="1"/>
        <w:rPr>
          <w:rFonts w:ascii="Times New Roman" w:hAnsi="Times New Roman"/>
          <w:i/>
          <w:color w:val="1F497D" w:themeColor="text2"/>
          <w:sz w:val="28"/>
          <w:szCs w:val="28"/>
        </w:rPr>
      </w:pPr>
      <w:bookmarkStart w:id="37" w:name="_Toc98838545"/>
      <w:r>
        <w:rPr>
          <w:rFonts w:ascii="Times New Roman" w:hAnsi="Times New Roman"/>
          <w:color w:val="1F497D" w:themeColor="text2"/>
          <w:sz w:val="28"/>
          <w:szCs w:val="28"/>
        </w:rPr>
        <w:t xml:space="preserve">Природозащитни цели за </w:t>
      </w:r>
      <w:r w:rsidR="0070678B">
        <w:rPr>
          <w:rFonts w:ascii="Times New Roman" w:hAnsi="Times New Roman"/>
          <w:color w:val="1F497D" w:themeColor="text2"/>
          <w:sz w:val="28"/>
          <w:szCs w:val="28"/>
        </w:rPr>
        <w:t xml:space="preserve">1130 </w:t>
      </w:r>
      <w:r w:rsidR="0070678B" w:rsidRPr="00107719">
        <w:rPr>
          <w:rFonts w:ascii="Times New Roman" w:hAnsi="Times New Roman"/>
          <w:i/>
          <w:color w:val="1F497D" w:themeColor="text2"/>
          <w:sz w:val="28"/>
          <w:szCs w:val="28"/>
        </w:rPr>
        <w:t>Aspius aspius</w:t>
      </w:r>
      <w:bookmarkEnd w:id="37"/>
    </w:p>
    <w:p w:rsidR="00B420C3" w:rsidRPr="00B420C3" w:rsidRDefault="00B420C3" w:rsidP="00B420C3">
      <w:pPr>
        <w:spacing w:after="160" w:line="240" w:lineRule="auto"/>
        <w:jc w:val="both"/>
        <w:rPr>
          <w:rFonts w:ascii="Times New Roman" w:eastAsia="Calibri" w:hAnsi="Times New Roman"/>
          <w:b/>
          <w:bCs/>
          <w:sz w:val="24"/>
          <w:szCs w:val="24"/>
        </w:rPr>
      </w:pPr>
      <w:r w:rsidRPr="00B420C3">
        <w:rPr>
          <w:rFonts w:ascii="Times New Roman" w:eastAsia="Calibri" w:hAnsi="Times New Roman"/>
          <w:b/>
          <w:sz w:val="24"/>
          <w:szCs w:val="24"/>
        </w:rPr>
        <w:t>1. Код и наименование на вид</w:t>
      </w:r>
      <w:r w:rsidRPr="00B420C3">
        <w:rPr>
          <w:rFonts w:ascii="Times New Roman" w:eastAsia="Calibri" w:hAnsi="Times New Roman"/>
          <w:b/>
          <w:sz w:val="24"/>
          <w:szCs w:val="24"/>
          <w:lang w:val="en-US"/>
        </w:rPr>
        <w:t xml:space="preserve">a: </w:t>
      </w:r>
      <w:r w:rsidRPr="00EC5D51">
        <w:rPr>
          <w:rFonts w:ascii="Times New Roman" w:hAnsi="Times New Roman"/>
          <w:bCs/>
          <w:color w:val="000000"/>
          <w:sz w:val="24"/>
          <w:szCs w:val="24"/>
          <w:lang w:eastAsia="bg-BG"/>
        </w:rPr>
        <w:t xml:space="preserve">1130 </w:t>
      </w:r>
      <w:bookmarkStart w:id="38" w:name="_Hlk88830219"/>
      <w:r w:rsidR="00EC5D51" w:rsidRPr="00EC5D51">
        <w:rPr>
          <w:rFonts w:ascii="Times New Roman" w:hAnsi="Times New Roman"/>
          <w:bCs/>
          <w:i/>
          <w:color w:val="000000"/>
          <w:sz w:val="24"/>
          <w:szCs w:val="24"/>
          <w:lang w:val="en-US" w:eastAsia="bg-BG"/>
        </w:rPr>
        <w:t>Aspius</w:t>
      </w:r>
      <w:r w:rsidR="00EC5D51" w:rsidRPr="00EC5D51">
        <w:rPr>
          <w:rFonts w:ascii="Times New Roman" w:hAnsi="Times New Roman"/>
          <w:bCs/>
          <w:i/>
          <w:color w:val="000000"/>
          <w:sz w:val="24"/>
          <w:szCs w:val="24"/>
          <w:lang w:eastAsia="bg-BG"/>
        </w:rPr>
        <w:t xml:space="preserve"> </w:t>
      </w:r>
      <w:r w:rsidR="00EC5D51" w:rsidRPr="00EC5D51">
        <w:rPr>
          <w:rFonts w:ascii="Times New Roman" w:hAnsi="Times New Roman"/>
          <w:bCs/>
          <w:i/>
          <w:color w:val="000000"/>
          <w:sz w:val="24"/>
          <w:szCs w:val="24"/>
          <w:lang w:val="en-US" w:eastAsia="bg-BG"/>
        </w:rPr>
        <w:t>aspius</w:t>
      </w:r>
      <w:bookmarkEnd w:id="38"/>
      <w:r w:rsidR="00EC5D51" w:rsidRPr="00EC5D51">
        <w:rPr>
          <w:rFonts w:ascii="Times New Roman" w:hAnsi="Times New Roman"/>
          <w:bCs/>
          <w:color w:val="000000"/>
          <w:sz w:val="24"/>
          <w:szCs w:val="24"/>
          <w:lang w:eastAsia="bg-BG"/>
        </w:rPr>
        <w:t xml:space="preserve"> - Распер</w:t>
      </w: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2. Кратка </w:t>
      </w:r>
      <w:r w:rsidR="00EC5D51">
        <w:rPr>
          <w:rFonts w:ascii="Times New Roman" w:eastAsia="Calibri" w:hAnsi="Times New Roman"/>
          <w:b/>
          <w:sz w:val="24"/>
          <w:szCs w:val="24"/>
        </w:rPr>
        <w:t>характеристика на целевия обект</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Расперът </w:t>
      </w:r>
      <w:r w:rsidRPr="00EC5D51">
        <w:rPr>
          <w:rFonts w:ascii="Times New Roman" w:eastAsia="Calibri" w:hAnsi="Times New Roman"/>
          <w:i/>
          <w:sz w:val="24"/>
          <w:szCs w:val="24"/>
        </w:rPr>
        <w:t>Aspius aspius</w:t>
      </w:r>
      <w:r w:rsidRPr="00B420C3">
        <w:rPr>
          <w:rFonts w:ascii="Times New Roman" w:eastAsia="Calibri" w:hAnsi="Times New Roman"/>
          <w:sz w:val="24"/>
          <w:szCs w:val="24"/>
        </w:rPr>
        <w:t xml:space="preserve"> принадлежи към семейство Шаранови (Cyprinidae). Има леко удължено тяло, странично компресирано и с остър кил, покрит с люспи, между коремните перки и аналната перка; дълга остра глава и челюсти, простиращи се зад предната част на окото. Зелен гръб със сребристи до сини нюанси. Светли страни. Сребъристобял корем. Гръдните, тазовите и аналните перки са сиви до кафяви. Пелагичен вид, среща се в открити води на големи и средни равнинни реки и големи езера до около 100 м  надм.в. Един от редките шаранови</w:t>
      </w:r>
      <w:r w:rsidR="00D95C99">
        <w:rPr>
          <w:rFonts w:ascii="Times New Roman" w:eastAsia="Calibri" w:hAnsi="Times New Roman"/>
          <w:sz w:val="24"/>
          <w:szCs w:val="24"/>
        </w:rPr>
        <w:t xml:space="preserve"> видове</w:t>
      </w:r>
      <w:r w:rsidRPr="00B420C3">
        <w:rPr>
          <w:rFonts w:ascii="Times New Roman" w:eastAsia="Calibri" w:hAnsi="Times New Roman"/>
          <w:sz w:val="24"/>
          <w:szCs w:val="24"/>
        </w:rPr>
        <w:t xml:space="preserve">, който е рибояден. Непълнолетните са стадни хищници, докато възрастните ловуват на малки групи или са самотни. Младите и възрастните се хранят предимно с риба, особено с </w:t>
      </w:r>
      <w:r w:rsidRPr="001D13B2">
        <w:rPr>
          <w:rFonts w:ascii="Times New Roman" w:eastAsia="Calibri" w:hAnsi="Times New Roman"/>
          <w:i/>
          <w:sz w:val="24"/>
          <w:szCs w:val="24"/>
        </w:rPr>
        <w:t>Alburnus</w:t>
      </w:r>
      <w:r w:rsidRPr="00B420C3">
        <w:rPr>
          <w:rFonts w:ascii="Times New Roman" w:eastAsia="Calibri" w:hAnsi="Times New Roman"/>
          <w:sz w:val="24"/>
          <w:szCs w:val="24"/>
        </w:rPr>
        <w:t xml:space="preserve"> </w:t>
      </w:r>
      <w:r w:rsidRPr="001D13B2">
        <w:rPr>
          <w:rFonts w:ascii="Times New Roman" w:eastAsia="Calibri" w:hAnsi="Times New Roman"/>
          <w:i/>
          <w:sz w:val="24"/>
          <w:szCs w:val="24"/>
        </w:rPr>
        <w:t>alburnus</w:t>
      </w:r>
      <w:r w:rsidRPr="00B420C3">
        <w:rPr>
          <w:rFonts w:ascii="Times New Roman" w:eastAsia="Calibri" w:hAnsi="Times New Roman"/>
          <w:sz w:val="24"/>
          <w:szCs w:val="24"/>
        </w:rPr>
        <w:t xml:space="preserve"> и други малки пелагични видове. Мигрират нагоре по течението в притоците за хвърляне на хайвера през април-юни. Достигат полова зрялост след 4-5 години. Репродуктивният успех изглежда се свързва с ниско ниво на водата и високи пролетни температури. Хвърлянето на хайвера продължава около 2 седмици. Езерните популации мигрират към притоци; полуанадромните популации или индивиди (Дунав) се хранят предимно в устията и обезсолените части на морето, мигрирайки към реките само за хвърляне на хайвера. Максимална възраст 11 години.</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В българските води расперът е често срещан вид в р. Дунав, представен е също в големите съседни постоянни стоящи водни тела (езерото Сребърна) и в долното течение на някои притоци на р. Дунав (Искър, Янтра)</w:t>
      </w:r>
      <w:r w:rsidR="001D13B2">
        <w:rPr>
          <w:rFonts w:ascii="Times New Roman" w:eastAsia="Calibri" w:hAnsi="Times New Roman"/>
          <w:sz w:val="24"/>
          <w:szCs w:val="24"/>
        </w:rPr>
        <w:t>. Ч</w:t>
      </w:r>
      <w:r w:rsidRPr="00B420C3">
        <w:rPr>
          <w:rFonts w:ascii="Times New Roman" w:eastAsia="Calibri" w:hAnsi="Times New Roman"/>
          <w:sz w:val="24"/>
          <w:szCs w:val="24"/>
        </w:rPr>
        <w:t>есто срещан вид в долните части на реките Марица и Тунджа. Расперът се среща в гръцкия участък на река Струма (Стримон), включително язовир Керкини (Гърция), но са съобщени само единични находища в българския участък на река Струма.</w:t>
      </w:r>
    </w:p>
    <w:p w:rsidR="00B420C3" w:rsidRPr="00B420C3" w:rsidRDefault="00B420C3" w:rsidP="00EC5D51">
      <w:pPr>
        <w:spacing w:after="0" w:line="240" w:lineRule="auto"/>
        <w:ind w:firstLine="709"/>
        <w:jc w:val="both"/>
        <w:rPr>
          <w:rFonts w:ascii="Times New Roman" w:eastAsia="Calibri" w:hAnsi="Times New Roman"/>
          <w:sz w:val="24"/>
          <w:szCs w:val="24"/>
        </w:rPr>
      </w:pPr>
      <w:r w:rsidRPr="001D13B2">
        <w:rPr>
          <w:rFonts w:ascii="Times New Roman" w:eastAsia="Calibri" w:hAnsi="Times New Roman"/>
          <w:i/>
          <w:sz w:val="24"/>
          <w:szCs w:val="24"/>
        </w:rPr>
        <w:lastRenderedPageBreak/>
        <w:t>Характеристики на местообитанието в България</w:t>
      </w:r>
      <w:r w:rsidR="001D13B2">
        <w:rPr>
          <w:rFonts w:ascii="Times New Roman" w:eastAsia="Calibri" w:hAnsi="Times New Roman"/>
          <w:sz w:val="24"/>
          <w:szCs w:val="24"/>
        </w:rPr>
        <w:t>.</w:t>
      </w:r>
      <w:r w:rsidRPr="00B420C3">
        <w:rPr>
          <w:rFonts w:ascii="Times New Roman" w:eastAsia="Calibri" w:hAnsi="Times New Roman"/>
          <w:sz w:val="24"/>
          <w:szCs w:val="24"/>
        </w:rPr>
        <w:t xml:space="preserve"> Възрастните обитават долните течения на реките и устията. Те предпочитат да стоят близо до </w:t>
      </w:r>
      <w:r w:rsidR="00D95C99">
        <w:rPr>
          <w:rFonts w:ascii="Times New Roman" w:eastAsia="Calibri" w:hAnsi="Times New Roman"/>
          <w:sz w:val="24"/>
          <w:szCs w:val="24"/>
        </w:rPr>
        <w:t>подпори</w:t>
      </w:r>
      <w:r w:rsidRPr="00B420C3">
        <w:rPr>
          <w:rFonts w:ascii="Times New Roman" w:eastAsia="Calibri" w:hAnsi="Times New Roman"/>
          <w:sz w:val="24"/>
          <w:szCs w:val="24"/>
        </w:rPr>
        <w:t xml:space="preserve"> </w:t>
      </w:r>
      <w:r w:rsidR="00D95C99">
        <w:rPr>
          <w:rFonts w:ascii="Times New Roman" w:eastAsia="Calibri" w:hAnsi="Times New Roman"/>
          <w:sz w:val="24"/>
          <w:szCs w:val="24"/>
        </w:rPr>
        <w:t>на мостове</w:t>
      </w:r>
      <w:r w:rsidRPr="00B420C3">
        <w:rPr>
          <w:rFonts w:ascii="Times New Roman" w:eastAsia="Calibri" w:hAnsi="Times New Roman"/>
          <w:sz w:val="24"/>
          <w:szCs w:val="24"/>
        </w:rPr>
        <w:t xml:space="preserve">, в близост до притоци, под бързеи, в части от реката с дълбоки течения и в тихи заливи на речните завои. Хвърлят хайвера си главно в бързо течащи води, върху чакъл или потопена растителност. Расперът е </w:t>
      </w:r>
      <w:r w:rsidR="00D95C99">
        <w:rPr>
          <w:rFonts w:ascii="Times New Roman" w:eastAsia="Calibri" w:hAnsi="Times New Roman"/>
          <w:sz w:val="24"/>
          <w:szCs w:val="24"/>
        </w:rPr>
        <w:t>чувствителен</w:t>
      </w:r>
      <w:r w:rsidRPr="00B420C3">
        <w:rPr>
          <w:rFonts w:ascii="Times New Roman" w:eastAsia="Calibri" w:hAnsi="Times New Roman"/>
          <w:sz w:val="24"/>
          <w:szCs w:val="24"/>
        </w:rPr>
        <w:t xml:space="preserve"> към ниско съдържание на разтворен кислород, но не са известни конкретни данни за неговите кислородни предпочитания. Той е застрашен поради изменение на морфологията на реките, особено поради изграждането на миграционни бариери.</w:t>
      </w:r>
    </w:p>
    <w:p w:rsidR="00B420C3" w:rsidRPr="00B420C3" w:rsidRDefault="00B420C3" w:rsidP="00EC5D51">
      <w:pPr>
        <w:spacing w:before="120"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3. Състояние на биогеографско ниво и разпространение в мрежата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Съгласно доклада по чл. 17 от Директивата за местообитанията, през 2019г. (за периода 2013 г. - 2018 г.), видът има благоприя</w:t>
      </w:r>
      <w:r w:rsidR="00EC5D51">
        <w:rPr>
          <w:rFonts w:ascii="Times New Roman" w:eastAsia="Calibri" w:hAnsi="Times New Roman"/>
          <w:sz w:val="24"/>
          <w:szCs w:val="24"/>
        </w:rPr>
        <w:t>тно природозащитно състояние в К</w:t>
      </w:r>
      <w:r w:rsidRPr="00B420C3">
        <w:rPr>
          <w:rFonts w:ascii="Times New Roman" w:eastAsia="Calibri" w:hAnsi="Times New Roman"/>
          <w:sz w:val="24"/>
          <w:szCs w:val="24"/>
        </w:rPr>
        <w:t xml:space="preserve">онтиненталния биогеографски </w:t>
      </w:r>
      <w:r w:rsidR="00EC5D51">
        <w:rPr>
          <w:rFonts w:ascii="Times New Roman" w:eastAsia="Calibri" w:hAnsi="Times New Roman"/>
          <w:sz w:val="24"/>
          <w:szCs w:val="24"/>
        </w:rPr>
        <w:t>регион</w:t>
      </w:r>
      <w:r w:rsidRPr="00B420C3">
        <w:rPr>
          <w:rFonts w:ascii="Times New Roman" w:eastAsia="Calibri" w:hAnsi="Times New Roman"/>
          <w:sz w:val="24"/>
          <w:szCs w:val="24"/>
        </w:rPr>
        <w:t xml:space="preserve">. Оценката от доклада от 2013г. (за периода 2007 г. – 2012 г.) е благоприятна за три параметри с изключение на бъдещи перспективи, което определя общата оценка като неблагоприятна (U1). Имайки сравнително дълъг живот (11 години) и късно съзряване (4-5 години), видът се нуждае от известно време, за да се възстанови след негативни тенденции в популацията. Паралелно с това, видът се характеризира като чувствителен по отношение на концентрацията на кислород, фрагментацията на местообитанието, замърсяването и други натиск. Бърз спад на </w:t>
      </w:r>
      <w:r w:rsidR="00D95C99">
        <w:rPr>
          <w:rFonts w:ascii="Times New Roman" w:eastAsia="Calibri" w:hAnsi="Times New Roman"/>
          <w:sz w:val="24"/>
          <w:szCs w:val="24"/>
        </w:rPr>
        <w:t xml:space="preserve">числеността би могъл да бъде фатален </w:t>
      </w:r>
      <w:r w:rsidRPr="00B420C3">
        <w:rPr>
          <w:rFonts w:ascii="Times New Roman" w:eastAsia="Calibri" w:hAnsi="Times New Roman"/>
          <w:sz w:val="24"/>
          <w:szCs w:val="24"/>
        </w:rPr>
        <w:t>за конкретната популация.</w:t>
      </w:r>
    </w:p>
    <w:p w:rsidR="00B420C3" w:rsidRPr="00B420C3" w:rsidRDefault="00DE51FF" w:rsidP="00B420C3">
      <w:pPr>
        <w:spacing w:after="160" w:line="240" w:lineRule="auto"/>
        <w:jc w:val="both"/>
        <w:rPr>
          <w:rFonts w:ascii="Times New Roman" w:eastAsia="Calibri" w:hAnsi="Times New Roman"/>
          <w:color w:val="0563C1"/>
          <w:sz w:val="24"/>
          <w:szCs w:val="24"/>
          <w:u w:val="single"/>
        </w:rPr>
      </w:pPr>
      <w:hyperlink r:id="rId76" w:history="1">
        <w:r w:rsidR="00B420C3" w:rsidRPr="00B420C3">
          <w:rPr>
            <w:rFonts w:ascii="Times New Roman" w:eastAsia="Calibri" w:hAnsi="Times New Roman"/>
            <w:color w:val="0563C1"/>
            <w:sz w:val="24"/>
            <w:szCs w:val="24"/>
            <w:u w:val="single"/>
          </w:rPr>
          <w:t>https://nature-art17.eionet.europa.eu/article17/species/report/</w:t>
        </w:r>
      </w:hyperlink>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Тъй като обитава долните течения на големи реки и р. Дунав, не се среща в алпийски биогеографски регион и трябва да бъде изключен от там.</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B420C3" w:rsidRPr="00B420C3" w:rsidRDefault="00B420C3" w:rsidP="00B420C3">
      <w:pPr>
        <w:spacing w:after="0" w:line="240" w:lineRule="auto"/>
        <w:jc w:val="both"/>
        <w:rPr>
          <w:rFonts w:ascii="Times New Roman" w:eastAsia="Calibri" w:hAnsi="Times New Roman"/>
          <w:sz w:val="24"/>
          <w:szCs w:val="24"/>
        </w:rPr>
      </w:pPr>
      <w:r w:rsidRPr="00B420C3">
        <w:rPr>
          <w:rFonts w:ascii="Times New Roman" w:eastAsia="Calibri" w:hAnsi="Times New Roman"/>
          <w:sz w:val="24"/>
          <w:szCs w:val="24"/>
        </w:rPr>
        <w:t>Пряко въздействащи негативни антропогенни фактори.</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 xml:space="preserve">Улавяне в риболовни уреди, целенасочен промишлен, любителски и не регламентиран (бракониерски) риболов. </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Разрушаване на местообитанията и прекъсване на биокоридорите: добив на инертни материали, корекции на реки, преграждане на речните корита;</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 xml:space="preserve">Замърсяване на водите. </w:t>
      </w:r>
    </w:p>
    <w:p w:rsidR="00B420C3" w:rsidRPr="00B420C3" w:rsidRDefault="00B420C3" w:rsidP="00B420C3">
      <w:pPr>
        <w:spacing w:after="0" w:line="240" w:lineRule="auto"/>
        <w:jc w:val="both"/>
        <w:rPr>
          <w:rFonts w:ascii="Times New Roman" w:eastAsia="Calibri" w:hAnsi="Times New Roman"/>
          <w:b/>
          <w:sz w:val="24"/>
          <w:szCs w:val="24"/>
          <w:lang w:val="en-US"/>
        </w:rPr>
      </w:pP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4. Състояние на ниво защитена зона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44"/>
        <w:gridCol w:w="610"/>
        <w:gridCol w:w="1175"/>
        <w:gridCol w:w="271"/>
        <w:gridCol w:w="564"/>
        <w:gridCol w:w="321"/>
        <w:gridCol w:w="656"/>
        <w:gridCol w:w="713"/>
        <w:gridCol w:w="551"/>
        <w:gridCol w:w="539"/>
        <w:gridCol w:w="987"/>
        <w:gridCol w:w="826"/>
        <w:gridCol w:w="574"/>
        <w:gridCol w:w="489"/>
        <w:gridCol w:w="724"/>
      </w:tblGrid>
      <w:tr w:rsidR="00B420C3" w:rsidRPr="00B420C3" w:rsidTr="00EC5D51">
        <w:trPr>
          <w:tblCellSpacing w:w="15" w:type="dxa"/>
        </w:trPr>
        <w:tc>
          <w:tcPr>
            <w:tcW w:w="1560" w:type="pct"/>
            <w:gridSpan w:val="5"/>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Species </w:t>
            </w:r>
          </w:p>
        </w:tc>
        <w:tc>
          <w:tcPr>
            <w:tcW w:w="1996" w:type="pct"/>
            <w:gridSpan w:val="6"/>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Population in the site </w:t>
            </w:r>
          </w:p>
        </w:tc>
        <w:tc>
          <w:tcPr>
            <w:tcW w:w="1380" w:type="pct"/>
            <w:gridSpan w:val="4"/>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Site assessment </w:t>
            </w:r>
          </w:p>
        </w:tc>
      </w:tr>
      <w:tr w:rsidR="00B420C3" w:rsidRPr="00B420C3" w:rsidTr="00EC5D51">
        <w:trPr>
          <w:tblCellSpacing w:w="15" w:type="dxa"/>
        </w:trPr>
        <w:tc>
          <w:tcPr>
            <w:tcW w:w="167"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G </w:t>
            </w:r>
          </w:p>
        </w:tc>
        <w:tc>
          <w:tcPr>
            <w:tcW w:w="324"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Code </w:t>
            </w:r>
          </w:p>
        </w:tc>
        <w:tc>
          <w:tcPr>
            <w:tcW w:w="638"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Scientific Name </w:t>
            </w:r>
          </w:p>
        </w:tc>
        <w:tc>
          <w:tcPr>
            <w:tcW w:w="134"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 </w:t>
            </w:r>
          </w:p>
        </w:tc>
        <w:tc>
          <w:tcPr>
            <w:tcW w:w="233"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NP </w:t>
            </w:r>
          </w:p>
        </w:tc>
        <w:tc>
          <w:tcPr>
            <w:tcW w:w="162"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T </w:t>
            </w:r>
          </w:p>
        </w:tc>
        <w:tc>
          <w:tcPr>
            <w:tcW w:w="728" w:type="pct"/>
            <w:gridSpan w:val="2"/>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Size </w:t>
            </w:r>
          </w:p>
        </w:tc>
        <w:tc>
          <w:tcPr>
            <w:tcW w:w="29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Unit </w:t>
            </w:r>
          </w:p>
        </w:tc>
        <w:tc>
          <w:tcPr>
            <w:tcW w:w="28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Cat. </w:t>
            </w:r>
          </w:p>
        </w:tc>
        <w:tc>
          <w:tcPr>
            <w:tcW w:w="46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D.qual. </w:t>
            </w:r>
          </w:p>
        </w:tc>
        <w:tc>
          <w:tcPr>
            <w:tcW w:w="44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A|B|C|D </w:t>
            </w:r>
          </w:p>
        </w:tc>
        <w:tc>
          <w:tcPr>
            <w:tcW w:w="921" w:type="pct"/>
            <w:gridSpan w:val="3"/>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 </w:t>
            </w:r>
          </w:p>
        </w:tc>
      </w:tr>
      <w:tr w:rsidR="00B420C3" w:rsidRPr="00B420C3" w:rsidTr="00EC5D51">
        <w:trPr>
          <w:tblCellSpacing w:w="15" w:type="dxa"/>
        </w:trPr>
        <w:tc>
          <w:tcPr>
            <w:tcW w:w="16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324"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63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34"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3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62"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34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Min</w:t>
            </w:r>
          </w:p>
        </w:tc>
        <w:tc>
          <w:tcPr>
            <w:tcW w:w="364"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Max</w:t>
            </w:r>
          </w:p>
        </w:tc>
        <w:tc>
          <w:tcPr>
            <w:tcW w:w="29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8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p>
        </w:tc>
        <w:tc>
          <w:tcPr>
            <w:tcW w:w="46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44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Pop.</w:t>
            </w:r>
          </w:p>
        </w:tc>
        <w:tc>
          <w:tcPr>
            <w:tcW w:w="30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Con.</w:t>
            </w:r>
          </w:p>
        </w:tc>
        <w:tc>
          <w:tcPr>
            <w:tcW w:w="25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Iso.</w:t>
            </w:r>
          </w:p>
        </w:tc>
        <w:tc>
          <w:tcPr>
            <w:tcW w:w="32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Glo.</w:t>
            </w:r>
          </w:p>
        </w:tc>
      </w:tr>
      <w:tr w:rsidR="00B420C3" w:rsidRPr="00B420C3" w:rsidTr="000C2232">
        <w:trPr>
          <w:tblCellSpacing w:w="15" w:type="dxa"/>
        </w:trPr>
        <w:tc>
          <w:tcPr>
            <w:tcW w:w="1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F</w:t>
            </w:r>
          </w:p>
        </w:tc>
        <w:tc>
          <w:tcPr>
            <w:tcW w:w="32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1130</w:t>
            </w:r>
          </w:p>
        </w:tc>
        <w:tc>
          <w:tcPr>
            <w:tcW w:w="63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i/>
                <w:sz w:val="16"/>
                <w:szCs w:val="16"/>
                <w:lang w:val="en-US"/>
              </w:rPr>
            </w:pPr>
            <w:r w:rsidRPr="00B420C3">
              <w:rPr>
                <w:rFonts w:ascii="Times New Roman" w:eastAsia="Calibri" w:hAnsi="Times New Roman"/>
                <w:b/>
                <w:bCs/>
                <w:i/>
                <w:sz w:val="16"/>
                <w:szCs w:val="16"/>
                <w:lang w:val="en-US"/>
              </w:rPr>
              <w:t>Aspius aspius</w:t>
            </w:r>
          </w:p>
        </w:tc>
        <w:tc>
          <w:tcPr>
            <w:tcW w:w="13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p>
        </w:tc>
        <w:tc>
          <w:tcPr>
            <w:tcW w:w="23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p>
        </w:tc>
        <w:tc>
          <w:tcPr>
            <w:tcW w:w="16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Р</w:t>
            </w:r>
          </w:p>
        </w:tc>
        <w:tc>
          <w:tcPr>
            <w:tcW w:w="34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5072</w:t>
            </w:r>
          </w:p>
        </w:tc>
        <w:tc>
          <w:tcPr>
            <w:tcW w:w="36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5072</w:t>
            </w:r>
          </w:p>
        </w:tc>
        <w:tc>
          <w:tcPr>
            <w:tcW w:w="29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i</w:t>
            </w:r>
          </w:p>
        </w:tc>
        <w:tc>
          <w:tcPr>
            <w:tcW w:w="28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C</w:t>
            </w:r>
          </w:p>
        </w:tc>
        <w:tc>
          <w:tcPr>
            <w:tcW w:w="4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G</w:t>
            </w:r>
          </w:p>
        </w:tc>
        <w:tc>
          <w:tcPr>
            <w:tcW w:w="44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С</w:t>
            </w:r>
          </w:p>
        </w:tc>
        <w:tc>
          <w:tcPr>
            <w:tcW w:w="30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A</w:t>
            </w:r>
          </w:p>
        </w:tc>
        <w:tc>
          <w:tcPr>
            <w:tcW w:w="25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В</w:t>
            </w:r>
          </w:p>
        </w:tc>
        <w:tc>
          <w:tcPr>
            <w:tcW w:w="32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A</w:t>
            </w:r>
          </w:p>
        </w:tc>
      </w:tr>
    </w:tbl>
    <w:p w:rsidR="00B420C3" w:rsidRPr="00B420C3" w:rsidRDefault="00B420C3" w:rsidP="00B420C3">
      <w:pPr>
        <w:autoSpaceDE w:val="0"/>
        <w:autoSpaceDN w:val="0"/>
        <w:adjustRightInd w:val="0"/>
        <w:spacing w:after="0" w:line="240" w:lineRule="auto"/>
        <w:jc w:val="both"/>
        <w:rPr>
          <w:rFonts w:ascii="Times New Roman" w:eastAsia="Calibri" w:hAnsi="Times New Roman"/>
          <w:bCs/>
          <w:color w:val="000000"/>
          <w:kern w:val="36"/>
          <w:sz w:val="24"/>
          <w:szCs w:val="24"/>
        </w:rPr>
      </w:pPr>
      <w:r w:rsidRPr="00B420C3">
        <w:rPr>
          <w:rFonts w:ascii="Times New Roman" w:eastAsia="Calibri" w:hAnsi="Times New Roman"/>
          <w:b/>
          <w:sz w:val="24"/>
          <w:szCs w:val="24"/>
        </w:rPr>
        <w:t xml:space="preserve">Източник: </w:t>
      </w:r>
    </w:p>
    <w:p w:rsidR="00B420C3" w:rsidRPr="00B420C3" w:rsidRDefault="00DE51FF" w:rsidP="00B420C3">
      <w:pPr>
        <w:spacing w:after="160" w:line="240" w:lineRule="auto"/>
        <w:jc w:val="both"/>
        <w:rPr>
          <w:rFonts w:ascii="Times New Roman" w:eastAsia="Calibri" w:hAnsi="Times New Roman"/>
          <w:sz w:val="24"/>
          <w:szCs w:val="24"/>
        </w:rPr>
      </w:pPr>
      <w:hyperlink r:id="rId77" w:history="1">
        <w:r w:rsidR="00B420C3" w:rsidRPr="00B420C3">
          <w:rPr>
            <w:rFonts w:ascii="Times New Roman" w:eastAsia="Calibri" w:hAnsi="Times New Roman"/>
            <w:color w:val="0563C1"/>
            <w:sz w:val="24"/>
            <w:szCs w:val="24"/>
            <w:u w:val="single"/>
          </w:rPr>
          <w:t>http://natura2000.moew.government.bg/PublicDownloads/Auto/PS_SCI/BG0000530/BG0000530_PS_16.pdf</w:t>
        </w:r>
      </w:hyperlink>
    </w:p>
    <w:p w:rsidR="00B420C3" w:rsidRPr="00B420C3" w:rsidRDefault="00B420C3" w:rsidP="00EC5D51">
      <w:pPr>
        <w:spacing w:after="16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B420C3" w:rsidRPr="00B420C3" w:rsidRDefault="00B420C3" w:rsidP="00EC5D51">
      <w:pPr>
        <w:spacing w:after="160" w:line="240" w:lineRule="auto"/>
        <w:ind w:firstLine="709"/>
        <w:jc w:val="both"/>
        <w:rPr>
          <w:rFonts w:ascii="Times New Roman" w:eastAsia="Calibri" w:hAnsi="Times New Roman"/>
          <w:sz w:val="24"/>
          <w:szCs w:val="24"/>
        </w:rPr>
      </w:pPr>
      <w:bookmarkStart w:id="39" w:name="_Hlk88834081"/>
      <w:r w:rsidRPr="00B420C3">
        <w:rPr>
          <w:rFonts w:ascii="Times New Roman" w:eastAsia="Calibri" w:hAnsi="Times New Roman"/>
          <w:sz w:val="24"/>
          <w:szCs w:val="24"/>
        </w:rPr>
        <w:lastRenderedPageBreak/>
        <w:t>Качеството на данните за вида е оценено като „добро“ (</w:t>
      </w:r>
      <w:r w:rsidRPr="00B420C3">
        <w:rPr>
          <w:rFonts w:ascii="Times New Roman" w:eastAsia="Calibri" w:hAnsi="Times New Roman"/>
          <w:sz w:val="24"/>
          <w:szCs w:val="24"/>
          <w:lang w:val="en-GB"/>
        </w:rPr>
        <w:t>G</w:t>
      </w:r>
      <w:r w:rsidRPr="00B420C3">
        <w:rPr>
          <w:rFonts w:ascii="Times New Roman" w:eastAsia="Calibri" w:hAnsi="Times New Roman"/>
          <w:sz w:val="24"/>
          <w:szCs w:val="24"/>
        </w:rPr>
        <w:t>). Популацията е оценена в брой индивиди (5272 мин-макс). Опазването на вида е оценено с „</w:t>
      </w:r>
      <w:r w:rsidRPr="00B420C3">
        <w:rPr>
          <w:rFonts w:ascii="Times New Roman" w:eastAsia="Calibri" w:hAnsi="Times New Roman"/>
          <w:bCs/>
          <w:color w:val="000000"/>
          <w:kern w:val="36"/>
          <w:sz w:val="24"/>
          <w:szCs w:val="24"/>
        </w:rPr>
        <w:t>А“ (Отлично опазване)</w:t>
      </w:r>
      <w:r w:rsidRPr="00B420C3">
        <w:rPr>
          <w:rFonts w:ascii="Times New Roman" w:eastAsia="Calibri" w:hAnsi="Times New Roman"/>
          <w:sz w:val="24"/>
          <w:szCs w:val="24"/>
        </w:rPr>
        <w:t>. Степента на изолация на популацията е оценена с „В“</w:t>
      </w:r>
      <w:r w:rsidRPr="00B420C3">
        <w:rPr>
          <w:rFonts w:ascii="Times New Roman" w:eastAsia="Calibri" w:hAnsi="Times New Roman"/>
          <w:bCs/>
          <w:color w:val="000000"/>
          <w:kern w:val="36"/>
          <w:sz w:val="24"/>
          <w:szCs w:val="24"/>
        </w:rPr>
        <w:t xml:space="preserve"> (не изолирана популация, но на границата на ареала на разпространение). Тази оценка е погрешна, защото, както е посочено по-горе, видът е широко разпространен и р. Дунав </w:t>
      </w:r>
      <w:r w:rsidR="00D95C99">
        <w:rPr>
          <w:rFonts w:ascii="Times New Roman" w:eastAsia="Calibri" w:hAnsi="Times New Roman"/>
          <w:bCs/>
          <w:color w:val="000000"/>
          <w:kern w:val="36"/>
          <w:sz w:val="24"/>
          <w:szCs w:val="24"/>
        </w:rPr>
        <w:t>не е гр</w:t>
      </w:r>
      <w:r w:rsidRPr="00B420C3">
        <w:rPr>
          <w:rFonts w:ascii="Times New Roman" w:eastAsia="Calibri" w:hAnsi="Times New Roman"/>
          <w:bCs/>
          <w:color w:val="000000"/>
          <w:kern w:val="36"/>
          <w:sz w:val="24"/>
          <w:szCs w:val="24"/>
        </w:rPr>
        <w:t>анична за ареала му.</w:t>
      </w:r>
      <w:r w:rsidRPr="00B420C3">
        <w:rPr>
          <w:rFonts w:ascii="Times New Roman" w:eastAsia="Calibri" w:hAnsi="Times New Roman"/>
          <w:sz w:val="24"/>
          <w:szCs w:val="24"/>
        </w:rPr>
        <w:t xml:space="preserve"> Цялостна оценка на стойността на зоната за опазването на вида в зоната попада в категорията „А“</w:t>
      </w:r>
      <w:r w:rsidRPr="00B420C3">
        <w:rPr>
          <w:rFonts w:ascii="Times New Roman" w:eastAsia="Calibri" w:hAnsi="Times New Roman"/>
          <w:bCs/>
          <w:color w:val="000000"/>
          <w:kern w:val="36"/>
          <w:sz w:val="24"/>
          <w:szCs w:val="24"/>
        </w:rPr>
        <w:t xml:space="preserve"> (отлична стойност)</w:t>
      </w:r>
      <w:r w:rsidRPr="00B420C3">
        <w:rPr>
          <w:rFonts w:ascii="Times New Roman" w:eastAsia="Calibri" w:hAnsi="Times New Roman"/>
          <w:sz w:val="24"/>
          <w:szCs w:val="24"/>
        </w:rPr>
        <w:t xml:space="preserve">. </w:t>
      </w: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5. </w:t>
      </w:r>
      <w:r w:rsidR="00EC5D51">
        <w:rPr>
          <w:rFonts w:ascii="Times New Roman" w:eastAsia="Calibri" w:hAnsi="Times New Roman"/>
          <w:b/>
          <w:sz w:val="24"/>
          <w:szCs w:val="24"/>
        </w:rPr>
        <w:t>Анализ на наличната информация</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Видът е регистриран през 2013 г. в зоната по време на проект "Картиране и определяне на природозащитното състояние на природни местообитания и видове - фаза I". Популационните параметри „Численост“ и „Биомаса“ съответстват на „Благоприятно“ ПС, но параметърът „Възрастов състав“ е в границите на „Неблагоприятно-незадоволително“ ПС. Поради това, по критерий „Популация в зоната“ видът е категоризиран в неблагоприятно-незадоволително ПС. Всички останали критерии съответстват на „Благоприятно“ ПС, но съгласно приетия подход за оценка общата оценка за ПС на вида в зоната е „Неблагоприятно-незадоволително“. В стандартния формуляр е представена информация за числеността на популацията.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В границите на зоната местообитания на распер са ез. Сребърна и прилежащият участък от р. Дунав.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Участъкът от река Дунав в зоната, според своите хидроморфологични характеристики представлява подходящо местообитание за вида и ефективен еко</w:t>
      </w:r>
      <w:r w:rsidR="00D95C99">
        <w:rPr>
          <w:rFonts w:ascii="Times New Roman" w:eastAsia="Calibri" w:hAnsi="Times New Roman"/>
          <w:sz w:val="24"/>
          <w:szCs w:val="24"/>
        </w:rPr>
        <w:t xml:space="preserve">логичен </w:t>
      </w:r>
      <w:r w:rsidRPr="00B420C3">
        <w:rPr>
          <w:rFonts w:ascii="Times New Roman" w:eastAsia="Calibri" w:hAnsi="Times New Roman"/>
          <w:sz w:val="24"/>
          <w:szCs w:val="24"/>
        </w:rPr>
        <w:t xml:space="preserve">коридор за връзка с останалите части на популацията, тъй като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По данни от международното научно изследване </w:t>
      </w:r>
      <w:r w:rsidRPr="00B420C3">
        <w:rPr>
          <w:rFonts w:ascii="Times New Roman" w:eastAsia="Calibri" w:hAnsi="Times New Roman"/>
          <w:sz w:val="24"/>
          <w:szCs w:val="24"/>
          <w:lang w:val="en-US"/>
        </w:rPr>
        <w:t>“JDS 4”</w:t>
      </w:r>
      <w:r w:rsidRPr="00B420C3">
        <w:rPr>
          <w:rFonts w:ascii="Times New Roman" w:eastAsia="Calibri" w:hAnsi="Times New Roman"/>
          <w:sz w:val="24"/>
          <w:szCs w:val="24"/>
        </w:rPr>
        <w:t xml:space="preserve">, през 2019 </w:t>
      </w:r>
      <w:r w:rsidR="00D95C99">
        <w:rPr>
          <w:rFonts w:ascii="Times New Roman" w:eastAsia="Calibri" w:hAnsi="Times New Roman"/>
          <w:sz w:val="24"/>
          <w:szCs w:val="24"/>
        </w:rPr>
        <w:t xml:space="preserve">г. </w:t>
      </w:r>
      <w:r w:rsidRPr="00B420C3">
        <w:rPr>
          <w:rFonts w:ascii="Times New Roman" w:eastAsia="Calibri" w:hAnsi="Times New Roman"/>
          <w:sz w:val="24"/>
          <w:szCs w:val="24"/>
        </w:rPr>
        <w:t xml:space="preserve">на най-близкия мониторингов пункт на р. Дунав при с. Ветрен е определен </w:t>
      </w:r>
      <w:r w:rsidR="00D95C99">
        <w:rPr>
          <w:rFonts w:ascii="Times New Roman" w:eastAsia="Calibri" w:hAnsi="Times New Roman"/>
          <w:sz w:val="24"/>
          <w:szCs w:val="24"/>
        </w:rPr>
        <w:t>„</w:t>
      </w:r>
      <w:r w:rsidRPr="00B420C3">
        <w:rPr>
          <w:rFonts w:ascii="Times New Roman" w:eastAsia="Calibri" w:hAnsi="Times New Roman"/>
          <w:sz w:val="24"/>
          <w:szCs w:val="24"/>
        </w:rPr>
        <w:t>Добър екологичен потенциал</w:t>
      </w:r>
      <w:r w:rsidR="00D95C99">
        <w:rPr>
          <w:rFonts w:ascii="Times New Roman" w:eastAsia="Calibri" w:hAnsi="Times New Roman"/>
          <w:sz w:val="24"/>
          <w:szCs w:val="24"/>
        </w:rPr>
        <w:t>“</w:t>
      </w:r>
      <w:r w:rsidRPr="00B420C3">
        <w:rPr>
          <w:rFonts w:ascii="Times New Roman" w:eastAsia="Calibri" w:hAnsi="Times New Roman"/>
          <w:sz w:val="24"/>
          <w:szCs w:val="24"/>
        </w:rPr>
        <w:t xml:space="preserve"> по БЕК Риби, БЕК Макрозообентос и БЕК Макрофити. Според наличната информация р. Дунав и в частност, участъкът в границите на зоната не е гранична за ареала на вида.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През 2020 г. при извършване на биологичен мониторинг на ез. Сребърна е установено Умерено екологично състояние (ЕС) по БЕК Риби и Лошо  ЕС – по БЕК Фитопланктон и БЕК Макрофити. Установеното влошаване на ЕС на езерото се обяснява с продължително маловодие и ниски водни стоежи. </w:t>
      </w:r>
    </w:p>
    <w:p w:rsidR="00B420C3" w:rsidRPr="00B420C3" w:rsidRDefault="00B420C3" w:rsidP="00EC5D51">
      <w:pPr>
        <w:spacing w:after="0" w:line="240" w:lineRule="auto"/>
        <w:ind w:firstLine="709"/>
        <w:jc w:val="both"/>
        <w:rPr>
          <w:rFonts w:ascii="Times New Roman" w:eastAsia="Calibri" w:hAnsi="Times New Roman"/>
          <w:sz w:val="24"/>
          <w:szCs w:val="24"/>
          <w:lang w:val="en-GB"/>
        </w:rPr>
      </w:pPr>
      <w:r w:rsidRPr="00B420C3">
        <w:rPr>
          <w:rFonts w:ascii="Times New Roman" w:eastAsia="Calibri" w:hAnsi="Times New Roman"/>
          <w:sz w:val="24"/>
          <w:szCs w:val="24"/>
        </w:rPr>
        <w:t>Присъствието на распер в езерото Сребърна е потвърдено многократно при наши изследвания през периода 2000 – 2020 г. Местообитание на вида са откритите водни огледала, които не са обрасли с тръстикови масиви. Видът не се размножава в езерото, а навлиза с високите дунавски води за отхранване. Изследванията са извършвани чрез пробонабиране с хрилни мрежи, съгласно приетия подход за мониторинг на риби в езера (</w:t>
      </w:r>
      <w:hyperlink r:id="rId78" w:history="1">
        <w:r w:rsidRPr="00B420C3">
          <w:rPr>
            <w:rFonts w:ascii="Times New Roman" w:eastAsia="Calibri" w:hAnsi="Times New Roman"/>
            <w:color w:val="0563C1"/>
            <w:sz w:val="24"/>
            <w:szCs w:val="24"/>
            <w:u w:val="single"/>
          </w:rPr>
          <w:t>http://eea.government.bg/bg/bio/nsmbr/praktichesko-rakovodstvo-metodiki-za-monitoring-i-otsenka/Podhod_lakes_1.pdf</w:t>
        </w:r>
      </w:hyperlink>
      <w:r w:rsidRPr="00B420C3">
        <w:rPr>
          <w:rFonts w:ascii="Times New Roman" w:eastAsia="Calibri" w:hAnsi="Times New Roman"/>
          <w:sz w:val="24"/>
          <w:szCs w:val="24"/>
        </w:rPr>
        <w:t>), който се базира на методиката описана в Стандарт EN 14757. Съответно, числеността на вида е отчитана като индивиди на единица риболовно усилие (</w:t>
      </w:r>
      <w:r w:rsidRPr="00B420C3">
        <w:rPr>
          <w:rFonts w:ascii="Times New Roman" w:eastAsia="Calibri" w:hAnsi="Times New Roman"/>
          <w:sz w:val="24"/>
          <w:szCs w:val="24"/>
          <w:lang w:val="en-GB"/>
        </w:rPr>
        <w:t>CPUE</w:t>
      </w:r>
      <w:r w:rsidRPr="00B420C3">
        <w:rPr>
          <w:rFonts w:ascii="Times New Roman" w:eastAsia="Calibri" w:hAnsi="Times New Roman"/>
          <w:sz w:val="24"/>
          <w:szCs w:val="24"/>
        </w:rPr>
        <w:t>)</w:t>
      </w:r>
      <w:r w:rsidRPr="00B420C3">
        <w:rPr>
          <w:rFonts w:ascii="Times New Roman" w:eastAsia="Calibri" w:hAnsi="Times New Roman"/>
          <w:sz w:val="24"/>
          <w:szCs w:val="24"/>
          <w:lang w:val="en-GB"/>
        </w:rPr>
        <w:t xml:space="preserve">. </w:t>
      </w:r>
      <w:r w:rsidRPr="00B420C3">
        <w:rPr>
          <w:rFonts w:ascii="Times New Roman" w:eastAsia="Calibri" w:hAnsi="Times New Roman"/>
          <w:sz w:val="24"/>
          <w:szCs w:val="24"/>
        </w:rPr>
        <w:t xml:space="preserve">Установената численост за 20 годишен период варира от 8 до </w:t>
      </w:r>
      <w:r w:rsidRPr="00B420C3">
        <w:rPr>
          <w:rFonts w:ascii="Times New Roman" w:eastAsia="Calibri" w:hAnsi="Times New Roman"/>
          <w:sz w:val="24"/>
          <w:szCs w:val="24"/>
          <w:lang w:val="en-GB"/>
        </w:rPr>
        <w:t>19</w:t>
      </w:r>
      <w:r w:rsidRPr="00B420C3">
        <w:rPr>
          <w:rFonts w:ascii="Times New Roman" w:eastAsia="Calibri" w:hAnsi="Times New Roman"/>
          <w:sz w:val="24"/>
          <w:szCs w:val="24"/>
        </w:rPr>
        <w:t xml:space="preserve"> индивида/</w:t>
      </w:r>
      <w:r w:rsidRPr="00B420C3">
        <w:rPr>
          <w:rFonts w:ascii="Times New Roman" w:eastAsia="Calibri" w:hAnsi="Times New Roman"/>
          <w:sz w:val="24"/>
          <w:szCs w:val="24"/>
          <w:lang w:val="en-US"/>
        </w:rPr>
        <w:t>CPUE</w:t>
      </w:r>
      <w:r w:rsidRPr="00B420C3">
        <w:rPr>
          <w:rFonts w:ascii="Times New Roman" w:eastAsia="Calibri" w:hAnsi="Times New Roman"/>
          <w:sz w:val="24"/>
          <w:szCs w:val="24"/>
        </w:rPr>
        <w:t xml:space="preserve">. Анализът на наличната информация показва ясна връзка между измененията в числеността и биомасата на распера в ез. Сребърна и годишната динамика на заливането от р. Дунав. </w:t>
      </w:r>
    </w:p>
    <w:p w:rsidR="00B420C3" w:rsidRPr="00B420C3" w:rsidRDefault="00B420C3" w:rsidP="00EC5D51">
      <w:pPr>
        <w:spacing w:after="0" w:line="240" w:lineRule="auto"/>
        <w:ind w:firstLine="709"/>
        <w:jc w:val="both"/>
        <w:rPr>
          <w:rFonts w:ascii="Times New Roman" w:eastAsia="Calibri" w:hAnsi="Times New Roman"/>
          <w:sz w:val="24"/>
          <w:szCs w:val="24"/>
        </w:rPr>
      </w:pPr>
      <w:bookmarkStart w:id="40" w:name="_Hlk89000292"/>
      <w:r w:rsidRPr="00B420C3">
        <w:rPr>
          <w:rFonts w:ascii="Times New Roman" w:eastAsia="Calibri" w:hAnsi="Times New Roman"/>
          <w:sz w:val="24"/>
          <w:szCs w:val="24"/>
        </w:rPr>
        <w:t xml:space="preserve">Полевото проучване </w:t>
      </w:r>
      <w:r w:rsidR="00D95C99">
        <w:rPr>
          <w:rFonts w:ascii="Times New Roman" w:eastAsia="Calibri" w:hAnsi="Times New Roman"/>
          <w:sz w:val="24"/>
          <w:szCs w:val="24"/>
        </w:rPr>
        <w:t xml:space="preserve">през 2021 г. </w:t>
      </w:r>
      <w:r w:rsidRPr="00B420C3">
        <w:rPr>
          <w:rFonts w:ascii="Times New Roman" w:eastAsia="Calibri" w:hAnsi="Times New Roman"/>
          <w:sz w:val="24"/>
          <w:szCs w:val="24"/>
        </w:rPr>
        <w:t xml:space="preserve">по време на проекта за определяне на целите за опазване на вида в защитената зона обхваща ез. Сребърна и участъка от р. Дунав в границите на зоната. В р. Дунав изследването е извършено на 2 пункта, които включват </w:t>
      </w:r>
      <w:r w:rsidRPr="00B420C3">
        <w:rPr>
          <w:rFonts w:ascii="Times New Roman" w:eastAsia="Calibri" w:hAnsi="Times New Roman"/>
          <w:sz w:val="24"/>
          <w:szCs w:val="24"/>
        </w:rPr>
        <w:lastRenderedPageBreak/>
        <w:t>представителни хабитати на вида, и които позволяват адекватна оценка на популацията в зоната. Използван е един метод за пробонабиране приложим за този вид: стационарни многобримкови хрилни мрежи с дължина 25-30 м, поставяни успоредно на брега съгласно методиката за мониторинг на риби (подход за мониторинг на риби в р. Дунав), приета в Националната система за мониторинг на биологичното разнообразие (http://eea.government.bg/bg/bio/nsmbr/praktichesko-rakovodstvo-metodiki-za-monitoring-i-otsenka/Podhod_Dunav.pdf). Във всеки участък са поставяни 3-5 мрежи. При този подход числеността на рибите се определя като улов (индивиди) на единица риболовно усилие (ind. CPUE). При извършеното проучване видът не е регистриран в нито един от трансектите в р. Дунав.</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В ез. Сребърна изследването е извършено в съответствие с методическите изисквания, описани в Подход за мониторинг на риби в езера</w:t>
      </w:r>
      <w:r w:rsidRPr="00B420C3">
        <w:rPr>
          <w:rFonts w:ascii="Times New Roman" w:eastAsia="Calibri" w:hAnsi="Times New Roman"/>
          <w:sz w:val="24"/>
          <w:szCs w:val="24"/>
          <w:lang w:val="en-US"/>
        </w:rPr>
        <w:t>.</w:t>
      </w:r>
      <w:r w:rsidRPr="00B420C3">
        <w:rPr>
          <w:rFonts w:ascii="Times New Roman" w:eastAsia="Calibri" w:hAnsi="Times New Roman"/>
          <w:sz w:val="24"/>
          <w:szCs w:val="24"/>
        </w:rPr>
        <w:t xml:space="preserve"> – </w:t>
      </w:r>
      <w:r w:rsidRPr="00B420C3">
        <w:rPr>
          <w:rFonts w:ascii="Times New Roman" w:eastAsia="Calibri" w:hAnsi="Times New Roman"/>
          <w:sz w:val="24"/>
          <w:szCs w:val="24"/>
          <w:lang w:val="en-US"/>
        </w:rPr>
        <w:t>I</w:t>
      </w:r>
      <w:r w:rsidRPr="00B420C3">
        <w:rPr>
          <w:rFonts w:ascii="Times New Roman" w:eastAsia="Calibri" w:hAnsi="Times New Roman"/>
          <w:sz w:val="24"/>
          <w:szCs w:val="24"/>
        </w:rPr>
        <w:t xml:space="preserve"> част (</w:t>
      </w:r>
      <w:hyperlink r:id="rId79" w:history="1">
        <w:r w:rsidRPr="00B420C3">
          <w:rPr>
            <w:rFonts w:ascii="Times New Roman" w:eastAsia="Calibri" w:hAnsi="Times New Roman"/>
            <w:color w:val="0563C1"/>
            <w:sz w:val="24"/>
            <w:szCs w:val="24"/>
            <w:u w:val="single"/>
          </w:rPr>
          <w:t>http://eea.government.bg/bg/bio/nsmbr/praktichesko-rakovodstvo-metodiki-za-monitoring-i-otsenka/Podhod_lakes_1.pdf</w:t>
        </w:r>
      </w:hyperlink>
      <w:r w:rsidRPr="00B420C3">
        <w:rPr>
          <w:rFonts w:ascii="Times New Roman" w:eastAsia="Calibri" w:hAnsi="Times New Roman"/>
          <w:sz w:val="24"/>
          <w:szCs w:val="24"/>
        </w:rPr>
        <w:t>). При извършеното проучване видът не е регистриран в езерото. Очевидно е влошаването на състоянието на вида в езерото, което най-вероятно се дължи на силно изразеното маловодие и липсата на хидравлична връзка между езерото и р. Дунав през последните 2 години.</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Защитена зона </w:t>
      </w:r>
      <w:r w:rsidRPr="00B420C3">
        <w:rPr>
          <w:rFonts w:ascii="Times New Roman" w:eastAsia="Calibri" w:hAnsi="Times New Roman"/>
          <w:sz w:val="24"/>
          <w:szCs w:val="24"/>
          <w:lang w:val="en-US"/>
        </w:rPr>
        <w:t>BG0000241</w:t>
      </w:r>
      <w:r w:rsidRPr="00B420C3">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в участъка от р. Дунав в зоната не са установени други специфични заплахи, освен риболова.</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В ез. Сребърна при изследванията през последните години е установено нарастване на натиска от чужди инвазивни видове риби. След 2013 г. в езерото се наблюдава бързо нарастване на популацията на нов за страната чужд инвазивен вид риба </w:t>
      </w:r>
      <w:r w:rsidRPr="00B420C3">
        <w:rPr>
          <w:rFonts w:ascii="Times New Roman" w:eastAsia="Calibri" w:hAnsi="Times New Roman"/>
          <w:sz w:val="24"/>
          <w:szCs w:val="24"/>
          <w:lang w:val="en-US"/>
        </w:rPr>
        <w:t xml:space="preserve">Ameiurus melas, </w:t>
      </w:r>
      <w:r w:rsidRPr="00B420C3">
        <w:rPr>
          <w:rFonts w:ascii="Times New Roman" w:eastAsia="Calibri" w:hAnsi="Times New Roman"/>
          <w:sz w:val="24"/>
          <w:szCs w:val="24"/>
        </w:rPr>
        <w:t>който към момента е основният чужд инвазивен вид в състава на фауната. Този вид е установен и в прилежащите участъци от р. Дунав. Друга идентифицирана заплаха за водната екосистема на ез. Сребърна е влошаването на екологичните условия вследствие нарушения воден режим като резултат от глобалните климатични промени. През 2020 г. при извършване на биологичен мониторинг на ез. Сребърна е установено Умерено екологично състояние (ЕС) по БЕК Риби и Лошо ЕС по БЕК Фитопланктон и БЕК Макрофити. Влошеното ЕС на езерото през 2020 г. се обяснява с продължително маловодие и ниски водни стоежи. По време на теренните проучвания през 2021 г. тези специфични заплахи бяха потвърдени. Специфична заплаха за распера в ез. Сребърна е прекъсването на връзката с р. Дунав.</w:t>
      </w:r>
    </w:p>
    <w:bookmarkEnd w:id="40"/>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незаконен),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 а в езерото водещи заплахи за вида са незаконният риболов, еутрофикацията, инвазивните видове и промяната на заливния режим, респ. прекъсването на връзката с р. Дунав.</w:t>
      </w:r>
    </w:p>
    <w:p w:rsidR="00B420C3" w:rsidRPr="00B420C3" w:rsidRDefault="00B420C3" w:rsidP="00EC5D51">
      <w:pPr>
        <w:spacing w:before="120"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6. Цели за подобряване/поддържане на природозащит</w:t>
      </w:r>
      <w:r w:rsidR="003774E5">
        <w:rPr>
          <w:rFonts w:ascii="Times New Roman" w:eastAsia="Calibri" w:hAnsi="Times New Roman"/>
          <w:b/>
          <w:sz w:val="24"/>
          <w:szCs w:val="24"/>
        </w:rPr>
        <w:t>ното състояние на вида в зоната</w:t>
      </w:r>
    </w:p>
    <w:p w:rsidR="00B420C3" w:rsidRPr="00B420C3" w:rsidRDefault="00B420C3" w:rsidP="00B420C3">
      <w:pPr>
        <w:spacing w:before="120" w:after="0" w:line="240" w:lineRule="auto"/>
        <w:jc w:val="both"/>
        <w:rPr>
          <w:rFonts w:ascii="Times New Roman" w:eastAsia="Calibri" w:hAnsi="Times New Roman"/>
          <w:sz w:val="24"/>
          <w:szCs w:val="24"/>
        </w:rPr>
      </w:pPr>
      <w:r w:rsidRPr="00B420C3">
        <w:rPr>
          <w:rFonts w:ascii="Times New Roman" w:eastAsia="Calibri" w:hAnsi="Times New Roman"/>
          <w:sz w:val="24"/>
          <w:szCs w:val="24"/>
        </w:rPr>
        <w:t>Целите са формулирани по показатели, в таблицата по-долу.</w:t>
      </w:r>
    </w:p>
    <w:p w:rsidR="00B420C3" w:rsidRPr="00B420C3" w:rsidRDefault="00B420C3" w:rsidP="00B420C3">
      <w:pPr>
        <w:spacing w:before="120" w:after="0" w:line="240" w:lineRule="auto"/>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133"/>
        <w:gridCol w:w="1276"/>
        <w:gridCol w:w="3321"/>
        <w:gridCol w:w="1855"/>
      </w:tblGrid>
      <w:tr w:rsidR="00B420C3" w:rsidRPr="00B420C3" w:rsidTr="00EC5D51">
        <w:trPr>
          <w:tblHeader/>
          <w:jc w:val="center"/>
        </w:trPr>
        <w:tc>
          <w:tcPr>
            <w:tcW w:w="756"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eastAsia="Calibri" w:hAnsi="Times New Roman"/>
                <w:b/>
                <w:bCs/>
              </w:rPr>
              <w:lastRenderedPageBreak/>
              <w:t>Параметър</w:t>
            </w:r>
          </w:p>
        </w:tc>
        <w:tc>
          <w:tcPr>
            <w:tcW w:w="634"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Мерна единица</w:t>
            </w:r>
          </w:p>
        </w:tc>
        <w:tc>
          <w:tcPr>
            <w:tcW w:w="714"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Целева стойност</w:t>
            </w:r>
          </w:p>
        </w:tc>
        <w:tc>
          <w:tcPr>
            <w:tcW w:w="1858"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eastAsia="Calibri" w:hAnsi="Times New Roman"/>
                <w:b/>
                <w:bCs/>
              </w:rPr>
              <w:t>Специфични цели на опазване за зоната</w:t>
            </w:r>
          </w:p>
        </w:tc>
      </w:tr>
      <w:tr w:rsidR="00E5709C" w:rsidRPr="00B420C3" w:rsidTr="00EC5D51">
        <w:trPr>
          <w:jc w:val="center"/>
        </w:trPr>
        <w:tc>
          <w:tcPr>
            <w:tcW w:w="756" w:type="pct"/>
            <w:shd w:val="clear" w:color="auto" w:fill="auto"/>
          </w:tcPr>
          <w:p w:rsidR="00E5709C" w:rsidRPr="00B420C3" w:rsidRDefault="00E5709C" w:rsidP="00B420C3">
            <w:pPr>
              <w:spacing w:before="120" w:after="120" w:line="240" w:lineRule="auto"/>
              <w:rPr>
                <w:rFonts w:ascii="Times New Roman" w:eastAsia="Calibri" w:hAnsi="Times New Roman"/>
                <w:b/>
                <w:lang w:val="en-US"/>
              </w:rPr>
            </w:pPr>
            <w:r w:rsidRPr="00B420C3">
              <w:rPr>
                <w:rFonts w:ascii="Times New Roman" w:eastAsia="Calibri" w:hAnsi="Times New Roman"/>
                <w:b/>
              </w:rPr>
              <w:t>Плътност на популацията</w:t>
            </w:r>
          </w:p>
        </w:tc>
        <w:tc>
          <w:tcPr>
            <w:tcW w:w="634" w:type="pct"/>
            <w:shd w:val="clear" w:color="auto" w:fill="auto"/>
          </w:tcPr>
          <w:p w:rsidR="00E5709C" w:rsidRPr="002C6417" w:rsidRDefault="00E5709C" w:rsidP="00051A9F">
            <w:pPr>
              <w:spacing w:before="120" w:after="120" w:line="240" w:lineRule="auto"/>
              <w:rPr>
                <w:rFonts w:ascii="Times New Roman" w:eastAsia="Calibri" w:hAnsi="Times New Roman"/>
              </w:rPr>
            </w:pPr>
            <w:r w:rsidRPr="00B420C3">
              <w:rPr>
                <w:rFonts w:ascii="Times New Roman" w:eastAsia="Calibri" w:hAnsi="Times New Roman"/>
              </w:rPr>
              <w:t xml:space="preserve">Брой индивиди </w:t>
            </w:r>
            <w:r>
              <w:rPr>
                <w:rFonts w:ascii="Times New Roman" w:eastAsia="Calibri" w:hAnsi="Times New Roman"/>
              </w:rPr>
              <w:t>/</w:t>
            </w:r>
            <w:r>
              <w:rPr>
                <w:rFonts w:ascii="Times New Roman" w:eastAsia="Calibri" w:hAnsi="Times New Roman"/>
                <w:lang w:val="en-US"/>
              </w:rPr>
              <w:t>ha</w:t>
            </w:r>
            <w:r w:rsidRPr="002C6417">
              <w:rPr>
                <w:rFonts w:ascii="Times New Roman" w:eastAsia="Calibri" w:hAnsi="Times New Roman"/>
              </w:rPr>
              <w:t>;</w:t>
            </w:r>
            <w:r>
              <w:rPr>
                <w:rFonts w:ascii="Times New Roman" w:eastAsia="Calibri" w:hAnsi="Times New Roman"/>
              </w:rPr>
              <w:t xml:space="preserve"> </w:t>
            </w:r>
            <w:r w:rsidRPr="002C6417">
              <w:rPr>
                <w:rFonts w:ascii="Times New Roman" w:eastAsia="Calibri" w:hAnsi="Times New Roman"/>
              </w:rPr>
              <w:t>инд.</w:t>
            </w:r>
            <w:r>
              <w:rPr>
                <w:rFonts w:ascii="Times New Roman" w:eastAsia="Calibri" w:hAnsi="Times New Roman"/>
              </w:rPr>
              <w:t>/</w:t>
            </w:r>
            <w:r w:rsidRPr="002C6417">
              <w:rPr>
                <w:rFonts w:ascii="Times New Roman" w:eastAsia="Calibri" w:hAnsi="Times New Roman"/>
              </w:rPr>
              <w:t xml:space="preserve"> </w:t>
            </w:r>
            <w:r w:rsidRPr="002C6417">
              <w:rPr>
                <w:rFonts w:ascii="Times New Roman" w:eastAsia="Calibri" w:hAnsi="Times New Roman"/>
                <w:lang w:val="en-US"/>
              </w:rPr>
              <w:t>CPUE</w:t>
            </w:r>
          </w:p>
        </w:tc>
        <w:tc>
          <w:tcPr>
            <w:tcW w:w="714" w:type="pct"/>
            <w:shd w:val="clear" w:color="auto" w:fill="auto"/>
          </w:tcPr>
          <w:p w:rsidR="00E5709C" w:rsidRPr="00B420C3" w:rsidRDefault="00E5709C" w:rsidP="00051A9F">
            <w:pPr>
              <w:spacing w:before="120" w:after="120" w:line="240" w:lineRule="auto"/>
              <w:rPr>
                <w:rFonts w:ascii="Times New Roman" w:eastAsia="Calibri" w:hAnsi="Times New Roman"/>
              </w:rPr>
            </w:pPr>
            <w:r w:rsidRPr="00B420C3">
              <w:rPr>
                <w:rFonts w:ascii="Times New Roman" w:eastAsia="Calibri" w:hAnsi="Times New Roman"/>
              </w:rPr>
              <w:t xml:space="preserve">1. В р. Дунав: </w:t>
            </w:r>
          </w:p>
          <w:p w:rsidR="00E5709C" w:rsidRPr="00B420C3" w:rsidRDefault="00E5709C" w:rsidP="00051A9F">
            <w:pPr>
              <w:spacing w:before="120" w:after="120" w:line="240" w:lineRule="auto"/>
              <w:rPr>
                <w:rFonts w:ascii="Times New Roman" w:eastAsia="Calibri" w:hAnsi="Times New Roman"/>
              </w:rPr>
            </w:pPr>
            <w:r w:rsidRPr="00B420C3">
              <w:rPr>
                <w:rFonts w:ascii="Times New Roman" w:eastAsia="Calibri" w:hAnsi="Times New Roman"/>
              </w:rPr>
              <w:t>най-малко</w:t>
            </w:r>
            <w:r w:rsidRPr="002C6417">
              <w:rPr>
                <w:rFonts w:ascii="Times New Roman" w:eastAsia="Calibri" w:hAnsi="Times New Roman"/>
              </w:rPr>
              <w:t xml:space="preserve"> </w:t>
            </w:r>
            <w:r>
              <w:rPr>
                <w:rFonts w:ascii="Times New Roman" w:eastAsia="Calibri" w:hAnsi="Times New Roman"/>
              </w:rPr>
              <w:t>н</w:t>
            </w:r>
            <w:r w:rsidRPr="002C6417">
              <w:rPr>
                <w:rFonts w:ascii="Times New Roman" w:eastAsia="Calibri" w:hAnsi="Times New Roman"/>
              </w:rPr>
              <w:t xml:space="preserve">ай-малко 40 инд/ха </w:t>
            </w:r>
            <w:r w:rsidRPr="00B420C3">
              <w:rPr>
                <w:rFonts w:ascii="Times New Roman" w:eastAsia="Calibri" w:hAnsi="Times New Roman"/>
                <w:lang w:val="en-US"/>
              </w:rPr>
              <w:t>ind</w:t>
            </w:r>
            <w:r>
              <w:rPr>
                <w:rFonts w:ascii="Times New Roman" w:eastAsia="Calibri" w:hAnsi="Times New Roman"/>
              </w:rPr>
              <w:t>.</w:t>
            </w:r>
            <w:r w:rsidRPr="002C6417">
              <w:rPr>
                <w:rFonts w:ascii="Times New Roman" w:eastAsia="Calibri" w:hAnsi="Times New Roman"/>
              </w:rPr>
              <w:t>/</w:t>
            </w:r>
            <w:r>
              <w:rPr>
                <w:rFonts w:ascii="Times New Roman" w:eastAsia="Calibri" w:hAnsi="Times New Roman"/>
                <w:lang w:val="en-US"/>
              </w:rPr>
              <w:t>ha</w:t>
            </w:r>
            <w:r w:rsidRPr="00B420C3">
              <w:rPr>
                <w:rFonts w:ascii="Times New Roman" w:eastAsia="Calibri" w:hAnsi="Times New Roman"/>
              </w:rPr>
              <w:t>;</w:t>
            </w:r>
          </w:p>
          <w:p w:rsidR="00E5709C" w:rsidRPr="00B420C3" w:rsidRDefault="00E5709C" w:rsidP="00051A9F">
            <w:pPr>
              <w:spacing w:before="120" w:after="120" w:line="240" w:lineRule="auto"/>
              <w:rPr>
                <w:rFonts w:ascii="Times New Roman" w:eastAsia="Calibri" w:hAnsi="Times New Roman"/>
                <w:lang w:val="en-US"/>
              </w:rPr>
            </w:pPr>
            <w:r w:rsidRPr="00B420C3">
              <w:rPr>
                <w:rFonts w:ascii="Times New Roman" w:eastAsia="Calibri" w:hAnsi="Times New Roman"/>
              </w:rPr>
              <w:t xml:space="preserve">2. В ез. Сребърна: най-малко 10 инд. </w:t>
            </w:r>
            <w:r w:rsidRPr="00B420C3">
              <w:rPr>
                <w:rFonts w:ascii="Times New Roman" w:eastAsia="Calibri" w:hAnsi="Times New Roman"/>
                <w:lang w:val="en-US"/>
              </w:rPr>
              <w:t>CPUE</w:t>
            </w:r>
          </w:p>
        </w:tc>
        <w:tc>
          <w:tcPr>
            <w:tcW w:w="1858" w:type="pct"/>
            <w:shd w:val="clear" w:color="auto" w:fill="auto"/>
          </w:tcPr>
          <w:p w:rsidR="00E5709C" w:rsidRPr="00B420C3" w:rsidRDefault="00E5709C" w:rsidP="00051A9F">
            <w:pPr>
              <w:spacing w:before="120" w:after="120" w:line="240" w:lineRule="auto"/>
              <w:jc w:val="both"/>
              <w:rPr>
                <w:rFonts w:ascii="Times New Roman" w:eastAsia="Calibri" w:hAnsi="Times New Roman"/>
              </w:rPr>
            </w:pPr>
            <w:r w:rsidRPr="00B420C3">
              <w:rPr>
                <w:rFonts w:ascii="Times New Roman" w:eastAsia="Calibri" w:hAnsi="Times New Roman"/>
              </w:rPr>
              <w:t xml:space="preserve">Стойността по  този параметър при работа със стационарни мрежи се определя като брой на уловените екземпляри от вида спрямо площта на хрилните мрежи и времето на престоя им в работно положение. При използване на След това броят на уловените екземпляри се преизчислява на единица риболовно усилие (ind. CPUE). </w:t>
            </w:r>
            <w:r>
              <w:rPr>
                <w:rFonts w:ascii="Times New Roman" w:eastAsia="Calibri" w:hAnsi="Times New Roman"/>
              </w:rPr>
              <w:t>При електроулов се изчислява като индивиди на хектар. Различните единици се уеднаквяват чрез трансформация.</w:t>
            </w:r>
          </w:p>
          <w:p w:rsidR="00E5709C" w:rsidRPr="0061058D" w:rsidRDefault="00E5709C" w:rsidP="00051A9F">
            <w:pPr>
              <w:spacing w:before="120" w:after="120" w:line="240" w:lineRule="auto"/>
              <w:jc w:val="both"/>
              <w:rPr>
                <w:rFonts w:ascii="Times New Roman" w:eastAsia="Calibri" w:hAnsi="Times New Roman"/>
              </w:rPr>
            </w:pPr>
            <w:r w:rsidRPr="00B420C3">
              <w:rPr>
                <w:rFonts w:ascii="Times New Roman" w:eastAsia="Calibri" w:hAnsi="Times New Roman"/>
              </w:rPr>
              <w:t xml:space="preserve">Според наличните данни (проект "Картиране и определяне на природозащитното състояние на природни местообитания и видове - фаза I".) установената численост на вида в зоната е </w:t>
            </w:r>
            <w:r w:rsidRPr="00B420C3">
              <w:rPr>
                <w:rFonts w:ascii="Times New Roman" w:hAnsi="Times New Roman"/>
                <w:sz w:val="24"/>
                <w:szCs w:val="24"/>
                <w:lang w:eastAsia="ar-SA"/>
              </w:rPr>
              <w:t>80 екз./ха, като е определена рефернтна численост 15 екз./ха</w:t>
            </w:r>
            <w:r w:rsidRPr="00B420C3">
              <w:rPr>
                <w:rFonts w:ascii="Times New Roman" w:eastAsia="Calibri" w:hAnsi="Times New Roman"/>
              </w:rPr>
              <w:t xml:space="preserve">. Тъй като не е възможно да се определи численост спрямо единица площ при извършване на пробонабиран с хрилни мрежи, предлагаме популационната плътност да се определя като улов (екз.) на единица риболовно усилие </w:t>
            </w:r>
            <w:r w:rsidRPr="0061058D">
              <w:rPr>
                <w:rFonts w:ascii="Times New Roman" w:eastAsia="Calibri" w:hAnsi="Times New Roman"/>
              </w:rPr>
              <w:t>(</w:t>
            </w:r>
            <w:r w:rsidRPr="00B420C3">
              <w:rPr>
                <w:rFonts w:ascii="Times New Roman" w:eastAsia="Calibri" w:hAnsi="Times New Roman"/>
                <w:lang w:val="en-US"/>
              </w:rPr>
              <w:t>CPUE</w:t>
            </w:r>
            <w:r w:rsidRPr="0061058D">
              <w:rPr>
                <w:rFonts w:ascii="Times New Roman" w:eastAsia="Calibri" w:hAnsi="Times New Roman"/>
              </w:rPr>
              <w:t>).</w:t>
            </w:r>
          </w:p>
          <w:p w:rsidR="00E5709C" w:rsidRPr="00B420C3" w:rsidRDefault="00E5709C" w:rsidP="00051A9F">
            <w:pPr>
              <w:spacing w:before="120" w:after="120" w:line="240" w:lineRule="auto"/>
              <w:jc w:val="both"/>
              <w:rPr>
                <w:rFonts w:ascii="Times New Roman" w:eastAsia="Calibri" w:hAnsi="Times New Roman"/>
              </w:rPr>
            </w:pPr>
            <w:r w:rsidRPr="00B420C3">
              <w:rPr>
                <w:rFonts w:ascii="Times New Roman" w:eastAsia="Calibri" w:hAnsi="Times New Roman"/>
              </w:rPr>
              <w:t xml:space="preserve">По отношение на натиска, този конкретен речен участък в рамките на защитената зона може да се счита за хомогенен. </w:t>
            </w:r>
          </w:p>
          <w:p w:rsidR="00E5709C" w:rsidRPr="00B420C3" w:rsidRDefault="00E5709C" w:rsidP="00051A9F">
            <w:pPr>
              <w:spacing w:before="120" w:after="120" w:line="240" w:lineRule="auto"/>
              <w:jc w:val="both"/>
              <w:rPr>
                <w:rFonts w:ascii="Times New Roman" w:eastAsia="Calibri" w:hAnsi="Times New Roman"/>
              </w:rPr>
            </w:pPr>
            <w:r w:rsidRPr="00B420C3">
              <w:rPr>
                <w:rFonts w:ascii="Times New Roman" w:eastAsia="Calibri" w:hAnsi="Times New Roman"/>
              </w:rPr>
              <w:t>От друга страна, кумулативния натиск с източници на произход извън зоната може да бъде значим.</w:t>
            </w:r>
          </w:p>
          <w:p w:rsidR="00E5709C" w:rsidRPr="00B420C3" w:rsidRDefault="00E5709C" w:rsidP="00051A9F">
            <w:pPr>
              <w:spacing w:before="120" w:after="120" w:line="240" w:lineRule="auto"/>
              <w:jc w:val="both"/>
              <w:rPr>
                <w:rFonts w:ascii="Times New Roman" w:eastAsia="Calibri" w:hAnsi="Times New Roman"/>
              </w:rPr>
            </w:pPr>
            <w:r w:rsidRPr="00B420C3">
              <w:rPr>
                <w:rFonts w:ascii="Times New Roman" w:eastAsia="Calibri" w:hAnsi="Times New Roman"/>
              </w:rPr>
              <w:t xml:space="preserve">Съгласно методиката за оценка на състоянието на риби в НСМБР референтните стойности за плътността на популацията на този вид не са </w:t>
            </w:r>
            <w:r w:rsidRPr="00B420C3">
              <w:rPr>
                <w:rFonts w:ascii="Times New Roman" w:eastAsia="Calibri" w:hAnsi="Times New Roman"/>
              </w:rPr>
              <w:lastRenderedPageBreak/>
              <w:t>определени. Според наличните данни за  плътността на популацията и експертна оценка, актуалното състояние на вида в зоната по този показател е „Неблагоприятно-незадоволително“.</w:t>
            </w:r>
          </w:p>
        </w:tc>
        <w:tc>
          <w:tcPr>
            <w:tcW w:w="1038" w:type="pct"/>
          </w:tcPr>
          <w:p w:rsidR="00E5709C" w:rsidRPr="002C6417" w:rsidRDefault="00E5709C" w:rsidP="00051A9F">
            <w:pPr>
              <w:numPr>
                <w:ilvl w:val="0"/>
                <w:numId w:val="12"/>
              </w:numPr>
              <w:spacing w:before="120" w:after="120" w:line="240" w:lineRule="auto"/>
              <w:ind w:left="6"/>
              <w:contextualSpacing/>
              <w:jc w:val="both"/>
              <w:rPr>
                <w:rFonts w:ascii="Times New Roman" w:eastAsia="Calibri" w:hAnsi="Times New Roman"/>
              </w:rPr>
            </w:pPr>
            <w:r w:rsidRPr="00B420C3">
              <w:rPr>
                <w:rFonts w:ascii="Times New Roman" w:eastAsia="Calibri" w:hAnsi="Times New Roman"/>
              </w:rPr>
              <w:lastRenderedPageBreak/>
              <w:t xml:space="preserve">Поддържане на плътността на популацията в р. Дунав най-малко на </w:t>
            </w:r>
            <w:r w:rsidRPr="002C6417">
              <w:rPr>
                <w:rFonts w:ascii="Times New Roman" w:eastAsia="Calibri" w:hAnsi="Times New Roman"/>
              </w:rPr>
              <w:t>40 инд/ха;</w:t>
            </w:r>
          </w:p>
          <w:p w:rsidR="00E5709C" w:rsidRPr="00B420C3" w:rsidRDefault="00E5709C" w:rsidP="00051A9F">
            <w:pPr>
              <w:numPr>
                <w:ilvl w:val="0"/>
                <w:numId w:val="12"/>
              </w:numPr>
              <w:spacing w:before="120" w:after="120" w:line="240" w:lineRule="auto"/>
              <w:ind w:left="6"/>
              <w:contextualSpacing/>
              <w:jc w:val="both"/>
              <w:rPr>
                <w:rFonts w:ascii="Times New Roman" w:eastAsia="Calibri" w:hAnsi="Times New Roman"/>
                <w:lang w:val="en-US"/>
              </w:rPr>
            </w:pPr>
            <w:r w:rsidRPr="00B420C3">
              <w:rPr>
                <w:rFonts w:ascii="Times New Roman" w:eastAsia="Calibri" w:hAnsi="Times New Roman"/>
              </w:rPr>
              <w:t xml:space="preserve">Поддържане на плътността на популацията в ез. Сребърна най-малко на 10 инд. </w:t>
            </w:r>
            <w:r w:rsidRPr="00B420C3">
              <w:rPr>
                <w:rFonts w:ascii="Times New Roman" w:eastAsia="Calibri" w:hAnsi="Times New Roman"/>
                <w:lang w:val="en-US"/>
              </w:rPr>
              <w:t>CPUE</w:t>
            </w:r>
            <w:r w:rsidRPr="00B420C3">
              <w:rPr>
                <w:rFonts w:ascii="Times New Roman" w:eastAsia="Calibri" w:hAnsi="Times New Roman"/>
              </w:rPr>
              <w:t>;</w:t>
            </w:r>
          </w:p>
          <w:p w:rsidR="00E5709C" w:rsidRPr="00B420C3" w:rsidRDefault="00E5709C" w:rsidP="00051A9F">
            <w:pPr>
              <w:numPr>
                <w:ilvl w:val="0"/>
                <w:numId w:val="12"/>
              </w:numPr>
              <w:spacing w:before="120" w:after="120" w:line="240" w:lineRule="auto"/>
              <w:ind w:left="6"/>
              <w:contextualSpacing/>
              <w:jc w:val="both"/>
              <w:rPr>
                <w:rFonts w:ascii="Times New Roman" w:eastAsia="Calibri" w:hAnsi="Times New Roman"/>
                <w:lang w:val="en-US"/>
              </w:rPr>
            </w:pPr>
            <w:r w:rsidRPr="00B420C3">
              <w:rPr>
                <w:rFonts w:ascii="Times New Roman" w:eastAsia="Calibri" w:hAnsi="Times New Roman"/>
              </w:rPr>
              <w:t>Редуциране и на разпространението на инвазивни видове риби в ЗЗ.</w:t>
            </w:r>
          </w:p>
          <w:p w:rsidR="00E5709C" w:rsidRPr="00B420C3" w:rsidRDefault="00E5709C" w:rsidP="00051A9F">
            <w:pPr>
              <w:spacing w:before="120" w:after="120" w:line="240" w:lineRule="auto"/>
              <w:jc w:val="both"/>
              <w:rPr>
                <w:rFonts w:ascii="Times New Roman" w:eastAsia="Calibri" w:hAnsi="Times New Roman"/>
              </w:rPr>
            </w:pPr>
            <w:r w:rsidRPr="00B420C3">
              <w:rPr>
                <w:rFonts w:ascii="Times New Roman" w:eastAsia="Calibri" w:hAnsi="Times New Roman"/>
              </w:rPr>
              <w:t xml:space="preserve"> </w:t>
            </w: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lastRenderedPageBreak/>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Дължина на речната млежа, представляваща потенциално местообитание за вида</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км</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shd w:val="clear" w:color="auto" w:fill="FFFFFF"/>
              </w:rPr>
              <w:t>Най-малко 3 км</w:t>
            </w: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Дължината на речния участък се определя чрез GIS анализ, използващ следните екологични критерии:</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Река Дунав</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Изключени са всички стоящи водни тела в зоната.</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На базата на този анализ е установено, че 3 км от р. Дунав в защитената зона отговарят на посочените критерии. Според наличните данни за вида, той се среща мозаечно в зоната.</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Поддържане на площ, представляваща подходящо местообитание, обитавано от вида, най-малко 3 км. </w:t>
            </w:r>
          </w:p>
          <w:p w:rsidR="00B420C3" w:rsidRPr="00B420C3" w:rsidRDefault="00B420C3" w:rsidP="00B420C3">
            <w:pPr>
              <w:spacing w:before="120" w:after="120" w:line="240" w:lineRule="auto"/>
              <w:jc w:val="both"/>
              <w:rPr>
                <w:rFonts w:ascii="Times New Roman" w:eastAsia="Calibri" w:hAnsi="Times New Roman"/>
              </w:rPr>
            </w:pPr>
          </w:p>
          <w:p w:rsidR="00B420C3" w:rsidRPr="00B420C3" w:rsidRDefault="00B420C3" w:rsidP="00B420C3">
            <w:pPr>
              <w:spacing w:before="120" w:after="120" w:line="240" w:lineRule="auto"/>
              <w:jc w:val="both"/>
              <w:rPr>
                <w:rFonts w:ascii="Times New Roman" w:eastAsia="Calibri" w:hAnsi="Times New Roman"/>
              </w:rPr>
            </w:pP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стоящи води, представляващи потенциално местообитание за вида</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lang w:val="en-US"/>
              </w:rPr>
            </w:pPr>
            <w:r w:rsidRPr="00B420C3">
              <w:rPr>
                <w:rFonts w:ascii="Times New Roman" w:eastAsia="Calibri" w:hAnsi="Times New Roman"/>
                <w:lang w:val="en-US"/>
              </w:rPr>
              <w:t>ha</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shd w:val="clear" w:color="auto" w:fill="FFFFFF"/>
              </w:rPr>
            </w:pPr>
            <w:r w:rsidRPr="00B420C3">
              <w:rPr>
                <w:rFonts w:ascii="Times New Roman" w:eastAsia="Calibri" w:hAnsi="Times New Roman"/>
                <w:shd w:val="clear" w:color="auto" w:fill="FFFFFF"/>
              </w:rPr>
              <w:t>Най-малко 150</w:t>
            </w: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Площта на местообитанията на вида в стоящи води се определя чрез GIS анализ, използващ следните екологични критерии:</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Езеро Сребърна;</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Изкуствени водни тела от тип „канали“, които са на практика стоящи води;</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Изключва се периферната зона на ез. Сребърна, обрасла с тръстикови масиви</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Поддържане на оптимални водни стоежи (най-малко 1,1 м) и залята площ на езерото най-малко 150 </w:t>
            </w:r>
            <w:r w:rsidRPr="00B420C3">
              <w:rPr>
                <w:rFonts w:ascii="Times New Roman" w:eastAsia="Calibri" w:hAnsi="Times New Roman"/>
                <w:lang w:val="en-US"/>
              </w:rPr>
              <w:t>ha</w:t>
            </w:r>
            <w:r w:rsidRPr="00B420C3">
              <w:rPr>
                <w:rFonts w:ascii="Times New Roman" w:eastAsia="Calibri" w:hAnsi="Times New Roman"/>
              </w:rPr>
              <w:t xml:space="preserve">.  </w:t>
            </w: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Степен на свързаност на местообитанието на вида </w:t>
            </w:r>
          </w:p>
          <w:p w:rsidR="00B420C3" w:rsidRPr="00B420C3" w:rsidRDefault="00B420C3" w:rsidP="00B420C3">
            <w:pPr>
              <w:spacing w:before="120" w:after="120" w:line="240" w:lineRule="auto"/>
              <w:rPr>
                <w:rFonts w:ascii="Times New Roman" w:eastAsia="Calibri" w:hAnsi="Times New Roman"/>
                <w:b/>
              </w:rPr>
            </w:pPr>
          </w:p>
          <w:p w:rsidR="00B420C3" w:rsidRPr="00B420C3" w:rsidRDefault="00B420C3" w:rsidP="00B420C3">
            <w:pPr>
              <w:spacing w:before="120" w:after="120" w:line="240" w:lineRule="auto"/>
              <w:rPr>
                <w:rFonts w:ascii="Times New Roman" w:eastAsia="Calibri" w:hAnsi="Times New Roman"/>
                <w:b/>
              </w:rPr>
            </w:pP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lastRenderedPageBreak/>
              <w:t xml:space="preserve">5 степенна скала за всяка бариера </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lang w:val="en-US"/>
              </w:rPr>
            </w:pPr>
            <w:r w:rsidRPr="00B420C3">
              <w:rPr>
                <w:rFonts w:ascii="Times New Roman" w:eastAsia="Calibri" w:hAnsi="Times New Roman"/>
              </w:rPr>
              <w:t>Степен</w:t>
            </w:r>
            <w:r w:rsidRPr="00B420C3">
              <w:rPr>
                <w:rFonts w:ascii="Times New Roman" w:eastAsia="Calibri" w:hAnsi="Times New Roman"/>
                <w:lang w:val="en-US"/>
              </w:rPr>
              <w:t xml:space="preserve"> 1</w:t>
            </w:r>
          </w:p>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за всяка бариера</w:t>
            </w: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w:t>
            </w:r>
            <w:r w:rsidRPr="00B420C3">
              <w:rPr>
                <w:rFonts w:ascii="Times New Roman" w:eastAsia="Calibri" w:hAnsi="Times New Roman"/>
              </w:rPr>
              <w:lastRenderedPageBreak/>
              <w:t xml:space="preserve">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На базата на информацията в ПУБР 2016-2021 г. и пробонабирането през 2021г.,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lastRenderedPageBreak/>
              <w:t>Поддържане на свързаност на местообитанието на вида от Степен 1 за всяка бариера в речния участък.</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Заб.:</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Специфична цел </w:t>
            </w:r>
            <w:r w:rsidRPr="00B420C3">
              <w:rPr>
                <w:rFonts w:ascii="Times New Roman" w:eastAsia="Calibri" w:hAnsi="Times New Roman"/>
              </w:rPr>
              <w:lastRenderedPageBreak/>
              <w:t xml:space="preserve">за ез. Сребърна е осигуряването на регулярна хидравлична връзка с р. Дунав. </w:t>
            </w: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lastRenderedPageBreak/>
              <w:t xml:space="preserve">Местообитание на вида: Екологично състояние на водните тела с потенциални местообитания за вида въз </w:t>
            </w:r>
            <w:r w:rsidRPr="00B420C3">
              <w:rPr>
                <w:rFonts w:ascii="Times New Roman" w:eastAsia="Calibri" w:hAnsi="Times New Roman"/>
                <w:b/>
              </w:rPr>
              <w:lastRenderedPageBreak/>
              <w:t xml:space="preserve">основа на биологичните елементи за качесто (БЕК  Макрозообентос, Фитобентос, Риби, Макрофити) </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lastRenderedPageBreak/>
              <w:t xml:space="preserve">5 степенна скала за екологично състояние съгласно РДВ </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По-висока или равна на 2 – Добро състояние</w:t>
            </w:r>
            <w:r w:rsidR="00E5709C">
              <w:rPr>
                <w:rFonts w:ascii="Times New Roman" w:eastAsia="Calibri" w:hAnsi="Times New Roman"/>
              </w:rPr>
              <w:t>/Добър потенциал</w:t>
            </w:r>
          </w:p>
        </w:tc>
        <w:tc>
          <w:tcPr>
            <w:tcW w:w="1858" w:type="pct"/>
            <w:shd w:val="clear" w:color="auto" w:fill="auto"/>
          </w:tcPr>
          <w:p w:rsidR="00B420C3" w:rsidRPr="00B420C3" w:rsidRDefault="00B420C3" w:rsidP="00B420C3">
            <w:pPr>
              <w:spacing w:after="0" w:line="240" w:lineRule="auto"/>
              <w:jc w:val="both"/>
              <w:rPr>
                <w:rFonts w:ascii="Times New Roman" w:eastAsia="Calibri" w:hAnsi="Times New Roman"/>
              </w:rPr>
            </w:pPr>
            <w:r w:rsidRPr="00B420C3">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„сапробен статус“ се използва за да се оцени състоянието на местообитанията им. РДВ използва екологичния статус на водните тела чрез биологичните </w:t>
            </w:r>
            <w:r w:rsidRPr="00B420C3">
              <w:rPr>
                <w:rFonts w:ascii="Times New Roman" w:eastAsia="Calibri" w:hAnsi="Times New Roman"/>
              </w:rPr>
              <w:lastRenderedPageBreak/>
              <w:t xml:space="preserve">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B420C3" w:rsidRPr="00B420C3" w:rsidTr="000C2232">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B420C3" w:rsidRPr="00B420C3" w:rsidRDefault="00B420C3" w:rsidP="00B420C3">
                  <w:pPr>
                    <w:spacing w:after="0" w:line="240" w:lineRule="auto"/>
                    <w:jc w:val="center"/>
                    <w:rPr>
                      <w:rFonts w:ascii="Times New Roman" w:eastAsia="Calibri" w:hAnsi="Times New Roman"/>
                      <w:b/>
                      <w:bCs/>
                      <w:color w:val="000000"/>
                    </w:rPr>
                  </w:pPr>
                  <w:r w:rsidRPr="00B420C3">
                    <w:rPr>
                      <w:rFonts w:ascii="Times New Roman" w:eastAsia="Calibri" w:hAnsi="Times New Roman"/>
                      <w:b/>
                      <w:bCs/>
                      <w:color w:val="000000"/>
                    </w:rPr>
                    <w:t>ЕС/ЕП</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1 - Отлично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2 - Добро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3 - Умерено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4 - Лошо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5 - Много лошо</w:t>
                  </w:r>
                </w:p>
              </w:tc>
            </w:tr>
          </w:tbl>
          <w:p w:rsidR="00B420C3" w:rsidRPr="00B420C3" w:rsidRDefault="00E5709C" w:rsidP="00B420C3">
            <w:pPr>
              <w:spacing w:before="120" w:after="120" w:line="240" w:lineRule="auto"/>
              <w:jc w:val="both"/>
              <w:rPr>
                <w:rFonts w:ascii="Times New Roman" w:eastAsia="Calibri" w:hAnsi="Times New Roman"/>
              </w:rPr>
            </w:pPr>
            <w:r w:rsidRPr="0027123E">
              <w:rPr>
                <w:rFonts w:ascii="Times New Roman" w:eastAsia="Calibri" w:hAnsi="Times New Roman"/>
              </w:rPr>
              <w:t>Съгласно ПУРБ 2016-2021 г. целият български участък от р. Дунав представлява силно модифицирано водно тяло, с код (</w:t>
            </w:r>
            <w:hyperlink r:id="rId80" w:history="1">
              <w:r w:rsidRPr="0027123E">
                <w:rPr>
                  <w:rFonts w:ascii="Times New Roman" w:eastAsia="Calibri" w:hAnsi="Times New Roman"/>
                  <w:color w:val="0000FF"/>
                  <w:u w:val="single"/>
                </w:rPr>
                <w:t>http://www.bd-dunav.org/uploads/content/files/upravlenie-na-vodite/PURB-2016-2021-final/Razdel-1/prilojenia_R1/Pril_1244.pdf</w:t>
              </w:r>
            </w:hyperlink>
            <w:r w:rsidRPr="0027123E">
              <w:rPr>
                <w:rFonts w:ascii="Times New Roman" w:eastAsia="Calibri" w:hAnsi="Times New Roman"/>
              </w:rPr>
              <w:t>).Екологичният потенциал на р. Дунав е оценен като Умерен, (3),  (</w:t>
            </w:r>
            <w:hyperlink r:id="rId81" w:history="1">
              <w:r w:rsidRPr="0027123E">
                <w:rPr>
                  <w:rFonts w:ascii="Times New Roman" w:eastAsia="Calibri" w:hAnsi="Times New Roman"/>
                  <w:color w:val="0000FF"/>
                  <w:u w:val="single"/>
                </w:rPr>
                <w:t>https://www.eea.europa.eu/data-and-maps/explore-interactive-maps/water-framework-directive-quality-elements?utm_source=EEASubscriptions&amp;utm_medium=RSSFeeds&amp;utm_campaign=Generic</w:t>
              </w:r>
            </w:hyperlink>
            <w:r w:rsidRPr="0027123E">
              <w:rPr>
                <w:rFonts w:ascii="Times New Roman" w:eastAsia="Calibri" w:hAnsi="Times New Roman"/>
              </w:rPr>
              <w:t>)</w:t>
            </w:r>
            <w:r w:rsidR="00B420C3" w:rsidRPr="00B420C3">
              <w:rPr>
                <w:rFonts w:ascii="Times New Roman" w:eastAsia="Calibri" w:hAnsi="Times New Roman"/>
              </w:rPr>
              <w:t>.</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Според данните от биологичния мониторинг на повърхностните води през 2020 г. ЕС на ез. Сребърна е определено като Отлично по БЕК Макрозообентос, Умерено по БЕК Риби и Лошо – по БЕК Фитопланктон и БЕК Макрофити. При разлика в оценките на ЕС на водните тела по БЕК общата оценка съответства на най-лошата, в случая – Лошо ЕС.</w:t>
            </w:r>
          </w:p>
        </w:tc>
        <w:tc>
          <w:tcPr>
            <w:tcW w:w="1038" w:type="pct"/>
          </w:tcPr>
          <w:p w:rsidR="00B420C3" w:rsidRPr="00B420C3" w:rsidRDefault="00B420C3" w:rsidP="00635999">
            <w:pPr>
              <w:numPr>
                <w:ilvl w:val="0"/>
                <w:numId w:val="13"/>
              </w:numPr>
              <w:spacing w:before="120" w:after="120" w:line="240" w:lineRule="auto"/>
              <w:ind w:left="6"/>
              <w:contextualSpacing/>
              <w:jc w:val="both"/>
              <w:rPr>
                <w:rFonts w:ascii="Times New Roman" w:eastAsia="Calibri" w:hAnsi="Times New Roman"/>
              </w:rPr>
            </w:pPr>
            <w:r w:rsidRPr="00B420C3">
              <w:rPr>
                <w:rFonts w:ascii="Times New Roman" w:eastAsia="Calibri" w:hAnsi="Times New Roman"/>
              </w:rPr>
              <w:lastRenderedPageBreak/>
              <w:t>Постигане и поддържане на ЕП на участъка от р. Дунав в границата на зоната и ЕС на ез. Сребърна на стойност от по-висока или равна на 2 – Добър ЕП/ЕС</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Междинна цел:</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Установяване на </w:t>
            </w:r>
            <w:r w:rsidRPr="00B420C3">
              <w:rPr>
                <w:rFonts w:ascii="Times New Roman" w:eastAsia="Calibri" w:hAnsi="Times New Roman"/>
              </w:rPr>
              <w:lastRenderedPageBreak/>
              <w:t>източниците на замърсяване в и извън зоната, които могат да повлияят на популацията на вида.</w:t>
            </w:r>
          </w:p>
          <w:p w:rsidR="00B420C3" w:rsidRPr="00B420C3" w:rsidRDefault="00B420C3" w:rsidP="00B420C3">
            <w:pPr>
              <w:spacing w:before="120" w:after="120" w:line="240" w:lineRule="auto"/>
              <w:contextualSpacing/>
              <w:jc w:val="both"/>
              <w:rPr>
                <w:rFonts w:ascii="Times New Roman" w:eastAsia="Calibri" w:hAnsi="Times New Roman"/>
              </w:rPr>
            </w:pP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lastRenderedPageBreak/>
              <w:t>Местообит</w:t>
            </w:r>
            <w:r w:rsidRPr="00B420C3">
              <w:rPr>
                <w:rFonts w:ascii="Times New Roman" w:eastAsia="Calibri" w:hAnsi="Times New Roman"/>
                <w:b/>
              </w:rPr>
              <w:lastRenderedPageBreak/>
              <w:t>ание на вида: естествено структуриран субстрат в подходящите местообитания на вида</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lastRenderedPageBreak/>
              <w:t>Съотнош</w:t>
            </w:r>
            <w:r w:rsidRPr="00B420C3">
              <w:rPr>
                <w:rFonts w:ascii="Times New Roman" w:eastAsia="Calibri" w:hAnsi="Times New Roman"/>
              </w:rPr>
              <w:lastRenderedPageBreak/>
              <w:t>ение в % от дължината на речните участъци с подходящи  местообитания на вида и с естествено структуриран субстрат, съотнесен към общата дължина на речните участъци с подходящи местообитания за вида</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rPr>
            </w:pP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Пелагичен реофилен вид, но </w:t>
            </w:r>
            <w:r w:rsidRPr="00B420C3">
              <w:rPr>
                <w:rFonts w:ascii="Times New Roman" w:eastAsia="Calibri" w:hAnsi="Times New Roman"/>
              </w:rPr>
              <w:lastRenderedPageBreak/>
              <w:t>обитава и големи стоящи водоеми. Възрастните обитават долните течения на реките и устията, както и свързани с тях езера. В реките предпочитат да стоят близо до мостови стълбове, в близост до притоци, под бързеи, в части от реката с дълбоки течения и в тихи заливи на речните завои. В езера се придържат към откритите зони. В България целият участък на р. Дунав и долните течения на големите му притоци, както и в ез. Сребърна.</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В ЗЗ </w:t>
            </w:r>
            <w:r w:rsidRPr="00B420C3">
              <w:rPr>
                <w:rFonts w:ascii="Times New Roman" w:eastAsia="Calibri" w:hAnsi="Times New Roman"/>
                <w:lang w:val="en-US"/>
              </w:rPr>
              <w:t>BG0000</w:t>
            </w:r>
            <w:r w:rsidRPr="00B420C3">
              <w:rPr>
                <w:rFonts w:ascii="Times New Roman" w:eastAsia="Calibri" w:hAnsi="Times New Roman"/>
              </w:rPr>
              <w:t>241 този параметър не е от значение за вида.</w:t>
            </w:r>
          </w:p>
          <w:p w:rsidR="00B420C3" w:rsidRPr="00B420C3" w:rsidRDefault="00B420C3" w:rsidP="00B420C3">
            <w:pPr>
              <w:spacing w:before="120" w:after="120" w:line="240" w:lineRule="auto"/>
              <w:jc w:val="both"/>
              <w:rPr>
                <w:rFonts w:ascii="Times New Roman" w:eastAsia="Calibri" w:hAnsi="Times New Roman"/>
              </w:rPr>
            </w:pPr>
          </w:p>
        </w:tc>
        <w:tc>
          <w:tcPr>
            <w:tcW w:w="1038" w:type="pct"/>
          </w:tcPr>
          <w:p w:rsidR="00B420C3" w:rsidRPr="00B420C3" w:rsidRDefault="00B420C3" w:rsidP="00B420C3">
            <w:pPr>
              <w:spacing w:before="120" w:after="120" w:line="240" w:lineRule="auto"/>
              <w:jc w:val="both"/>
              <w:rPr>
                <w:rFonts w:ascii="Times New Roman" w:eastAsia="Calibri" w:hAnsi="Times New Roman"/>
              </w:rPr>
            </w:pPr>
          </w:p>
        </w:tc>
      </w:tr>
    </w:tbl>
    <w:p w:rsidR="00B420C3" w:rsidRPr="00B420C3" w:rsidRDefault="00B420C3" w:rsidP="00B420C3">
      <w:pPr>
        <w:spacing w:after="160" w:line="240" w:lineRule="auto"/>
        <w:jc w:val="both"/>
        <w:rPr>
          <w:rFonts w:ascii="Times New Roman" w:eastAsia="Calibri" w:hAnsi="Times New Roman"/>
          <w:b/>
          <w:sz w:val="24"/>
          <w:szCs w:val="24"/>
        </w:rPr>
      </w:pP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lang w:val="en-US"/>
        </w:rPr>
        <w:t>7</w:t>
      </w:r>
      <w:r w:rsidRPr="00B420C3">
        <w:rPr>
          <w:rFonts w:ascii="Times New Roman" w:eastAsia="Calibri" w:hAnsi="Times New Roman"/>
          <w:b/>
          <w:sz w:val="24"/>
          <w:szCs w:val="24"/>
        </w:rPr>
        <w:t>. Необходимост от актуали</w:t>
      </w:r>
      <w:r w:rsidR="00EC5D51">
        <w:rPr>
          <w:rFonts w:ascii="Times New Roman" w:eastAsia="Calibri" w:hAnsi="Times New Roman"/>
          <w:b/>
          <w:sz w:val="24"/>
          <w:szCs w:val="24"/>
        </w:rPr>
        <w:t>зация на СФ на защитената зона</w:t>
      </w:r>
    </w:p>
    <w:p w:rsidR="00B420C3" w:rsidRPr="00B420C3" w:rsidRDefault="00E5709C" w:rsidP="00EC5D51">
      <w:pPr>
        <w:spacing w:after="160" w:line="240" w:lineRule="auto"/>
        <w:ind w:firstLine="709"/>
        <w:jc w:val="both"/>
        <w:rPr>
          <w:rFonts w:ascii="Times New Roman" w:eastAsia="Calibri" w:hAnsi="Times New Roman"/>
          <w:sz w:val="24"/>
          <w:szCs w:val="24"/>
        </w:rPr>
      </w:pPr>
      <w:r>
        <w:rPr>
          <w:rFonts w:ascii="Times New Roman" w:eastAsia="Calibri" w:hAnsi="Times New Roman"/>
          <w:sz w:val="24"/>
          <w:szCs w:val="24"/>
        </w:rPr>
        <w:t>В съответствие с</w:t>
      </w:r>
      <w:r w:rsidRPr="00B420C3">
        <w:rPr>
          <w:rFonts w:ascii="Times New Roman" w:eastAsia="Calibri" w:hAnsi="Times New Roman"/>
          <w:sz w:val="24"/>
          <w:szCs w:val="24"/>
        </w:rPr>
        <w:t xml:space="preserve"> </w:t>
      </w:r>
      <w:r>
        <w:rPr>
          <w:rFonts w:ascii="Times New Roman" w:eastAsia="Calibri" w:hAnsi="Times New Roman"/>
          <w:sz w:val="24"/>
          <w:szCs w:val="24"/>
        </w:rPr>
        <w:t xml:space="preserve"> </w:t>
      </w:r>
      <w:r w:rsidRPr="00B420C3">
        <w:rPr>
          <w:rFonts w:ascii="Times New Roman" w:eastAsia="Calibri" w:hAnsi="Times New Roman"/>
          <w:sz w:val="24"/>
          <w:szCs w:val="24"/>
        </w:rPr>
        <w:t>методик</w:t>
      </w:r>
      <w:r>
        <w:rPr>
          <w:rFonts w:ascii="Times New Roman" w:eastAsia="Calibri" w:hAnsi="Times New Roman"/>
          <w:sz w:val="24"/>
          <w:szCs w:val="24"/>
        </w:rPr>
        <w:t>ите, приложими</w:t>
      </w:r>
      <w:r w:rsidRPr="00B420C3">
        <w:rPr>
          <w:rFonts w:ascii="Times New Roman" w:eastAsia="Calibri" w:hAnsi="Times New Roman"/>
          <w:sz w:val="24"/>
          <w:szCs w:val="24"/>
        </w:rPr>
        <w:t xml:space="preserve"> за мониторинг на </w:t>
      </w:r>
      <w:r>
        <w:rPr>
          <w:rFonts w:ascii="Times New Roman" w:eastAsia="Calibri" w:hAnsi="Times New Roman"/>
          <w:sz w:val="24"/>
          <w:szCs w:val="24"/>
        </w:rPr>
        <w:t>вида</w:t>
      </w:r>
      <w:r w:rsidRPr="00B420C3">
        <w:rPr>
          <w:rFonts w:ascii="Times New Roman" w:eastAsia="Calibri" w:hAnsi="Times New Roman"/>
          <w:sz w:val="24"/>
          <w:szCs w:val="24"/>
        </w:rPr>
        <w:t xml:space="preserve">, най-подходящата единица за определянето на състоянието на вида </w:t>
      </w:r>
      <w:r>
        <w:rPr>
          <w:rFonts w:ascii="Times New Roman" w:eastAsia="Calibri" w:hAnsi="Times New Roman"/>
          <w:sz w:val="24"/>
          <w:szCs w:val="24"/>
        </w:rPr>
        <w:t xml:space="preserve">в реки е инд/ха, а в стоящи водоеми </w:t>
      </w:r>
      <w:r w:rsidRPr="00B420C3">
        <w:rPr>
          <w:rFonts w:ascii="Times New Roman" w:eastAsia="Calibri" w:hAnsi="Times New Roman"/>
          <w:sz w:val="24"/>
          <w:szCs w:val="24"/>
        </w:rPr>
        <w:t>е улов на единица риболовно усилие (</w:t>
      </w:r>
      <w:r w:rsidRPr="00B420C3">
        <w:rPr>
          <w:rFonts w:ascii="Times New Roman" w:eastAsia="Calibri" w:hAnsi="Times New Roman"/>
          <w:sz w:val="24"/>
          <w:szCs w:val="24"/>
          <w:lang w:val="en-US"/>
        </w:rPr>
        <w:t>CPUE</w:t>
      </w:r>
      <w:r w:rsidRPr="00B420C3">
        <w:rPr>
          <w:rFonts w:ascii="Times New Roman" w:eastAsia="Calibri" w:hAnsi="Times New Roman"/>
          <w:sz w:val="24"/>
          <w:szCs w:val="24"/>
        </w:rPr>
        <w:t xml:space="preserve">). </w:t>
      </w:r>
      <w:r w:rsidRPr="00B74212">
        <w:rPr>
          <w:rFonts w:ascii="Times New Roman" w:eastAsia="Calibri" w:hAnsi="Times New Roman"/>
          <w:sz w:val="24"/>
          <w:szCs w:val="24"/>
        </w:rPr>
        <w:t>Тази единица обаче засега не е приета за оценка на видове риби при докладванията в ЕК. Затова, като се има предвид високата сезонна вариабилност на числеността на вида в зоната и с оглед унифицирането на подхода за внасянето на данни в СФ на този етап като единица за оценка се използва „Площ“ (area) на местообитанията“</w:t>
      </w:r>
      <w:r w:rsidRPr="00B420C3">
        <w:rPr>
          <w:rFonts w:ascii="Times New Roman" w:eastAsia="Calibri" w:hAnsi="Times New Roman"/>
          <w:sz w:val="24"/>
          <w:szCs w:val="24"/>
        </w:rPr>
        <w:t xml:space="preserve">, като е уточнена площта на местообитанията в зоната. </w:t>
      </w:r>
      <w:r>
        <w:rPr>
          <w:rFonts w:ascii="Times New Roman" w:eastAsia="Calibri" w:hAnsi="Times New Roman"/>
          <w:sz w:val="24"/>
          <w:szCs w:val="24"/>
        </w:rPr>
        <w:t>О</w:t>
      </w:r>
      <w:r w:rsidRPr="00B420C3">
        <w:rPr>
          <w:rFonts w:ascii="Times New Roman" w:eastAsia="Calibri" w:hAnsi="Times New Roman"/>
          <w:sz w:val="24"/>
          <w:szCs w:val="24"/>
        </w:rPr>
        <w:t>ценката за степента на изолация</w:t>
      </w:r>
      <w:r>
        <w:rPr>
          <w:rFonts w:ascii="Times New Roman" w:eastAsia="Calibri" w:hAnsi="Times New Roman"/>
          <w:sz w:val="24"/>
          <w:szCs w:val="24"/>
        </w:rPr>
        <w:t xml:space="preserve"> се променя на С, тъй като видът обитава целия български участък на р. Дунав, съответно популацията му в ЗЗ не се намира в края на ареала. Нанесени са съответни промени в СФ.</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31"/>
        <w:gridCol w:w="587"/>
        <w:gridCol w:w="1131"/>
        <w:gridCol w:w="262"/>
        <w:gridCol w:w="659"/>
        <w:gridCol w:w="310"/>
        <w:gridCol w:w="631"/>
        <w:gridCol w:w="716"/>
        <w:gridCol w:w="532"/>
        <w:gridCol w:w="519"/>
        <w:gridCol w:w="1064"/>
        <w:gridCol w:w="796"/>
        <w:gridCol w:w="553"/>
        <w:gridCol w:w="471"/>
        <w:gridCol w:w="782"/>
      </w:tblGrid>
      <w:tr w:rsidR="00B420C3" w:rsidRPr="00B420C3" w:rsidTr="00E5709C">
        <w:trPr>
          <w:tblCellSpacing w:w="15" w:type="dxa"/>
        </w:trPr>
        <w:tc>
          <w:tcPr>
            <w:tcW w:w="1562" w:type="pct"/>
            <w:gridSpan w:val="5"/>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Species </w:t>
            </w:r>
          </w:p>
        </w:tc>
        <w:tc>
          <w:tcPr>
            <w:tcW w:w="2000" w:type="pct"/>
            <w:gridSpan w:val="6"/>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Population in the site </w:t>
            </w:r>
          </w:p>
        </w:tc>
        <w:tc>
          <w:tcPr>
            <w:tcW w:w="1374" w:type="pct"/>
            <w:gridSpan w:val="4"/>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Site assessment </w:t>
            </w:r>
          </w:p>
        </w:tc>
      </w:tr>
      <w:tr w:rsidR="00B420C3" w:rsidRPr="00B420C3" w:rsidTr="00E5709C">
        <w:trPr>
          <w:tblCellSpacing w:w="15" w:type="dxa"/>
        </w:trPr>
        <w:tc>
          <w:tcPr>
            <w:tcW w:w="160"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G </w:t>
            </w:r>
          </w:p>
        </w:tc>
        <w:tc>
          <w:tcPr>
            <w:tcW w:w="310"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Code </w:t>
            </w:r>
          </w:p>
        </w:tc>
        <w:tc>
          <w:tcPr>
            <w:tcW w:w="613"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Scientific </w:t>
            </w:r>
            <w:r w:rsidRPr="00B420C3">
              <w:rPr>
                <w:rFonts w:ascii="Times New Roman" w:eastAsia="Calibri" w:hAnsi="Times New Roman"/>
                <w:b/>
                <w:bCs/>
                <w:sz w:val="16"/>
                <w:szCs w:val="16"/>
              </w:rPr>
              <w:lastRenderedPageBreak/>
              <w:t xml:space="preserve">Name </w:t>
            </w:r>
          </w:p>
        </w:tc>
        <w:tc>
          <w:tcPr>
            <w:tcW w:w="129"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lastRenderedPageBreak/>
              <w:t xml:space="preserve">S </w:t>
            </w:r>
          </w:p>
        </w:tc>
        <w:tc>
          <w:tcPr>
            <w:tcW w:w="286"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NP </w:t>
            </w:r>
          </w:p>
        </w:tc>
        <w:tc>
          <w:tcPr>
            <w:tcW w:w="156"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T </w:t>
            </w:r>
          </w:p>
        </w:tc>
        <w:tc>
          <w:tcPr>
            <w:tcW w:w="717" w:type="pct"/>
            <w:gridSpan w:val="2"/>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Size </w:t>
            </w:r>
          </w:p>
        </w:tc>
        <w:tc>
          <w:tcPr>
            <w:tcW w:w="27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Uni</w:t>
            </w:r>
            <w:r w:rsidRPr="00B420C3">
              <w:rPr>
                <w:rFonts w:ascii="Times New Roman" w:eastAsia="Calibri" w:hAnsi="Times New Roman"/>
                <w:b/>
                <w:bCs/>
                <w:sz w:val="16"/>
                <w:szCs w:val="16"/>
              </w:rPr>
              <w:lastRenderedPageBreak/>
              <w:t xml:space="preserve">t </w:t>
            </w:r>
          </w:p>
        </w:tc>
        <w:tc>
          <w:tcPr>
            <w:tcW w:w="272"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lastRenderedPageBreak/>
              <w:t>Cat</w:t>
            </w:r>
            <w:r w:rsidRPr="00B420C3">
              <w:rPr>
                <w:rFonts w:ascii="Times New Roman" w:eastAsia="Calibri" w:hAnsi="Times New Roman"/>
                <w:b/>
                <w:bCs/>
                <w:sz w:val="16"/>
                <w:szCs w:val="16"/>
              </w:rPr>
              <w:lastRenderedPageBreak/>
              <w:t xml:space="preserve">. </w:t>
            </w:r>
          </w:p>
        </w:tc>
        <w:tc>
          <w:tcPr>
            <w:tcW w:w="512"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lastRenderedPageBreak/>
              <w:t xml:space="preserve">D.qual. </w:t>
            </w:r>
          </w:p>
        </w:tc>
        <w:tc>
          <w:tcPr>
            <w:tcW w:w="42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A|B|C|</w:t>
            </w:r>
            <w:r w:rsidRPr="00B420C3">
              <w:rPr>
                <w:rFonts w:ascii="Times New Roman" w:eastAsia="Calibri" w:hAnsi="Times New Roman"/>
                <w:b/>
                <w:bCs/>
                <w:sz w:val="16"/>
                <w:szCs w:val="16"/>
              </w:rPr>
              <w:lastRenderedPageBreak/>
              <w:t xml:space="preserve">D </w:t>
            </w:r>
          </w:p>
        </w:tc>
        <w:tc>
          <w:tcPr>
            <w:tcW w:w="932" w:type="pct"/>
            <w:gridSpan w:val="3"/>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lastRenderedPageBreak/>
              <w:t xml:space="preserve">A|B|C </w:t>
            </w:r>
          </w:p>
        </w:tc>
      </w:tr>
      <w:tr w:rsidR="00B420C3" w:rsidRPr="00B420C3" w:rsidTr="00E5709C">
        <w:trPr>
          <w:tblCellSpacing w:w="15" w:type="dxa"/>
        </w:trPr>
        <w:tc>
          <w:tcPr>
            <w:tcW w:w="16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lastRenderedPageBreak/>
              <w:t> </w:t>
            </w:r>
          </w:p>
        </w:tc>
        <w:tc>
          <w:tcPr>
            <w:tcW w:w="31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61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2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8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5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335"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Min</w:t>
            </w:r>
          </w:p>
        </w:tc>
        <w:tc>
          <w:tcPr>
            <w:tcW w:w="365"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Max</w:t>
            </w:r>
          </w:p>
        </w:tc>
        <w:tc>
          <w:tcPr>
            <w:tcW w:w="27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72"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p>
        </w:tc>
        <w:tc>
          <w:tcPr>
            <w:tcW w:w="512"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42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Pop.</w:t>
            </w:r>
          </w:p>
        </w:tc>
        <w:tc>
          <w:tcPr>
            <w:tcW w:w="291"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Con.</w:t>
            </w:r>
          </w:p>
        </w:tc>
        <w:tc>
          <w:tcPr>
            <w:tcW w:w="24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Iso.</w:t>
            </w:r>
          </w:p>
        </w:tc>
        <w:tc>
          <w:tcPr>
            <w:tcW w:w="36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Glo.</w:t>
            </w:r>
          </w:p>
        </w:tc>
      </w:tr>
      <w:tr w:rsidR="00E5709C" w:rsidRPr="00B420C3" w:rsidTr="00E5709C">
        <w:trPr>
          <w:tblCellSpacing w:w="15" w:type="dxa"/>
        </w:trPr>
        <w:tc>
          <w:tcPr>
            <w:tcW w:w="16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B420C3" w:rsidRDefault="00E5709C"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F</w:t>
            </w:r>
          </w:p>
        </w:tc>
        <w:tc>
          <w:tcPr>
            <w:tcW w:w="31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B420C3" w:rsidRDefault="00E5709C"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1130</w:t>
            </w:r>
          </w:p>
        </w:tc>
        <w:tc>
          <w:tcPr>
            <w:tcW w:w="61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B420C3" w:rsidRDefault="00E5709C" w:rsidP="00B420C3">
            <w:pPr>
              <w:spacing w:before="120" w:after="0" w:line="259" w:lineRule="auto"/>
              <w:jc w:val="both"/>
              <w:rPr>
                <w:rFonts w:ascii="Times New Roman" w:eastAsia="Calibri" w:hAnsi="Times New Roman"/>
                <w:b/>
                <w:bCs/>
                <w:i/>
                <w:sz w:val="16"/>
                <w:szCs w:val="16"/>
                <w:lang w:val="en-US"/>
              </w:rPr>
            </w:pPr>
            <w:r w:rsidRPr="00B420C3">
              <w:rPr>
                <w:rFonts w:ascii="Times New Roman" w:eastAsia="Calibri" w:hAnsi="Times New Roman"/>
                <w:b/>
                <w:bCs/>
                <w:i/>
                <w:sz w:val="16"/>
                <w:szCs w:val="16"/>
                <w:lang w:val="en-US"/>
              </w:rPr>
              <w:t>Aspius aspius</w:t>
            </w:r>
          </w:p>
        </w:tc>
        <w:tc>
          <w:tcPr>
            <w:tcW w:w="12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B420C3" w:rsidRDefault="00E5709C" w:rsidP="00B420C3">
            <w:pPr>
              <w:spacing w:before="120" w:after="0" w:line="259" w:lineRule="auto"/>
              <w:jc w:val="both"/>
              <w:rPr>
                <w:rFonts w:ascii="Times New Roman" w:eastAsia="Calibri" w:hAnsi="Times New Roman"/>
                <w:b/>
                <w:bCs/>
                <w:sz w:val="16"/>
                <w:szCs w:val="16"/>
                <w:lang w:val="en-US"/>
              </w:rPr>
            </w:pPr>
          </w:p>
        </w:tc>
        <w:tc>
          <w:tcPr>
            <w:tcW w:w="28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B420C3" w:rsidRDefault="00E5709C" w:rsidP="00B420C3">
            <w:pPr>
              <w:spacing w:before="120" w:after="0" w:line="259" w:lineRule="auto"/>
              <w:jc w:val="both"/>
              <w:rPr>
                <w:rFonts w:ascii="Times New Roman" w:eastAsia="Calibri" w:hAnsi="Times New Roman"/>
                <w:b/>
                <w:bCs/>
                <w:sz w:val="16"/>
                <w:szCs w:val="16"/>
                <w:lang w:val="en-US"/>
              </w:rPr>
            </w:pPr>
          </w:p>
        </w:tc>
        <w:tc>
          <w:tcPr>
            <w:tcW w:w="15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B420C3" w:rsidRDefault="00E5709C"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Р</w:t>
            </w:r>
          </w:p>
        </w:tc>
        <w:tc>
          <w:tcPr>
            <w:tcW w:w="33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E5709C" w:rsidRPr="00A02F7C" w:rsidRDefault="00E5709C" w:rsidP="00051A9F">
            <w:pPr>
              <w:spacing w:before="120" w:after="0" w:line="259" w:lineRule="auto"/>
              <w:jc w:val="both"/>
              <w:rPr>
                <w:rFonts w:ascii="Times New Roman" w:eastAsia="Calibri" w:hAnsi="Times New Roman"/>
                <w:b/>
                <w:bCs/>
                <w:color w:val="FF0000"/>
                <w:sz w:val="16"/>
                <w:szCs w:val="16"/>
                <w:lang w:val="en-US"/>
              </w:rPr>
            </w:pPr>
            <w:r>
              <w:rPr>
                <w:rFonts w:ascii="Times New Roman" w:hAnsi="Times New Roman"/>
                <w:b/>
                <w:bCs/>
                <w:color w:val="FF0000"/>
                <w:sz w:val="16"/>
                <w:szCs w:val="16"/>
                <w:lang w:val="en-US"/>
              </w:rPr>
              <w:t>2093180</w:t>
            </w:r>
          </w:p>
        </w:tc>
        <w:tc>
          <w:tcPr>
            <w:tcW w:w="36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E5709C" w:rsidRPr="00A02F7C" w:rsidRDefault="00E5709C" w:rsidP="00051A9F">
            <w:pPr>
              <w:spacing w:before="120" w:after="0" w:line="259" w:lineRule="auto"/>
              <w:jc w:val="both"/>
              <w:rPr>
                <w:rFonts w:ascii="Times New Roman" w:eastAsia="Calibri" w:hAnsi="Times New Roman"/>
                <w:b/>
                <w:bCs/>
                <w:color w:val="FF0000"/>
                <w:sz w:val="16"/>
                <w:szCs w:val="16"/>
                <w:lang w:val="en-US"/>
              </w:rPr>
            </w:pPr>
            <w:r>
              <w:rPr>
                <w:rFonts w:ascii="Times New Roman" w:hAnsi="Times New Roman"/>
                <w:b/>
                <w:bCs/>
                <w:color w:val="FF0000"/>
                <w:sz w:val="16"/>
                <w:szCs w:val="16"/>
                <w:lang w:val="en-US"/>
              </w:rPr>
              <w:t>2093180</w:t>
            </w:r>
          </w:p>
        </w:tc>
        <w:tc>
          <w:tcPr>
            <w:tcW w:w="27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A02F7C" w:rsidRDefault="00E5709C" w:rsidP="00051A9F">
            <w:pPr>
              <w:spacing w:before="120" w:after="0" w:line="259" w:lineRule="auto"/>
              <w:jc w:val="both"/>
              <w:rPr>
                <w:rFonts w:ascii="Times New Roman" w:eastAsia="Calibri" w:hAnsi="Times New Roman"/>
                <w:b/>
                <w:bCs/>
                <w:color w:val="FF0000"/>
                <w:sz w:val="16"/>
                <w:szCs w:val="16"/>
                <w:lang w:val="en-US"/>
              </w:rPr>
            </w:pPr>
            <w:r w:rsidRPr="00A02F7C">
              <w:rPr>
                <w:rFonts w:ascii="Times New Roman" w:eastAsia="Calibri" w:hAnsi="Times New Roman"/>
                <w:b/>
                <w:bCs/>
                <w:color w:val="FF0000"/>
                <w:sz w:val="16"/>
                <w:szCs w:val="16"/>
              </w:rPr>
              <w:t>а</w:t>
            </w:r>
            <w:r w:rsidRPr="00A02F7C">
              <w:rPr>
                <w:rFonts w:ascii="Times New Roman" w:eastAsia="Calibri" w:hAnsi="Times New Roman"/>
                <w:b/>
                <w:bCs/>
                <w:color w:val="FF0000"/>
                <w:sz w:val="16"/>
                <w:szCs w:val="16"/>
                <w:lang w:val="en-US"/>
              </w:rPr>
              <w:t>rea</w:t>
            </w:r>
          </w:p>
        </w:tc>
        <w:tc>
          <w:tcPr>
            <w:tcW w:w="27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661C08" w:rsidRDefault="00E5709C" w:rsidP="00051A9F">
            <w:pPr>
              <w:spacing w:before="120" w:after="0" w:line="259" w:lineRule="auto"/>
              <w:jc w:val="both"/>
              <w:rPr>
                <w:rFonts w:ascii="Times New Roman" w:eastAsia="Calibri" w:hAnsi="Times New Roman"/>
                <w:b/>
                <w:bCs/>
                <w:sz w:val="16"/>
                <w:szCs w:val="16"/>
                <w:lang w:val="en-US"/>
              </w:rPr>
            </w:pPr>
            <w:r w:rsidRPr="00661C08">
              <w:rPr>
                <w:rFonts w:ascii="Times New Roman" w:eastAsia="Calibri" w:hAnsi="Times New Roman"/>
                <w:b/>
                <w:bCs/>
                <w:sz w:val="16"/>
                <w:szCs w:val="16"/>
                <w:lang w:val="en-US"/>
              </w:rPr>
              <w:t>C</w:t>
            </w:r>
          </w:p>
        </w:tc>
        <w:tc>
          <w:tcPr>
            <w:tcW w:w="51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661C08" w:rsidRDefault="00E5709C" w:rsidP="00051A9F">
            <w:pPr>
              <w:spacing w:before="120" w:after="0" w:line="259" w:lineRule="auto"/>
              <w:jc w:val="both"/>
              <w:rPr>
                <w:rFonts w:ascii="Times New Roman" w:eastAsia="Calibri" w:hAnsi="Times New Roman"/>
                <w:b/>
                <w:bCs/>
                <w:sz w:val="16"/>
                <w:szCs w:val="16"/>
                <w:lang w:val="en-US"/>
              </w:rPr>
            </w:pPr>
            <w:r w:rsidRPr="00661C08">
              <w:rPr>
                <w:rFonts w:ascii="Times New Roman" w:eastAsia="Calibri" w:hAnsi="Times New Roman"/>
                <w:b/>
                <w:bCs/>
                <w:sz w:val="16"/>
                <w:szCs w:val="16"/>
                <w:lang w:val="en-US"/>
              </w:rPr>
              <w:t>G</w:t>
            </w:r>
          </w:p>
        </w:tc>
        <w:tc>
          <w:tcPr>
            <w:tcW w:w="42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661C08" w:rsidRDefault="00E5709C" w:rsidP="00051A9F">
            <w:pPr>
              <w:spacing w:before="120" w:after="0" w:line="259" w:lineRule="auto"/>
              <w:jc w:val="both"/>
              <w:rPr>
                <w:rFonts w:ascii="Times New Roman" w:eastAsia="Calibri" w:hAnsi="Times New Roman"/>
                <w:b/>
                <w:bCs/>
                <w:sz w:val="16"/>
                <w:szCs w:val="16"/>
              </w:rPr>
            </w:pPr>
            <w:r w:rsidRPr="00661C08">
              <w:rPr>
                <w:rFonts w:ascii="Times New Roman" w:eastAsia="Calibri" w:hAnsi="Times New Roman"/>
                <w:b/>
                <w:bCs/>
                <w:sz w:val="16"/>
                <w:szCs w:val="16"/>
              </w:rPr>
              <w:t>С</w:t>
            </w:r>
          </w:p>
        </w:tc>
        <w:tc>
          <w:tcPr>
            <w:tcW w:w="29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661C08" w:rsidRDefault="00E5709C" w:rsidP="00051A9F">
            <w:pPr>
              <w:spacing w:before="120" w:after="0" w:line="259" w:lineRule="auto"/>
              <w:jc w:val="both"/>
              <w:rPr>
                <w:rFonts w:ascii="Times New Roman" w:eastAsia="Calibri" w:hAnsi="Times New Roman"/>
                <w:b/>
                <w:bCs/>
                <w:sz w:val="16"/>
                <w:szCs w:val="16"/>
                <w:lang w:val="en-US"/>
              </w:rPr>
            </w:pPr>
            <w:r w:rsidRPr="00661C08">
              <w:rPr>
                <w:rFonts w:ascii="Times New Roman" w:eastAsia="Calibri" w:hAnsi="Times New Roman"/>
                <w:b/>
                <w:bCs/>
                <w:sz w:val="16"/>
                <w:szCs w:val="16"/>
                <w:lang w:val="en-US"/>
              </w:rPr>
              <w:t>A</w:t>
            </w:r>
          </w:p>
        </w:tc>
        <w:tc>
          <w:tcPr>
            <w:tcW w:w="24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661C08" w:rsidRDefault="00E5709C" w:rsidP="00051A9F">
            <w:pPr>
              <w:spacing w:before="120" w:after="0" w:line="259" w:lineRule="auto"/>
              <w:jc w:val="both"/>
              <w:rPr>
                <w:rFonts w:ascii="Times New Roman" w:eastAsia="Calibri" w:hAnsi="Times New Roman"/>
                <w:b/>
                <w:bCs/>
                <w:sz w:val="16"/>
                <w:szCs w:val="16"/>
              </w:rPr>
            </w:pPr>
            <w:r w:rsidRPr="00661C08">
              <w:rPr>
                <w:rFonts w:ascii="Times New Roman" w:eastAsia="Calibri" w:hAnsi="Times New Roman"/>
                <w:b/>
                <w:bCs/>
                <w:color w:val="FF0000"/>
                <w:sz w:val="16"/>
                <w:szCs w:val="16"/>
              </w:rPr>
              <w:t>С</w:t>
            </w:r>
          </w:p>
        </w:tc>
        <w:tc>
          <w:tcPr>
            <w:tcW w:w="36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661C08" w:rsidRDefault="00E5709C" w:rsidP="00051A9F">
            <w:pPr>
              <w:spacing w:before="120" w:after="0" w:line="259" w:lineRule="auto"/>
              <w:jc w:val="both"/>
              <w:rPr>
                <w:rFonts w:ascii="Times New Roman" w:eastAsia="Calibri" w:hAnsi="Times New Roman"/>
                <w:b/>
                <w:bCs/>
                <w:sz w:val="16"/>
                <w:szCs w:val="16"/>
                <w:lang w:val="en-US"/>
              </w:rPr>
            </w:pPr>
            <w:r w:rsidRPr="00661C08">
              <w:rPr>
                <w:rFonts w:ascii="Times New Roman" w:eastAsia="Calibri" w:hAnsi="Times New Roman"/>
                <w:b/>
                <w:bCs/>
                <w:sz w:val="16"/>
                <w:szCs w:val="16"/>
                <w:lang w:val="en-US"/>
              </w:rPr>
              <w:t>A</w:t>
            </w:r>
          </w:p>
        </w:tc>
      </w:tr>
    </w:tbl>
    <w:p w:rsidR="00B420C3" w:rsidRPr="00B420C3" w:rsidRDefault="00B420C3" w:rsidP="00B420C3">
      <w:pPr>
        <w:spacing w:after="160" w:line="240" w:lineRule="auto"/>
        <w:jc w:val="both"/>
        <w:rPr>
          <w:rFonts w:ascii="Times New Roman" w:eastAsia="Calibri" w:hAnsi="Times New Roman"/>
          <w:sz w:val="24"/>
          <w:szCs w:val="24"/>
        </w:rPr>
      </w:pPr>
    </w:p>
    <w:bookmarkEnd w:id="39"/>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lang w:val="en-US"/>
        </w:rPr>
        <w:t>8</w:t>
      </w:r>
      <w:r w:rsidR="00EC5D51">
        <w:rPr>
          <w:rFonts w:ascii="Times New Roman" w:eastAsia="Calibri" w:hAnsi="Times New Roman"/>
          <w:b/>
          <w:sz w:val="24"/>
          <w:szCs w:val="24"/>
        </w:rPr>
        <w:t>. Цитирана литература</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Булгурков, К. 1958. Хидроложки особености на резервата езерото Сребърна и състав на рибната му фауна. – Изв. на Зоолог. инст., 7: 251–268.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Големански, </w:t>
      </w:r>
      <w:r w:rsidR="00EC5D51">
        <w:rPr>
          <w:rFonts w:ascii="Times New Roman" w:eastAsia="Calibri" w:hAnsi="Times New Roman"/>
          <w:sz w:val="24"/>
          <w:szCs w:val="24"/>
          <w:lang w:eastAsia="x-none"/>
        </w:rPr>
        <w:t>В.</w:t>
      </w:r>
      <w:r w:rsidRPr="00B420C3">
        <w:rPr>
          <w:rFonts w:ascii="Times New Roman" w:eastAsia="Calibri" w:hAnsi="Times New Roman"/>
          <w:sz w:val="24"/>
          <w:szCs w:val="24"/>
          <w:lang w:eastAsia="x-none"/>
        </w:rPr>
        <w:t>. и др. (ред.) 2011. Червена книга на Република България. Том 2. Животни. ИБЕИ - БАН &amp; МОСВ, София. Електронно издание:</w:t>
      </w:r>
      <w:r w:rsidRPr="00B420C3">
        <w:rPr>
          <w:rFonts w:ascii="Times New Roman" w:eastAsia="Calibri" w:hAnsi="Times New Roman"/>
          <w:sz w:val="24"/>
          <w:szCs w:val="24"/>
        </w:rPr>
        <w:t xml:space="preserve"> </w:t>
      </w:r>
      <w:hyperlink r:id="rId82" w:history="1">
        <w:r w:rsidRPr="00B420C3">
          <w:rPr>
            <w:rFonts w:ascii="Times New Roman" w:eastAsia="Calibri" w:hAnsi="Times New Roman"/>
            <w:color w:val="0000FF"/>
            <w:sz w:val="24"/>
            <w:szCs w:val="24"/>
            <w:u w:val="single"/>
          </w:rPr>
          <w:t xml:space="preserve">Том </w:t>
        </w:r>
        <w:r w:rsidRPr="00B420C3">
          <w:rPr>
            <w:rFonts w:ascii="Times New Roman" w:eastAsia="Calibri" w:hAnsi="Times New Roman"/>
            <w:color w:val="0000FF"/>
            <w:sz w:val="24"/>
            <w:szCs w:val="24"/>
            <w:u w:val="single"/>
            <w:lang w:val="en-GB"/>
          </w:rPr>
          <w:t>II</w:t>
        </w:r>
        <w:r w:rsidRPr="00B420C3">
          <w:rPr>
            <w:rFonts w:ascii="Times New Roman" w:eastAsia="Calibri" w:hAnsi="Times New Roman"/>
            <w:color w:val="0000FF"/>
            <w:sz w:val="24"/>
            <w:szCs w:val="24"/>
            <w:u w:val="single"/>
          </w:rPr>
          <w:t xml:space="preserve"> - Животни (</w:t>
        </w:r>
        <w:r w:rsidRPr="00B420C3">
          <w:rPr>
            <w:rFonts w:ascii="Times New Roman" w:eastAsia="Calibri" w:hAnsi="Times New Roman"/>
            <w:color w:val="0000FF"/>
            <w:sz w:val="24"/>
            <w:szCs w:val="24"/>
            <w:u w:val="single"/>
            <w:lang w:val="en-GB"/>
          </w:rPr>
          <w:t>bas</w:t>
        </w:r>
        <w:r w:rsidRPr="00B420C3">
          <w:rPr>
            <w:rFonts w:ascii="Times New Roman" w:eastAsia="Calibri" w:hAnsi="Times New Roman"/>
            <w:color w:val="0000FF"/>
            <w:sz w:val="24"/>
            <w:szCs w:val="24"/>
            <w:u w:val="single"/>
          </w:rPr>
          <w:t>.</w:t>
        </w:r>
        <w:r w:rsidRPr="00B420C3">
          <w:rPr>
            <w:rFonts w:ascii="Times New Roman" w:eastAsia="Calibri" w:hAnsi="Times New Roman"/>
            <w:color w:val="0000FF"/>
            <w:sz w:val="24"/>
            <w:szCs w:val="24"/>
            <w:u w:val="single"/>
            <w:lang w:val="en-GB"/>
          </w:rPr>
          <w:t>bg</w:t>
        </w:r>
        <w:r w:rsidRPr="00B420C3">
          <w:rPr>
            <w:rFonts w:ascii="Times New Roman" w:eastAsia="Calibri" w:hAnsi="Times New Roman"/>
            <w:color w:val="0000FF"/>
            <w:sz w:val="24"/>
            <w:szCs w:val="24"/>
            <w:u w:val="single"/>
          </w:rPr>
          <w:t>)</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Диков, Ц., Й. Янков, С. Йочев. 1988. Състав на ихтиофауната, численост и биомаса на отделните видове в река Палакария, приток на река Искър. – Хидробиология, 33: 59–67.</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Димитров, М. 1957. Хидрологична и хидробиологична характеристика на язовир "Ал. Стамболийски". – Известия на Научноизследователския институт по рибарство и рибна промишленост – Варна, 1: 159–197.</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Дренски, П. 1921. Риби и риболовство по р. Искър. – Сведения по земеделието, 2 (9): 5–16.</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Дренски, П. 1921а. Рибната фауна на река Искър и риболовството по нея. – Естествознание и география, 6 (2/3): 49–58.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Дренски, П. 1948. Състав и разпространение на рибите в България. – Годишник на Софийския университет – Природо-математически факултет, 44(3): 11–71.</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Дренски, П. 1951. Рибите в България. Фауна на България </w:t>
      </w:r>
      <w:r w:rsidRPr="00B420C3">
        <w:rPr>
          <w:rFonts w:ascii="Times New Roman" w:eastAsia="Calibri" w:hAnsi="Times New Roman"/>
          <w:sz w:val="24"/>
          <w:szCs w:val="24"/>
          <w:lang w:val="en-US" w:eastAsia="x-none"/>
        </w:rPr>
        <w:t>II</w:t>
      </w:r>
      <w:r w:rsidRPr="00B420C3">
        <w:rPr>
          <w:rFonts w:ascii="Times New Roman" w:eastAsia="Calibri" w:hAnsi="Times New Roman"/>
          <w:sz w:val="24"/>
          <w:szCs w:val="24"/>
          <w:lang w:eastAsia="x-none"/>
        </w:rPr>
        <w:t>. С., БАН, 270 с.</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Живков, </w:t>
      </w:r>
      <w:r w:rsidRPr="00B420C3">
        <w:rPr>
          <w:rFonts w:ascii="Times New Roman" w:eastAsia="Calibri" w:hAnsi="Times New Roman"/>
          <w:sz w:val="24"/>
          <w:szCs w:val="24"/>
          <w:lang w:val="en-US" w:eastAsia="x-none"/>
        </w:rPr>
        <w:t>M</w:t>
      </w:r>
      <w:r w:rsidRPr="00B420C3">
        <w:rPr>
          <w:rFonts w:ascii="Times New Roman" w:eastAsia="Calibri" w:hAnsi="Times New Roman"/>
          <w:sz w:val="24"/>
          <w:szCs w:val="24"/>
          <w:lang w:eastAsia="x-none"/>
        </w:rPr>
        <w:t>.,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ИАОС. Проект </w:t>
      </w:r>
      <w:r w:rsidRPr="00B420C3">
        <w:rPr>
          <w:rFonts w:ascii="Times New Roman" w:eastAsia="Calibri" w:hAnsi="Times New Roman"/>
          <w:sz w:val="24"/>
          <w:szCs w:val="24"/>
          <w:lang w:val="en-US" w:eastAsia="x-none"/>
        </w:rPr>
        <w:t>DIR</w:t>
      </w:r>
      <w:r w:rsidRPr="00B420C3">
        <w:rPr>
          <w:rFonts w:ascii="Times New Roman" w:eastAsia="Calibri" w:hAnsi="Times New Roman"/>
          <w:sz w:val="24"/>
          <w:szCs w:val="24"/>
          <w:lang w:eastAsia="x-none"/>
        </w:rPr>
        <w:t xml:space="preserve">-5113024-1-48. Теренни проучвания на разпространение на видове/оценка на състоянието на видове и хабитати на територията на цялата страна - I фаза. </w:t>
      </w:r>
      <w:hyperlink r:id="rId83" w:history="1">
        <w:r w:rsidRPr="00B420C3">
          <w:rPr>
            <w:rFonts w:ascii="Times New Roman" w:eastAsia="Calibri" w:hAnsi="Times New Roman"/>
            <w:color w:val="0563C1"/>
            <w:sz w:val="24"/>
            <w:szCs w:val="24"/>
            <w:u w:val="single"/>
            <w:lang w:eastAsia="x-none"/>
          </w:rPr>
          <w:t>http://eea.government.bg/bg/bio/opos/activities-results/ribi</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Информационна система за защитени зони от екологична мрежа НАТУРА 2000.</w:t>
      </w:r>
    </w:p>
    <w:p w:rsidR="00B420C3" w:rsidRPr="00B420C3" w:rsidRDefault="00DE51FF" w:rsidP="001D13B2">
      <w:pPr>
        <w:spacing w:after="0" w:line="240" w:lineRule="auto"/>
        <w:ind w:left="709" w:hanging="1"/>
        <w:jc w:val="both"/>
        <w:rPr>
          <w:rFonts w:ascii="Times New Roman" w:eastAsia="Calibri" w:hAnsi="Times New Roman"/>
          <w:sz w:val="24"/>
          <w:szCs w:val="24"/>
          <w:lang w:eastAsia="x-none"/>
        </w:rPr>
      </w:pPr>
      <w:hyperlink r:id="rId84" w:history="1">
        <w:r w:rsidR="00B420C3" w:rsidRPr="00B420C3">
          <w:rPr>
            <w:rFonts w:ascii="Times New Roman" w:eastAsia="Calibri" w:hAnsi="Times New Roman"/>
            <w:color w:val="0563C1"/>
            <w:sz w:val="24"/>
            <w:szCs w:val="24"/>
            <w:u w:val="single"/>
            <w:lang w:eastAsia="x-none"/>
          </w:rPr>
          <w:t>http://natura2000.moew.government.bg/</w:t>
        </w:r>
      </w:hyperlink>
      <w:r w:rsidR="00B420C3" w:rsidRPr="00B420C3">
        <w:rPr>
          <w:rFonts w:ascii="Times New Roman" w:eastAsia="Calibri" w:hAnsi="Times New Roman"/>
          <w:sz w:val="24"/>
          <w:szCs w:val="24"/>
          <w:lang w:eastAsia="x-none"/>
        </w:rPr>
        <w:t xml:space="preserve">; </w:t>
      </w:r>
      <w:hyperlink r:id="rId85" w:history="1">
        <w:r w:rsidR="00B420C3" w:rsidRPr="00B420C3">
          <w:rPr>
            <w:rFonts w:ascii="Times New Roman" w:eastAsia="Calibri" w:hAnsi="Times New Roman"/>
            <w:color w:val="0563C1"/>
            <w:sz w:val="24"/>
            <w:szCs w:val="24"/>
            <w:u w:val="single"/>
            <w:lang w:eastAsia="x-none"/>
          </w:rPr>
          <w:t>http://natura2000.moew.government.bg/Home/Reports?reportType=Fishes</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1972. Ихтиофауна на р. Янтра. – Изв. на Зоолог. инст. с музей, 36: 149–182.</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1974. Ихтиофауна на р. Камчия. – Изв. на Зоолог. инст. с музей, 39: 85–98.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1994. Гръбначни животни. – В: Русев Б. (ред.), Лимнология на българските дунавски притоци, МОСВ, С., БАН, 175–186.</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Ц. Диков. 1986. Върху състава, разпространението, числеността и биомасата на ихтиофауната на р. Вит. – Хидробиология, 28: 3–14.</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М. Живков. 1995. Рибите в България. С., "Гея-Либрис", 247 с.</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Ковачев, В. 1923. Сладководната ихтиологична фауна на България. – Архив на Министерството на земеделието и държавните имоти, 3: 1–164.</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lastRenderedPageBreak/>
        <w:t>Константинов, В. 1964. Промишленият риболов в България през периода 1940–1958 г. – Известия на Института по Рибни Ресурси – Варна, 4: 125–187.</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Маринов, Б. 1966. Върху ихтиофауната на българския участък на река Дунав. – Изв. на Зоолог. инст. с музей, 20: 139–155.</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Моров, Т. 1931. Сладководните риби в България. С., "Художник", 93 с.</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Паспалев, Г., Ц. Пешев. 1955. Принос към изучаване на ихтиофауната на р. Искър. – Год. на СУ, Биолого-Геолого-Географски фак., 48(1): 1–39.</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Проект </w:t>
      </w:r>
      <w:r w:rsidRPr="00B420C3">
        <w:rPr>
          <w:rFonts w:ascii="Times New Roman" w:eastAsia="Calibri" w:hAnsi="Times New Roman"/>
          <w:sz w:val="24"/>
          <w:szCs w:val="24"/>
          <w:lang w:val="en-US" w:eastAsia="x-none"/>
        </w:rPr>
        <w:t>DIR</w:t>
      </w:r>
      <w:r w:rsidRPr="00B420C3">
        <w:rPr>
          <w:rFonts w:ascii="Times New Roman" w:eastAsia="Calibri" w:hAnsi="Times New Roman"/>
          <w:sz w:val="24"/>
          <w:szCs w:val="24"/>
          <w:lang w:eastAsia="x-none"/>
        </w:rPr>
        <w:t xml:space="preserve">-59318-1-2 „Картиране и определяне на природозащитното състояние на природни местообитания и видове - фаза </w:t>
      </w:r>
      <w:r w:rsidRPr="00B420C3">
        <w:rPr>
          <w:rFonts w:ascii="Times New Roman" w:eastAsia="Calibri" w:hAnsi="Times New Roman"/>
          <w:sz w:val="24"/>
          <w:szCs w:val="24"/>
          <w:lang w:val="en-US" w:eastAsia="x-none"/>
        </w:rPr>
        <w:t>I</w:t>
      </w:r>
      <w:r w:rsidRPr="00B420C3">
        <w:rPr>
          <w:rFonts w:ascii="Times New Roman" w:eastAsia="Calibri" w:hAnsi="Times New Roman"/>
          <w:sz w:val="24"/>
          <w:szCs w:val="24"/>
          <w:lang w:eastAsia="x-none"/>
        </w:rPr>
        <w:t>", 2013.</w:t>
      </w:r>
    </w:p>
    <w:p w:rsidR="00B420C3" w:rsidRPr="00B420C3" w:rsidRDefault="00B420C3" w:rsidP="00EC5D51">
      <w:pPr>
        <w:spacing w:after="0" w:line="240" w:lineRule="auto"/>
        <w:ind w:left="709" w:hanging="709"/>
        <w:jc w:val="both"/>
        <w:rPr>
          <w:rFonts w:ascii="Times New Roman" w:eastAsia="Calibri" w:hAnsi="Times New Roman"/>
          <w:sz w:val="24"/>
          <w:szCs w:val="24"/>
        </w:rPr>
      </w:pPr>
      <w:r w:rsidRPr="00B420C3">
        <w:rPr>
          <w:rFonts w:ascii="Times New Roman" w:eastAsia="Calibri" w:hAnsi="Times New Roman"/>
          <w:sz w:val="24"/>
          <w:szCs w:val="24"/>
          <w:lang w:eastAsia="x-none"/>
        </w:rPr>
        <w:t>Управление на защитените зони по „Натура 2000“. Разпоредбите на член 6 от Директива 92/43/ЕИО за местообитанията.</w:t>
      </w:r>
      <w:r w:rsidRPr="00B420C3">
        <w:rPr>
          <w:rFonts w:ascii="Times New Roman" w:eastAsia="Calibri" w:hAnsi="Times New Roman"/>
          <w:sz w:val="24"/>
          <w:szCs w:val="24"/>
        </w:rPr>
        <w:t xml:space="preserve"> </w:t>
      </w:r>
    </w:p>
    <w:p w:rsidR="00B420C3" w:rsidRPr="00B420C3" w:rsidRDefault="00DE51FF" w:rsidP="00EC5D51">
      <w:pPr>
        <w:spacing w:after="0" w:line="240" w:lineRule="auto"/>
        <w:ind w:left="709" w:hanging="709"/>
        <w:jc w:val="both"/>
        <w:rPr>
          <w:rFonts w:ascii="Times New Roman" w:eastAsia="Calibri" w:hAnsi="Times New Roman"/>
          <w:sz w:val="24"/>
          <w:szCs w:val="24"/>
          <w:lang w:eastAsia="x-none"/>
        </w:rPr>
      </w:pPr>
      <w:hyperlink r:id="rId86" w:history="1">
        <w:r w:rsidR="00B420C3" w:rsidRPr="00B420C3">
          <w:rPr>
            <w:rFonts w:ascii="Times New Roman" w:eastAsia="Calibri" w:hAnsi="Times New Roman"/>
            <w:color w:val="0563C1"/>
            <w:sz w:val="24"/>
            <w:szCs w:val="24"/>
            <w:u w:val="single"/>
            <w:lang w:val="en-US" w:eastAsia="x-none"/>
          </w:rPr>
          <w:t>https</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ec</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europa</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eu</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environment</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nature</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natura</w:t>
        </w:r>
        <w:r w:rsidR="00B420C3" w:rsidRPr="00B420C3">
          <w:rPr>
            <w:rFonts w:ascii="Times New Roman" w:eastAsia="Calibri" w:hAnsi="Times New Roman"/>
            <w:color w:val="0563C1"/>
            <w:sz w:val="24"/>
            <w:szCs w:val="24"/>
            <w:u w:val="single"/>
            <w:lang w:eastAsia="x-none"/>
          </w:rPr>
          <w:t>2000/</w:t>
        </w:r>
        <w:r w:rsidR="00B420C3" w:rsidRPr="00B420C3">
          <w:rPr>
            <w:rFonts w:ascii="Times New Roman" w:eastAsia="Calibri" w:hAnsi="Times New Roman"/>
            <w:color w:val="0563C1"/>
            <w:sz w:val="24"/>
            <w:szCs w:val="24"/>
            <w:u w:val="single"/>
            <w:lang w:val="en-US" w:eastAsia="x-none"/>
          </w:rPr>
          <w:t>management</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docs</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art</w:t>
        </w:r>
        <w:r w:rsidR="00B420C3" w:rsidRPr="00B420C3">
          <w:rPr>
            <w:rFonts w:ascii="Times New Roman" w:eastAsia="Calibri" w:hAnsi="Times New Roman"/>
            <w:color w:val="0563C1"/>
            <w:sz w:val="24"/>
            <w:szCs w:val="24"/>
            <w:u w:val="single"/>
            <w:lang w:eastAsia="x-none"/>
          </w:rPr>
          <w:t>6/</w:t>
        </w:r>
        <w:r w:rsidR="00B420C3" w:rsidRPr="00B420C3">
          <w:rPr>
            <w:rFonts w:ascii="Times New Roman" w:eastAsia="Calibri" w:hAnsi="Times New Roman"/>
            <w:color w:val="0563C1"/>
            <w:sz w:val="24"/>
            <w:szCs w:val="24"/>
            <w:u w:val="single"/>
            <w:lang w:val="en-US" w:eastAsia="x-none"/>
          </w:rPr>
          <w:t>BG</w:t>
        </w:r>
        <w:r w:rsidR="00B420C3" w:rsidRPr="00B420C3">
          <w:rPr>
            <w:rFonts w:ascii="Times New Roman" w:eastAsia="Calibri" w:hAnsi="Times New Roman"/>
            <w:color w:val="0563C1"/>
            <w:sz w:val="24"/>
            <w:szCs w:val="24"/>
            <w:u w:val="single"/>
            <w:lang w:eastAsia="x-none"/>
          </w:rPr>
          <w:t>_</w:t>
        </w:r>
        <w:r w:rsidR="00B420C3" w:rsidRPr="00B420C3">
          <w:rPr>
            <w:rFonts w:ascii="Times New Roman" w:eastAsia="Calibri" w:hAnsi="Times New Roman"/>
            <w:color w:val="0563C1"/>
            <w:sz w:val="24"/>
            <w:szCs w:val="24"/>
            <w:u w:val="single"/>
            <w:lang w:val="en-US" w:eastAsia="x-none"/>
          </w:rPr>
          <w:t>art</w:t>
        </w:r>
        <w:r w:rsidR="00B420C3" w:rsidRPr="00B420C3">
          <w:rPr>
            <w:rFonts w:ascii="Times New Roman" w:eastAsia="Calibri" w:hAnsi="Times New Roman"/>
            <w:color w:val="0563C1"/>
            <w:sz w:val="24"/>
            <w:szCs w:val="24"/>
            <w:u w:val="single"/>
            <w:lang w:eastAsia="x-none"/>
          </w:rPr>
          <w:t>_6_</w:t>
        </w:r>
        <w:r w:rsidR="00B420C3" w:rsidRPr="00B420C3">
          <w:rPr>
            <w:rFonts w:ascii="Times New Roman" w:eastAsia="Calibri" w:hAnsi="Times New Roman"/>
            <w:color w:val="0563C1"/>
            <w:sz w:val="24"/>
            <w:szCs w:val="24"/>
            <w:u w:val="single"/>
            <w:lang w:val="en-US" w:eastAsia="x-none"/>
          </w:rPr>
          <w:t>guide</w:t>
        </w:r>
        <w:r w:rsidR="00B420C3" w:rsidRPr="00B420C3">
          <w:rPr>
            <w:rFonts w:ascii="Times New Roman" w:eastAsia="Calibri" w:hAnsi="Times New Roman"/>
            <w:color w:val="0563C1"/>
            <w:sz w:val="24"/>
            <w:szCs w:val="24"/>
            <w:u w:val="single"/>
            <w:lang w:eastAsia="x-none"/>
          </w:rPr>
          <w:t>_</w:t>
        </w:r>
        <w:r w:rsidR="00B420C3" w:rsidRPr="00B420C3">
          <w:rPr>
            <w:rFonts w:ascii="Times New Roman" w:eastAsia="Calibri" w:hAnsi="Times New Roman"/>
            <w:color w:val="0563C1"/>
            <w:sz w:val="24"/>
            <w:szCs w:val="24"/>
            <w:u w:val="single"/>
            <w:lang w:val="en-US" w:eastAsia="x-none"/>
          </w:rPr>
          <w:t>jun</w:t>
        </w:r>
        <w:r w:rsidR="00B420C3" w:rsidRPr="00B420C3">
          <w:rPr>
            <w:rFonts w:ascii="Times New Roman" w:eastAsia="Calibri" w:hAnsi="Times New Roman"/>
            <w:color w:val="0563C1"/>
            <w:sz w:val="24"/>
            <w:szCs w:val="24"/>
            <w:u w:val="single"/>
            <w:lang w:eastAsia="x-none"/>
          </w:rPr>
          <w:t>_2019.</w:t>
        </w:r>
        <w:r w:rsidR="00B420C3" w:rsidRPr="00B420C3">
          <w:rPr>
            <w:rFonts w:ascii="Times New Roman" w:eastAsia="Calibri" w:hAnsi="Times New Roman"/>
            <w:color w:val="0563C1"/>
            <w:sz w:val="24"/>
            <w:szCs w:val="24"/>
            <w:u w:val="single"/>
            <w:lang w:val="en-US" w:eastAsia="x-none"/>
          </w:rPr>
          <w:t>pdf</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Шишков Г. 1939. Няколко думи за риболова по р. Искър. – Рибарски преглед, 9(8): 4–7.</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Apostolou A., L. Pehlivanov, M. Schabuss, H. Zorning 2021.</w:t>
      </w:r>
      <w:r w:rsidRPr="00B420C3">
        <w:rPr>
          <w:rFonts w:eastAsia="Calibri"/>
          <w:lang w:val="en-GB"/>
        </w:rPr>
        <w:t xml:space="preserve"> </w:t>
      </w:r>
      <w:r w:rsidRPr="00B420C3">
        <w:rPr>
          <w:rFonts w:ascii="Times New Roman" w:eastAsia="Calibri" w:hAnsi="Times New Roman"/>
          <w:sz w:val="24"/>
          <w:szCs w:val="24"/>
          <w:lang w:val="en-US" w:eastAsia="x-none"/>
        </w:rPr>
        <w:t>Monitoring fish in Lower Danube River main channel by applying various sampling methodologies.</w:t>
      </w:r>
      <w:r w:rsidRPr="00B420C3">
        <w:rPr>
          <w:rFonts w:eastAsia="Calibri"/>
          <w:lang w:val="en-GB"/>
        </w:rPr>
        <w:t xml:space="preserve"> </w:t>
      </w:r>
      <w:r w:rsidRPr="00B420C3">
        <w:rPr>
          <w:rFonts w:ascii="Times New Roman" w:eastAsia="Calibri" w:hAnsi="Times New Roman"/>
          <w:sz w:val="24"/>
          <w:szCs w:val="24"/>
          <w:lang w:val="en-US" w:eastAsia="x-none"/>
        </w:rPr>
        <w:t>Acta Zool. Bulg., 73 (2): 269-274.</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val="en-US" w:eastAsia="x-none"/>
        </w:rPr>
        <w:t>Froese, R., D. Pauly. Editors. 2021. FishBase. World Wide Web electronic publication. www.fishbase.org, (06/2021)</w:t>
      </w:r>
      <w:r w:rsidRPr="00B420C3">
        <w:rPr>
          <w:rFonts w:ascii="Times New Roman" w:eastAsia="Calibri" w:hAnsi="Times New Roman"/>
          <w:sz w:val="24"/>
          <w:szCs w:val="24"/>
          <w:lang w:eastAsia="x-none"/>
        </w:rPr>
        <w:t>:</w:t>
      </w:r>
      <w:r w:rsidRPr="00B420C3">
        <w:rPr>
          <w:rFonts w:ascii="Times New Roman" w:eastAsia="Calibri" w:hAnsi="Times New Roman"/>
          <w:sz w:val="24"/>
          <w:szCs w:val="24"/>
        </w:rPr>
        <w:t xml:space="preserve"> </w:t>
      </w:r>
      <w:hyperlink r:id="rId87" w:history="1">
        <w:r w:rsidRPr="00B420C3">
          <w:rPr>
            <w:rFonts w:ascii="Times New Roman" w:eastAsia="Calibri" w:hAnsi="Times New Roman"/>
            <w:color w:val="0000FF"/>
            <w:sz w:val="24"/>
            <w:szCs w:val="24"/>
            <w:u w:val="single"/>
            <w:lang w:val="en-GB"/>
          </w:rPr>
          <w:t>Search FishBase (mnhn.fr)</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Kottelat, M., J. Freyhof, 2007. Handbook of European freshwater fishes. Publications Kottelat, Cornol and Freyhof, Berlin. 646 pp.</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Luchezar Z. Pehlivanov</w:t>
      </w:r>
      <w:r w:rsidRPr="00B420C3">
        <w:rPr>
          <w:rFonts w:ascii="Times New Roman" w:eastAsia="Calibri" w:hAnsi="Times New Roman"/>
          <w:sz w:val="24"/>
          <w:szCs w:val="24"/>
          <w:lang w:eastAsia="x-none"/>
        </w:rPr>
        <w:t xml:space="preserve">, </w:t>
      </w:r>
      <w:r w:rsidRPr="00B420C3">
        <w:rPr>
          <w:rFonts w:ascii="Times New Roman" w:eastAsia="Calibri" w:hAnsi="Times New Roman"/>
          <w:sz w:val="24"/>
          <w:szCs w:val="24"/>
          <w:lang w:val="en-US" w:eastAsia="x-none"/>
        </w:rPr>
        <w:t>, Apostolou A.</w:t>
      </w:r>
      <w:r w:rsidRPr="00B420C3">
        <w:rPr>
          <w:rFonts w:ascii="Times New Roman" w:eastAsia="Calibri" w:hAnsi="Times New Roman"/>
          <w:sz w:val="24"/>
          <w:szCs w:val="24"/>
          <w:lang w:eastAsia="x-none"/>
        </w:rPr>
        <w:t xml:space="preserve">, </w:t>
      </w:r>
      <w:r w:rsidRPr="00B420C3">
        <w:rPr>
          <w:rFonts w:ascii="Times New Roman" w:eastAsia="Calibri" w:hAnsi="Times New Roman"/>
          <w:sz w:val="24"/>
          <w:szCs w:val="24"/>
          <w:lang w:val="en-US" w:eastAsia="x-none"/>
        </w:rPr>
        <w:t>Wolfram</w:t>
      </w:r>
      <w:r w:rsidRPr="00B420C3">
        <w:rPr>
          <w:rFonts w:ascii="Times New Roman" w:eastAsia="Calibri" w:hAnsi="Times New Roman"/>
          <w:sz w:val="24"/>
          <w:szCs w:val="24"/>
          <w:lang w:eastAsia="x-none"/>
        </w:rPr>
        <w:t xml:space="preserve"> </w:t>
      </w:r>
      <w:r w:rsidRPr="00B420C3">
        <w:rPr>
          <w:rFonts w:ascii="Times New Roman" w:eastAsia="Calibri" w:hAnsi="Times New Roman"/>
          <w:sz w:val="24"/>
          <w:szCs w:val="24"/>
          <w:lang w:val="en-US" w:eastAsia="x-none"/>
        </w:rPr>
        <w:t>G. 2017. Development of Bulgarian Fish Based Index for Ecological Classification and Monitoring of Natural Riparian Lakes (Type L5/L-EC-1). Acta zool. bulg., Suppl. 8, 2017: 153-162</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Pehlivanov, L. 2000a. Ichthyofauna in the Srebarna Lake, the Danube Basin: state and significance of the management and conservation strategies of this wetland. – International Association for Danube Research, 33: 317–322.</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Vassilev, M., L. Pehlivanov. 2005. Checklist of Bulgarian freshwater fishes. – Acta zool. bulg., 57(2): 161–190</w:t>
      </w:r>
    </w:p>
    <w:p w:rsidR="00B420C3" w:rsidRPr="00B420C3" w:rsidRDefault="00B420C3" w:rsidP="00B420C3">
      <w:pPr>
        <w:spacing w:after="160" w:line="240" w:lineRule="auto"/>
        <w:jc w:val="both"/>
        <w:rPr>
          <w:rFonts w:ascii="Times New Roman" w:eastAsia="Calibri" w:hAnsi="Times New Roman"/>
          <w:i/>
          <w:sz w:val="24"/>
          <w:szCs w:val="24"/>
          <w:lang w:val="en-US"/>
        </w:rPr>
      </w:pPr>
    </w:p>
    <w:p w:rsidR="00B420C3" w:rsidRPr="00B420C3" w:rsidRDefault="00B420C3" w:rsidP="00B420C3">
      <w:pPr>
        <w:spacing w:after="160" w:line="240" w:lineRule="auto"/>
        <w:jc w:val="both"/>
        <w:rPr>
          <w:rFonts w:ascii="Times New Roman" w:eastAsia="Calibri" w:hAnsi="Times New Roman"/>
          <w:sz w:val="24"/>
          <w:szCs w:val="24"/>
        </w:rPr>
      </w:pPr>
      <w:r w:rsidRPr="00B420C3">
        <w:rPr>
          <w:rFonts w:ascii="Times New Roman" w:eastAsia="Calibri" w:hAnsi="Times New Roman"/>
          <w:i/>
          <w:sz w:val="24"/>
          <w:szCs w:val="24"/>
        </w:rPr>
        <w:t>Автори</w:t>
      </w:r>
      <w:r w:rsidRPr="00B420C3">
        <w:rPr>
          <w:rFonts w:ascii="Times New Roman" w:eastAsia="Calibri" w:hAnsi="Times New Roman"/>
          <w:sz w:val="24"/>
          <w:szCs w:val="24"/>
        </w:rPr>
        <w:t>:</w:t>
      </w:r>
      <w:r w:rsidRPr="00B420C3">
        <w:rPr>
          <w:rFonts w:ascii="Times New Roman" w:eastAsia="Calibri" w:hAnsi="Times New Roman"/>
          <w:b/>
          <w:sz w:val="24"/>
          <w:szCs w:val="24"/>
        </w:rPr>
        <w:t xml:space="preserve"> </w:t>
      </w:r>
      <w:r w:rsidRPr="00B420C3">
        <w:rPr>
          <w:rFonts w:ascii="Times New Roman" w:eastAsia="Calibri" w:hAnsi="Times New Roman"/>
          <w:sz w:val="24"/>
          <w:szCs w:val="24"/>
        </w:rPr>
        <w:t xml:space="preserve">Апостолос Апостолу, Лъчезар Пехливанов, Стефан Казаков. </w:t>
      </w:r>
    </w:p>
    <w:p w:rsidR="00B420C3" w:rsidRDefault="00B420C3" w:rsidP="0070678B">
      <w:pPr>
        <w:rPr>
          <w:rFonts w:ascii="Times New Roman" w:hAnsi="Times New Roman"/>
          <w:color w:val="1F497D" w:themeColor="text2"/>
          <w:sz w:val="28"/>
          <w:szCs w:val="28"/>
        </w:rPr>
      </w:pPr>
    </w:p>
    <w:p w:rsidR="0070678B" w:rsidRDefault="00107719" w:rsidP="00EC5D51">
      <w:pPr>
        <w:outlineLvl w:val="1"/>
        <w:rPr>
          <w:rFonts w:ascii="Times New Roman" w:hAnsi="Times New Roman"/>
          <w:i/>
          <w:color w:val="1F497D" w:themeColor="text2"/>
          <w:sz w:val="28"/>
          <w:szCs w:val="28"/>
        </w:rPr>
      </w:pPr>
      <w:bookmarkStart w:id="41" w:name="_Toc98838546"/>
      <w:r>
        <w:rPr>
          <w:rFonts w:ascii="Times New Roman" w:hAnsi="Times New Roman"/>
          <w:color w:val="1F497D" w:themeColor="text2"/>
          <w:sz w:val="28"/>
          <w:szCs w:val="28"/>
        </w:rPr>
        <w:t xml:space="preserve">Природозащитни цели за </w:t>
      </w:r>
      <w:r w:rsidR="0070678B">
        <w:rPr>
          <w:rFonts w:ascii="Times New Roman" w:hAnsi="Times New Roman"/>
          <w:color w:val="1F497D" w:themeColor="text2"/>
          <w:sz w:val="28"/>
          <w:szCs w:val="28"/>
        </w:rPr>
        <w:t xml:space="preserve">1149 </w:t>
      </w:r>
      <w:r w:rsidR="0070678B" w:rsidRPr="00107719">
        <w:rPr>
          <w:rFonts w:ascii="Times New Roman" w:hAnsi="Times New Roman"/>
          <w:i/>
          <w:color w:val="1F497D" w:themeColor="text2"/>
          <w:sz w:val="28"/>
          <w:szCs w:val="28"/>
        </w:rPr>
        <w:t>Cobitis taenia</w:t>
      </w:r>
      <w:bookmarkEnd w:id="41"/>
    </w:p>
    <w:p w:rsidR="00B420C3" w:rsidRPr="00B420C3" w:rsidRDefault="00B420C3" w:rsidP="00B420C3">
      <w:pPr>
        <w:spacing w:after="160" w:line="240" w:lineRule="auto"/>
        <w:jc w:val="both"/>
        <w:rPr>
          <w:rFonts w:ascii="Times New Roman" w:hAnsi="Times New Roman"/>
          <w:b/>
          <w:bCs/>
          <w:color w:val="000000"/>
          <w:sz w:val="24"/>
          <w:szCs w:val="24"/>
          <w:lang w:eastAsia="bg-BG"/>
        </w:rPr>
      </w:pPr>
      <w:r w:rsidRPr="00B420C3">
        <w:rPr>
          <w:rFonts w:ascii="Times New Roman" w:eastAsia="Calibri" w:hAnsi="Times New Roman"/>
          <w:b/>
          <w:sz w:val="24"/>
          <w:szCs w:val="24"/>
        </w:rPr>
        <w:t xml:space="preserve">1. Код и наименование на вида: </w:t>
      </w:r>
      <w:r w:rsidRPr="00EC5D51">
        <w:rPr>
          <w:rFonts w:ascii="Times New Roman" w:hAnsi="Times New Roman"/>
          <w:bCs/>
          <w:color w:val="000000"/>
          <w:sz w:val="24"/>
          <w:szCs w:val="24"/>
          <w:lang w:eastAsia="bg-BG"/>
        </w:rPr>
        <w:t xml:space="preserve">1149 </w:t>
      </w:r>
      <w:bookmarkStart w:id="42" w:name="_Hlk88833874"/>
      <w:r w:rsidR="00EC5D51" w:rsidRPr="00EC5D51">
        <w:rPr>
          <w:rFonts w:ascii="Times New Roman" w:hAnsi="Times New Roman"/>
          <w:bCs/>
          <w:i/>
          <w:color w:val="000000"/>
          <w:sz w:val="24"/>
          <w:szCs w:val="24"/>
          <w:lang w:val="en-US" w:eastAsia="bg-BG"/>
        </w:rPr>
        <w:t>Cobitis</w:t>
      </w:r>
      <w:r w:rsidR="00EC5D51" w:rsidRPr="00EC5D51">
        <w:rPr>
          <w:rFonts w:ascii="Times New Roman" w:hAnsi="Times New Roman"/>
          <w:bCs/>
          <w:i/>
          <w:color w:val="000000"/>
          <w:sz w:val="24"/>
          <w:szCs w:val="24"/>
          <w:lang w:eastAsia="bg-BG"/>
        </w:rPr>
        <w:t xml:space="preserve"> </w:t>
      </w:r>
      <w:r w:rsidR="00EC5D51" w:rsidRPr="00EC5D51">
        <w:rPr>
          <w:rFonts w:ascii="Times New Roman" w:hAnsi="Times New Roman"/>
          <w:bCs/>
          <w:i/>
          <w:color w:val="000000"/>
          <w:sz w:val="24"/>
          <w:szCs w:val="24"/>
          <w:lang w:val="en-US" w:eastAsia="bg-BG"/>
        </w:rPr>
        <w:t>taenia</w:t>
      </w:r>
      <w:r w:rsidR="00EC5D51" w:rsidRPr="00EC5D51">
        <w:rPr>
          <w:rFonts w:ascii="Times New Roman" w:hAnsi="Times New Roman"/>
          <w:bCs/>
          <w:color w:val="000000"/>
          <w:sz w:val="24"/>
          <w:szCs w:val="24"/>
          <w:lang w:eastAsia="bg-BG"/>
        </w:rPr>
        <w:t xml:space="preserve"> </w:t>
      </w:r>
      <w:r w:rsidR="00E5709C">
        <w:rPr>
          <w:rFonts w:ascii="Times New Roman" w:hAnsi="Times New Roman"/>
          <w:bCs/>
          <w:color w:val="000000"/>
          <w:sz w:val="24"/>
          <w:szCs w:val="24"/>
          <w:lang w:eastAsia="bg-BG"/>
        </w:rPr>
        <w:t>С</w:t>
      </w:r>
      <w:r w:rsidR="00EC5D51" w:rsidRPr="00EC5D51">
        <w:rPr>
          <w:rFonts w:ascii="Times New Roman" w:hAnsi="Times New Roman"/>
          <w:bCs/>
          <w:color w:val="000000"/>
          <w:sz w:val="24"/>
          <w:szCs w:val="24"/>
          <w:lang w:val="en-US" w:eastAsia="bg-BG"/>
        </w:rPr>
        <w:t>omplex</w:t>
      </w:r>
      <w:bookmarkEnd w:id="42"/>
      <w:r w:rsidR="00EC5D51" w:rsidRPr="00EC5D51">
        <w:rPr>
          <w:rFonts w:ascii="Times New Roman" w:hAnsi="Times New Roman"/>
          <w:bCs/>
          <w:color w:val="000000"/>
          <w:sz w:val="24"/>
          <w:szCs w:val="24"/>
          <w:lang w:eastAsia="bg-BG"/>
        </w:rPr>
        <w:t xml:space="preserve"> Дунавски щипок</w:t>
      </w: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2. Кратка </w:t>
      </w:r>
      <w:r w:rsidR="00EC5D51">
        <w:rPr>
          <w:rFonts w:ascii="Times New Roman" w:eastAsia="Calibri" w:hAnsi="Times New Roman"/>
          <w:b/>
          <w:sz w:val="24"/>
          <w:szCs w:val="24"/>
        </w:rPr>
        <w:t>характеристика на целевия обект</w:t>
      </w:r>
    </w:p>
    <w:p w:rsidR="00B420C3" w:rsidRPr="00B420C3" w:rsidRDefault="00B420C3" w:rsidP="00B420C3">
      <w:pPr>
        <w:spacing w:after="160" w:line="240" w:lineRule="auto"/>
        <w:jc w:val="both"/>
        <w:rPr>
          <w:rFonts w:ascii="Times New Roman" w:eastAsia="Calibri" w:hAnsi="Times New Roman"/>
          <w:sz w:val="24"/>
          <w:szCs w:val="24"/>
        </w:rPr>
      </w:pPr>
      <w:r w:rsidRPr="00B420C3">
        <w:rPr>
          <w:rFonts w:ascii="Times New Roman" w:eastAsia="Calibri" w:hAnsi="Times New Roman"/>
          <w:sz w:val="24"/>
          <w:szCs w:val="24"/>
        </w:rPr>
        <w:t xml:space="preserve">Видът Cobitis taenia не присъства в българската ихтиофауна. </w:t>
      </w:r>
    </w:p>
    <w:p w:rsidR="00B420C3" w:rsidRPr="00B420C3" w:rsidRDefault="00B420C3" w:rsidP="00B420C3">
      <w:pPr>
        <w:spacing w:before="120" w:after="120" w:line="240" w:lineRule="auto"/>
        <w:jc w:val="both"/>
        <w:rPr>
          <w:rFonts w:ascii="Times New Roman" w:eastAsia="Calibri" w:hAnsi="Times New Roman"/>
          <w:sz w:val="24"/>
          <w:szCs w:val="24"/>
        </w:rPr>
      </w:pPr>
      <w:r w:rsidRPr="00B420C3">
        <w:rPr>
          <w:rFonts w:ascii="Times New Roman" w:eastAsia="Calibri" w:hAnsi="Times New Roman"/>
          <w:sz w:val="24"/>
          <w:szCs w:val="24"/>
        </w:rPr>
        <w:t xml:space="preserve">Трябва да се отбележи, че съгласно указанията на ЕК, под същото наименование - </w:t>
      </w:r>
      <w:r w:rsidRPr="00B420C3">
        <w:rPr>
          <w:rFonts w:ascii="Times New Roman" w:eastAsia="Calibri" w:hAnsi="Times New Roman"/>
          <w:i/>
          <w:iCs/>
          <w:sz w:val="24"/>
          <w:szCs w:val="24"/>
          <w:lang w:val="en-GB"/>
        </w:rPr>
        <w:t>Cobitis</w:t>
      </w:r>
      <w:r w:rsidRPr="00B420C3">
        <w:rPr>
          <w:rFonts w:ascii="Times New Roman" w:eastAsia="Calibri" w:hAnsi="Times New Roman"/>
          <w:i/>
          <w:iCs/>
          <w:sz w:val="24"/>
          <w:szCs w:val="24"/>
        </w:rPr>
        <w:t xml:space="preserve"> </w:t>
      </w:r>
      <w:r w:rsidRPr="00B420C3">
        <w:rPr>
          <w:rFonts w:ascii="Times New Roman" w:eastAsia="Calibri" w:hAnsi="Times New Roman"/>
          <w:i/>
          <w:iCs/>
          <w:sz w:val="24"/>
          <w:szCs w:val="24"/>
          <w:lang w:val="en-US"/>
        </w:rPr>
        <w:t>t</w:t>
      </w:r>
      <w:r w:rsidRPr="00B420C3">
        <w:rPr>
          <w:rFonts w:ascii="Times New Roman" w:eastAsia="Calibri" w:hAnsi="Times New Roman"/>
          <w:i/>
          <w:iCs/>
          <w:sz w:val="24"/>
          <w:szCs w:val="24"/>
          <w:lang w:val="en-GB"/>
        </w:rPr>
        <w:t>aenia</w:t>
      </w:r>
      <w:r w:rsidRPr="00B420C3">
        <w:rPr>
          <w:rFonts w:ascii="Times New Roman" w:eastAsia="Calibri" w:hAnsi="Times New Roman"/>
          <w:i/>
          <w:iCs/>
          <w:sz w:val="24"/>
          <w:szCs w:val="24"/>
        </w:rPr>
        <w:t xml:space="preserve"> </w:t>
      </w:r>
      <w:r w:rsidRPr="00E5709C">
        <w:rPr>
          <w:rFonts w:ascii="Times New Roman" w:eastAsia="Calibri" w:hAnsi="Times New Roman"/>
          <w:iCs/>
          <w:sz w:val="24"/>
          <w:szCs w:val="24"/>
          <w:lang w:val="en-GB"/>
        </w:rPr>
        <w:t>Complex</w:t>
      </w:r>
      <w:r w:rsidRPr="00B420C3">
        <w:rPr>
          <w:rFonts w:ascii="Times New Roman" w:eastAsia="Calibri" w:hAnsi="Times New Roman"/>
          <w:sz w:val="24"/>
          <w:szCs w:val="24"/>
        </w:rPr>
        <w:t xml:space="preserve"> – са обединени три вида риби за територията на България:</w:t>
      </w:r>
    </w:p>
    <w:p w:rsidR="00B420C3" w:rsidRPr="00B420C3" w:rsidRDefault="00B420C3" w:rsidP="00635999">
      <w:pPr>
        <w:numPr>
          <w:ilvl w:val="0"/>
          <w:numId w:val="17"/>
        </w:numPr>
        <w:spacing w:before="120" w:after="120" w:line="240" w:lineRule="auto"/>
        <w:jc w:val="both"/>
        <w:rPr>
          <w:rFonts w:ascii="Times New Roman" w:eastAsia="Calibri" w:hAnsi="Times New Roman"/>
          <w:i/>
          <w:sz w:val="24"/>
          <w:szCs w:val="24"/>
        </w:rPr>
      </w:pPr>
      <w:r w:rsidRPr="00B420C3">
        <w:rPr>
          <w:rFonts w:ascii="Times New Roman" w:eastAsia="Calibri" w:hAnsi="Times New Roman"/>
          <w:i/>
          <w:iCs/>
          <w:sz w:val="24"/>
          <w:szCs w:val="24"/>
          <w:lang w:val="en-GB"/>
        </w:rPr>
        <w:t>C</w:t>
      </w:r>
      <w:r w:rsidRPr="00B420C3">
        <w:rPr>
          <w:rFonts w:ascii="Times New Roman" w:eastAsia="Calibri" w:hAnsi="Times New Roman"/>
          <w:i/>
          <w:iCs/>
          <w:sz w:val="24"/>
          <w:szCs w:val="24"/>
        </w:rPr>
        <w:t xml:space="preserve">. </w:t>
      </w:r>
      <w:r w:rsidRPr="00B420C3">
        <w:rPr>
          <w:rFonts w:ascii="Times New Roman" w:eastAsia="Calibri" w:hAnsi="Times New Roman"/>
          <w:i/>
          <w:iCs/>
          <w:sz w:val="24"/>
          <w:szCs w:val="24"/>
          <w:lang w:val="en-GB"/>
        </w:rPr>
        <w:t>strumicae</w:t>
      </w:r>
      <w:r w:rsidRPr="00B420C3">
        <w:rPr>
          <w:rFonts w:ascii="Times New Roman" w:eastAsia="Calibri" w:hAnsi="Times New Roman"/>
          <w:sz w:val="24"/>
          <w:szCs w:val="24"/>
        </w:rPr>
        <w:t xml:space="preserve">, </w:t>
      </w:r>
      <w:r w:rsidRPr="00E5709C">
        <w:rPr>
          <w:rFonts w:ascii="Times New Roman" w:eastAsia="Calibri" w:hAnsi="Times New Roman"/>
          <w:sz w:val="24"/>
          <w:szCs w:val="24"/>
        </w:rPr>
        <w:t>който обитава водосбора на Егейско море</w:t>
      </w:r>
      <w:r w:rsidRPr="00B420C3">
        <w:rPr>
          <w:rFonts w:ascii="Times New Roman" w:eastAsia="Calibri" w:hAnsi="Times New Roman"/>
          <w:i/>
          <w:sz w:val="24"/>
          <w:szCs w:val="24"/>
        </w:rPr>
        <w:t>;</w:t>
      </w:r>
    </w:p>
    <w:p w:rsidR="00B420C3" w:rsidRPr="00B420C3" w:rsidRDefault="00B420C3" w:rsidP="00635999">
      <w:pPr>
        <w:numPr>
          <w:ilvl w:val="0"/>
          <w:numId w:val="17"/>
        </w:numPr>
        <w:spacing w:before="120" w:after="120" w:line="240" w:lineRule="auto"/>
        <w:jc w:val="both"/>
        <w:rPr>
          <w:rFonts w:ascii="Times New Roman" w:eastAsia="Calibri" w:hAnsi="Times New Roman"/>
          <w:sz w:val="24"/>
          <w:szCs w:val="24"/>
        </w:rPr>
      </w:pPr>
      <w:r w:rsidRPr="00B420C3">
        <w:rPr>
          <w:rFonts w:ascii="Times New Roman" w:eastAsia="Calibri" w:hAnsi="Times New Roman"/>
          <w:i/>
          <w:iCs/>
          <w:sz w:val="24"/>
          <w:szCs w:val="24"/>
          <w:lang w:val="en-GB"/>
        </w:rPr>
        <w:t>Cobitis</w:t>
      </w:r>
      <w:r w:rsidRPr="00B420C3">
        <w:rPr>
          <w:rFonts w:ascii="Times New Roman" w:eastAsia="Calibri" w:hAnsi="Times New Roman"/>
          <w:i/>
          <w:iCs/>
          <w:sz w:val="24"/>
          <w:szCs w:val="24"/>
        </w:rPr>
        <w:t xml:space="preserve"> </w:t>
      </w:r>
      <w:r w:rsidRPr="00B420C3">
        <w:rPr>
          <w:rFonts w:ascii="Times New Roman" w:eastAsia="Calibri" w:hAnsi="Times New Roman"/>
          <w:i/>
          <w:iCs/>
          <w:sz w:val="24"/>
          <w:szCs w:val="24"/>
          <w:lang w:val="en-GB"/>
        </w:rPr>
        <w:t>pontica</w:t>
      </w:r>
      <w:r w:rsidRPr="00B420C3">
        <w:rPr>
          <w:rFonts w:ascii="Times New Roman" w:eastAsia="Calibri" w:hAnsi="Times New Roman"/>
          <w:i/>
          <w:iCs/>
          <w:sz w:val="24"/>
          <w:szCs w:val="24"/>
        </w:rPr>
        <w:t xml:space="preserve">, </w:t>
      </w:r>
      <w:r w:rsidRPr="00E5709C">
        <w:rPr>
          <w:rFonts w:ascii="Times New Roman" w:eastAsia="Calibri" w:hAnsi="Times New Roman"/>
          <w:iCs/>
          <w:sz w:val="24"/>
          <w:szCs w:val="24"/>
        </w:rPr>
        <w:t>който обитава водосбора на Черно море;</w:t>
      </w:r>
    </w:p>
    <w:p w:rsidR="00B420C3" w:rsidRPr="00B420C3" w:rsidRDefault="00B420C3" w:rsidP="00635999">
      <w:pPr>
        <w:numPr>
          <w:ilvl w:val="0"/>
          <w:numId w:val="17"/>
        </w:numPr>
        <w:spacing w:before="120" w:after="120" w:line="240" w:lineRule="auto"/>
        <w:jc w:val="both"/>
        <w:rPr>
          <w:rFonts w:ascii="Times New Roman" w:eastAsia="Calibri" w:hAnsi="Times New Roman"/>
          <w:sz w:val="24"/>
          <w:szCs w:val="24"/>
        </w:rPr>
      </w:pPr>
      <w:r w:rsidRPr="00B420C3">
        <w:rPr>
          <w:rFonts w:ascii="Times New Roman" w:eastAsia="Calibri" w:hAnsi="Times New Roman"/>
          <w:i/>
          <w:iCs/>
          <w:sz w:val="24"/>
          <w:szCs w:val="24"/>
          <w:lang w:val="en-GB"/>
        </w:rPr>
        <w:t>Cobitis</w:t>
      </w:r>
      <w:r w:rsidRPr="00B420C3">
        <w:rPr>
          <w:rFonts w:ascii="Times New Roman" w:eastAsia="Calibri" w:hAnsi="Times New Roman"/>
          <w:i/>
          <w:iCs/>
          <w:sz w:val="24"/>
          <w:szCs w:val="24"/>
        </w:rPr>
        <w:t xml:space="preserve"> </w:t>
      </w:r>
      <w:r w:rsidRPr="00B420C3">
        <w:rPr>
          <w:rFonts w:ascii="Times New Roman" w:eastAsia="Calibri" w:hAnsi="Times New Roman"/>
          <w:i/>
          <w:iCs/>
          <w:sz w:val="24"/>
          <w:szCs w:val="24"/>
          <w:lang w:val="en-GB"/>
        </w:rPr>
        <w:t>elongatoides</w:t>
      </w:r>
      <w:r w:rsidRPr="00B420C3">
        <w:rPr>
          <w:rFonts w:ascii="Times New Roman" w:eastAsia="Calibri" w:hAnsi="Times New Roman"/>
          <w:i/>
          <w:iCs/>
          <w:sz w:val="24"/>
          <w:szCs w:val="24"/>
        </w:rPr>
        <w:t xml:space="preserve">, </w:t>
      </w:r>
      <w:r w:rsidRPr="00E5709C">
        <w:rPr>
          <w:rFonts w:ascii="Times New Roman" w:eastAsia="Calibri" w:hAnsi="Times New Roman"/>
          <w:iCs/>
          <w:sz w:val="24"/>
          <w:szCs w:val="24"/>
        </w:rPr>
        <w:t>който обитава водосбора на р. Дунав</w:t>
      </w:r>
      <w:r w:rsidRPr="00B420C3">
        <w:rPr>
          <w:rFonts w:ascii="Times New Roman" w:eastAsia="Calibri" w:hAnsi="Times New Roman"/>
          <w:i/>
          <w:iCs/>
          <w:sz w:val="24"/>
          <w:szCs w:val="24"/>
        </w:rPr>
        <w:t>.</w:t>
      </w:r>
    </w:p>
    <w:p w:rsidR="00B420C3" w:rsidRPr="00B420C3" w:rsidRDefault="00B420C3" w:rsidP="00B420C3">
      <w:pPr>
        <w:spacing w:after="0" w:line="240" w:lineRule="auto"/>
        <w:rPr>
          <w:rFonts w:ascii="Times New Roman" w:eastAsia="DejaVu Sans" w:hAnsi="Times New Roman"/>
          <w:sz w:val="24"/>
          <w:szCs w:val="24"/>
        </w:rPr>
      </w:pPr>
      <w:r w:rsidRPr="00E5709C">
        <w:rPr>
          <w:rFonts w:ascii="Times New Roman" w:eastAsia="Calibri" w:hAnsi="Times New Roman"/>
          <w:iCs/>
          <w:sz w:val="24"/>
          <w:szCs w:val="24"/>
        </w:rPr>
        <w:lastRenderedPageBreak/>
        <w:t>Тези три вида се докладват заедно по член 17 от Директивата за местообитанията, като един вид</w:t>
      </w:r>
      <w:r w:rsidRPr="00B420C3">
        <w:rPr>
          <w:rFonts w:ascii="Times New Roman" w:eastAsia="Calibri" w:hAnsi="Times New Roman"/>
          <w:i/>
          <w:iCs/>
          <w:sz w:val="24"/>
          <w:szCs w:val="24"/>
        </w:rPr>
        <w:t xml:space="preserve"> - </w:t>
      </w:r>
      <w:r w:rsidRPr="00B420C3">
        <w:rPr>
          <w:rFonts w:ascii="Times New Roman" w:eastAsia="Calibri" w:hAnsi="Times New Roman"/>
          <w:i/>
          <w:iCs/>
          <w:sz w:val="24"/>
          <w:szCs w:val="24"/>
          <w:lang w:val="en-GB"/>
        </w:rPr>
        <w:t>Cobitis</w:t>
      </w:r>
      <w:r w:rsidRPr="00B420C3">
        <w:rPr>
          <w:rFonts w:ascii="Times New Roman" w:eastAsia="Calibri" w:hAnsi="Times New Roman"/>
          <w:i/>
          <w:iCs/>
          <w:sz w:val="24"/>
          <w:szCs w:val="24"/>
        </w:rPr>
        <w:t xml:space="preserve"> </w:t>
      </w:r>
      <w:r w:rsidRPr="00B420C3">
        <w:rPr>
          <w:rFonts w:ascii="Times New Roman" w:eastAsia="Calibri" w:hAnsi="Times New Roman"/>
          <w:i/>
          <w:iCs/>
          <w:sz w:val="24"/>
          <w:szCs w:val="24"/>
          <w:lang w:val="en-GB"/>
        </w:rPr>
        <w:t>taenia</w:t>
      </w:r>
      <w:r w:rsidRPr="00B420C3">
        <w:rPr>
          <w:rFonts w:ascii="Times New Roman" w:eastAsia="Calibri" w:hAnsi="Times New Roman"/>
          <w:i/>
          <w:iCs/>
          <w:sz w:val="24"/>
          <w:szCs w:val="24"/>
        </w:rPr>
        <w:t xml:space="preserve"> </w:t>
      </w:r>
      <w:r w:rsidRPr="00E5709C">
        <w:rPr>
          <w:rFonts w:ascii="Times New Roman" w:eastAsia="Calibri" w:hAnsi="Times New Roman"/>
          <w:iCs/>
          <w:sz w:val="24"/>
          <w:szCs w:val="24"/>
          <w:lang w:val="en-GB"/>
        </w:rPr>
        <w:t>Complex</w:t>
      </w:r>
      <w:r w:rsidRPr="00B420C3">
        <w:rPr>
          <w:rFonts w:ascii="Times New Roman" w:eastAsia="Calibri" w:hAnsi="Times New Roman"/>
          <w:sz w:val="24"/>
          <w:szCs w:val="24"/>
        </w:rPr>
        <w:t>.</w:t>
      </w:r>
      <w:r w:rsidRPr="00B420C3">
        <w:rPr>
          <w:rFonts w:ascii="Times New Roman" w:eastAsia="DejaVu Sans" w:hAnsi="Times New Roman"/>
          <w:sz w:val="24"/>
          <w:szCs w:val="24"/>
        </w:rPr>
        <w:t xml:space="preserve">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Под това име в дунавския басейн се картира дунавския щипок (</w:t>
      </w:r>
      <w:r w:rsidRPr="00E5709C">
        <w:rPr>
          <w:rFonts w:ascii="Times New Roman" w:eastAsia="Calibri" w:hAnsi="Times New Roman"/>
          <w:i/>
          <w:sz w:val="24"/>
          <w:szCs w:val="24"/>
        </w:rPr>
        <w:t>Cobitis</w:t>
      </w:r>
      <w:r w:rsidRPr="00B420C3">
        <w:rPr>
          <w:rFonts w:ascii="Times New Roman" w:eastAsia="Calibri" w:hAnsi="Times New Roman"/>
          <w:sz w:val="24"/>
          <w:szCs w:val="24"/>
        </w:rPr>
        <w:t xml:space="preserve"> </w:t>
      </w:r>
      <w:r w:rsidRPr="00E5709C">
        <w:rPr>
          <w:rFonts w:ascii="Times New Roman" w:eastAsia="Calibri" w:hAnsi="Times New Roman"/>
          <w:i/>
          <w:sz w:val="24"/>
          <w:szCs w:val="24"/>
        </w:rPr>
        <w:t>elongatoides</w:t>
      </w:r>
      <w:r w:rsidRPr="00B420C3">
        <w:rPr>
          <w:rFonts w:ascii="Times New Roman" w:eastAsia="Calibri" w:hAnsi="Times New Roman"/>
          <w:sz w:val="24"/>
          <w:szCs w:val="24"/>
        </w:rPr>
        <w:t>).</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Представлява малка дънна риба с удължена форма на тялото. В основата на  опашката има малко или понякога отсъстващо черно петно, рядко две малки петна. Пигментация (Гамбетна надлъжна зона на пигментация): зона Z4 с 12-21 закръглени или квадратни петна, понякога неясни или слети две по две; страната не е пигментирана под зона Z4. При мъжките има налични две люспи в основата на гръдната перка. Това е кратко живеещ вид. Яйценосни, с ясно изразени чифтосване по време на размножаване. По време на ухажването мъжкият следва женската и след като и двете навляз</w:t>
      </w:r>
      <w:r w:rsidR="001D13B2">
        <w:rPr>
          <w:rFonts w:ascii="Times New Roman" w:eastAsia="Calibri" w:hAnsi="Times New Roman"/>
          <w:sz w:val="24"/>
          <w:szCs w:val="24"/>
        </w:rPr>
        <w:t>ат в гъста растителност (напр. н</w:t>
      </w:r>
      <w:r w:rsidRPr="00B420C3">
        <w:rPr>
          <w:rFonts w:ascii="Times New Roman" w:eastAsia="Calibri" w:hAnsi="Times New Roman"/>
          <w:sz w:val="24"/>
          <w:szCs w:val="24"/>
        </w:rPr>
        <w:t xml:space="preserve">ишковидни водорасли от род </w:t>
      </w:r>
      <w:r w:rsidRPr="001D13B2">
        <w:rPr>
          <w:rFonts w:ascii="Times New Roman" w:eastAsia="Calibri" w:hAnsi="Times New Roman"/>
          <w:i/>
          <w:sz w:val="24"/>
          <w:szCs w:val="24"/>
        </w:rPr>
        <w:t>Cladophora</w:t>
      </w:r>
      <w:r w:rsidRPr="00B420C3">
        <w:rPr>
          <w:rFonts w:ascii="Times New Roman" w:eastAsia="Calibri" w:hAnsi="Times New Roman"/>
          <w:sz w:val="24"/>
          <w:szCs w:val="24"/>
        </w:rPr>
        <w:t xml:space="preserve">), мъжкият образува пълен пръстен около тялото на женската зад гръбнака, докато женската снася яйцата. Важен елемент от местообитанието му е наличието на гъста растителност като субстрат за отлагане на хайвера, която се среща главно в речни участъци с бавно течение и плитки брегове. Следва да се отбележи обаче, че видът не предпочита грубия детрит като субстрат за отлагане на яйцата си. Това показва предпочитанията на вида за местообитание с фина растителност във вода със средна дълбочина, а не детрит в плитки води. Плътната растителност осигурява </w:t>
      </w:r>
      <w:r w:rsidR="001D13B2">
        <w:rPr>
          <w:rFonts w:ascii="Times New Roman" w:eastAsia="Calibri" w:hAnsi="Times New Roman"/>
          <w:sz w:val="24"/>
          <w:szCs w:val="24"/>
        </w:rPr>
        <w:t>убежище</w:t>
      </w:r>
      <w:r w:rsidRPr="00B420C3">
        <w:rPr>
          <w:rFonts w:ascii="Times New Roman" w:eastAsia="Calibri" w:hAnsi="Times New Roman"/>
          <w:sz w:val="24"/>
          <w:szCs w:val="24"/>
        </w:rPr>
        <w:t xml:space="preserve"> срещу хищници и предотвратява отнасянето на яйцата, т.е. без тази растителност яйцата ще бъдат по-изложени на хищничество или унищожаване, като цяло на по-висока смъртност, което може сериозно да повлияе на състоянието на популацията. Толерантен към ниско съдържание на разтворен кислород, но прекомерното органично натоварване може да доведе до ниско съдържание на разтворен кислород в близост до границата между седимента и водата и това би довело да увеличаване на смъртността на яйцата и младите индивиди. В идеалния случай, субстрат</w:t>
      </w:r>
      <w:r w:rsidR="001D13B2">
        <w:rPr>
          <w:rFonts w:ascii="Times New Roman" w:eastAsia="Calibri" w:hAnsi="Times New Roman"/>
          <w:sz w:val="24"/>
          <w:szCs w:val="24"/>
        </w:rPr>
        <w:t>ът</w:t>
      </w:r>
      <w:r w:rsidRPr="00B420C3">
        <w:rPr>
          <w:rFonts w:ascii="Times New Roman" w:eastAsia="Calibri" w:hAnsi="Times New Roman"/>
          <w:sz w:val="24"/>
          <w:szCs w:val="24"/>
        </w:rPr>
        <w:t xml:space="preserve"> трябва да съдържа най -малко 20% пясък и не повече от 40% тиня.</w:t>
      </w:r>
    </w:p>
    <w:p w:rsidR="00B420C3" w:rsidRPr="00B420C3" w:rsidRDefault="00B420C3" w:rsidP="00EC5D51">
      <w:pPr>
        <w:spacing w:after="0" w:line="240" w:lineRule="auto"/>
        <w:ind w:firstLine="709"/>
        <w:jc w:val="both"/>
        <w:rPr>
          <w:rFonts w:ascii="Times New Roman" w:eastAsia="Calibri" w:hAnsi="Times New Roman"/>
          <w:sz w:val="24"/>
          <w:szCs w:val="24"/>
        </w:rPr>
      </w:pPr>
      <w:r w:rsidRPr="001D13B2">
        <w:rPr>
          <w:rFonts w:ascii="Times New Roman" w:eastAsia="Calibri" w:hAnsi="Times New Roman"/>
          <w:i/>
          <w:sz w:val="24"/>
          <w:szCs w:val="24"/>
        </w:rPr>
        <w:t>Характеристики на местообитанието в България</w:t>
      </w:r>
      <w:r w:rsidR="001D13B2">
        <w:rPr>
          <w:rFonts w:ascii="Times New Roman" w:eastAsia="Calibri" w:hAnsi="Times New Roman"/>
          <w:i/>
          <w:sz w:val="24"/>
          <w:szCs w:val="24"/>
        </w:rPr>
        <w:t>.</w:t>
      </w:r>
      <w:r w:rsidRPr="00B420C3">
        <w:rPr>
          <w:rFonts w:ascii="Times New Roman" w:eastAsia="Calibri" w:hAnsi="Times New Roman"/>
          <w:sz w:val="24"/>
          <w:szCs w:val="24"/>
        </w:rPr>
        <w:t xml:space="preserve"> Възрастните се срещат в предпланинските и низин</w:t>
      </w:r>
      <w:r w:rsidR="001D13B2">
        <w:rPr>
          <w:rFonts w:ascii="Times New Roman" w:eastAsia="Calibri" w:hAnsi="Times New Roman"/>
          <w:sz w:val="24"/>
          <w:szCs w:val="24"/>
        </w:rPr>
        <w:t>н</w:t>
      </w:r>
      <w:r w:rsidRPr="00B420C3">
        <w:rPr>
          <w:rFonts w:ascii="Times New Roman" w:eastAsia="Calibri" w:hAnsi="Times New Roman"/>
          <w:sz w:val="24"/>
          <w:szCs w:val="24"/>
        </w:rPr>
        <w:t>ите водни тела с бавна скорост на течението. Предвид необходимостта от наличие на специфична деликатна растителност (например нишковидни водорасли), дълбочината на водата трябва да е малка (за по-добра осветеност), а температурата на водата трябва да бъде по-висока. Умереното наличие на биогени благоприятства развитието на такава растителност.</w:t>
      </w:r>
    </w:p>
    <w:p w:rsidR="00B420C3" w:rsidRPr="00B420C3" w:rsidRDefault="00B420C3" w:rsidP="00EC5D51">
      <w:pPr>
        <w:spacing w:before="120"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3. Състояние на биогеографско ниво и разпространение в мрежата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Съгласно докладването по чл. 17 от Директивата за местообитанията през 2019 г. (за периода 2013-2018 г.), видът има благоприятно природозащитно състояние в Континенталния биогеографски регион. Оценката съвпада с тази от предишното докладване през 2013 г. (за периода 2007-2012 г.). </w:t>
      </w:r>
    </w:p>
    <w:p w:rsidR="00B420C3" w:rsidRPr="00B420C3" w:rsidRDefault="00DE51FF" w:rsidP="00B420C3">
      <w:pPr>
        <w:spacing w:after="160" w:line="240" w:lineRule="auto"/>
        <w:jc w:val="both"/>
        <w:rPr>
          <w:rFonts w:ascii="Times New Roman" w:eastAsia="Calibri" w:hAnsi="Times New Roman"/>
          <w:color w:val="0563C1"/>
          <w:sz w:val="24"/>
          <w:szCs w:val="24"/>
          <w:u w:val="single"/>
        </w:rPr>
      </w:pPr>
      <w:hyperlink r:id="rId88" w:history="1">
        <w:r w:rsidR="00B420C3" w:rsidRPr="00B420C3">
          <w:rPr>
            <w:rFonts w:ascii="Times New Roman" w:eastAsia="Calibri" w:hAnsi="Times New Roman"/>
            <w:color w:val="0563C1"/>
            <w:sz w:val="24"/>
            <w:szCs w:val="24"/>
            <w:u w:val="single"/>
          </w:rPr>
          <w:t>https://nature-art17.eionet.europa.eu/article17/species/report/</w:t>
        </w:r>
      </w:hyperlink>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B420C3" w:rsidRPr="00B420C3" w:rsidRDefault="00B420C3" w:rsidP="00B420C3">
      <w:pPr>
        <w:spacing w:after="0" w:line="240" w:lineRule="auto"/>
        <w:jc w:val="both"/>
        <w:rPr>
          <w:rFonts w:ascii="Times New Roman" w:eastAsia="Calibri" w:hAnsi="Times New Roman"/>
          <w:sz w:val="24"/>
          <w:szCs w:val="24"/>
        </w:rPr>
      </w:pPr>
      <w:r w:rsidRPr="00B420C3">
        <w:rPr>
          <w:rFonts w:ascii="Times New Roman" w:eastAsia="Calibri" w:hAnsi="Times New Roman"/>
          <w:sz w:val="24"/>
          <w:szCs w:val="24"/>
        </w:rPr>
        <w:t>Пряко въздействащи негативни антропогенни фактори.</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 xml:space="preserve">добив на минерали (например скали, метални руди, чакъл, пясък; </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физическа промяна на водните тела, изменение на хидрологичните характеристики и наносния режим;</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 xml:space="preserve"> разрушаване на местообитанията и прекъсване на биокоридорите: добив на инертни материали, корекции на реки, преграждане на речните корита;</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 xml:space="preserve">замърсяване на водите от смесени източници на повърхностни и подземни води; </w:t>
      </w:r>
    </w:p>
    <w:p w:rsidR="00B420C3" w:rsidRPr="00B420C3" w:rsidRDefault="00B420C3" w:rsidP="00B420C3">
      <w:pPr>
        <w:spacing w:after="0" w:line="240" w:lineRule="auto"/>
        <w:jc w:val="both"/>
        <w:rPr>
          <w:rFonts w:ascii="Times New Roman" w:eastAsia="Calibri" w:hAnsi="Times New Roman"/>
          <w:b/>
          <w:sz w:val="24"/>
          <w:szCs w:val="24"/>
        </w:rPr>
      </w:pP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4. Състояние на ниво защитена зона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296"/>
        <w:gridCol w:w="522"/>
        <w:gridCol w:w="1000"/>
        <w:gridCol w:w="262"/>
        <w:gridCol w:w="921"/>
        <w:gridCol w:w="275"/>
        <w:gridCol w:w="561"/>
        <w:gridCol w:w="719"/>
        <w:gridCol w:w="470"/>
        <w:gridCol w:w="460"/>
        <w:gridCol w:w="1282"/>
        <w:gridCol w:w="711"/>
        <w:gridCol w:w="494"/>
        <w:gridCol w:w="422"/>
        <w:gridCol w:w="949"/>
      </w:tblGrid>
      <w:tr w:rsidR="00B420C3" w:rsidRPr="00B420C3" w:rsidTr="00EC5D51">
        <w:trPr>
          <w:tblCellSpacing w:w="15" w:type="dxa"/>
        </w:trPr>
        <w:tc>
          <w:tcPr>
            <w:tcW w:w="1576" w:type="pct"/>
            <w:gridSpan w:val="5"/>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Species </w:t>
            </w:r>
          </w:p>
        </w:tc>
        <w:tc>
          <w:tcPr>
            <w:tcW w:w="2000" w:type="pct"/>
            <w:gridSpan w:val="6"/>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Population in the site </w:t>
            </w:r>
          </w:p>
        </w:tc>
        <w:tc>
          <w:tcPr>
            <w:tcW w:w="1359" w:type="pct"/>
            <w:gridSpan w:val="4"/>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Site assessment </w:t>
            </w:r>
          </w:p>
        </w:tc>
      </w:tr>
      <w:tr w:rsidR="00B420C3" w:rsidRPr="00B420C3" w:rsidTr="00EC5D51">
        <w:trPr>
          <w:tblCellSpacing w:w="15" w:type="dxa"/>
        </w:trPr>
        <w:tc>
          <w:tcPr>
            <w:tcW w:w="140"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G </w:t>
            </w:r>
          </w:p>
        </w:tc>
        <w:tc>
          <w:tcPr>
            <w:tcW w:w="274"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Code </w:t>
            </w:r>
          </w:p>
        </w:tc>
        <w:tc>
          <w:tcPr>
            <w:tcW w:w="541"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Scientific Name </w:t>
            </w:r>
          </w:p>
        </w:tc>
        <w:tc>
          <w:tcPr>
            <w:tcW w:w="125"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 </w:t>
            </w:r>
          </w:p>
        </w:tc>
        <w:tc>
          <w:tcPr>
            <w:tcW w:w="432"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NP </w:t>
            </w:r>
          </w:p>
        </w:tc>
        <w:tc>
          <w:tcPr>
            <w:tcW w:w="137"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T </w:t>
            </w:r>
          </w:p>
        </w:tc>
        <w:tc>
          <w:tcPr>
            <w:tcW w:w="680" w:type="pct"/>
            <w:gridSpan w:val="2"/>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Size </w:t>
            </w:r>
          </w:p>
        </w:tc>
        <w:tc>
          <w:tcPr>
            <w:tcW w:w="24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Unit </w:t>
            </w:r>
          </w:p>
        </w:tc>
        <w:tc>
          <w:tcPr>
            <w:tcW w:w="24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Cat. </w:t>
            </w:r>
          </w:p>
        </w:tc>
        <w:tc>
          <w:tcPr>
            <w:tcW w:w="632"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D.qual. </w:t>
            </w:r>
          </w:p>
        </w:tc>
        <w:tc>
          <w:tcPr>
            <w:tcW w:w="37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A|B|C|D </w:t>
            </w:r>
          </w:p>
        </w:tc>
        <w:tc>
          <w:tcPr>
            <w:tcW w:w="965" w:type="pct"/>
            <w:gridSpan w:val="3"/>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 </w:t>
            </w:r>
          </w:p>
        </w:tc>
      </w:tr>
      <w:tr w:rsidR="00B420C3" w:rsidRPr="00B420C3" w:rsidTr="00EC5D51">
        <w:trPr>
          <w:tblCellSpacing w:w="15" w:type="dxa"/>
        </w:trPr>
        <w:tc>
          <w:tcPr>
            <w:tcW w:w="14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74"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541"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25"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432"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3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9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Min</w:t>
            </w:r>
          </w:p>
        </w:tc>
        <w:tc>
          <w:tcPr>
            <w:tcW w:w="36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Max</w:t>
            </w:r>
          </w:p>
        </w:tc>
        <w:tc>
          <w:tcPr>
            <w:tcW w:w="24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4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p>
        </w:tc>
        <w:tc>
          <w:tcPr>
            <w:tcW w:w="632"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37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Pop.</w:t>
            </w:r>
          </w:p>
        </w:tc>
        <w:tc>
          <w:tcPr>
            <w:tcW w:w="25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Con.</w:t>
            </w:r>
          </w:p>
        </w:tc>
        <w:tc>
          <w:tcPr>
            <w:tcW w:w="21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Iso.</w:t>
            </w:r>
          </w:p>
        </w:tc>
        <w:tc>
          <w:tcPr>
            <w:tcW w:w="455"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Glo.</w:t>
            </w:r>
          </w:p>
        </w:tc>
      </w:tr>
      <w:tr w:rsidR="00B420C3" w:rsidRPr="00B420C3" w:rsidTr="000C2232">
        <w:trPr>
          <w:trHeight w:val="501"/>
          <w:tblCellSpacing w:w="15" w:type="dxa"/>
        </w:trPr>
        <w:tc>
          <w:tcPr>
            <w:tcW w:w="14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F</w:t>
            </w:r>
          </w:p>
        </w:tc>
        <w:tc>
          <w:tcPr>
            <w:tcW w:w="27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11</w:t>
            </w:r>
            <w:r w:rsidRPr="00B420C3">
              <w:rPr>
                <w:rFonts w:ascii="Times New Roman" w:eastAsia="Calibri" w:hAnsi="Times New Roman"/>
                <w:b/>
                <w:bCs/>
                <w:sz w:val="16"/>
                <w:szCs w:val="16"/>
                <w:lang w:val="en-US"/>
              </w:rPr>
              <w:t>49</w:t>
            </w:r>
          </w:p>
        </w:tc>
        <w:tc>
          <w:tcPr>
            <w:tcW w:w="54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i/>
                <w:sz w:val="16"/>
                <w:szCs w:val="16"/>
                <w:lang w:val="en-US"/>
              </w:rPr>
            </w:pPr>
            <w:r w:rsidRPr="00B420C3">
              <w:rPr>
                <w:rFonts w:ascii="Times New Roman" w:eastAsia="Calibri" w:hAnsi="Times New Roman"/>
                <w:b/>
                <w:bCs/>
                <w:i/>
                <w:sz w:val="16"/>
                <w:szCs w:val="16"/>
                <w:lang w:val="en-US"/>
              </w:rPr>
              <w:t xml:space="preserve">Cobitis taenia </w:t>
            </w:r>
            <w:r w:rsidRPr="00E5709C">
              <w:rPr>
                <w:rFonts w:ascii="Times New Roman" w:eastAsia="Calibri" w:hAnsi="Times New Roman"/>
                <w:b/>
                <w:bCs/>
                <w:sz w:val="16"/>
                <w:szCs w:val="16"/>
                <w:lang w:val="en-US"/>
              </w:rPr>
              <w:t>Complex</w:t>
            </w:r>
          </w:p>
        </w:tc>
        <w:tc>
          <w:tcPr>
            <w:tcW w:w="12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p>
        </w:tc>
        <w:tc>
          <w:tcPr>
            <w:tcW w:w="43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p>
        </w:tc>
        <w:tc>
          <w:tcPr>
            <w:tcW w:w="13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Р</w:t>
            </w:r>
          </w:p>
        </w:tc>
        <w:tc>
          <w:tcPr>
            <w:tcW w:w="29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jc w:val="right"/>
              <w:rPr>
                <w:rFonts w:ascii="Times New Roman" w:hAnsi="Times New Roman"/>
                <w:b/>
                <w:bCs/>
                <w:color w:val="000000"/>
                <w:sz w:val="16"/>
                <w:szCs w:val="16"/>
                <w:lang w:val="en-US" w:eastAsia="bg-BG"/>
              </w:rPr>
            </w:pPr>
            <w:r w:rsidRPr="00B420C3">
              <w:rPr>
                <w:rFonts w:ascii="Times New Roman" w:hAnsi="Times New Roman"/>
                <w:b/>
                <w:bCs/>
                <w:color w:val="000000"/>
                <w:sz w:val="16"/>
                <w:szCs w:val="16"/>
                <w:lang w:val="en-US" w:eastAsia="bg-BG"/>
              </w:rPr>
              <w:t>55363</w:t>
            </w:r>
          </w:p>
        </w:tc>
        <w:tc>
          <w:tcPr>
            <w:tcW w:w="3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jc w:val="right"/>
              <w:rPr>
                <w:rFonts w:ascii="Times New Roman" w:hAnsi="Times New Roman"/>
                <w:b/>
                <w:bCs/>
                <w:color w:val="000000"/>
                <w:sz w:val="16"/>
                <w:szCs w:val="16"/>
                <w:lang w:val="en-US" w:eastAsia="bg-BG"/>
              </w:rPr>
            </w:pPr>
            <w:r w:rsidRPr="00B420C3">
              <w:rPr>
                <w:rFonts w:ascii="Times New Roman" w:hAnsi="Times New Roman"/>
                <w:b/>
                <w:bCs/>
                <w:color w:val="000000"/>
                <w:sz w:val="16"/>
                <w:szCs w:val="16"/>
                <w:lang w:val="en-US" w:eastAsia="bg-BG"/>
              </w:rPr>
              <w:t>55363</w:t>
            </w:r>
          </w:p>
        </w:tc>
        <w:tc>
          <w:tcPr>
            <w:tcW w:w="24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rPr>
                <w:rFonts w:ascii="Times New Roman" w:hAnsi="Times New Roman"/>
                <w:b/>
                <w:bCs/>
                <w:color w:val="000000"/>
                <w:sz w:val="16"/>
                <w:szCs w:val="16"/>
                <w:lang w:val="en-US" w:eastAsia="bg-BG"/>
              </w:rPr>
            </w:pPr>
            <w:r w:rsidRPr="00B420C3">
              <w:rPr>
                <w:rFonts w:ascii="Times New Roman" w:hAnsi="Times New Roman"/>
                <w:b/>
                <w:bCs/>
                <w:color w:val="000000"/>
                <w:sz w:val="16"/>
                <w:szCs w:val="16"/>
                <w:lang w:val="en-US" w:eastAsia="bg-BG"/>
              </w:rPr>
              <w:t>i</w:t>
            </w:r>
          </w:p>
        </w:tc>
        <w:tc>
          <w:tcPr>
            <w:tcW w:w="24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rPr>
                <w:rFonts w:ascii="Times New Roman" w:hAnsi="Times New Roman"/>
                <w:b/>
                <w:bCs/>
                <w:color w:val="000000"/>
                <w:sz w:val="16"/>
                <w:szCs w:val="16"/>
                <w:lang w:val="en-US" w:eastAsia="bg-BG"/>
              </w:rPr>
            </w:pPr>
            <w:r w:rsidRPr="00B420C3">
              <w:rPr>
                <w:rFonts w:ascii="Times New Roman" w:hAnsi="Times New Roman"/>
                <w:b/>
                <w:bCs/>
                <w:color w:val="000000"/>
                <w:sz w:val="16"/>
                <w:szCs w:val="16"/>
                <w:lang w:val="en-US" w:eastAsia="bg-BG"/>
              </w:rPr>
              <w:t>C</w:t>
            </w:r>
          </w:p>
        </w:tc>
        <w:tc>
          <w:tcPr>
            <w:tcW w:w="63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rPr>
                <w:rFonts w:ascii="Times New Roman" w:hAnsi="Times New Roman"/>
                <w:b/>
                <w:bCs/>
                <w:color w:val="000000"/>
                <w:sz w:val="16"/>
                <w:szCs w:val="16"/>
                <w:lang w:val="en-US" w:eastAsia="bg-BG"/>
              </w:rPr>
            </w:pPr>
            <w:r w:rsidRPr="00B420C3">
              <w:rPr>
                <w:rFonts w:ascii="Times New Roman" w:hAnsi="Times New Roman"/>
                <w:b/>
                <w:bCs/>
                <w:color w:val="000000"/>
                <w:sz w:val="16"/>
                <w:szCs w:val="16"/>
                <w:lang w:val="en-US" w:eastAsia="bg-BG"/>
              </w:rPr>
              <w:t>G</w:t>
            </w:r>
          </w:p>
        </w:tc>
        <w:tc>
          <w:tcPr>
            <w:tcW w:w="37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rPr>
                <w:rFonts w:ascii="Times New Roman" w:hAnsi="Times New Roman"/>
                <w:b/>
                <w:bCs/>
                <w:color w:val="000000"/>
                <w:sz w:val="16"/>
                <w:szCs w:val="16"/>
                <w:lang w:val="en-US" w:eastAsia="bg-BG"/>
              </w:rPr>
            </w:pPr>
            <w:r w:rsidRPr="00B420C3">
              <w:rPr>
                <w:rFonts w:ascii="Times New Roman" w:hAnsi="Times New Roman"/>
                <w:b/>
                <w:bCs/>
                <w:color w:val="000000"/>
                <w:sz w:val="16"/>
                <w:szCs w:val="16"/>
                <w:lang w:val="en-US" w:eastAsia="bg-BG"/>
              </w:rPr>
              <w:t>C</w:t>
            </w:r>
          </w:p>
        </w:tc>
        <w:tc>
          <w:tcPr>
            <w:tcW w:w="25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rPr>
                <w:rFonts w:ascii="Times New Roman" w:hAnsi="Times New Roman"/>
                <w:b/>
                <w:bCs/>
                <w:color w:val="000000"/>
                <w:sz w:val="16"/>
                <w:szCs w:val="16"/>
                <w:lang w:eastAsia="bg-BG"/>
              </w:rPr>
            </w:pPr>
            <w:r w:rsidRPr="00B420C3">
              <w:rPr>
                <w:rFonts w:ascii="Times New Roman" w:hAnsi="Times New Roman"/>
                <w:b/>
                <w:bCs/>
                <w:color w:val="000000"/>
                <w:sz w:val="16"/>
                <w:szCs w:val="16"/>
                <w:lang w:eastAsia="bg-BG"/>
              </w:rPr>
              <w:t>A</w:t>
            </w:r>
          </w:p>
        </w:tc>
        <w:tc>
          <w:tcPr>
            <w:tcW w:w="21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rPr>
                <w:rFonts w:ascii="Times New Roman" w:hAnsi="Times New Roman"/>
                <w:b/>
                <w:bCs/>
                <w:color w:val="000000"/>
                <w:sz w:val="16"/>
                <w:szCs w:val="16"/>
                <w:lang w:eastAsia="bg-BG"/>
              </w:rPr>
            </w:pPr>
            <w:r w:rsidRPr="00B420C3">
              <w:rPr>
                <w:rFonts w:ascii="Times New Roman" w:hAnsi="Times New Roman"/>
                <w:b/>
                <w:bCs/>
                <w:color w:val="000000"/>
                <w:sz w:val="16"/>
                <w:szCs w:val="16"/>
                <w:lang w:eastAsia="bg-BG"/>
              </w:rPr>
              <w:t>C</w:t>
            </w:r>
          </w:p>
        </w:tc>
        <w:tc>
          <w:tcPr>
            <w:tcW w:w="45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rPr>
                <w:rFonts w:ascii="Times New Roman" w:hAnsi="Times New Roman"/>
                <w:b/>
                <w:bCs/>
                <w:color w:val="000000"/>
                <w:sz w:val="16"/>
                <w:szCs w:val="16"/>
                <w:lang w:val="en-US" w:eastAsia="bg-BG"/>
              </w:rPr>
            </w:pPr>
            <w:r w:rsidRPr="00B420C3">
              <w:rPr>
                <w:rFonts w:ascii="Times New Roman" w:hAnsi="Times New Roman"/>
                <w:b/>
                <w:bCs/>
                <w:color w:val="000000"/>
                <w:sz w:val="16"/>
                <w:szCs w:val="16"/>
                <w:lang w:val="en-US" w:eastAsia="bg-BG"/>
              </w:rPr>
              <w:t>A</w:t>
            </w:r>
          </w:p>
        </w:tc>
      </w:tr>
    </w:tbl>
    <w:p w:rsidR="00B420C3" w:rsidRPr="00B420C3" w:rsidRDefault="00B420C3" w:rsidP="00B420C3">
      <w:pPr>
        <w:autoSpaceDE w:val="0"/>
        <w:autoSpaceDN w:val="0"/>
        <w:adjustRightInd w:val="0"/>
        <w:spacing w:after="0" w:line="240" w:lineRule="auto"/>
        <w:jc w:val="both"/>
        <w:rPr>
          <w:rFonts w:ascii="Times New Roman" w:eastAsia="Calibri" w:hAnsi="Times New Roman"/>
          <w:b/>
          <w:sz w:val="24"/>
          <w:szCs w:val="24"/>
        </w:rPr>
      </w:pPr>
    </w:p>
    <w:p w:rsidR="00B420C3" w:rsidRPr="00B420C3" w:rsidRDefault="00B420C3" w:rsidP="00B420C3">
      <w:pPr>
        <w:autoSpaceDE w:val="0"/>
        <w:autoSpaceDN w:val="0"/>
        <w:adjustRightInd w:val="0"/>
        <w:spacing w:after="0" w:line="240" w:lineRule="auto"/>
        <w:jc w:val="both"/>
        <w:rPr>
          <w:rFonts w:ascii="Times New Roman" w:eastAsia="Calibri" w:hAnsi="Times New Roman"/>
          <w:bCs/>
          <w:color w:val="000000"/>
          <w:kern w:val="36"/>
          <w:sz w:val="24"/>
          <w:szCs w:val="24"/>
        </w:rPr>
      </w:pPr>
      <w:r w:rsidRPr="00B420C3">
        <w:rPr>
          <w:rFonts w:ascii="Times New Roman" w:eastAsia="Calibri" w:hAnsi="Times New Roman"/>
          <w:b/>
          <w:sz w:val="24"/>
          <w:szCs w:val="24"/>
        </w:rPr>
        <w:t xml:space="preserve">Източник: </w:t>
      </w:r>
    </w:p>
    <w:p w:rsidR="00B420C3" w:rsidRPr="00B420C3" w:rsidRDefault="00DE51FF" w:rsidP="00B420C3">
      <w:pPr>
        <w:spacing w:after="160" w:line="240" w:lineRule="auto"/>
        <w:jc w:val="both"/>
        <w:rPr>
          <w:rFonts w:eastAsia="Calibri"/>
        </w:rPr>
      </w:pPr>
      <w:hyperlink r:id="rId89" w:history="1">
        <w:r w:rsidR="00B420C3" w:rsidRPr="00B420C3">
          <w:rPr>
            <w:rFonts w:eastAsia="Calibri"/>
            <w:color w:val="0563C1"/>
            <w:u w:val="single"/>
          </w:rPr>
          <w:t>http://natura2000.moew.government.bg/PublicDownloads/Auto/PS_SCI/BG0000530/BG0000530_PS_16.pdf</w:t>
        </w:r>
      </w:hyperlink>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Качеството на данните за вида е оценено като „добро“ (</w:t>
      </w:r>
      <w:r w:rsidRPr="00B420C3">
        <w:rPr>
          <w:rFonts w:ascii="Times New Roman" w:eastAsia="Calibri" w:hAnsi="Times New Roman"/>
          <w:sz w:val="24"/>
          <w:szCs w:val="24"/>
          <w:lang w:val="en-GB"/>
        </w:rPr>
        <w:t>G</w:t>
      </w:r>
      <w:r w:rsidRPr="00B420C3">
        <w:rPr>
          <w:rFonts w:ascii="Times New Roman" w:eastAsia="Calibri" w:hAnsi="Times New Roman"/>
          <w:sz w:val="24"/>
          <w:szCs w:val="24"/>
        </w:rPr>
        <w:t>). Популацията е оценена в брой индивиди (мин-макс). Опазването на вида е оценено с „</w:t>
      </w:r>
      <w:r w:rsidRPr="00B420C3">
        <w:rPr>
          <w:rFonts w:ascii="Times New Roman" w:eastAsia="Calibri" w:hAnsi="Times New Roman"/>
          <w:bCs/>
          <w:color w:val="000000"/>
          <w:kern w:val="36"/>
          <w:sz w:val="24"/>
          <w:szCs w:val="24"/>
        </w:rPr>
        <w:t>А“ (Отлично опазване)</w:t>
      </w:r>
      <w:r w:rsidRPr="00B420C3">
        <w:rPr>
          <w:rFonts w:ascii="Times New Roman" w:eastAsia="Calibri" w:hAnsi="Times New Roman"/>
          <w:sz w:val="24"/>
          <w:szCs w:val="24"/>
        </w:rPr>
        <w:t>. Степента на изолация на популацията е оценена с „С“</w:t>
      </w:r>
      <w:r w:rsidRPr="00B420C3">
        <w:rPr>
          <w:rFonts w:ascii="Times New Roman" w:eastAsia="Calibri" w:hAnsi="Times New Roman"/>
          <w:bCs/>
          <w:color w:val="000000"/>
          <w:kern w:val="36"/>
          <w:sz w:val="24"/>
          <w:szCs w:val="24"/>
        </w:rPr>
        <w:t xml:space="preserve"> (не изолирана популация в рамките на разширен ареал).</w:t>
      </w:r>
      <w:r w:rsidRPr="00B420C3">
        <w:rPr>
          <w:rFonts w:ascii="Times New Roman" w:eastAsia="Calibri" w:hAnsi="Times New Roman"/>
          <w:sz w:val="24"/>
          <w:szCs w:val="24"/>
        </w:rPr>
        <w:t xml:space="preserve"> Цялостна оценка на стойността на зоната за опазването на вида попада в категорията „А“</w:t>
      </w:r>
      <w:r w:rsidRPr="00B420C3">
        <w:rPr>
          <w:rFonts w:ascii="Times New Roman" w:eastAsia="Calibri" w:hAnsi="Times New Roman"/>
          <w:bCs/>
          <w:color w:val="000000"/>
          <w:kern w:val="36"/>
          <w:sz w:val="24"/>
          <w:szCs w:val="24"/>
        </w:rPr>
        <w:t xml:space="preserve"> (отлична стойност)</w:t>
      </w:r>
      <w:r w:rsidRPr="00B420C3">
        <w:rPr>
          <w:rFonts w:ascii="Times New Roman" w:eastAsia="Calibri" w:hAnsi="Times New Roman"/>
          <w:sz w:val="24"/>
          <w:szCs w:val="24"/>
        </w:rPr>
        <w:t xml:space="preserve">. </w:t>
      </w:r>
    </w:p>
    <w:p w:rsidR="00B420C3" w:rsidRPr="00B420C3" w:rsidRDefault="00B420C3" w:rsidP="00EC5D51">
      <w:pPr>
        <w:spacing w:before="120"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5. </w:t>
      </w:r>
      <w:r w:rsidR="00EC5D51">
        <w:rPr>
          <w:rFonts w:ascii="Times New Roman" w:eastAsia="Calibri" w:hAnsi="Times New Roman"/>
          <w:b/>
          <w:sz w:val="24"/>
          <w:szCs w:val="24"/>
        </w:rPr>
        <w:t>Анализ на наличната информация</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Видът е регистриран през 2013</w:t>
      </w:r>
      <w:r w:rsidRPr="00B420C3">
        <w:rPr>
          <w:rFonts w:ascii="Times New Roman" w:eastAsia="Calibri" w:hAnsi="Times New Roman"/>
          <w:sz w:val="24"/>
          <w:szCs w:val="24"/>
          <w:lang w:val="en-US"/>
        </w:rPr>
        <w:t xml:space="preserve"> </w:t>
      </w:r>
      <w:r w:rsidRPr="00B420C3">
        <w:rPr>
          <w:rFonts w:ascii="Times New Roman" w:eastAsia="Calibri" w:hAnsi="Times New Roman"/>
          <w:sz w:val="24"/>
          <w:szCs w:val="24"/>
        </w:rPr>
        <w:t xml:space="preserve">г. в зоната по време на </w:t>
      </w:r>
      <w:bookmarkStart w:id="43" w:name="_Hlk88999604"/>
      <w:r w:rsidRPr="00B420C3">
        <w:rPr>
          <w:rFonts w:ascii="Times New Roman" w:eastAsia="Calibri" w:hAnsi="Times New Roman"/>
          <w:sz w:val="24"/>
          <w:szCs w:val="24"/>
        </w:rPr>
        <w:t>проект "Картиране и определяне на природозащитното състояние на природни местообитания и видове - фаза I"</w:t>
      </w:r>
      <w:bookmarkEnd w:id="43"/>
      <w:r w:rsidRPr="00B420C3">
        <w:rPr>
          <w:rFonts w:ascii="Times New Roman" w:eastAsia="Calibri" w:hAnsi="Times New Roman"/>
          <w:sz w:val="24"/>
          <w:szCs w:val="24"/>
        </w:rPr>
        <w:t>, когато е установена численост 80 екз./ха. Стойностите на параметрите за обилие (численост, биомаса) съответстват на „неблагоприятно-незадоволително“ ПС, поради което общата оценка на ПС е „неблагоприятно-незадоволително“. В СФ като популационна единица е използвана обща численост (мин.-макс).</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При проучванията по проект "Картиране и определяне на природозащитното състояние на природни местообитания и видове - фаза I" видът е установен в р. Дунав и в периферни зони на ез. Сребърна, със средна численост 80 екз./ха.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Видът е регистриран почти постоянно в крайбрежната зона на ез. Сребърна, но представен с единични екземпляри. При улови с винтери е установена численост от 0,2 до 3 екз./</w:t>
      </w:r>
      <w:r w:rsidRPr="00B420C3">
        <w:rPr>
          <w:rFonts w:ascii="Times New Roman" w:eastAsia="Calibri" w:hAnsi="Times New Roman"/>
          <w:sz w:val="24"/>
          <w:szCs w:val="24"/>
          <w:lang w:val="en-US"/>
        </w:rPr>
        <w:t xml:space="preserve">CPUE. </w:t>
      </w:r>
      <w:r w:rsidRPr="00B420C3">
        <w:rPr>
          <w:rFonts w:ascii="Times New Roman" w:eastAsia="Calibri" w:hAnsi="Times New Roman"/>
          <w:sz w:val="24"/>
          <w:szCs w:val="24"/>
        </w:rPr>
        <w:t>Поради дебелия слой тиня, покриващ по-голяма част от дъното на ез. Сребърна, подходящи местообитания за вида има само в плитките крайбрежни зони.</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Участъкът от река Дунав в зоната, според своите хидроморфологични характеристики представлява подходящо местообитание за вида и ефективен екокоридор за връзка с останалите части на популацията, тъй като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По данни от международното научно изследване </w:t>
      </w:r>
      <w:r w:rsidRPr="00B420C3">
        <w:rPr>
          <w:rFonts w:ascii="Times New Roman" w:eastAsia="Calibri" w:hAnsi="Times New Roman"/>
          <w:sz w:val="24"/>
          <w:szCs w:val="24"/>
          <w:lang w:val="en-US"/>
        </w:rPr>
        <w:t>“JDS 4”</w:t>
      </w:r>
      <w:r w:rsidRPr="00B420C3">
        <w:rPr>
          <w:rFonts w:ascii="Times New Roman" w:eastAsia="Calibri" w:hAnsi="Times New Roman"/>
          <w:sz w:val="24"/>
          <w:szCs w:val="24"/>
        </w:rPr>
        <w:t xml:space="preserve">, през 2019 </w:t>
      </w:r>
      <w:r w:rsidR="00E5709C">
        <w:rPr>
          <w:rFonts w:ascii="Times New Roman" w:eastAsia="Calibri" w:hAnsi="Times New Roman"/>
          <w:sz w:val="24"/>
          <w:szCs w:val="24"/>
        </w:rPr>
        <w:t xml:space="preserve">г. </w:t>
      </w:r>
      <w:r w:rsidRPr="00B420C3">
        <w:rPr>
          <w:rFonts w:ascii="Times New Roman" w:eastAsia="Calibri" w:hAnsi="Times New Roman"/>
          <w:sz w:val="24"/>
          <w:szCs w:val="24"/>
        </w:rPr>
        <w:t xml:space="preserve">на най-близкия мониторингов пункт на р. Дунав при с. Ветрен е определен като Добър екологичен потенциал по БЕК Риби, БЕК Макрозообентос и БЕК Макрофити.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lastRenderedPageBreak/>
        <w:t xml:space="preserve">През 2020 г. при извършване на биологичен мониторинг на ез. Сребърна е установено Умерено екологично състояние (ЕС) по БЕК Риби и Лошо  ЕС – по БЕК Фитопланктон и БЕК Макрофити. Установеното влошаване на ЕС на езерото се обяснява с продължително маловодие и ниски водни стоежи.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Полевото проучване </w:t>
      </w:r>
      <w:r w:rsidR="00E5709C">
        <w:rPr>
          <w:rFonts w:ascii="Times New Roman" w:eastAsia="Calibri" w:hAnsi="Times New Roman"/>
          <w:sz w:val="24"/>
          <w:szCs w:val="24"/>
        </w:rPr>
        <w:t xml:space="preserve">през 2021 г. </w:t>
      </w:r>
      <w:r w:rsidRPr="00B420C3">
        <w:rPr>
          <w:rFonts w:ascii="Times New Roman" w:eastAsia="Calibri" w:hAnsi="Times New Roman"/>
          <w:sz w:val="24"/>
          <w:szCs w:val="24"/>
        </w:rPr>
        <w:t xml:space="preserve">по време на проекта за определяне на целите за опазване на вида в защитената зона обхваща ез. Сребърна и участъка от р. Дунав в границите на зоната.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В р. Дунав изследването е извършено на 2 пункта, които включват представителни хабитати на вида, и които позволяват адекватна оценка на популацията в зоната.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При полевото проучване в р. Дунав за определяне на целите за опазване на вида в защитената зона са приложени приети методи за мониторинг на риби в р.  Дунав: подход за мониторинг на дребни дънни видове риби (</w:t>
      </w:r>
      <w:hyperlink r:id="rId90" w:history="1">
        <w:r w:rsidRPr="00B420C3">
          <w:rPr>
            <w:rFonts w:ascii="Times New Roman" w:eastAsia="Calibri" w:hAnsi="Times New Roman"/>
            <w:color w:val="0563C1"/>
            <w:sz w:val="24"/>
            <w:szCs w:val="24"/>
            <w:u w:val="single"/>
          </w:rPr>
          <w:t>http://eea.government.bg/bg/bio/nsmbr/praktichesko-rakovodstvo-metodiki-za-monitoring-i-otsenka/Podhod_Dunav_demersal_fish.pdf</w:t>
        </w:r>
      </w:hyperlink>
      <w:r w:rsidRPr="00B420C3">
        <w:rPr>
          <w:rFonts w:ascii="Times New Roman" w:eastAsia="Calibri" w:hAnsi="Times New Roman"/>
          <w:sz w:val="24"/>
          <w:szCs w:val="24"/>
        </w:rPr>
        <w:t>) и допълнителен подход за мониторинг на видове риби в р. Дунав (</w:t>
      </w:r>
      <w:hyperlink r:id="rId91" w:history="1">
        <w:r w:rsidRPr="00B420C3">
          <w:rPr>
            <w:rFonts w:ascii="Times New Roman" w:eastAsia="Calibri" w:hAnsi="Times New Roman"/>
            <w:color w:val="0563C1"/>
            <w:sz w:val="24"/>
            <w:szCs w:val="24"/>
            <w:u w:val="single"/>
          </w:rPr>
          <w:t>http://eea.government.bg/bg/bio/nsmbr/praktichesko-rakovodstvo-metodiki-za-monitoring-i-otsenka/Podhod_Dunav_electrofishing.pdf</w:t>
        </w:r>
      </w:hyperlink>
      <w:r w:rsidRPr="00B420C3">
        <w:rPr>
          <w:rFonts w:ascii="Times New Roman" w:eastAsia="Calibri" w:hAnsi="Times New Roman"/>
          <w:sz w:val="24"/>
          <w:szCs w:val="24"/>
        </w:rPr>
        <w:t xml:space="preserve">). За пробонабиране са приложени два метода, включени в НСМБР: </w:t>
      </w:r>
    </w:p>
    <w:p w:rsidR="00B420C3" w:rsidRPr="00B420C3" w:rsidRDefault="00B420C3" w:rsidP="00635999">
      <w:pPr>
        <w:numPr>
          <w:ilvl w:val="0"/>
          <w:numId w:val="16"/>
        </w:numPr>
        <w:spacing w:after="16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Електроулов чрез газене. При този метод на всеки пункт се избират 2-3 подходящи за газене трансекти с дължина по около 50-100 м и ширина в зависимост от релефа на дъното;</w:t>
      </w:r>
    </w:p>
    <w:p w:rsidR="00B420C3" w:rsidRPr="00B420C3" w:rsidRDefault="00B420C3" w:rsidP="00635999">
      <w:pPr>
        <w:numPr>
          <w:ilvl w:val="0"/>
          <w:numId w:val="16"/>
        </w:numPr>
        <w:spacing w:after="16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Пробонабиране на дребни дънни риби с ръчен гриб. На всеки пункт с ръчен гриб са пробонабирани 3-5 трансекта с единична площ 50 – 80 м</w:t>
      </w:r>
      <w:r w:rsidRPr="00B420C3">
        <w:rPr>
          <w:rFonts w:ascii="Times New Roman" w:eastAsia="Calibri" w:hAnsi="Times New Roman"/>
          <w:sz w:val="24"/>
          <w:szCs w:val="24"/>
          <w:vertAlign w:val="superscript"/>
        </w:rPr>
        <w:t>2</w:t>
      </w:r>
      <w:r w:rsidRPr="00B420C3">
        <w:rPr>
          <w:rFonts w:ascii="Times New Roman" w:eastAsia="Calibri" w:hAnsi="Times New Roman"/>
          <w:sz w:val="24"/>
          <w:szCs w:val="24"/>
        </w:rPr>
        <w:t xml:space="preserve">, които да покриват представителни хабитати на вида.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Според дължината на участъка от р. Дунав в зоната са избрани за пробонабиране 2 пункта, които да покриват представителни хабитати на вида, и които позволяват адекватна оценка на популацията в зоната.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В ез. Сребърна е извършено пробонабиране с винтери на 3 достъпни крайбрежни пункта. Във всеки участък са поставяни през нощта по 2-4 винтера. При този подход числеността на рибите се определя като</w:t>
      </w:r>
      <w:r w:rsidRPr="00B420C3">
        <w:rPr>
          <w:rFonts w:ascii="Times New Roman" w:eastAsia="Calibri" w:hAnsi="Times New Roman"/>
          <w:sz w:val="24"/>
          <w:szCs w:val="24"/>
          <w:lang w:val="en-US"/>
        </w:rPr>
        <w:t xml:space="preserve"> </w:t>
      </w:r>
      <w:r w:rsidRPr="00B420C3">
        <w:rPr>
          <w:rFonts w:ascii="Times New Roman" w:eastAsia="Calibri" w:hAnsi="Times New Roman"/>
          <w:sz w:val="24"/>
          <w:szCs w:val="24"/>
        </w:rPr>
        <w:t>улов (индивиди) на единица риболовно усилие (</w:t>
      </w:r>
      <w:r w:rsidRPr="00B420C3">
        <w:rPr>
          <w:rFonts w:ascii="Times New Roman" w:eastAsia="Calibri" w:hAnsi="Times New Roman"/>
          <w:sz w:val="24"/>
          <w:szCs w:val="24"/>
          <w:lang w:val="en-US"/>
        </w:rPr>
        <w:t>ind. CPUE</w:t>
      </w:r>
      <w:r w:rsidRPr="00B420C3">
        <w:rPr>
          <w:rFonts w:ascii="Times New Roman" w:eastAsia="Calibri" w:hAnsi="Times New Roman"/>
          <w:sz w:val="24"/>
          <w:szCs w:val="24"/>
        </w:rPr>
        <w:t>), като за единица риболовно усилие е приет 1 винтер поставен в работно положение в продължение на 10 часа. При извършеното проучване видът не е установен в изследваните участъци.</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В проучените местообитания в р. Дунав са установени общо 9 екземпляра от вида, което отговаря на численост 90 инд./ха. При извършеното проучване видът не е регистриран в ез. Сребърна. Този резултат показва влошаване на състоянието неговата популация в езерото, което най-вероятно се дължи на силно изразеното маловодие и липсата на хидравлична връзка между езерото и р. Дунав през последните 2 години.</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Защитена зона </w:t>
      </w:r>
      <w:r w:rsidRPr="00B420C3">
        <w:rPr>
          <w:rFonts w:ascii="Times New Roman" w:eastAsia="Calibri" w:hAnsi="Times New Roman"/>
          <w:sz w:val="24"/>
          <w:szCs w:val="24"/>
          <w:lang w:val="en-US"/>
        </w:rPr>
        <w:t>BG0000241</w:t>
      </w:r>
      <w:r w:rsidRPr="00B420C3">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в участъка от р. Дунав в зоната не са установени други специфични заплахи.</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В ез. Сребърна при изследванията през последните години е установено нарастване на натиска от чужди инвазивни видове риби. След 2013 г. в езерото се наблюдава бързо нарастване на популацията на нов за страната чужд инвазивен вид риба </w:t>
      </w:r>
      <w:r w:rsidRPr="0001440D">
        <w:rPr>
          <w:rFonts w:ascii="Times New Roman" w:eastAsia="Calibri" w:hAnsi="Times New Roman"/>
          <w:i/>
          <w:sz w:val="24"/>
          <w:szCs w:val="24"/>
          <w:lang w:val="en-US"/>
        </w:rPr>
        <w:t>Ameiurus melas</w:t>
      </w:r>
      <w:r w:rsidRPr="00B420C3">
        <w:rPr>
          <w:rFonts w:ascii="Times New Roman" w:eastAsia="Calibri" w:hAnsi="Times New Roman"/>
          <w:sz w:val="24"/>
          <w:szCs w:val="24"/>
          <w:lang w:val="en-US"/>
        </w:rPr>
        <w:t xml:space="preserve">, </w:t>
      </w:r>
      <w:r w:rsidRPr="00B420C3">
        <w:rPr>
          <w:rFonts w:ascii="Times New Roman" w:eastAsia="Calibri" w:hAnsi="Times New Roman"/>
          <w:sz w:val="24"/>
          <w:szCs w:val="24"/>
        </w:rPr>
        <w:t xml:space="preserve">който към момента е основният чужд инвазивен вид в състава на фауната. Този вид е установен и в прилежащите участъци от р. Дунав. Друга идентифицирана заплаха за водната екосистема на ез. Сребърна е влошаването на </w:t>
      </w:r>
      <w:r w:rsidRPr="00B420C3">
        <w:rPr>
          <w:rFonts w:ascii="Times New Roman" w:eastAsia="Calibri" w:hAnsi="Times New Roman"/>
          <w:sz w:val="24"/>
          <w:szCs w:val="24"/>
        </w:rPr>
        <w:lastRenderedPageBreak/>
        <w:t>екологичните условия вследствие нарушения воден режим като резултат от глобалните климатични промени. През 2020 г. при извършване на биологичен мониторинг на ез. Сребърна е установено Умерено екологично състояние (ЕС) по БЕК Риби и Лошо  ЕС по БЕК Фитопланктон и БЕК Макрофити. Влошеното ЕС на езерото през 2020 г. се обяснява с продължително маловодие и ниски водни стоежи. По време на теренните проучвания през 2021 г. тези специфични заплахи бяха потвърдени. Специфична заплаха за распера в ез. Сребърна е прекъсването на връзката с р. Дунав.</w:t>
      </w:r>
    </w:p>
    <w:p w:rsidR="00B420C3" w:rsidRPr="00B420C3" w:rsidRDefault="00B420C3" w:rsidP="00EC5D51">
      <w:pPr>
        <w:spacing w:before="120"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6. Цели за подобряване/поддържане на природозащит</w:t>
      </w:r>
      <w:r w:rsidR="00E5709C">
        <w:rPr>
          <w:rFonts w:ascii="Times New Roman" w:eastAsia="Calibri" w:hAnsi="Times New Roman"/>
          <w:b/>
          <w:sz w:val="24"/>
          <w:szCs w:val="24"/>
        </w:rPr>
        <w:t>ното състояние на вида в зоната</w:t>
      </w:r>
    </w:p>
    <w:p w:rsidR="00B420C3" w:rsidRPr="00B420C3" w:rsidRDefault="00B420C3" w:rsidP="00B420C3">
      <w:pPr>
        <w:spacing w:before="120" w:after="0" w:line="240" w:lineRule="auto"/>
        <w:jc w:val="both"/>
        <w:rPr>
          <w:rFonts w:ascii="Times New Roman" w:eastAsia="Calibri" w:hAnsi="Times New Roman"/>
          <w:sz w:val="24"/>
          <w:szCs w:val="24"/>
        </w:rPr>
      </w:pPr>
      <w:r w:rsidRPr="00B420C3">
        <w:rPr>
          <w:rFonts w:ascii="Times New Roman" w:eastAsia="Calibri" w:hAnsi="Times New Roman"/>
          <w:sz w:val="24"/>
          <w:szCs w:val="24"/>
        </w:rPr>
        <w:t>Целите са формулирани по показатели, в таблицата по-долу.</w:t>
      </w:r>
    </w:p>
    <w:p w:rsidR="00B420C3" w:rsidRPr="00B420C3" w:rsidRDefault="00B420C3" w:rsidP="00B420C3">
      <w:pPr>
        <w:spacing w:before="120" w:after="0" w:line="240" w:lineRule="auto"/>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276"/>
        <w:gridCol w:w="1133"/>
        <w:gridCol w:w="3321"/>
        <w:gridCol w:w="1855"/>
      </w:tblGrid>
      <w:tr w:rsidR="00B420C3" w:rsidRPr="00B420C3" w:rsidTr="00EC5D51">
        <w:trPr>
          <w:tblHeader/>
          <w:jc w:val="center"/>
        </w:trPr>
        <w:tc>
          <w:tcPr>
            <w:tcW w:w="756"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eastAsia="Calibri" w:hAnsi="Times New Roman"/>
                <w:b/>
                <w:bCs/>
              </w:rPr>
              <w:t>Параметър</w:t>
            </w:r>
          </w:p>
        </w:tc>
        <w:tc>
          <w:tcPr>
            <w:tcW w:w="714"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Мерна единица</w:t>
            </w:r>
          </w:p>
        </w:tc>
        <w:tc>
          <w:tcPr>
            <w:tcW w:w="634"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Целева стойност</w:t>
            </w:r>
          </w:p>
        </w:tc>
        <w:tc>
          <w:tcPr>
            <w:tcW w:w="1858"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eastAsia="Calibri" w:hAnsi="Times New Roman"/>
                <w:b/>
                <w:bCs/>
              </w:rPr>
              <w:t>Специфични цели на опазване за зоната</w:t>
            </w: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lang w:val="en-US"/>
              </w:rPr>
            </w:pPr>
            <w:r w:rsidRPr="00B420C3">
              <w:rPr>
                <w:rFonts w:ascii="Times New Roman" w:eastAsia="Calibri" w:hAnsi="Times New Roman"/>
                <w:b/>
              </w:rPr>
              <w:t>Плътност на популацията</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lang w:val="en-US"/>
              </w:rPr>
            </w:pPr>
            <w:r w:rsidRPr="00B420C3">
              <w:rPr>
                <w:rFonts w:ascii="Times New Roman" w:eastAsia="Calibri" w:hAnsi="Times New Roman"/>
              </w:rPr>
              <w:t>Брой индивиди/</w:t>
            </w:r>
            <w:r w:rsidRPr="00B420C3">
              <w:rPr>
                <w:rFonts w:ascii="Times New Roman" w:eastAsia="Calibri" w:hAnsi="Times New Roman"/>
                <w:lang w:val="en-US"/>
              </w:rPr>
              <w:t>ha</w:t>
            </w:r>
          </w:p>
        </w:tc>
        <w:tc>
          <w:tcPr>
            <w:tcW w:w="634" w:type="pct"/>
            <w:shd w:val="clear" w:color="auto" w:fill="auto"/>
          </w:tcPr>
          <w:p w:rsidR="00B420C3" w:rsidRPr="00B420C3" w:rsidRDefault="00B420C3" w:rsidP="00E5709C">
            <w:pPr>
              <w:spacing w:before="120" w:after="120" w:line="240" w:lineRule="auto"/>
              <w:rPr>
                <w:rFonts w:ascii="Times New Roman" w:eastAsia="Calibri" w:hAnsi="Times New Roman"/>
              </w:rPr>
            </w:pPr>
            <w:r w:rsidRPr="00B420C3">
              <w:rPr>
                <w:rFonts w:ascii="Times New Roman" w:eastAsia="Calibri" w:hAnsi="Times New Roman"/>
              </w:rPr>
              <w:t>Най-малко</w:t>
            </w:r>
            <w:r w:rsidRPr="00B420C3">
              <w:rPr>
                <w:rFonts w:ascii="Times New Roman" w:eastAsia="Calibri" w:hAnsi="Times New Roman"/>
                <w:lang w:val="en-US"/>
              </w:rPr>
              <w:t xml:space="preserve"> </w:t>
            </w:r>
            <w:r w:rsidR="00E5709C">
              <w:rPr>
                <w:rFonts w:ascii="Times New Roman" w:eastAsia="Calibri" w:hAnsi="Times New Roman"/>
              </w:rPr>
              <w:t>100</w:t>
            </w:r>
            <w:r w:rsidRPr="00B420C3">
              <w:rPr>
                <w:rFonts w:ascii="Times New Roman" w:eastAsia="Calibri" w:hAnsi="Times New Roman"/>
                <w:lang w:val="en-US"/>
              </w:rPr>
              <w:t xml:space="preserve"> </w:t>
            </w: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Стойността по този параметър се определя на базата на броя на уловените екземпляри от вида на трансект, чиято площ се изчислява в м</w:t>
            </w:r>
            <w:r w:rsidRPr="00B420C3">
              <w:rPr>
                <w:rFonts w:ascii="Times New Roman" w:eastAsia="Calibri" w:hAnsi="Times New Roman"/>
                <w:vertAlign w:val="superscript"/>
              </w:rPr>
              <w:t>2</w:t>
            </w:r>
            <w:r w:rsidRPr="00B420C3">
              <w:rPr>
                <w:rFonts w:ascii="Times New Roman" w:eastAsia="Calibri" w:hAnsi="Times New Roman"/>
              </w:rPr>
              <w:t xml:space="preserve">. След това броят на уловените екземпляри се преизчислява на един хектар. </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Според наличните данни (проект "Картиране и определяне на природозащитното състояние на природни местообитания и видове - фаза I".) средната стойност на числеността на вида в зоната не е определена. През 2021 г. е проведено ново теренно проучване за вида в 2 точки на зоната и е регистрирана средна численост 90 инд/ха. Като минимална целева стойност на популацията се приема определената по минимална референтна стойност, определена  "Картиране и определяне на природозащитното състояние на природни местообитания и видове - фаза I" и въз основа на по-нови налични данни.</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По отношение на натиска, този конкретен речен участък в рамките на защитената зона може да се счита за хомогенен. </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От друга страна, кумулативния </w:t>
            </w:r>
            <w:r w:rsidRPr="00B420C3">
              <w:rPr>
                <w:rFonts w:ascii="Times New Roman" w:eastAsia="Calibri" w:hAnsi="Times New Roman"/>
              </w:rPr>
              <w:lastRenderedPageBreak/>
              <w:t>натиск с източници на произход извън зоната може да бъде значим.</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В методиката за оценка на състоянието на риби  в НСМБР референтните стойности за плътността на популацията на този вид не са определени. Въз основа на наличните данни и резултатите от направеното проучване, състоянието на вида по този показател е „неблагоприятно-незадоволително“.</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lastRenderedPageBreak/>
              <w:t xml:space="preserve">Поддържане на плътността на популацията най-малко на 100 инд./ха. </w:t>
            </w:r>
          </w:p>
          <w:p w:rsidR="00B420C3" w:rsidRPr="00B420C3" w:rsidRDefault="00B420C3" w:rsidP="00B420C3">
            <w:pPr>
              <w:spacing w:before="120" w:after="120" w:line="240" w:lineRule="auto"/>
              <w:jc w:val="both"/>
              <w:rPr>
                <w:rFonts w:ascii="Times New Roman" w:eastAsia="Calibri" w:hAnsi="Times New Roman"/>
              </w:rPr>
            </w:pP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lastRenderedPageBreak/>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Дължина на речната мрежа, представляваща потенциално местообитание за вида</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км</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shd w:val="clear" w:color="auto" w:fill="FFFFFF"/>
              </w:rPr>
              <w:t>Най-малко 3 км</w:t>
            </w: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Дължината на речния участък се определя чрез GIS анализ, използващ следните екологични критерии:</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Река Дунав</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Изключени са всички стоящи водни тела в зоната.</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На базата на този анализ е установено, че 3 км от р. Дунав в защитената зона отговарят на посочените критерии. Според наличните данни за вида, той се среща мозаечно в зоната.</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Поддържане на дължина на речната мрежа, представляваща подходящо местообитание, обитавано от вида, най-малко 3 км. </w:t>
            </w:r>
          </w:p>
          <w:p w:rsidR="00B420C3" w:rsidRPr="00B420C3" w:rsidRDefault="00B420C3" w:rsidP="00B420C3">
            <w:pPr>
              <w:spacing w:before="120" w:after="120" w:line="240" w:lineRule="auto"/>
              <w:jc w:val="both"/>
              <w:rPr>
                <w:rFonts w:ascii="Times New Roman" w:eastAsia="Calibri" w:hAnsi="Times New Roman"/>
              </w:rPr>
            </w:pPr>
          </w:p>
          <w:p w:rsidR="00B420C3" w:rsidRPr="00B420C3" w:rsidRDefault="00B420C3" w:rsidP="00B420C3">
            <w:pPr>
              <w:spacing w:before="120" w:after="120" w:line="240" w:lineRule="auto"/>
              <w:jc w:val="both"/>
              <w:rPr>
                <w:rFonts w:ascii="Times New Roman" w:eastAsia="Calibri" w:hAnsi="Times New Roman"/>
              </w:rPr>
            </w:pP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стоящи води, представляващи потенциално местообитание за вида</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lang w:val="en-US"/>
              </w:rPr>
            </w:pPr>
            <w:r w:rsidRPr="00B420C3">
              <w:rPr>
                <w:rFonts w:ascii="Times New Roman" w:eastAsia="Calibri" w:hAnsi="Times New Roman"/>
                <w:lang w:val="en-US"/>
              </w:rPr>
              <w:t>ha</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shd w:val="clear" w:color="auto" w:fill="FFFFFF"/>
              </w:rPr>
            </w:pPr>
            <w:r w:rsidRPr="00B420C3">
              <w:rPr>
                <w:rFonts w:ascii="Times New Roman" w:eastAsia="Calibri" w:hAnsi="Times New Roman"/>
                <w:shd w:val="clear" w:color="auto" w:fill="FFFFFF"/>
              </w:rPr>
              <w:t>Най-малко 280</w:t>
            </w: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Площта на местообитанията на вида в стоящи води се определя чрез GIS анализ, използващ следните екологични критерии:</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Езеро Сребърна;</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Изкуствени водни тела от тип „канали“, които са на практика стоящи води;</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 xml:space="preserve">Изключва се откритото водно огледало на ез. Сребърна </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Поддържане на оптимални водни стоежи (най-малко 1,1 м) и залята площ на езерото най-малко 280 </w:t>
            </w:r>
            <w:r w:rsidRPr="00B420C3">
              <w:rPr>
                <w:rFonts w:ascii="Times New Roman" w:eastAsia="Calibri" w:hAnsi="Times New Roman"/>
                <w:lang w:val="en-US"/>
              </w:rPr>
              <w:t>ha</w:t>
            </w:r>
            <w:r w:rsidRPr="00B420C3">
              <w:rPr>
                <w:rFonts w:ascii="Times New Roman" w:eastAsia="Calibri" w:hAnsi="Times New Roman"/>
              </w:rPr>
              <w:t xml:space="preserve">.  </w:t>
            </w: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lastRenderedPageBreak/>
              <w:t xml:space="preserve">Степен на свързаност на местообитанието на вида </w:t>
            </w:r>
          </w:p>
          <w:p w:rsidR="00B420C3" w:rsidRPr="00B420C3" w:rsidRDefault="00B420C3" w:rsidP="00B420C3">
            <w:pPr>
              <w:spacing w:before="120" w:after="120" w:line="240" w:lineRule="auto"/>
              <w:rPr>
                <w:rFonts w:ascii="Times New Roman" w:eastAsia="Calibri" w:hAnsi="Times New Roman"/>
                <w:b/>
              </w:rPr>
            </w:pPr>
          </w:p>
          <w:p w:rsidR="00B420C3" w:rsidRPr="00B420C3" w:rsidRDefault="00B420C3" w:rsidP="00B420C3">
            <w:pPr>
              <w:spacing w:before="120" w:after="120" w:line="240" w:lineRule="auto"/>
              <w:rPr>
                <w:rFonts w:ascii="Times New Roman" w:eastAsia="Calibri" w:hAnsi="Times New Roman"/>
                <w:b/>
              </w:rPr>
            </w:pP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lastRenderedPageBreak/>
              <w:t xml:space="preserve">5 степенна скала за всяка </w:t>
            </w:r>
            <w:r w:rsidRPr="00B420C3">
              <w:rPr>
                <w:rFonts w:ascii="Times New Roman" w:eastAsia="Calibri" w:hAnsi="Times New Roman"/>
              </w:rPr>
              <w:lastRenderedPageBreak/>
              <w:t xml:space="preserve">бариера </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lang w:val="en-US"/>
              </w:rPr>
            </w:pPr>
            <w:r w:rsidRPr="00B420C3">
              <w:rPr>
                <w:rFonts w:ascii="Times New Roman" w:eastAsia="Calibri" w:hAnsi="Times New Roman"/>
              </w:rPr>
              <w:lastRenderedPageBreak/>
              <w:t>Степен</w:t>
            </w:r>
            <w:r w:rsidRPr="00B420C3">
              <w:rPr>
                <w:rFonts w:ascii="Times New Roman" w:eastAsia="Calibri" w:hAnsi="Times New Roman"/>
                <w:lang w:val="en-US"/>
              </w:rPr>
              <w:t xml:space="preserve"> 1</w:t>
            </w:r>
          </w:p>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 xml:space="preserve">за всяка </w:t>
            </w:r>
            <w:r w:rsidRPr="00B420C3">
              <w:rPr>
                <w:rFonts w:ascii="Times New Roman" w:eastAsia="Calibri" w:hAnsi="Times New Roman"/>
              </w:rPr>
              <w:lastRenderedPageBreak/>
              <w:t>бариера</w:t>
            </w: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lastRenderedPageBreak/>
              <w:t xml:space="preserve">Методът за оценка на миграционните бариери е променен. Не е приложена </w:t>
            </w:r>
            <w:r w:rsidRPr="00B420C3">
              <w:rPr>
                <w:rFonts w:ascii="Times New Roman" w:eastAsia="Calibri" w:hAnsi="Times New Roman"/>
              </w:rPr>
              <w:lastRenderedPageBreak/>
              <w:t xml:space="preserve">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На базата на информацията в ПУБР 2016-2021 г. и пробонабирането през 2021г.,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lastRenderedPageBreak/>
              <w:t xml:space="preserve">Поддържане на свързаност на местообитанието </w:t>
            </w:r>
            <w:r w:rsidRPr="00B420C3">
              <w:rPr>
                <w:rFonts w:ascii="Times New Roman" w:eastAsia="Calibri" w:hAnsi="Times New Roman"/>
              </w:rPr>
              <w:lastRenderedPageBreak/>
              <w:t xml:space="preserve">на вида от Степен 1 за всяка бариера в речния участък. </w:t>
            </w: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lastRenderedPageBreak/>
              <w:t xml:space="preserve">Местообитание на вида: Екологично състояние </w:t>
            </w:r>
            <w:r w:rsidRPr="00B420C3">
              <w:rPr>
                <w:rFonts w:ascii="Times New Roman" w:eastAsia="Calibri" w:hAnsi="Times New Roman"/>
                <w:b/>
              </w:rPr>
              <w:lastRenderedPageBreak/>
              <w:t xml:space="preserve">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lastRenderedPageBreak/>
              <w:t xml:space="preserve">5 степенна скала за екологично състояние съгласно </w:t>
            </w:r>
            <w:r w:rsidRPr="00B420C3">
              <w:rPr>
                <w:rFonts w:ascii="Times New Roman" w:eastAsia="Calibri" w:hAnsi="Times New Roman"/>
              </w:rPr>
              <w:lastRenderedPageBreak/>
              <w:t xml:space="preserve">РДВ </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lastRenderedPageBreak/>
              <w:t xml:space="preserve">По-висока или равна на 2 – Добро </w:t>
            </w:r>
            <w:r w:rsidRPr="00B420C3">
              <w:rPr>
                <w:rFonts w:ascii="Times New Roman" w:eastAsia="Calibri" w:hAnsi="Times New Roman"/>
              </w:rPr>
              <w:lastRenderedPageBreak/>
              <w:t>състояние</w:t>
            </w:r>
            <w:r w:rsidR="00E5709C">
              <w:rPr>
                <w:rFonts w:ascii="Times New Roman" w:eastAsia="Calibri" w:hAnsi="Times New Roman"/>
              </w:rPr>
              <w:t>/Добър потенциал</w:t>
            </w:r>
          </w:p>
        </w:tc>
        <w:tc>
          <w:tcPr>
            <w:tcW w:w="1858" w:type="pct"/>
            <w:shd w:val="clear" w:color="auto" w:fill="auto"/>
          </w:tcPr>
          <w:p w:rsidR="00B420C3" w:rsidRPr="00B420C3" w:rsidRDefault="00B420C3" w:rsidP="00B420C3">
            <w:pPr>
              <w:spacing w:after="0" w:line="240" w:lineRule="auto"/>
              <w:jc w:val="both"/>
              <w:rPr>
                <w:rFonts w:ascii="Times New Roman" w:eastAsia="Calibri" w:hAnsi="Times New Roman"/>
              </w:rPr>
            </w:pPr>
            <w:r w:rsidRPr="00B420C3">
              <w:rPr>
                <w:rFonts w:ascii="Times New Roman" w:eastAsia="Calibri" w:hAnsi="Times New Roman"/>
              </w:rPr>
              <w:lastRenderedPageBreak/>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w:t>
            </w:r>
            <w:r w:rsidRPr="00B420C3">
              <w:rPr>
                <w:rFonts w:ascii="Times New Roman" w:eastAsia="Calibri" w:hAnsi="Times New Roman"/>
              </w:rPr>
              <w:lastRenderedPageBreak/>
              <w:t xml:space="preserve">природни местообитания и видове - фаза I", параметъра „сапробен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B420C3" w:rsidRPr="00B420C3" w:rsidTr="000C2232">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B420C3" w:rsidRPr="00B420C3" w:rsidRDefault="00B420C3" w:rsidP="00B420C3">
                  <w:pPr>
                    <w:spacing w:after="0" w:line="240" w:lineRule="auto"/>
                    <w:jc w:val="center"/>
                    <w:rPr>
                      <w:rFonts w:ascii="Times New Roman" w:eastAsia="Calibri" w:hAnsi="Times New Roman"/>
                      <w:b/>
                      <w:bCs/>
                      <w:color w:val="000000"/>
                    </w:rPr>
                  </w:pPr>
                  <w:r w:rsidRPr="00B420C3">
                    <w:rPr>
                      <w:rFonts w:ascii="Times New Roman" w:eastAsia="Calibri" w:hAnsi="Times New Roman"/>
                      <w:b/>
                      <w:bCs/>
                      <w:color w:val="000000"/>
                    </w:rPr>
                    <w:t>Екологично състояние</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1 - Отлично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2 - Добро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3 - Умерено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4 - Лошо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5 - Много лошо</w:t>
                  </w:r>
                </w:p>
              </w:tc>
            </w:tr>
          </w:tbl>
          <w:p w:rsidR="00B420C3" w:rsidRPr="00B420C3" w:rsidRDefault="00E5709C" w:rsidP="00B420C3">
            <w:pPr>
              <w:spacing w:before="120" w:after="120" w:line="240" w:lineRule="auto"/>
              <w:jc w:val="both"/>
              <w:rPr>
                <w:rFonts w:ascii="Times New Roman" w:eastAsia="Calibri" w:hAnsi="Times New Roman"/>
              </w:rPr>
            </w:pPr>
            <w:r w:rsidRPr="0027123E">
              <w:rPr>
                <w:rFonts w:ascii="Times New Roman" w:eastAsia="Calibri" w:hAnsi="Times New Roman"/>
              </w:rPr>
              <w:t>Съгласно ПУРБ 2016-2021 г. целият български участък от р. Дунав представлява силно модифицирано водно тяло, с код (</w:t>
            </w:r>
            <w:hyperlink r:id="rId92" w:history="1">
              <w:r w:rsidRPr="0027123E">
                <w:rPr>
                  <w:rFonts w:ascii="Times New Roman" w:eastAsia="Calibri" w:hAnsi="Times New Roman"/>
                  <w:color w:val="0000FF"/>
                  <w:u w:val="single"/>
                </w:rPr>
                <w:t>http://www.bd-dunav.org/uploads/content/files/upravlenie-na-vodite/PURB-2016-2021-final/Razdel-1/prilojenia_R1/Pril_1244.pdf</w:t>
              </w:r>
            </w:hyperlink>
            <w:r w:rsidRPr="0027123E">
              <w:rPr>
                <w:rFonts w:ascii="Times New Roman" w:eastAsia="Calibri" w:hAnsi="Times New Roman"/>
              </w:rPr>
              <w:t>).Екологичният потенциал на р. Дунав е оценен като Умерен, (3),  (</w:t>
            </w:r>
            <w:hyperlink r:id="rId93" w:history="1">
              <w:r w:rsidRPr="0027123E">
                <w:rPr>
                  <w:rFonts w:ascii="Times New Roman" w:eastAsia="Calibri" w:hAnsi="Times New Roman"/>
                  <w:color w:val="0000FF"/>
                  <w:u w:val="single"/>
                </w:rPr>
                <w:t>https://www.eea.europa.eu/data-and-maps/explore-interactive-maps/water-framework-directive-quality-elements?utm_source=EEASubscriptions&amp;utm_medium=RSSFeeds&amp;utm_campaign=Generic</w:t>
              </w:r>
            </w:hyperlink>
            <w:r w:rsidRPr="0027123E">
              <w:rPr>
                <w:rFonts w:ascii="Times New Roman" w:eastAsia="Calibri" w:hAnsi="Times New Roman"/>
              </w:rPr>
              <w:t>).</w:t>
            </w:r>
            <w:r w:rsidR="00B420C3" w:rsidRPr="00B420C3">
              <w:rPr>
                <w:rFonts w:ascii="Times New Roman" w:eastAsia="Calibri" w:hAnsi="Times New Roman"/>
              </w:rPr>
              <w:t>.</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Според данните от биологичния мониторинг на повърхностните води през 2020 г. ЕС на ез. Сребърна е определено като Отлично по БЕК Макрозообентос, Умерено по БЕК Риби и Лошо – по БЕК Фитопланктон и БЕК </w:t>
            </w:r>
            <w:r w:rsidRPr="00B420C3">
              <w:rPr>
                <w:rFonts w:ascii="Times New Roman" w:eastAsia="Calibri" w:hAnsi="Times New Roman"/>
              </w:rPr>
              <w:lastRenderedPageBreak/>
              <w:t>Макрофити. При разлика в оценките на ЕС на водните тела по БЕК общата оценка съответства на най-лошата, в случая – Лошо ЕС.</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lastRenderedPageBreak/>
              <w:t xml:space="preserve">Постигане и поддържане на ЕП на участъка от р. Дунав и ЕС на ез. Сребърна в границата на </w:t>
            </w:r>
            <w:r w:rsidRPr="00B420C3">
              <w:rPr>
                <w:rFonts w:ascii="Times New Roman" w:eastAsia="Calibri" w:hAnsi="Times New Roman"/>
              </w:rPr>
              <w:lastRenderedPageBreak/>
              <w:t>зоната на стойност от по-висока или равна на 2 – Добър ЕП/ЕС</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Междинна цел:</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Съотношение в % от дължината на речните участъци с подходящи  местообитания на вида и с естествено структуриран субстрат, съотнесен към общата дължина на речните участъци с подходящи местообитания за вида</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95% от дължината на речните участъци с подходящи местообитания за вида имат естественоструктуриран субстрат</w:t>
            </w: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Псамофилен бентосен вид. Среща се в крайбрежната част на предпланинските и низините течащи и стоящи водни тела с бавна скорост на течението, фино структурирано дъно и наличие на нишковидна водна растителност. В тази връзка, поддържането на естествената структура на дънния субстрат в подходящите местообитания на вида е важно за неговото състояние.</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Фактори, водещи до нарушаване на естествената структура на дънния субстрат, са:</w:t>
            </w:r>
          </w:p>
          <w:p w:rsidR="00B420C3" w:rsidRPr="00B420C3" w:rsidRDefault="00B420C3" w:rsidP="00635999">
            <w:pPr>
              <w:numPr>
                <w:ilvl w:val="0"/>
                <w:numId w:val="15"/>
              </w:numPr>
              <w:spacing w:before="120" w:after="120" w:line="240" w:lineRule="auto"/>
              <w:jc w:val="both"/>
              <w:rPr>
                <w:rFonts w:ascii="Times New Roman" w:eastAsia="Calibri" w:hAnsi="Times New Roman"/>
              </w:rPr>
            </w:pPr>
            <w:r w:rsidRPr="00B420C3">
              <w:rPr>
                <w:rFonts w:ascii="Times New Roman" w:eastAsia="Calibri" w:hAnsi="Times New Roman"/>
              </w:rPr>
              <w:t>Отстраняване на чакъл и пясък от коритото на реката;</w:t>
            </w:r>
          </w:p>
          <w:p w:rsidR="00B420C3" w:rsidRPr="00B420C3" w:rsidRDefault="00B420C3" w:rsidP="00635999">
            <w:pPr>
              <w:numPr>
                <w:ilvl w:val="0"/>
                <w:numId w:val="15"/>
              </w:numPr>
              <w:spacing w:before="120" w:after="120" w:line="240" w:lineRule="auto"/>
              <w:jc w:val="both"/>
              <w:rPr>
                <w:rFonts w:ascii="Times New Roman" w:eastAsia="Calibri" w:hAnsi="Times New Roman"/>
              </w:rPr>
            </w:pPr>
            <w:r w:rsidRPr="00B420C3">
              <w:rPr>
                <w:rFonts w:ascii="Times New Roman" w:eastAsia="Calibri" w:hAnsi="Times New Roman"/>
              </w:rPr>
              <w:t>Изкопаване на речното корито, водещо до ускоряване на водния поток и отстраняване на субстрата;</w:t>
            </w:r>
          </w:p>
          <w:p w:rsidR="00B420C3" w:rsidRPr="00B420C3" w:rsidRDefault="00B420C3" w:rsidP="00635999">
            <w:pPr>
              <w:numPr>
                <w:ilvl w:val="0"/>
                <w:numId w:val="15"/>
              </w:numPr>
              <w:spacing w:before="120" w:after="120" w:line="240" w:lineRule="auto"/>
              <w:jc w:val="both"/>
              <w:rPr>
                <w:rFonts w:ascii="Times New Roman" w:eastAsia="Calibri" w:hAnsi="Times New Roman"/>
              </w:rPr>
            </w:pPr>
            <w:r w:rsidRPr="00B420C3">
              <w:rPr>
                <w:rFonts w:ascii="Times New Roman" w:eastAsia="Calibri" w:hAnsi="Times New Roman"/>
              </w:rPr>
              <w:t>Изграждане на хидротехнически съоръжения, водещи до забавяне на водния поток и задържане на утайки.</w:t>
            </w:r>
          </w:p>
          <w:p w:rsidR="00B420C3" w:rsidRPr="00B420C3" w:rsidRDefault="00B420C3" w:rsidP="00635999">
            <w:pPr>
              <w:numPr>
                <w:ilvl w:val="0"/>
                <w:numId w:val="15"/>
              </w:numPr>
              <w:spacing w:before="120" w:after="120" w:line="240" w:lineRule="auto"/>
              <w:jc w:val="both"/>
              <w:rPr>
                <w:rFonts w:ascii="Times New Roman" w:eastAsia="Calibri" w:hAnsi="Times New Roman"/>
              </w:rPr>
            </w:pPr>
            <w:r w:rsidRPr="00B420C3">
              <w:rPr>
                <w:rFonts w:ascii="Times New Roman" w:eastAsia="Calibri" w:hAnsi="Times New Roman"/>
              </w:rPr>
              <w:t>др.</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Не е установен натиск в зоната по този параметър.</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Поддържане на 95 % от дължината на речните участъци с подходящи местообитания за вида да са с естествено структуриран субстрат.</w:t>
            </w:r>
          </w:p>
        </w:tc>
      </w:tr>
    </w:tbl>
    <w:p w:rsidR="00B420C3" w:rsidRPr="00B420C3" w:rsidRDefault="00B420C3" w:rsidP="00B420C3">
      <w:pPr>
        <w:spacing w:after="160" w:line="240" w:lineRule="auto"/>
        <w:jc w:val="both"/>
        <w:rPr>
          <w:rFonts w:ascii="Times New Roman" w:eastAsia="Calibri" w:hAnsi="Times New Roman"/>
          <w:b/>
          <w:sz w:val="24"/>
          <w:szCs w:val="24"/>
        </w:rPr>
      </w:pP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7. Необходимост от актуали</w:t>
      </w:r>
      <w:r w:rsidR="00EC5D51">
        <w:rPr>
          <w:rFonts w:ascii="Times New Roman" w:eastAsia="Calibri" w:hAnsi="Times New Roman"/>
          <w:b/>
          <w:sz w:val="24"/>
          <w:szCs w:val="24"/>
        </w:rPr>
        <w:t>зация на СФ на защитената зона</w:t>
      </w:r>
    </w:p>
    <w:p w:rsidR="00B420C3" w:rsidRPr="00B420C3" w:rsidRDefault="00E5709C" w:rsidP="00E5709C">
      <w:pPr>
        <w:spacing w:after="120" w:line="240" w:lineRule="auto"/>
        <w:ind w:firstLine="709"/>
        <w:jc w:val="both"/>
        <w:rPr>
          <w:rFonts w:ascii="Times New Roman" w:eastAsia="Calibri" w:hAnsi="Times New Roman"/>
          <w:sz w:val="24"/>
          <w:szCs w:val="24"/>
        </w:rPr>
      </w:pPr>
      <w:r>
        <w:rPr>
          <w:rFonts w:ascii="Times New Roman" w:eastAsia="Calibri" w:hAnsi="Times New Roman"/>
          <w:sz w:val="24"/>
          <w:szCs w:val="24"/>
        </w:rPr>
        <w:t>В съответствие с утвърдената</w:t>
      </w:r>
      <w:r w:rsidRPr="00B420C3">
        <w:rPr>
          <w:rFonts w:ascii="Times New Roman" w:eastAsia="Calibri" w:hAnsi="Times New Roman"/>
          <w:sz w:val="24"/>
          <w:szCs w:val="24"/>
        </w:rPr>
        <w:t xml:space="preserve"> методика за мониторинг на </w:t>
      </w:r>
      <w:r>
        <w:rPr>
          <w:rFonts w:ascii="Times New Roman" w:eastAsia="Calibri" w:hAnsi="Times New Roman"/>
          <w:sz w:val="24"/>
          <w:szCs w:val="24"/>
        </w:rPr>
        <w:t>вида</w:t>
      </w:r>
      <w:r w:rsidRPr="00B420C3">
        <w:rPr>
          <w:rFonts w:ascii="Times New Roman" w:eastAsia="Calibri" w:hAnsi="Times New Roman"/>
          <w:sz w:val="24"/>
          <w:szCs w:val="24"/>
        </w:rPr>
        <w:t>, най-подходящата единица за определянето на състоянието на вида е брой индивиди на хектар (</w:t>
      </w:r>
      <w:r w:rsidRPr="00B420C3">
        <w:rPr>
          <w:rFonts w:ascii="Times New Roman" w:eastAsia="Calibri" w:hAnsi="Times New Roman"/>
          <w:sz w:val="24"/>
          <w:szCs w:val="24"/>
          <w:lang w:val="en-US"/>
        </w:rPr>
        <w:t>ind</w:t>
      </w:r>
      <w:r w:rsidRPr="0061058D">
        <w:rPr>
          <w:rFonts w:ascii="Times New Roman" w:eastAsia="Calibri" w:hAnsi="Times New Roman"/>
          <w:sz w:val="24"/>
          <w:szCs w:val="24"/>
        </w:rPr>
        <w:t>./</w:t>
      </w:r>
      <w:r w:rsidRPr="00B420C3">
        <w:rPr>
          <w:rFonts w:ascii="Times New Roman" w:eastAsia="Calibri" w:hAnsi="Times New Roman"/>
          <w:sz w:val="24"/>
          <w:szCs w:val="24"/>
          <w:lang w:val="en-US"/>
        </w:rPr>
        <w:t>ha</w:t>
      </w:r>
      <w:r w:rsidRPr="0061058D">
        <w:rPr>
          <w:rFonts w:ascii="Times New Roman" w:eastAsia="Calibri" w:hAnsi="Times New Roman"/>
          <w:sz w:val="24"/>
          <w:szCs w:val="24"/>
        </w:rPr>
        <w:t>).</w:t>
      </w:r>
      <w:r w:rsidRPr="00B420C3">
        <w:rPr>
          <w:rFonts w:ascii="Times New Roman" w:eastAsia="Calibri" w:hAnsi="Times New Roman"/>
          <w:sz w:val="24"/>
          <w:szCs w:val="24"/>
        </w:rPr>
        <w:t xml:space="preserve"> </w:t>
      </w:r>
      <w:r w:rsidRPr="00B74212">
        <w:rPr>
          <w:rFonts w:ascii="Times New Roman" w:eastAsia="Calibri" w:hAnsi="Times New Roman"/>
          <w:sz w:val="24"/>
          <w:szCs w:val="24"/>
        </w:rPr>
        <w:t xml:space="preserve">Тази единица обаче засега не е приета за оценка на видове риби при докладванията в ЕК. Затова, като се има предвид високата сезонна вариабилност на числеността на вида в зоната и с оглед унифицирането на подхода за внасянето на данни в СФ на този етап </w:t>
      </w:r>
      <w:r w:rsidRPr="00B74212">
        <w:rPr>
          <w:rFonts w:ascii="Times New Roman" w:eastAsia="Calibri" w:hAnsi="Times New Roman"/>
          <w:sz w:val="24"/>
          <w:szCs w:val="24"/>
        </w:rPr>
        <w:lastRenderedPageBreak/>
        <w:t>като единица за оценка се използва „Площ“ (area) на местообитанията“</w:t>
      </w:r>
      <w:r w:rsidRPr="00B420C3">
        <w:rPr>
          <w:rFonts w:ascii="Times New Roman" w:eastAsia="Calibri" w:hAnsi="Times New Roman"/>
          <w:sz w:val="24"/>
          <w:szCs w:val="24"/>
        </w:rPr>
        <w:t>, като е уточнена площта на местообитанията в зоната</w:t>
      </w:r>
      <w:r>
        <w:rPr>
          <w:rFonts w:ascii="Times New Roman" w:eastAsia="Calibri" w:hAnsi="Times New Roman"/>
          <w:sz w:val="24"/>
          <w:szCs w:val="24"/>
        </w:rPr>
        <w:t>. Нанесени са съответни корекции в СФ.</w:t>
      </w:r>
    </w:p>
    <w:tbl>
      <w:tblPr>
        <w:tblW w:w="5387" w:type="pct"/>
        <w:tblCellSpacing w:w="15"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0"/>
        <w:gridCol w:w="642"/>
        <w:gridCol w:w="1009"/>
        <w:gridCol w:w="292"/>
        <w:gridCol w:w="510"/>
        <w:gridCol w:w="365"/>
        <w:gridCol w:w="1012"/>
        <w:gridCol w:w="1012"/>
        <w:gridCol w:w="620"/>
        <w:gridCol w:w="604"/>
        <w:gridCol w:w="865"/>
        <w:gridCol w:w="941"/>
        <w:gridCol w:w="648"/>
        <w:gridCol w:w="548"/>
        <w:gridCol w:w="619"/>
      </w:tblGrid>
      <w:tr w:rsidR="00B420C3" w:rsidRPr="00EC5D51" w:rsidTr="00E5709C">
        <w:trPr>
          <w:tblCellSpacing w:w="15" w:type="dxa"/>
        </w:trPr>
        <w:tc>
          <w:tcPr>
            <w:tcW w:w="1450" w:type="pct"/>
            <w:gridSpan w:val="5"/>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Species </w:t>
            </w:r>
          </w:p>
        </w:tc>
        <w:tc>
          <w:tcPr>
            <w:tcW w:w="0" w:type="auto"/>
            <w:gridSpan w:val="6"/>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Population in the site </w:t>
            </w:r>
          </w:p>
        </w:tc>
        <w:tc>
          <w:tcPr>
            <w:tcW w:w="0" w:type="auto"/>
            <w:gridSpan w:val="4"/>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Site assessment </w:t>
            </w:r>
          </w:p>
        </w:tc>
      </w:tr>
      <w:tr w:rsidR="00B420C3" w:rsidRPr="00EC5D51" w:rsidTr="00E5709C">
        <w:trPr>
          <w:tblCellSpacing w:w="15" w:type="dxa"/>
        </w:trPr>
        <w:tc>
          <w:tcPr>
            <w:tcW w:w="166" w:type="pct"/>
            <w:shd w:val="clear" w:color="auto" w:fill="D9D9D9" w:themeFill="background1" w:themeFillShade="D9"/>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G </w:t>
            </w:r>
          </w:p>
        </w:tc>
        <w:tc>
          <w:tcPr>
            <w:tcW w:w="0" w:type="auto"/>
            <w:shd w:val="clear" w:color="auto" w:fill="D9D9D9" w:themeFill="background1" w:themeFillShade="D9"/>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Code </w:t>
            </w:r>
          </w:p>
        </w:tc>
        <w:tc>
          <w:tcPr>
            <w:tcW w:w="0" w:type="auto"/>
            <w:shd w:val="clear" w:color="auto" w:fill="D9D9D9" w:themeFill="background1" w:themeFillShade="D9"/>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Scientific Name </w:t>
            </w:r>
          </w:p>
        </w:tc>
        <w:tc>
          <w:tcPr>
            <w:tcW w:w="0" w:type="auto"/>
            <w:shd w:val="clear" w:color="auto" w:fill="D9D9D9" w:themeFill="background1" w:themeFillShade="D9"/>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S </w:t>
            </w:r>
          </w:p>
        </w:tc>
        <w:tc>
          <w:tcPr>
            <w:tcW w:w="0" w:type="auto"/>
            <w:shd w:val="clear" w:color="auto" w:fill="D9D9D9" w:themeFill="background1" w:themeFillShade="D9"/>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NP </w:t>
            </w:r>
          </w:p>
        </w:tc>
        <w:tc>
          <w:tcPr>
            <w:tcW w:w="0" w:type="auto"/>
            <w:shd w:val="clear" w:color="auto" w:fill="D9D9D9" w:themeFill="background1" w:themeFillShade="D9"/>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T </w:t>
            </w:r>
          </w:p>
        </w:tc>
        <w:tc>
          <w:tcPr>
            <w:tcW w:w="0" w:type="auto"/>
            <w:gridSpan w:val="2"/>
            <w:shd w:val="clear" w:color="auto" w:fill="D9D9D9" w:themeFill="background1" w:themeFillShade="D9"/>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Size </w:t>
            </w:r>
          </w:p>
        </w:tc>
        <w:tc>
          <w:tcPr>
            <w:tcW w:w="0" w:type="auto"/>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Unit </w:t>
            </w:r>
          </w:p>
        </w:tc>
        <w:tc>
          <w:tcPr>
            <w:tcW w:w="0" w:type="auto"/>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Cat. </w:t>
            </w:r>
          </w:p>
        </w:tc>
        <w:tc>
          <w:tcPr>
            <w:tcW w:w="0" w:type="auto"/>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D.qual. </w:t>
            </w:r>
          </w:p>
        </w:tc>
        <w:tc>
          <w:tcPr>
            <w:tcW w:w="0" w:type="auto"/>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A|B|C|D </w:t>
            </w:r>
          </w:p>
        </w:tc>
        <w:tc>
          <w:tcPr>
            <w:tcW w:w="0" w:type="auto"/>
            <w:gridSpan w:val="3"/>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A|B|C </w:t>
            </w:r>
          </w:p>
        </w:tc>
      </w:tr>
      <w:tr w:rsidR="00B420C3" w:rsidRPr="00EC5D51" w:rsidTr="00E5709C">
        <w:trPr>
          <w:tblCellSpacing w:w="15" w:type="dxa"/>
        </w:trPr>
        <w:tc>
          <w:tcPr>
            <w:tcW w:w="166"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w:t>
            </w:r>
          </w:p>
        </w:tc>
        <w:tc>
          <w:tcPr>
            <w:tcW w:w="304"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w:t>
            </w:r>
          </w:p>
        </w:tc>
        <w:tc>
          <w:tcPr>
            <w:tcW w:w="488"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w:t>
            </w:r>
          </w:p>
        </w:tc>
        <w:tc>
          <w:tcPr>
            <w:tcW w:w="130"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w:t>
            </w:r>
          </w:p>
        </w:tc>
        <w:tc>
          <w:tcPr>
            <w:tcW w:w="301"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w:t>
            </w:r>
          </w:p>
        </w:tc>
        <w:tc>
          <w:tcPr>
            <w:tcW w:w="166"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w:t>
            </w:r>
          </w:p>
        </w:tc>
        <w:tc>
          <w:tcPr>
            <w:tcW w:w="311"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Min</w:t>
            </w:r>
          </w:p>
        </w:tc>
        <w:tc>
          <w:tcPr>
            <w:tcW w:w="332"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Max</w:t>
            </w:r>
          </w:p>
        </w:tc>
        <w:tc>
          <w:tcPr>
            <w:tcW w:w="324"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w:t>
            </w:r>
          </w:p>
        </w:tc>
        <w:tc>
          <w:tcPr>
            <w:tcW w:w="314"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p>
        </w:tc>
        <w:tc>
          <w:tcPr>
            <w:tcW w:w="470"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w:t>
            </w:r>
          </w:p>
        </w:tc>
        <w:tc>
          <w:tcPr>
            <w:tcW w:w="516"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Pop.</w:t>
            </w:r>
          </w:p>
        </w:tc>
        <w:tc>
          <w:tcPr>
            <w:tcW w:w="341"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Con.</w:t>
            </w:r>
          </w:p>
        </w:tc>
        <w:tc>
          <w:tcPr>
            <w:tcW w:w="282"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Iso.</w:t>
            </w:r>
          </w:p>
        </w:tc>
        <w:tc>
          <w:tcPr>
            <w:tcW w:w="314"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Glo.</w:t>
            </w:r>
          </w:p>
        </w:tc>
      </w:tr>
      <w:tr w:rsidR="00E5709C" w:rsidRPr="00EC5D51" w:rsidTr="00E5709C">
        <w:trPr>
          <w:tblCellSpacing w:w="15" w:type="dxa"/>
        </w:trPr>
        <w:tc>
          <w:tcPr>
            <w:tcW w:w="16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EC5D51" w:rsidRDefault="00E5709C" w:rsidP="00B420C3">
            <w:pPr>
              <w:spacing w:before="120" w:after="0" w:line="259" w:lineRule="auto"/>
              <w:jc w:val="both"/>
              <w:rPr>
                <w:rFonts w:ascii="Times New Roman" w:eastAsia="Calibri" w:hAnsi="Times New Roman"/>
                <w:b/>
                <w:bCs/>
                <w:sz w:val="20"/>
                <w:szCs w:val="20"/>
                <w:lang w:val="en-US"/>
              </w:rPr>
            </w:pPr>
            <w:r w:rsidRPr="00EC5D51">
              <w:rPr>
                <w:rFonts w:ascii="Times New Roman" w:eastAsia="Calibri" w:hAnsi="Times New Roman"/>
                <w:b/>
                <w:bCs/>
                <w:sz w:val="20"/>
                <w:szCs w:val="20"/>
                <w:lang w:val="en-US"/>
              </w:rPr>
              <w:t>F</w:t>
            </w:r>
          </w:p>
        </w:tc>
        <w:tc>
          <w:tcPr>
            <w:tcW w:w="30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EC5D51" w:rsidRDefault="00E5709C" w:rsidP="00B420C3">
            <w:pPr>
              <w:spacing w:before="120" w:after="0" w:line="259" w:lineRule="auto"/>
              <w:jc w:val="both"/>
              <w:rPr>
                <w:rFonts w:ascii="Times New Roman" w:eastAsia="Calibri" w:hAnsi="Times New Roman"/>
                <w:b/>
                <w:bCs/>
                <w:sz w:val="20"/>
                <w:szCs w:val="20"/>
                <w:lang w:val="en-US"/>
              </w:rPr>
            </w:pPr>
            <w:r w:rsidRPr="00EC5D51">
              <w:rPr>
                <w:rFonts w:ascii="Times New Roman" w:eastAsia="Calibri" w:hAnsi="Times New Roman"/>
                <w:b/>
                <w:bCs/>
                <w:sz w:val="20"/>
                <w:szCs w:val="20"/>
              </w:rPr>
              <w:t>11</w:t>
            </w:r>
            <w:r w:rsidRPr="00EC5D51">
              <w:rPr>
                <w:rFonts w:ascii="Times New Roman" w:eastAsia="Calibri" w:hAnsi="Times New Roman"/>
                <w:b/>
                <w:bCs/>
                <w:sz w:val="20"/>
                <w:szCs w:val="20"/>
                <w:lang w:val="en-US"/>
              </w:rPr>
              <w:t>49</w:t>
            </w:r>
          </w:p>
        </w:tc>
        <w:tc>
          <w:tcPr>
            <w:tcW w:w="48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EC5D51" w:rsidRDefault="00E5709C" w:rsidP="00B420C3">
            <w:pPr>
              <w:spacing w:before="120" w:after="0" w:line="259" w:lineRule="auto"/>
              <w:jc w:val="both"/>
              <w:rPr>
                <w:rFonts w:ascii="Times New Roman" w:eastAsia="Calibri" w:hAnsi="Times New Roman"/>
                <w:b/>
                <w:bCs/>
                <w:i/>
                <w:sz w:val="20"/>
                <w:szCs w:val="20"/>
                <w:lang w:val="en-US"/>
              </w:rPr>
            </w:pPr>
            <w:r w:rsidRPr="00EC5D51">
              <w:rPr>
                <w:rFonts w:ascii="Times New Roman" w:eastAsia="Calibri" w:hAnsi="Times New Roman"/>
                <w:b/>
                <w:bCs/>
                <w:i/>
                <w:sz w:val="20"/>
                <w:szCs w:val="20"/>
                <w:lang w:val="en-US"/>
              </w:rPr>
              <w:t xml:space="preserve">Cobitis taenia </w:t>
            </w:r>
            <w:r w:rsidRPr="00E5709C">
              <w:rPr>
                <w:rFonts w:ascii="Times New Roman" w:eastAsia="Calibri" w:hAnsi="Times New Roman"/>
                <w:b/>
                <w:bCs/>
                <w:sz w:val="20"/>
                <w:szCs w:val="20"/>
                <w:lang w:val="en-US"/>
              </w:rPr>
              <w:t>Complex</w:t>
            </w:r>
          </w:p>
        </w:tc>
        <w:tc>
          <w:tcPr>
            <w:tcW w:w="13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EC5D51" w:rsidRDefault="00E5709C" w:rsidP="00B420C3">
            <w:pPr>
              <w:spacing w:before="120" w:after="0" w:line="259" w:lineRule="auto"/>
              <w:jc w:val="both"/>
              <w:rPr>
                <w:rFonts w:ascii="Times New Roman" w:eastAsia="Calibri" w:hAnsi="Times New Roman"/>
                <w:b/>
                <w:bCs/>
                <w:sz w:val="20"/>
                <w:szCs w:val="20"/>
                <w:lang w:val="en-US"/>
              </w:rPr>
            </w:pPr>
          </w:p>
        </w:tc>
        <w:tc>
          <w:tcPr>
            <w:tcW w:w="30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EC5D51" w:rsidRDefault="00E5709C" w:rsidP="00B420C3">
            <w:pPr>
              <w:spacing w:before="120" w:after="0" w:line="259" w:lineRule="auto"/>
              <w:jc w:val="both"/>
              <w:rPr>
                <w:rFonts w:ascii="Times New Roman" w:eastAsia="Calibri" w:hAnsi="Times New Roman"/>
                <w:b/>
                <w:bCs/>
                <w:sz w:val="20"/>
                <w:szCs w:val="20"/>
                <w:lang w:val="en-US"/>
              </w:rPr>
            </w:pPr>
          </w:p>
        </w:tc>
        <w:tc>
          <w:tcPr>
            <w:tcW w:w="16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5709C" w:rsidRPr="00EC5D51" w:rsidRDefault="00E5709C"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Р</w:t>
            </w:r>
          </w:p>
        </w:tc>
        <w:tc>
          <w:tcPr>
            <w:tcW w:w="31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E5709C" w:rsidRPr="00A02F7C" w:rsidRDefault="00E5709C" w:rsidP="00051A9F">
            <w:pPr>
              <w:spacing w:after="0" w:line="240" w:lineRule="auto"/>
              <w:jc w:val="right"/>
              <w:rPr>
                <w:rFonts w:ascii="Times New Roman" w:hAnsi="Times New Roman"/>
                <w:b/>
                <w:bCs/>
                <w:color w:val="FF0000"/>
                <w:sz w:val="20"/>
                <w:szCs w:val="20"/>
                <w:lang w:val="en-US" w:eastAsia="bg-BG"/>
              </w:rPr>
            </w:pPr>
            <w:r>
              <w:rPr>
                <w:rFonts w:ascii="Times New Roman" w:hAnsi="Times New Roman"/>
                <w:b/>
                <w:bCs/>
                <w:color w:val="FF0000"/>
                <w:lang w:val="en-US"/>
              </w:rPr>
              <w:t>3393180</w:t>
            </w:r>
          </w:p>
        </w:tc>
        <w:tc>
          <w:tcPr>
            <w:tcW w:w="33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E5709C" w:rsidRPr="00A02F7C" w:rsidRDefault="00E5709C" w:rsidP="00051A9F">
            <w:pPr>
              <w:spacing w:after="0" w:line="240" w:lineRule="auto"/>
              <w:jc w:val="right"/>
              <w:rPr>
                <w:rFonts w:ascii="Times New Roman" w:hAnsi="Times New Roman"/>
                <w:b/>
                <w:bCs/>
                <w:color w:val="FF0000"/>
                <w:sz w:val="20"/>
                <w:szCs w:val="20"/>
                <w:lang w:val="en-US" w:eastAsia="bg-BG"/>
              </w:rPr>
            </w:pPr>
            <w:r>
              <w:rPr>
                <w:rFonts w:ascii="Times New Roman" w:hAnsi="Times New Roman"/>
                <w:b/>
                <w:bCs/>
                <w:color w:val="FF0000"/>
                <w:lang w:val="en-US"/>
              </w:rPr>
              <w:t>3393180</w:t>
            </w:r>
          </w:p>
        </w:tc>
        <w:tc>
          <w:tcPr>
            <w:tcW w:w="32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E5709C" w:rsidRPr="0020692A" w:rsidRDefault="00E5709C" w:rsidP="00051A9F">
            <w:pPr>
              <w:spacing w:after="0" w:line="240" w:lineRule="auto"/>
              <w:rPr>
                <w:rFonts w:ascii="Times New Roman" w:hAnsi="Times New Roman"/>
                <w:b/>
                <w:color w:val="FF0000"/>
                <w:sz w:val="20"/>
                <w:szCs w:val="20"/>
                <w:lang w:val="en-US" w:eastAsia="bg-BG"/>
              </w:rPr>
            </w:pPr>
            <w:r w:rsidRPr="0020692A">
              <w:rPr>
                <w:rFonts w:ascii="Times New Roman" w:hAnsi="Times New Roman"/>
                <w:b/>
                <w:color w:val="FF0000"/>
                <w:sz w:val="20"/>
                <w:szCs w:val="20"/>
                <w:lang w:eastAsia="bg-BG"/>
              </w:rPr>
              <w:t>а</w:t>
            </w:r>
            <w:r w:rsidRPr="0020692A">
              <w:rPr>
                <w:rFonts w:ascii="Times New Roman" w:hAnsi="Times New Roman"/>
                <w:b/>
                <w:color w:val="FF0000"/>
                <w:sz w:val="20"/>
                <w:szCs w:val="20"/>
                <w:lang w:val="en-US" w:eastAsia="bg-BG"/>
              </w:rPr>
              <w:t xml:space="preserve">rea </w:t>
            </w:r>
          </w:p>
        </w:tc>
        <w:tc>
          <w:tcPr>
            <w:tcW w:w="31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E5709C" w:rsidRPr="00EC5D51" w:rsidRDefault="00E5709C" w:rsidP="00B420C3">
            <w:pPr>
              <w:spacing w:after="0" w:line="240" w:lineRule="auto"/>
              <w:rPr>
                <w:rFonts w:ascii="Times New Roman" w:hAnsi="Times New Roman"/>
                <w:b/>
                <w:sz w:val="20"/>
                <w:szCs w:val="20"/>
                <w:lang w:eastAsia="bg-BG"/>
              </w:rPr>
            </w:pPr>
            <w:r w:rsidRPr="00EC5D51">
              <w:rPr>
                <w:rFonts w:ascii="Times New Roman" w:hAnsi="Times New Roman"/>
                <w:b/>
                <w:sz w:val="20"/>
                <w:szCs w:val="20"/>
                <w:lang w:eastAsia="bg-BG"/>
              </w:rPr>
              <w:t>С</w:t>
            </w:r>
          </w:p>
        </w:tc>
        <w:tc>
          <w:tcPr>
            <w:tcW w:w="47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E5709C" w:rsidRPr="00EC5D51" w:rsidRDefault="00E5709C" w:rsidP="00B420C3">
            <w:pPr>
              <w:spacing w:after="0" w:line="240" w:lineRule="auto"/>
              <w:rPr>
                <w:rFonts w:ascii="Times New Roman" w:hAnsi="Times New Roman"/>
                <w:b/>
                <w:sz w:val="20"/>
                <w:szCs w:val="20"/>
                <w:lang w:val="en-US" w:eastAsia="bg-BG"/>
              </w:rPr>
            </w:pPr>
            <w:r w:rsidRPr="00EC5D51">
              <w:rPr>
                <w:rFonts w:ascii="Times New Roman" w:hAnsi="Times New Roman"/>
                <w:b/>
                <w:sz w:val="20"/>
                <w:szCs w:val="20"/>
                <w:lang w:val="en-US" w:eastAsia="bg-BG"/>
              </w:rPr>
              <w:t>G</w:t>
            </w:r>
          </w:p>
        </w:tc>
        <w:tc>
          <w:tcPr>
            <w:tcW w:w="51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E5709C" w:rsidRPr="00EC5D51" w:rsidRDefault="00E5709C" w:rsidP="00B420C3">
            <w:pPr>
              <w:spacing w:after="0" w:line="240" w:lineRule="auto"/>
              <w:rPr>
                <w:rFonts w:ascii="Times New Roman" w:hAnsi="Times New Roman"/>
                <w:b/>
                <w:color w:val="000000"/>
                <w:sz w:val="20"/>
                <w:szCs w:val="20"/>
                <w:lang w:val="en-US" w:eastAsia="bg-BG"/>
              </w:rPr>
            </w:pPr>
            <w:r w:rsidRPr="00EC5D51">
              <w:rPr>
                <w:rFonts w:ascii="Times New Roman" w:hAnsi="Times New Roman"/>
                <w:b/>
                <w:color w:val="000000"/>
                <w:sz w:val="20"/>
                <w:szCs w:val="20"/>
                <w:lang w:val="en-US" w:eastAsia="bg-BG"/>
              </w:rPr>
              <w:t>B</w:t>
            </w:r>
          </w:p>
        </w:tc>
        <w:tc>
          <w:tcPr>
            <w:tcW w:w="34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E5709C" w:rsidRPr="00EC5D51" w:rsidRDefault="00E5709C" w:rsidP="00B420C3">
            <w:pPr>
              <w:spacing w:after="0" w:line="240" w:lineRule="auto"/>
              <w:rPr>
                <w:rFonts w:ascii="Times New Roman" w:hAnsi="Times New Roman"/>
                <w:b/>
                <w:color w:val="000000"/>
                <w:sz w:val="20"/>
                <w:szCs w:val="20"/>
                <w:lang w:eastAsia="bg-BG"/>
              </w:rPr>
            </w:pPr>
            <w:r w:rsidRPr="00EC5D51">
              <w:rPr>
                <w:rFonts w:ascii="Times New Roman" w:hAnsi="Times New Roman"/>
                <w:b/>
                <w:color w:val="000000"/>
                <w:sz w:val="20"/>
                <w:szCs w:val="20"/>
                <w:lang w:eastAsia="bg-BG"/>
              </w:rPr>
              <w:t>A</w:t>
            </w:r>
          </w:p>
        </w:tc>
        <w:tc>
          <w:tcPr>
            <w:tcW w:w="28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E5709C" w:rsidRPr="00EC5D51" w:rsidRDefault="00E5709C" w:rsidP="00B420C3">
            <w:pPr>
              <w:spacing w:after="0" w:line="240" w:lineRule="auto"/>
              <w:rPr>
                <w:rFonts w:ascii="Times New Roman" w:hAnsi="Times New Roman"/>
                <w:b/>
                <w:sz w:val="20"/>
                <w:szCs w:val="20"/>
                <w:lang w:eastAsia="bg-BG"/>
              </w:rPr>
            </w:pPr>
            <w:r w:rsidRPr="00EC5D51">
              <w:rPr>
                <w:rFonts w:ascii="Times New Roman" w:hAnsi="Times New Roman"/>
                <w:b/>
                <w:sz w:val="20"/>
                <w:szCs w:val="20"/>
                <w:lang w:eastAsia="bg-BG"/>
              </w:rPr>
              <w:t>C</w:t>
            </w:r>
          </w:p>
        </w:tc>
        <w:tc>
          <w:tcPr>
            <w:tcW w:w="31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E5709C" w:rsidRPr="00EC5D51" w:rsidRDefault="00E5709C" w:rsidP="00B420C3">
            <w:pPr>
              <w:spacing w:after="0" w:line="240" w:lineRule="auto"/>
              <w:rPr>
                <w:rFonts w:ascii="Times New Roman" w:hAnsi="Times New Roman"/>
                <w:b/>
                <w:sz w:val="20"/>
                <w:szCs w:val="20"/>
                <w:lang w:eastAsia="bg-BG"/>
              </w:rPr>
            </w:pPr>
            <w:r w:rsidRPr="00EC5D51">
              <w:rPr>
                <w:rFonts w:ascii="Times New Roman" w:hAnsi="Times New Roman"/>
                <w:b/>
                <w:sz w:val="20"/>
                <w:szCs w:val="20"/>
                <w:lang w:eastAsia="bg-BG"/>
              </w:rPr>
              <w:t>А</w:t>
            </w:r>
          </w:p>
        </w:tc>
      </w:tr>
    </w:tbl>
    <w:p w:rsidR="00B420C3" w:rsidRPr="00B420C3" w:rsidRDefault="00B420C3" w:rsidP="00B420C3">
      <w:pPr>
        <w:spacing w:after="160" w:line="240" w:lineRule="auto"/>
        <w:jc w:val="both"/>
        <w:rPr>
          <w:rFonts w:ascii="Times New Roman" w:eastAsia="Calibri" w:hAnsi="Times New Roman"/>
          <w:b/>
          <w:sz w:val="24"/>
          <w:szCs w:val="24"/>
        </w:rPr>
      </w:pPr>
    </w:p>
    <w:p w:rsidR="00B420C3" w:rsidRPr="00B420C3" w:rsidRDefault="00EC5D51" w:rsidP="00B420C3">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8. Цитирана литература</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Булгурков, К. 1958. Рибната фауна в реките на Витоша планина и околните й язовири. – Изв. на Зоолог. инст., 7: 163–194.</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Булгурков, К. 1958а. Хидроложки особености на резервата езерото Сребърна и състав на рибната му фауна. – Изв. на Зоолог. инст., 7: 251–268.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Големански, </w:t>
      </w:r>
      <w:r w:rsidR="00EC5D51">
        <w:rPr>
          <w:rFonts w:ascii="Times New Roman" w:eastAsia="Calibri" w:hAnsi="Times New Roman"/>
          <w:sz w:val="24"/>
          <w:szCs w:val="24"/>
          <w:lang w:eastAsia="x-none"/>
        </w:rPr>
        <w:t>В</w:t>
      </w:r>
      <w:r w:rsidRPr="00B420C3">
        <w:rPr>
          <w:rFonts w:ascii="Times New Roman" w:eastAsia="Calibri" w:hAnsi="Times New Roman"/>
          <w:sz w:val="24"/>
          <w:szCs w:val="24"/>
          <w:lang w:eastAsia="x-none"/>
        </w:rPr>
        <w:t>. и др. (ред.) 2011. Червена книга на Република България. Том 2. Животни. ИБЕИ - БАН &amp; МОСВ, София. Електронно издание:</w:t>
      </w:r>
      <w:r w:rsidRPr="00B420C3">
        <w:rPr>
          <w:rFonts w:ascii="Times New Roman" w:eastAsia="Calibri" w:hAnsi="Times New Roman"/>
          <w:sz w:val="24"/>
          <w:szCs w:val="24"/>
        </w:rPr>
        <w:t xml:space="preserve"> </w:t>
      </w:r>
      <w:hyperlink r:id="rId94" w:history="1">
        <w:r w:rsidRPr="00B420C3">
          <w:rPr>
            <w:rFonts w:ascii="Times New Roman" w:eastAsia="Calibri" w:hAnsi="Times New Roman"/>
            <w:color w:val="0000FF"/>
            <w:sz w:val="24"/>
            <w:szCs w:val="24"/>
            <w:u w:val="single"/>
          </w:rPr>
          <w:t>Том II - Животни (bas.bg)</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Диков, Ц., Й. Янков, С. Йочев. 1988. Състав на ихтиофауната, численост и биомаса на отделните видове в река Палакария, приток на река Искър. – Хидробиология, 33: 59–67.</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Димитров, М. 1957. Хидрологична и хидробиологична характеристика на язовир "Ал. Стамболийски". – Известия на Научноизследователския институт по рибарство и рибна промишленост – Варна, 1: 159–197.</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Дренски, П. 1921. Риби и риболовство по р. Искър. – Сведения по земеделието, 2 (9): 5–16.</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Дренски, П. 1921а. Рибната фауна на река Искър и риболовството по нея. – Естествознание и география, 6 (2/3): 49–58.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Дренски, П. 1928. Риби от семейство </w:t>
      </w:r>
      <w:r w:rsidRPr="00B420C3">
        <w:rPr>
          <w:rFonts w:ascii="Times New Roman" w:eastAsia="Calibri" w:hAnsi="Times New Roman"/>
          <w:sz w:val="24"/>
          <w:szCs w:val="24"/>
          <w:lang w:val="en-US" w:eastAsia="x-none"/>
        </w:rPr>
        <w:t>Cobitidae</w:t>
      </w:r>
      <w:r w:rsidRPr="00B420C3">
        <w:rPr>
          <w:rFonts w:ascii="Times New Roman" w:eastAsia="Calibri" w:hAnsi="Times New Roman"/>
          <w:sz w:val="24"/>
          <w:szCs w:val="24"/>
          <w:lang w:eastAsia="x-none"/>
        </w:rPr>
        <w:t xml:space="preserve"> в България. – Изв. на Ц. природ. инст., 1: 156–181.</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Дренски, П. 1948. Състав и разпространение на рибите в България. – Годишник на Софийския университет – Природо-математически факултет, 44(3): 11–71.</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Дренски, П. 1951. Рибите в България. Фауна на България </w:t>
      </w:r>
      <w:r w:rsidRPr="00B420C3">
        <w:rPr>
          <w:rFonts w:ascii="Times New Roman" w:eastAsia="Calibri" w:hAnsi="Times New Roman"/>
          <w:sz w:val="24"/>
          <w:szCs w:val="24"/>
          <w:lang w:val="en-US" w:eastAsia="x-none"/>
        </w:rPr>
        <w:t>II</w:t>
      </w:r>
      <w:r w:rsidRPr="00B420C3">
        <w:rPr>
          <w:rFonts w:ascii="Times New Roman" w:eastAsia="Calibri" w:hAnsi="Times New Roman"/>
          <w:sz w:val="24"/>
          <w:szCs w:val="24"/>
          <w:lang w:eastAsia="x-none"/>
        </w:rPr>
        <w:t>. С., БАН, 270 с.</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Живков, </w:t>
      </w:r>
      <w:r w:rsidRPr="00B420C3">
        <w:rPr>
          <w:rFonts w:ascii="Times New Roman" w:eastAsia="Calibri" w:hAnsi="Times New Roman"/>
          <w:sz w:val="24"/>
          <w:szCs w:val="24"/>
          <w:lang w:val="en-US" w:eastAsia="x-none"/>
        </w:rPr>
        <w:t>M</w:t>
      </w:r>
      <w:r w:rsidRPr="00B420C3">
        <w:rPr>
          <w:rFonts w:ascii="Times New Roman" w:eastAsia="Calibri" w:hAnsi="Times New Roman"/>
          <w:sz w:val="24"/>
          <w:szCs w:val="24"/>
          <w:lang w:eastAsia="x-none"/>
        </w:rPr>
        <w:t>.,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ИАОС. Теренни проучвания на разпространение на видове/оценка на състоянието на видове и хабитати на територията на цялата страна - I фаза. </w:t>
      </w:r>
      <w:hyperlink r:id="rId95" w:history="1">
        <w:r w:rsidRPr="00B420C3">
          <w:rPr>
            <w:rFonts w:ascii="Times New Roman" w:eastAsia="Calibri" w:hAnsi="Times New Roman"/>
            <w:color w:val="0563C1"/>
            <w:sz w:val="24"/>
            <w:szCs w:val="24"/>
            <w:u w:val="single"/>
            <w:lang w:eastAsia="x-none"/>
          </w:rPr>
          <w:t>http://eea.government.bg/bg/bio/opos/activities-results/ribi</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Информационна система за защитени зони от екологична мрежа НАТУРА 2000.</w:t>
      </w:r>
    </w:p>
    <w:p w:rsidR="00B420C3" w:rsidRPr="00B420C3" w:rsidRDefault="00DE51FF" w:rsidP="0001440D">
      <w:pPr>
        <w:spacing w:after="0" w:line="240" w:lineRule="auto"/>
        <w:ind w:left="709" w:hanging="1"/>
        <w:jc w:val="both"/>
        <w:rPr>
          <w:rFonts w:ascii="Times New Roman" w:eastAsia="Calibri" w:hAnsi="Times New Roman"/>
          <w:sz w:val="24"/>
          <w:szCs w:val="24"/>
          <w:lang w:eastAsia="x-none"/>
        </w:rPr>
      </w:pPr>
      <w:hyperlink r:id="rId96" w:history="1">
        <w:r w:rsidR="00B420C3" w:rsidRPr="00B420C3">
          <w:rPr>
            <w:rFonts w:ascii="Times New Roman" w:eastAsia="Calibri" w:hAnsi="Times New Roman"/>
            <w:color w:val="0563C1"/>
            <w:sz w:val="24"/>
            <w:szCs w:val="24"/>
            <w:u w:val="single"/>
            <w:lang w:eastAsia="x-none"/>
          </w:rPr>
          <w:t>http://natura2000.moew.government.bg/</w:t>
        </w:r>
      </w:hyperlink>
      <w:r w:rsidR="00B420C3" w:rsidRPr="00B420C3">
        <w:rPr>
          <w:rFonts w:ascii="Times New Roman" w:eastAsia="Calibri" w:hAnsi="Times New Roman"/>
          <w:sz w:val="24"/>
          <w:szCs w:val="24"/>
          <w:lang w:eastAsia="x-none"/>
        </w:rPr>
        <w:t xml:space="preserve">; </w:t>
      </w:r>
      <w:hyperlink r:id="rId97" w:history="1">
        <w:r w:rsidR="00B420C3" w:rsidRPr="00B420C3">
          <w:rPr>
            <w:rFonts w:ascii="Times New Roman" w:eastAsia="Calibri" w:hAnsi="Times New Roman"/>
            <w:color w:val="0563C1"/>
            <w:sz w:val="24"/>
            <w:szCs w:val="24"/>
            <w:u w:val="single"/>
            <w:lang w:eastAsia="x-none"/>
          </w:rPr>
          <w:t>http://natura2000.moew.government.bg/Home/Reports?reportType=Fishes</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lastRenderedPageBreak/>
        <w:t>Карапеткова, М. 1972. Ихтиофауна на р. Янтра. – Изв. на Зоолог. инст. с музей, 36: 149–182.</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1974. Ихтиофауна на р. Камчия. – Изв. на Зоолог. инст. с музей, 39: 85–98.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1994. Гръбначни животни. – В: Русев Б. (ред.), Лимнология на българските дунавски притоци, МОСВ, С., БАН, 175–186.</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Ц. Диков. 1986. Върху състава, разпространението, числеността и биомасата на ихтиофауната на р. Вит. – Хидробиология, 28: 3–14.</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М. Живков. 1995. Рибите в България. С., "Гея-Либрис", 247 с.</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Е. Унджиян 1988. Ихтиофауна на поречието Русенски Лом. – Хидробиология, 32: 44–49.</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Ковачев, В. 1923. Сладководната ихтиологична фауна на България. – Архив на Министерството на земеделието и държавните имоти, 3: 1–164.</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Маринов, Б. 1966. Върху ихтиофауната на българския участък на река Дунав. – Изв. на Зоолог. инст. с музей, 20: 139–155.</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Михайлова, Л. 1965. Върху ихтиофауната на Тракия. – В: Паспалев Г. (ред.), Фауна на Тракия. ІІ. С., БАН, 265–288.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Михайлова, Л. 1965</w:t>
      </w:r>
      <w:r w:rsidRPr="00B420C3">
        <w:rPr>
          <w:rFonts w:ascii="Times New Roman" w:eastAsia="Calibri" w:hAnsi="Times New Roman"/>
          <w:sz w:val="24"/>
          <w:szCs w:val="24"/>
          <w:lang w:val="en-US" w:eastAsia="x-none"/>
        </w:rPr>
        <w:t>a</w:t>
      </w:r>
      <w:r w:rsidRPr="00B420C3">
        <w:rPr>
          <w:rFonts w:ascii="Times New Roman" w:eastAsia="Calibri" w:hAnsi="Times New Roman"/>
          <w:sz w:val="24"/>
          <w:szCs w:val="24"/>
          <w:lang w:eastAsia="x-none"/>
        </w:rPr>
        <w:t>. Изследвания върху ихтиофауната в басейна на река Струма. – Изв. на Зоолог. инст. с музей, 19: 55–71.</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Михайлова, Л. 1970. Рибите на Западна Стара планина. – Изв. на Зоолог. инст. с музей, 31: 19–43.</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Моров, Т. 1931. Сладководните риби в България. С., "Художник", 93 с.</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Паспалев, Г., Ц. Пешев. 1955. Принос към изучаване на ихтиофауната на р. Искър. – Год. на СУ, Биолого-Геолого-Географски фак., 48(1): 1–39.</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Пешев, И. 1966. Ихтиофаунистичен обзор на река Елешница. – Известия на Народния музей – Варна, 2 (17): 179–191.</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Пешев, И. 1970. Ихтиофаунистичен обзор на някои реки в Източна България. – Известия на Народния музей – Варна, 6: 143–156.</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Проект </w:t>
      </w:r>
      <w:r w:rsidRPr="00B420C3">
        <w:rPr>
          <w:rFonts w:ascii="Times New Roman" w:eastAsia="Calibri" w:hAnsi="Times New Roman"/>
          <w:sz w:val="24"/>
          <w:szCs w:val="24"/>
          <w:lang w:val="en-US" w:eastAsia="x-none"/>
        </w:rPr>
        <w:t>DIR</w:t>
      </w:r>
      <w:r w:rsidRPr="00B420C3">
        <w:rPr>
          <w:rFonts w:ascii="Times New Roman" w:eastAsia="Calibri" w:hAnsi="Times New Roman"/>
          <w:sz w:val="24"/>
          <w:szCs w:val="24"/>
          <w:lang w:eastAsia="x-none"/>
        </w:rPr>
        <w:t xml:space="preserve">-59318-1-2 „Картиране и определяне на природозащитното състояние на природни местообитания и видове - фаза </w:t>
      </w:r>
      <w:r w:rsidRPr="00B420C3">
        <w:rPr>
          <w:rFonts w:ascii="Times New Roman" w:eastAsia="Calibri" w:hAnsi="Times New Roman"/>
          <w:sz w:val="24"/>
          <w:szCs w:val="24"/>
          <w:lang w:val="en-US" w:eastAsia="x-none"/>
        </w:rPr>
        <w:t>I</w:t>
      </w:r>
      <w:r w:rsidRPr="00B420C3">
        <w:rPr>
          <w:rFonts w:ascii="Times New Roman" w:eastAsia="Calibri" w:hAnsi="Times New Roman"/>
          <w:sz w:val="24"/>
          <w:szCs w:val="24"/>
          <w:lang w:eastAsia="x-none"/>
        </w:rPr>
        <w:t>", 2013.</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Проект </w:t>
      </w:r>
      <w:r w:rsidRPr="00B420C3">
        <w:rPr>
          <w:rFonts w:ascii="Times New Roman" w:eastAsia="Calibri" w:hAnsi="Times New Roman"/>
          <w:sz w:val="24"/>
          <w:szCs w:val="24"/>
          <w:lang w:val="en-US" w:eastAsia="x-none"/>
        </w:rPr>
        <w:t>DIR</w:t>
      </w:r>
      <w:r w:rsidRPr="00B420C3">
        <w:rPr>
          <w:rFonts w:ascii="Times New Roman" w:eastAsia="Calibri" w:hAnsi="Times New Roman"/>
          <w:sz w:val="24"/>
          <w:szCs w:val="24"/>
          <w:lang w:eastAsia="x-none"/>
        </w:rPr>
        <w:t>-5113024-1-48 "</w:t>
      </w:r>
      <w:r w:rsidRPr="00B420C3">
        <w:rPr>
          <w:rFonts w:ascii="Times New Roman" w:eastAsia="Calibri" w:hAnsi="Times New Roman"/>
          <w:sz w:val="24"/>
          <w:szCs w:val="24"/>
          <w:lang w:val="en-US" w:eastAsia="x-none"/>
        </w:rPr>
        <w:t>Te</w:t>
      </w:r>
      <w:r w:rsidRPr="00B420C3">
        <w:rPr>
          <w:rFonts w:ascii="Times New Roman" w:eastAsia="Calibri" w:hAnsi="Times New Roman"/>
          <w:sz w:val="24"/>
          <w:szCs w:val="24"/>
          <w:lang w:eastAsia="x-none"/>
        </w:rPr>
        <w:t xml:space="preserve">ренни проучвания на разпространение на видове/оценка на състоянието на видове и хабитати на територията на цялата страна - </w:t>
      </w:r>
      <w:r w:rsidRPr="00B420C3">
        <w:rPr>
          <w:rFonts w:ascii="Times New Roman" w:eastAsia="Calibri" w:hAnsi="Times New Roman"/>
          <w:sz w:val="24"/>
          <w:szCs w:val="24"/>
          <w:lang w:val="en-US" w:eastAsia="x-none"/>
        </w:rPr>
        <w:t>I</w:t>
      </w:r>
      <w:r w:rsidRPr="00B420C3">
        <w:rPr>
          <w:rFonts w:ascii="Times New Roman" w:eastAsia="Calibri" w:hAnsi="Times New Roman"/>
          <w:sz w:val="24"/>
          <w:szCs w:val="24"/>
          <w:lang w:eastAsia="x-none"/>
        </w:rPr>
        <w:t xml:space="preserve"> фаза".</w:t>
      </w:r>
    </w:p>
    <w:p w:rsidR="00B420C3" w:rsidRPr="00B420C3" w:rsidRDefault="00B420C3" w:rsidP="00EC5D51">
      <w:pPr>
        <w:spacing w:after="0" w:line="240" w:lineRule="auto"/>
        <w:ind w:left="709" w:hanging="709"/>
        <w:jc w:val="both"/>
        <w:rPr>
          <w:rFonts w:ascii="Times New Roman" w:eastAsia="Calibri" w:hAnsi="Times New Roman"/>
          <w:sz w:val="24"/>
          <w:szCs w:val="24"/>
        </w:rPr>
      </w:pPr>
      <w:r w:rsidRPr="00B420C3">
        <w:rPr>
          <w:rFonts w:ascii="Times New Roman" w:eastAsia="Calibri" w:hAnsi="Times New Roman"/>
          <w:sz w:val="24"/>
          <w:szCs w:val="24"/>
          <w:lang w:eastAsia="x-none"/>
        </w:rPr>
        <w:t>Управление на защитените зони по „Натура 2000“. Разпоредбите на член 6 от Директива 92/43/ЕИО за местообитанията.</w:t>
      </w:r>
      <w:r w:rsidRPr="00B420C3">
        <w:rPr>
          <w:rFonts w:ascii="Times New Roman" w:eastAsia="Calibri" w:hAnsi="Times New Roman"/>
          <w:sz w:val="24"/>
          <w:szCs w:val="24"/>
        </w:rPr>
        <w:t xml:space="preserve"> </w:t>
      </w:r>
    </w:p>
    <w:p w:rsidR="00B420C3" w:rsidRPr="00B420C3" w:rsidRDefault="00DE51FF" w:rsidP="00EC5D51">
      <w:pPr>
        <w:spacing w:after="0" w:line="240" w:lineRule="auto"/>
        <w:ind w:left="709" w:hanging="709"/>
        <w:jc w:val="both"/>
        <w:rPr>
          <w:rFonts w:ascii="Times New Roman" w:eastAsia="Calibri" w:hAnsi="Times New Roman"/>
          <w:sz w:val="24"/>
          <w:szCs w:val="24"/>
          <w:lang w:eastAsia="x-none"/>
        </w:rPr>
      </w:pPr>
      <w:hyperlink r:id="rId98" w:history="1">
        <w:r w:rsidR="00B420C3" w:rsidRPr="00B420C3">
          <w:rPr>
            <w:rFonts w:ascii="Times New Roman" w:eastAsia="Calibri" w:hAnsi="Times New Roman"/>
            <w:color w:val="0563C1"/>
            <w:sz w:val="24"/>
            <w:szCs w:val="24"/>
            <w:u w:val="single"/>
            <w:lang w:val="en-US" w:eastAsia="x-none"/>
          </w:rPr>
          <w:t>https</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ec</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europa</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eu</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environment</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nature</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natura</w:t>
        </w:r>
        <w:r w:rsidR="00B420C3" w:rsidRPr="00B420C3">
          <w:rPr>
            <w:rFonts w:ascii="Times New Roman" w:eastAsia="Calibri" w:hAnsi="Times New Roman"/>
            <w:color w:val="0563C1"/>
            <w:sz w:val="24"/>
            <w:szCs w:val="24"/>
            <w:u w:val="single"/>
            <w:lang w:eastAsia="x-none"/>
          </w:rPr>
          <w:t>2000/</w:t>
        </w:r>
        <w:r w:rsidR="00B420C3" w:rsidRPr="00B420C3">
          <w:rPr>
            <w:rFonts w:ascii="Times New Roman" w:eastAsia="Calibri" w:hAnsi="Times New Roman"/>
            <w:color w:val="0563C1"/>
            <w:sz w:val="24"/>
            <w:szCs w:val="24"/>
            <w:u w:val="single"/>
            <w:lang w:val="en-US" w:eastAsia="x-none"/>
          </w:rPr>
          <w:t>management</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docs</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art</w:t>
        </w:r>
        <w:r w:rsidR="00B420C3" w:rsidRPr="00B420C3">
          <w:rPr>
            <w:rFonts w:ascii="Times New Roman" w:eastAsia="Calibri" w:hAnsi="Times New Roman"/>
            <w:color w:val="0563C1"/>
            <w:sz w:val="24"/>
            <w:szCs w:val="24"/>
            <w:u w:val="single"/>
            <w:lang w:eastAsia="x-none"/>
          </w:rPr>
          <w:t>6/</w:t>
        </w:r>
        <w:r w:rsidR="00B420C3" w:rsidRPr="00B420C3">
          <w:rPr>
            <w:rFonts w:ascii="Times New Roman" w:eastAsia="Calibri" w:hAnsi="Times New Roman"/>
            <w:color w:val="0563C1"/>
            <w:sz w:val="24"/>
            <w:szCs w:val="24"/>
            <w:u w:val="single"/>
            <w:lang w:val="en-US" w:eastAsia="x-none"/>
          </w:rPr>
          <w:t>BG</w:t>
        </w:r>
        <w:r w:rsidR="00B420C3" w:rsidRPr="00B420C3">
          <w:rPr>
            <w:rFonts w:ascii="Times New Roman" w:eastAsia="Calibri" w:hAnsi="Times New Roman"/>
            <w:color w:val="0563C1"/>
            <w:sz w:val="24"/>
            <w:szCs w:val="24"/>
            <w:u w:val="single"/>
            <w:lang w:eastAsia="x-none"/>
          </w:rPr>
          <w:t>_</w:t>
        </w:r>
        <w:r w:rsidR="00B420C3" w:rsidRPr="00B420C3">
          <w:rPr>
            <w:rFonts w:ascii="Times New Roman" w:eastAsia="Calibri" w:hAnsi="Times New Roman"/>
            <w:color w:val="0563C1"/>
            <w:sz w:val="24"/>
            <w:szCs w:val="24"/>
            <w:u w:val="single"/>
            <w:lang w:val="en-US" w:eastAsia="x-none"/>
          </w:rPr>
          <w:t>art</w:t>
        </w:r>
        <w:r w:rsidR="00B420C3" w:rsidRPr="00B420C3">
          <w:rPr>
            <w:rFonts w:ascii="Times New Roman" w:eastAsia="Calibri" w:hAnsi="Times New Roman"/>
            <w:color w:val="0563C1"/>
            <w:sz w:val="24"/>
            <w:szCs w:val="24"/>
            <w:u w:val="single"/>
            <w:lang w:eastAsia="x-none"/>
          </w:rPr>
          <w:t>_6_</w:t>
        </w:r>
        <w:r w:rsidR="00B420C3" w:rsidRPr="00B420C3">
          <w:rPr>
            <w:rFonts w:ascii="Times New Roman" w:eastAsia="Calibri" w:hAnsi="Times New Roman"/>
            <w:color w:val="0563C1"/>
            <w:sz w:val="24"/>
            <w:szCs w:val="24"/>
            <w:u w:val="single"/>
            <w:lang w:val="en-US" w:eastAsia="x-none"/>
          </w:rPr>
          <w:t>guide</w:t>
        </w:r>
        <w:r w:rsidR="00B420C3" w:rsidRPr="00B420C3">
          <w:rPr>
            <w:rFonts w:ascii="Times New Roman" w:eastAsia="Calibri" w:hAnsi="Times New Roman"/>
            <w:color w:val="0563C1"/>
            <w:sz w:val="24"/>
            <w:szCs w:val="24"/>
            <w:u w:val="single"/>
            <w:lang w:eastAsia="x-none"/>
          </w:rPr>
          <w:t>_</w:t>
        </w:r>
        <w:r w:rsidR="00B420C3" w:rsidRPr="00B420C3">
          <w:rPr>
            <w:rFonts w:ascii="Times New Roman" w:eastAsia="Calibri" w:hAnsi="Times New Roman"/>
            <w:color w:val="0563C1"/>
            <w:sz w:val="24"/>
            <w:szCs w:val="24"/>
            <w:u w:val="single"/>
            <w:lang w:val="en-US" w:eastAsia="x-none"/>
          </w:rPr>
          <w:t>jun</w:t>
        </w:r>
        <w:r w:rsidR="00B420C3" w:rsidRPr="00B420C3">
          <w:rPr>
            <w:rFonts w:ascii="Times New Roman" w:eastAsia="Calibri" w:hAnsi="Times New Roman"/>
            <w:color w:val="0563C1"/>
            <w:sz w:val="24"/>
            <w:szCs w:val="24"/>
            <w:u w:val="single"/>
            <w:lang w:eastAsia="x-none"/>
          </w:rPr>
          <w:t>_2019.</w:t>
        </w:r>
        <w:r w:rsidR="00B420C3" w:rsidRPr="00B420C3">
          <w:rPr>
            <w:rFonts w:ascii="Times New Roman" w:eastAsia="Calibri" w:hAnsi="Times New Roman"/>
            <w:color w:val="0563C1"/>
            <w:sz w:val="24"/>
            <w:szCs w:val="24"/>
            <w:u w:val="single"/>
            <w:lang w:val="en-US" w:eastAsia="x-none"/>
          </w:rPr>
          <w:t>pdf</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Шишков Г. 1939. Няколко думи за риболова по р. Искър. – Рибарски преглед, 9(8): 4–7.</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Янков, Й. 1971. Виюн в басейна на Егейско море. – Природа, 3: 73-74.</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Apostolou A., L. Pehlivanov, M. Schabuss, H. Zorning 2021.</w:t>
      </w:r>
      <w:r w:rsidRPr="00B420C3">
        <w:rPr>
          <w:rFonts w:eastAsia="Calibri"/>
        </w:rPr>
        <w:t xml:space="preserve"> </w:t>
      </w:r>
      <w:r w:rsidRPr="00B420C3">
        <w:rPr>
          <w:rFonts w:ascii="Times New Roman" w:eastAsia="Calibri" w:hAnsi="Times New Roman"/>
          <w:sz w:val="24"/>
          <w:szCs w:val="24"/>
          <w:lang w:val="en-US" w:eastAsia="x-none"/>
        </w:rPr>
        <w:t>Monitoring fish in Lower Danube River main channel by applying various sampling methodologies.</w:t>
      </w:r>
      <w:r w:rsidRPr="00B420C3">
        <w:rPr>
          <w:rFonts w:eastAsia="Calibri"/>
        </w:rPr>
        <w:t xml:space="preserve"> </w:t>
      </w:r>
      <w:r w:rsidRPr="00B420C3">
        <w:rPr>
          <w:rFonts w:ascii="Times New Roman" w:eastAsia="Calibri" w:hAnsi="Times New Roman"/>
          <w:sz w:val="24"/>
          <w:szCs w:val="24"/>
          <w:lang w:val="en-US" w:eastAsia="x-none"/>
        </w:rPr>
        <w:t>Acta Zool. Bulg., 73 (2): 269-274.</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Bern Convention on the Conservation of European Wildlife and Natural Habitats.</w:t>
      </w:r>
      <w:r w:rsidRPr="00B420C3">
        <w:rPr>
          <w:rFonts w:ascii="Times New Roman" w:eastAsia="Calibri" w:hAnsi="Times New Roman"/>
          <w:sz w:val="24"/>
          <w:szCs w:val="24"/>
        </w:rPr>
        <w:t xml:space="preserve"> </w:t>
      </w:r>
      <w:hyperlink r:id="rId99" w:history="1">
        <w:r w:rsidRPr="00B420C3">
          <w:rPr>
            <w:rFonts w:ascii="Times New Roman" w:eastAsia="Calibri" w:hAnsi="Times New Roman"/>
            <w:color w:val="0563C1"/>
            <w:sz w:val="24"/>
            <w:szCs w:val="24"/>
            <w:u w:val="single"/>
            <w:lang w:val="en-US" w:eastAsia="x-none"/>
          </w:rPr>
          <w:t>https://www.coe.int/en/web/bern-convention</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val="en-US" w:eastAsia="x-none"/>
        </w:rPr>
        <w:t xml:space="preserve">Bohlen, J. 2003. Temperature and oxygen requirements of early life stages of the endangered spined loach, Cobitis taenia L. (Teleostei, Cobitidae) with implications for the management of natural populations. Archiv für Hydrobiologie. 157:195-212. </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eastAsia="x-none"/>
        </w:rPr>
        <w:t>CEN - EN 14011, 2003. Water quality - Sampling of fish with electricity. Brussels, 16 p.</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lastRenderedPageBreak/>
        <w:t>Dikov, T., J. Jankov, S. Jocev. 1994. Fish stocks in rivers of Bulgaria. – Polskie Archiwum Hydrobiologii, 41(3): 377–391.</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val="en-US" w:eastAsia="x-none"/>
        </w:rPr>
        <w:t>Froese, R., D. Pauly. Editors. 2021. FishBase. World Wide Web electronic publication. www.fishbase.org, (06/2021)</w:t>
      </w:r>
      <w:r w:rsidRPr="00B420C3">
        <w:rPr>
          <w:rFonts w:ascii="Times New Roman" w:eastAsia="Calibri" w:hAnsi="Times New Roman"/>
          <w:sz w:val="24"/>
          <w:szCs w:val="24"/>
          <w:lang w:eastAsia="x-none"/>
        </w:rPr>
        <w:t>:</w:t>
      </w:r>
      <w:r w:rsidRPr="00B420C3">
        <w:rPr>
          <w:rFonts w:ascii="Times New Roman" w:eastAsia="Calibri" w:hAnsi="Times New Roman"/>
          <w:sz w:val="24"/>
          <w:szCs w:val="24"/>
        </w:rPr>
        <w:t xml:space="preserve"> </w:t>
      </w:r>
      <w:hyperlink r:id="rId100" w:history="1">
        <w:r w:rsidRPr="00B420C3">
          <w:rPr>
            <w:rFonts w:ascii="Times New Roman" w:eastAsia="Calibri" w:hAnsi="Times New Roman"/>
            <w:color w:val="0000FF"/>
            <w:sz w:val="24"/>
            <w:szCs w:val="24"/>
            <w:u w:val="single"/>
          </w:rPr>
          <w:t>Search FishBase (mnhn.fr)</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 xml:space="preserve">IUCN 2021. The IUCN Red List of Threatened Species. Version 2021-2. </w:t>
      </w:r>
      <w:hyperlink r:id="rId101" w:history="1">
        <w:r w:rsidRPr="00B420C3">
          <w:rPr>
            <w:rFonts w:ascii="Times New Roman" w:eastAsia="Calibri" w:hAnsi="Times New Roman"/>
            <w:color w:val="0563C1"/>
            <w:sz w:val="24"/>
            <w:szCs w:val="24"/>
            <w:u w:val="single"/>
            <w:lang w:val="en-US" w:eastAsia="x-none"/>
          </w:rPr>
          <w:t>https://www.iucnredlist.org</w:t>
        </w:r>
      </w:hyperlink>
      <w:r w:rsidRPr="00B420C3">
        <w:rPr>
          <w:rFonts w:ascii="Times New Roman" w:eastAsia="Calibri" w:hAnsi="Times New Roman"/>
          <w:sz w:val="24"/>
          <w:szCs w:val="24"/>
          <w:lang w:val="en-US" w:eastAsia="x-none"/>
        </w:rPr>
        <w:t>.</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Kottelat, M., J. Freyhof, 2007. Handbook of European freshwater fishes. Publications Kottelat, Cornol and Freyhof, Berlin. 646 pp.</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Koutrakis, E., A. Sapounidis, A. Apostolou, M. Vassilev, L. Pehlivanov, P. Leontarakis, A. Tsekov, G. Sylaios,  P. Economidis 2013. An integrated ichthyofaunal survey in a heavily-modified, cross-border watershed. Journal of Biological Research. 20. 326-338.</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Michailova, L. 1967. Seltene Fischarten aus der Susswasserfauna Bulgariens. – Zeitschrift fur Fischerei und deren Hilfswissenschaften, 15(1/2): 153–160.</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Pehlivanov, L. 2000a. Ichthyofauna in the Srebarna Lake, the Danube Basin: state and significance of the management and conservation strategies of this wetland. – International Association for Danube Research, 33: 317–322.</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Sivkov, Y. 1991. Morphological characterization of the stone loach Noemacheilus barbatulus (L.) (Pisces, Cobitidae) from Bulgaria. – Acta zool. bulg., 42: 27–33.</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Sivkov, Y. 1991a. Morphological characteristics of the Danubian loach Sabanejewia bulgarica (Drensky, 1928) (Pisces, Cobitidae). – Acta zool. bulg., 42: 34–43.</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Vassilev, M., L. Pehlivanov. 2005. Checklist of Bulgarian freshwater fishes. – Acta zool. bulg., 57(2): 161–190.</w:t>
      </w:r>
    </w:p>
    <w:p w:rsidR="00B420C3" w:rsidRPr="00B420C3" w:rsidRDefault="00B420C3" w:rsidP="00B420C3">
      <w:pPr>
        <w:spacing w:after="160" w:line="240" w:lineRule="auto"/>
        <w:jc w:val="both"/>
        <w:rPr>
          <w:rFonts w:ascii="Times New Roman" w:eastAsia="Calibri" w:hAnsi="Times New Roman"/>
          <w:i/>
          <w:sz w:val="24"/>
          <w:szCs w:val="24"/>
        </w:rPr>
      </w:pPr>
    </w:p>
    <w:p w:rsidR="00B420C3" w:rsidRPr="00B420C3" w:rsidRDefault="00B420C3" w:rsidP="00B420C3">
      <w:pPr>
        <w:spacing w:after="160" w:line="240" w:lineRule="auto"/>
        <w:jc w:val="both"/>
        <w:rPr>
          <w:rFonts w:ascii="Times New Roman" w:eastAsia="Calibri" w:hAnsi="Times New Roman"/>
          <w:sz w:val="24"/>
          <w:szCs w:val="24"/>
        </w:rPr>
      </w:pPr>
      <w:r w:rsidRPr="00B420C3">
        <w:rPr>
          <w:rFonts w:ascii="Times New Roman" w:eastAsia="Calibri" w:hAnsi="Times New Roman"/>
          <w:i/>
          <w:sz w:val="24"/>
          <w:szCs w:val="24"/>
        </w:rPr>
        <w:t>Автори</w:t>
      </w:r>
      <w:r w:rsidRPr="00B420C3">
        <w:rPr>
          <w:rFonts w:ascii="Times New Roman" w:eastAsia="Calibri" w:hAnsi="Times New Roman"/>
          <w:sz w:val="24"/>
          <w:szCs w:val="24"/>
        </w:rPr>
        <w:t>:</w:t>
      </w:r>
      <w:r w:rsidRPr="00B420C3">
        <w:rPr>
          <w:rFonts w:ascii="Times New Roman" w:eastAsia="Calibri" w:hAnsi="Times New Roman"/>
          <w:b/>
          <w:sz w:val="24"/>
          <w:szCs w:val="24"/>
        </w:rPr>
        <w:t xml:space="preserve"> </w:t>
      </w:r>
      <w:r w:rsidRPr="00B420C3">
        <w:rPr>
          <w:rFonts w:ascii="Times New Roman" w:eastAsia="Calibri" w:hAnsi="Times New Roman"/>
          <w:sz w:val="24"/>
          <w:szCs w:val="24"/>
        </w:rPr>
        <w:t>Апостолос Апостолу, Лъче</w:t>
      </w:r>
      <w:r w:rsidR="003D617F">
        <w:rPr>
          <w:rFonts w:ascii="Times New Roman" w:eastAsia="Calibri" w:hAnsi="Times New Roman"/>
          <w:sz w:val="24"/>
          <w:szCs w:val="24"/>
        </w:rPr>
        <w:t>зар Пехливанов, Стефан Казаков</w:t>
      </w:r>
    </w:p>
    <w:p w:rsidR="00B420C3" w:rsidRDefault="00B420C3" w:rsidP="0070678B">
      <w:pPr>
        <w:rPr>
          <w:rFonts w:ascii="Times New Roman" w:hAnsi="Times New Roman"/>
          <w:color w:val="1F497D" w:themeColor="text2"/>
          <w:sz w:val="28"/>
          <w:szCs w:val="28"/>
        </w:rPr>
      </w:pPr>
    </w:p>
    <w:p w:rsidR="0070678B" w:rsidRDefault="00107719" w:rsidP="003774E5">
      <w:pPr>
        <w:outlineLvl w:val="1"/>
        <w:rPr>
          <w:rFonts w:ascii="Times New Roman" w:hAnsi="Times New Roman"/>
          <w:i/>
          <w:color w:val="1F497D" w:themeColor="text2"/>
          <w:sz w:val="28"/>
          <w:szCs w:val="28"/>
        </w:rPr>
      </w:pPr>
      <w:bookmarkStart w:id="44" w:name="_Toc98838547"/>
      <w:r>
        <w:rPr>
          <w:rFonts w:ascii="Times New Roman" w:hAnsi="Times New Roman"/>
          <w:color w:val="1F497D" w:themeColor="text2"/>
          <w:sz w:val="28"/>
          <w:szCs w:val="28"/>
        </w:rPr>
        <w:t xml:space="preserve">Природозащитни цели за </w:t>
      </w:r>
      <w:r w:rsidR="0070678B">
        <w:rPr>
          <w:rFonts w:ascii="Times New Roman" w:hAnsi="Times New Roman"/>
          <w:color w:val="1F497D" w:themeColor="text2"/>
          <w:sz w:val="28"/>
          <w:szCs w:val="28"/>
        </w:rPr>
        <w:t xml:space="preserve">2484 </w:t>
      </w:r>
      <w:r w:rsidR="0070678B" w:rsidRPr="00107719">
        <w:rPr>
          <w:rFonts w:ascii="Times New Roman" w:hAnsi="Times New Roman"/>
          <w:i/>
          <w:color w:val="1F497D" w:themeColor="text2"/>
          <w:sz w:val="28"/>
          <w:szCs w:val="28"/>
        </w:rPr>
        <w:t>Eudontomyzon mariae</w:t>
      </w:r>
      <w:bookmarkEnd w:id="44"/>
    </w:p>
    <w:p w:rsidR="00EC5D51" w:rsidRPr="00EC5D51" w:rsidRDefault="00EC5D51" w:rsidP="00EC5D51">
      <w:pPr>
        <w:spacing w:after="120" w:line="240" w:lineRule="auto"/>
        <w:rPr>
          <w:rFonts w:ascii="Times New Roman" w:eastAsia="Calibri" w:hAnsi="Times New Roman"/>
          <w:b/>
          <w:sz w:val="24"/>
          <w:szCs w:val="24"/>
          <w:lang w:val="en-US"/>
        </w:rPr>
      </w:pPr>
      <w:r w:rsidRPr="00EC5D51">
        <w:rPr>
          <w:rFonts w:ascii="Times New Roman" w:eastAsia="Calibri" w:hAnsi="Times New Roman"/>
          <w:b/>
          <w:sz w:val="24"/>
          <w:szCs w:val="24"/>
          <w:lang w:val="en-US"/>
        </w:rPr>
        <w:t>1. Код и наименование на вида:</w:t>
      </w:r>
      <w:r w:rsidRPr="00EC5D51">
        <w:rPr>
          <w:rFonts w:ascii="Times New Roman" w:hAnsi="Times New Roman"/>
          <w:b/>
          <w:bCs/>
          <w:color w:val="000000"/>
          <w:sz w:val="24"/>
          <w:szCs w:val="24"/>
          <w:lang w:val="en-US" w:eastAsia="bg-BG"/>
        </w:rPr>
        <w:t xml:space="preserve"> </w:t>
      </w:r>
      <w:r w:rsidRPr="003774E5">
        <w:rPr>
          <w:rFonts w:ascii="Times New Roman" w:hAnsi="Times New Roman"/>
          <w:color w:val="000000"/>
          <w:sz w:val="24"/>
          <w:szCs w:val="24"/>
          <w:lang w:val="en-US" w:eastAsia="bg-BG"/>
        </w:rPr>
        <w:t xml:space="preserve">2484 </w:t>
      </w:r>
      <w:r w:rsidRPr="003774E5">
        <w:rPr>
          <w:rFonts w:ascii="Times New Roman" w:hAnsi="Times New Roman"/>
          <w:i/>
          <w:color w:val="000000"/>
          <w:sz w:val="24"/>
          <w:szCs w:val="24"/>
          <w:lang w:val="en-US" w:eastAsia="bg-BG"/>
        </w:rPr>
        <w:t>Eudontomyzon mariae</w:t>
      </w:r>
      <w:r w:rsidRPr="003774E5">
        <w:rPr>
          <w:rFonts w:ascii="Times New Roman" w:hAnsi="Times New Roman"/>
          <w:color w:val="000000"/>
          <w:sz w:val="24"/>
          <w:szCs w:val="24"/>
          <w:lang w:val="en-US" w:eastAsia="bg-BG"/>
        </w:rPr>
        <w:t xml:space="preserve"> - Украинската минога</w:t>
      </w:r>
    </w:p>
    <w:p w:rsidR="00EC5D51" w:rsidRPr="003774E5" w:rsidRDefault="00EC5D51" w:rsidP="00EC5D51">
      <w:pPr>
        <w:spacing w:after="120" w:line="240" w:lineRule="auto"/>
        <w:jc w:val="both"/>
        <w:rPr>
          <w:rFonts w:ascii="Times New Roman" w:eastAsia="Calibri" w:hAnsi="Times New Roman"/>
          <w:b/>
          <w:sz w:val="24"/>
          <w:szCs w:val="24"/>
        </w:rPr>
      </w:pPr>
      <w:r w:rsidRPr="00EC5D51">
        <w:rPr>
          <w:rFonts w:ascii="Times New Roman" w:eastAsia="Calibri" w:hAnsi="Times New Roman"/>
          <w:b/>
          <w:sz w:val="24"/>
          <w:szCs w:val="24"/>
          <w:lang w:val="en-US"/>
        </w:rPr>
        <w:t>2. Кратка х</w:t>
      </w:r>
      <w:r w:rsidR="003774E5">
        <w:rPr>
          <w:rFonts w:ascii="Times New Roman" w:eastAsia="Calibri" w:hAnsi="Times New Roman"/>
          <w:b/>
          <w:sz w:val="24"/>
          <w:szCs w:val="24"/>
          <w:lang w:val="en-US"/>
        </w:rPr>
        <w:t>арактеристика на целевия обект</w:t>
      </w:r>
    </w:p>
    <w:p w:rsidR="00EC5D51" w:rsidRPr="00EC5D51" w:rsidRDefault="00EC5D51" w:rsidP="003774E5">
      <w:pPr>
        <w:spacing w:after="0" w:line="240" w:lineRule="auto"/>
        <w:ind w:firstLine="709"/>
        <w:jc w:val="both"/>
        <w:rPr>
          <w:rFonts w:ascii="Times New Roman" w:eastAsia="Calibri" w:hAnsi="Times New Roman"/>
          <w:sz w:val="24"/>
          <w:szCs w:val="24"/>
          <w:lang w:val="en-US"/>
        </w:rPr>
      </w:pPr>
      <w:r w:rsidRPr="00EC5D51">
        <w:rPr>
          <w:rFonts w:ascii="Times New Roman" w:eastAsia="Calibri" w:hAnsi="Times New Roman"/>
          <w:sz w:val="24"/>
          <w:szCs w:val="24"/>
          <w:lang w:val="en-US"/>
        </w:rPr>
        <w:t xml:space="preserve">В много източници единственият вид непаразитна минога, съобщаван за България, е </w:t>
      </w:r>
      <w:r w:rsidRPr="00EC5D51">
        <w:rPr>
          <w:rFonts w:ascii="Times New Roman" w:eastAsia="Calibri" w:hAnsi="Times New Roman"/>
          <w:i/>
          <w:sz w:val="24"/>
          <w:szCs w:val="24"/>
          <w:lang w:val="en-US"/>
        </w:rPr>
        <w:t>Lampetra planeri</w:t>
      </w:r>
      <w:r w:rsidRPr="00EC5D51">
        <w:rPr>
          <w:rFonts w:ascii="Times New Roman" w:eastAsia="Calibri" w:hAnsi="Times New Roman"/>
          <w:sz w:val="24"/>
          <w:szCs w:val="24"/>
          <w:lang w:val="en-US"/>
        </w:rPr>
        <w:t xml:space="preserve">. Този вид обаче се среща само във водите на Западна Европа и индивидите, определяни като </w:t>
      </w:r>
      <w:r w:rsidRPr="00EC5D51">
        <w:rPr>
          <w:rFonts w:ascii="Times New Roman" w:eastAsia="Calibri" w:hAnsi="Times New Roman"/>
          <w:i/>
          <w:sz w:val="24"/>
          <w:szCs w:val="24"/>
          <w:lang w:val="en-US"/>
        </w:rPr>
        <w:t>L. planeri</w:t>
      </w:r>
      <w:r w:rsidRPr="00EC5D51">
        <w:rPr>
          <w:rFonts w:ascii="Times New Roman" w:eastAsia="Calibri" w:hAnsi="Times New Roman"/>
          <w:sz w:val="24"/>
          <w:szCs w:val="24"/>
          <w:lang w:val="en-US"/>
        </w:rPr>
        <w:t xml:space="preserve"> от България, трябва да се отнасят към </w:t>
      </w:r>
      <w:r w:rsidRPr="0001440D">
        <w:rPr>
          <w:rFonts w:ascii="Times New Roman" w:eastAsia="Calibri" w:hAnsi="Times New Roman"/>
          <w:i/>
          <w:sz w:val="24"/>
          <w:szCs w:val="24"/>
          <w:lang w:val="en-US"/>
        </w:rPr>
        <w:t>Eudontomyzon mariae</w:t>
      </w:r>
      <w:r w:rsidRPr="00EC5D51">
        <w:rPr>
          <w:rFonts w:ascii="Times New Roman" w:eastAsia="Calibri" w:hAnsi="Times New Roman"/>
          <w:sz w:val="24"/>
          <w:szCs w:val="24"/>
          <w:lang w:val="en-US"/>
        </w:rPr>
        <w:t xml:space="preserve">. Други автори съобщават за българския сектор на р. Дунав и за някои от притоците й паразитния вид </w:t>
      </w:r>
      <w:r w:rsidRPr="0001440D">
        <w:rPr>
          <w:rFonts w:ascii="Times New Roman" w:eastAsia="Calibri" w:hAnsi="Times New Roman"/>
          <w:i/>
          <w:sz w:val="24"/>
          <w:szCs w:val="24"/>
          <w:lang w:val="en-US"/>
        </w:rPr>
        <w:t>E. danfordi</w:t>
      </w:r>
      <w:r w:rsidRPr="00EC5D51">
        <w:rPr>
          <w:rFonts w:ascii="Times New Roman" w:eastAsia="Calibri" w:hAnsi="Times New Roman"/>
          <w:sz w:val="24"/>
          <w:szCs w:val="24"/>
          <w:lang w:val="en-US"/>
        </w:rPr>
        <w:t xml:space="preserve">. Неговото разпространение обаче е ограничено само в басейните на реките Тиса и Тимиш. Според последните изследвания, обхващащи ревизия на всички колекционирани екземпляри, в долното течение на р. Дунав, включително и в България, се среща само </w:t>
      </w:r>
      <w:r w:rsidRPr="00EC5D51">
        <w:rPr>
          <w:rFonts w:ascii="Times New Roman" w:eastAsia="Calibri" w:hAnsi="Times New Roman"/>
          <w:i/>
          <w:sz w:val="24"/>
          <w:szCs w:val="24"/>
          <w:lang w:val="en-US"/>
        </w:rPr>
        <w:t>E. mariae</w:t>
      </w:r>
      <w:r w:rsidRPr="00EC5D51">
        <w:rPr>
          <w:rFonts w:ascii="Times New Roman" w:eastAsia="Calibri" w:hAnsi="Times New Roman"/>
          <w:sz w:val="24"/>
          <w:szCs w:val="24"/>
          <w:lang w:val="en-US"/>
        </w:rPr>
        <w:t xml:space="preserve">. През първата половина на миналия век видът e съобщаван за някои от дунавските притоци – Вит, Осъм, Искър и Миндевската река (приток на Янтра), както и в самата р. Дунав при Лом, Оряхово, Сомовит и Русе (в повечето източници видът е публикуван като </w:t>
      </w:r>
      <w:r w:rsidRPr="00EC5D51">
        <w:rPr>
          <w:rFonts w:ascii="Times New Roman" w:eastAsia="Calibri" w:hAnsi="Times New Roman"/>
          <w:i/>
          <w:sz w:val="24"/>
          <w:szCs w:val="24"/>
          <w:lang w:val="en-US"/>
        </w:rPr>
        <w:t xml:space="preserve">E. danfordi </w:t>
      </w:r>
      <w:r w:rsidRPr="00EC5D51">
        <w:rPr>
          <w:rFonts w:ascii="Times New Roman" w:eastAsia="Calibri" w:hAnsi="Times New Roman"/>
          <w:sz w:val="24"/>
          <w:szCs w:val="24"/>
          <w:lang w:val="en-US"/>
        </w:rPr>
        <w:t xml:space="preserve">или </w:t>
      </w:r>
      <w:r w:rsidRPr="00EC5D51">
        <w:rPr>
          <w:rFonts w:ascii="Times New Roman" w:eastAsia="Calibri" w:hAnsi="Times New Roman"/>
          <w:i/>
          <w:sz w:val="24"/>
          <w:szCs w:val="24"/>
          <w:lang w:val="en-US"/>
        </w:rPr>
        <w:t>L. planeri</w:t>
      </w:r>
      <w:r w:rsidRPr="00EC5D51">
        <w:rPr>
          <w:rFonts w:ascii="Times New Roman" w:eastAsia="Calibri" w:hAnsi="Times New Roman"/>
          <w:sz w:val="24"/>
          <w:szCs w:val="24"/>
          <w:lang w:val="en-US"/>
        </w:rPr>
        <w:t xml:space="preserve">. Има данни, че е обитавал и реките Златна Панега и Русенски Лом. След като дълго време е считан за изчезнал от българската ихтиофауна, през последните години отново има съобщения за намирането на единични екземпляри (основно в ларвен стадий) в българския сектор на реката – при Русе, Тутракан, както и при Силистра и Белене. Размножава се от края на април до средата на май. Непаразитен вид. В ларвен стадий прекарва между 4–6 години, като в този период се храни с детрит и </w:t>
      </w:r>
      <w:r w:rsidRPr="00EC5D51">
        <w:rPr>
          <w:rFonts w:ascii="Times New Roman" w:eastAsia="Calibri" w:hAnsi="Times New Roman"/>
          <w:sz w:val="24"/>
          <w:szCs w:val="24"/>
          <w:lang w:val="en-US"/>
        </w:rPr>
        <w:lastRenderedPageBreak/>
        <w:t>фитопланктон (главно диатомови водорасли). След метаморфозата възрастните индивиди престават да се хранят. През размножителния период извършва локални миграции към по-горните участъци на реките, с бистра и чиста вода, бързо течение, пясъчно и чакълесто дъно. Малко след размножаването възрастните индивиди умират. Максималната продължителност на живота е между 4,8 и 7,2 години. Няма данни за неговото размножаване в страната през последните повече от 50 години.</w:t>
      </w:r>
    </w:p>
    <w:p w:rsidR="00EC5D51" w:rsidRPr="00EC5D51" w:rsidRDefault="00EC5D51" w:rsidP="003774E5">
      <w:pPr>
        <w:spacing w:after="0" w:line="240" w:lineRule="auto"/>
        <w:ind w:firstLine="709"/>
        <w:jc w:val="both"/>
        <w:rPr>
          <w:rFonts w:ascii="Times New Roman" w:eastAsia="Calibri" w:hAnsi="Times New Roman"/>
          <w:sz w:val="24"/>
          <w:szCs w:val="24"/>
          <w:lang w:val="en-US"/>
        </w:rPr>
      </w:pPr>
      <w:r w:rsidRPr="0001440D">
        <w:rPr>
          <w:rFonts w:ascii="Times New Roman" w:eastAsia="Calibri" w:hAnsi="Times New Roman"/>
          <w:i/>
          <w:iCs/>
          <w:sz w:val="24"/>
          <w:szCs w:val="24"/>
          <w:lang w:val="en-US"/>
        </w:rPr>
        <w:t>Характеристики на местообитанието в България</w:t>
      </w:r>
      <w:r w:rsidR="0001440D">
        <w:rPr>
          <w:rFonts w:ascii="Times New Roman" w:eastAsia="Calibri" w:hAnsi="Times New Roman"/>
          <w:sz w:val="24"/>
          <w:szCs w:val="24"/>
        </w:rPr>
        <w:t xml:space="preserve">. </w:t>
      </w:r>
      <w:r w:rsidRPr="00EC5D51">
        <w:rPr>
          <w:rFonts w:ascii="Times New Roman" w:eastAsia="Calibri" w:hAnsi="Times New Roman"/>
          <w:sz w:val="24"/>
          <w:szCs w:val="24"/>
          <w:lang w:val="en-US"/>
        </w:rPr>
        <w:t>Представлява бентосен псамофилен вид. През ла</w:t>
      </w:r>
      <w:r w:rsidR="0001440D">
        <w:rPr>
          <w:rFonts w:ascii="Times New Roman" w:eastAsia="Calibri" w:hAnsi="Times New Roman"/>
          <w:sz w:val="24"/>
          <w:szCs w:val="24"/>
        </w:rPr>
        <w:t>р</w:t>
      </w:r>
      <w:r w:rsidRPr="00EC5D51">
        <w:rPr>
          <w:rFonts w:ascii="Times New Roman" w:eastAsia="Calibri" w:hAnsi="Times New Roman"/>
          <w:sz w:val="24"/>
          <w:szCs w:val="24"/>
          <w:lang w:val="en-US"/>
        </w:rPr>
        <w:t xml:space="preserve">вния период живее заровен в субстрата. В България актуалното разпространение на вида е ограничено само в р. Дунав и най-долните течения на някои притоци, където е местообитанието на ларвите – </w:t>
      </w:r>
      <w:r w:rsidR="0001440D">
        <w:rPr>
          <w:rFonts w:ascii="Times New Roman" w:eastAsia="Calibri" w:hAnsi="Times New Roman"/>
          <w:sz w:val="24"/>
          <w:szCs w:val="24"/>
          <w:lang w:val="en-US"/>
        </w:rPr>
        <w:t>в тихи крайбрежни участъци с фи</w:t>
      </w:r>
      <w:r w:rsidRPr="00EC5D51">
        <w:rPr>
          <w:rFonts w:ascii="Times New Roman" w:eastAsia="Calibri" w:hAnsi="Times New Roman"/>
          <w:sz w:val="24"/>
          <w:szCs w:val="24"/>
          <w:lang w:val="en-US"/>
        </w:rPr>
        <w:t>но структурирано дъно. През размножителния период видът извършва локални миграции към по-горните участъци на реките, с бързо течение и чакълесто дъно.</w:t>
      </w:r>
    </w:p>
    <w:p w:rsidR="00EC5D51" w:rsidRPr="00EC5D51" w:rsidRDefault="00EC5D51" w:rsidP="00EC5D51">
      <w:pPr>
        <w:spacing w:after="0" w:line="240" w:lineRule="auto"/>
        <w:jc w:val="both"/>
        <w:rPr>
          <w:rFonts w:ascii="Times New Roman" w:eastAsia="Calibri" w:hAnsi="Times New Roman"/>
          <w:sz w:val="24"/>
          <w:szCs w:val="24"/>
          <w:lang w:val="en-US"/>
        </w:rPr>
      </w:pPr>
    </w:p>
    <w:p w:rsidR="003774E5" w:rsidRPr="003774E5" w:rsidRDefault="003774E5" w:rsidP="003774E5">
      <w:pPr>
        <w:spacing w:after="0" w:line="240" w:lineRule="auto"/>
        <w:jc w:val="both"/>
        <w:rPr>
          <w:rFonts w:ascii="Times New Roman" w:eastAsia="Calibri" w:hAnsi="Times New Roman"/>
          <w:b/>
          <w:sz w:val="24"/>
          <w:szCs w:val="24"/>
        </w:rPr>
      </w:pPr>
      <w:r>
        <w:rPr>
          <w:rFonts w:ascii="Times New Roman" w:eastAsia="Calibri" w:hAnsi="Times New Roman"/>
          <w:b/>
          <w:sz w:val="24"/>
          <w:szCs w:val="24"/>
        </w:rPr>
        <w:t>2.</w:t>
      </w:r>
      <w:r w:rsidR="00EC5D51" w:rsidRPr="003774E5">
        <w:rPr>
          <w:rFonts w:ascii="Times New Roman" w:eastAsia="Calibri" w:hAnsi="Times New Roman"/>
          <w:b/>
          <w:sz w:val="24"/>
          <w:szCs w:val="24"/>
          <w:lang w:val="en-US"/>
        </w:rPr>
        <w:t xml:space="preserve">Състояние на биогеографско ниво и разпространение в мрежата </w:t>
      </w:r>
    </w:p>
    <w:p w:rsidR="00EC5D51" w:rsidRPr="003774E5" w:rsidRDefault="00EC5D51" w:rsidP="003774E5">
      <w:pPr>
        <w:spacing w:after="0" w:line="240" w:lineRule="auto"/>
        <w:ind w:firstLine="709"/>
        <w:jc w:val="both"/>
        <w:rPr>
          <w:rFonts w:ascii="Times New Roman" w:eastAsia="Calibri" w:hAnsi="Times New Roman"/>
          <w:sz w:val="24"/>
          <w:szCs w:val="24"/>
          <w:lang w:val="en-US"/>
        </w:rPr>
      </w:pPr>
      <w:r w:rsidRPr="003774E5">
        <w:rPr>
          <w:rFonts w:ascii="Times New Roman" w:eastAsia="Calibri" w:hAnsi="Times New Roman"/>
          <w:sz w:val="24"/>
          <w:szCs w:val="24"/>
          <w:lang w:val="en-US"/>
        </w:rPr>
        <w:t>При двете проучвания предмет на докладване съгласно чл. 17 от Директивата за местообитанията (92/43/ЕИО) видът е оценен по различе</w:t>
      </w:r>
      <w:r w:rsidR="003774E5">
        <w:rPr>
          <w:rFonts w:ascii="Times New Roman" w:eastAsia="Calibri" w:hAnsi="Times New Roman"/>
          <w:sz w:val="24"/>
          <w:szCs w:val="24"/>
          <w:lang w:val="en-US"/>
        </w:rPr>
        <w:t xml:space="preserve">н начин по всички показатели в </w:t>
      </w:r>
      <w:r w:rsidR="003774E5">
        <w:rPr>
          <w:rFonts w:ascii="Times New Roman" w:eastAsia="Calibri" w:hAnsi="Times New Roman"/>
          <w:sz w:val="24"/>
          <w:szCs w:val="24"/>
        </w:rPr>
        <w:t>К</w:t>
      </w:r>
      <w:r w:rsidRPr="003774E5">
        <w:rPr>
          <w:rFonts w:ascii="Times New Roman" w:eastAsia="Calibri" w:hAnsi="Times New Roman"/>
          <w:sz w:val="24"/>
          <w:szCs w:val="24"/>
          <w:lang w:val="en-US"/>
        </w:rPr>
        <w:t xml:space="preserve">онтиненталния биогеографски </w:t>
      </w:r>
      <w:r w:rsidR="003774E5">
        <w:rPr>
          <w:rFonts w:ascii="Times New Roman" w:eastAsia="Calibri" w:hAnsi="Times New Roman"/>
          <w:sz w:val="24"/>
          <w:szCs w:val="24"/>
        </w:rPr>
        <w:t>регион</w:t>
      </w:r>
      <w:r w:rsidRPr="003774E5">
        <w:rPr>
          <w:rFonts w:ascii="Times New Roman" w:eastAsia="Calibri" w:hAnsi="Times New Roman"/>
          <w:sz w:val="24"/>
          <w:szCs w:val="24"/>
          <w:lang w:val="en-US"/>
        </w:rPr>
        <w:t xml:space="preserve">. Оценката според доклада от 2013 г. е неблагоприятно-незадоволително състояние. През 2019 г. е докладван „с недостатъчно данни“, като само параметър „местообитание“ е в благоприятно състояние. </w:t>
      </w:r>
    </w:p>
    <w:p w:rsidR="00EC5D51" w:rsidRPr="00EC5D51" w:rsidRDefault="00EC5D51" w:rsidP="00EC5D51">
      <w:pPr>
        <w:spacing w:after="0" w:line="240" w:lineRule="auto"/>
        <w:jc w:val="both"/>
        <w:rPr>
          <w:rFonts w:ascii="Times New Roman" w:eastAsia="Calibri" w:hAnsi="Times New Roman"/>
          <w:color w:val="0000FF"/>
          <w:sz w:val="24"/>
          <w:szCs w:val="24"/>
          <w:u w:val="single"/>
          <w:lang w:val="en-US"/>
        </w:rPr>
      </w:pPr>
      <w:r w:rsidRPr="003774E5">
        <w:rPr>
          <w:rFonts w:ascii="Times New Roman" w:eastAsia="Calibri" w:hAnsi="Times New Roman"/>
          <w:sz w:val="24"/>
          <w:szCs w:val="24"/>
          <w:lang w:val="en-US"/>
        </w:rPr>
        <w:t>Източник на информацията</w:t>
      </w:r>
      <w:r w:rsidRPr="00EC5D51">
        <w:rPr>
          <w:rFonts w:ascii="Times New Roman" w:eastAsia="Calibri" w:hAnsi="Times New Roman"/>
          <w:color w:val="0000FF"/>
          <w:sz w:val="24"/>
          <w:szCs w:val="24"/>
          <w:u w:val="single"/>
          <w:lang w:val="en-US"/>
        </w:rPr>
        <w:t xml:space="preserve">: </w:t>
      </w:r>
      <w:hyperlink r:id="rId102" w:history="1">
        <w:r w:rsidRPr="00EC5D51">
          <w:rPr>
            <w:rFonts w:ascii="Times New Roman" w:eastAsia="Calibri" w:hAnsi="Times New Roman"/>
            <w:color w:val="0000FF"/>
            <w:sz w:val="24"/>
            <w:szCs w:val="24"/>
            <w:u w:val="single"/>
            <w:lang w:val="en-US"/>
          </w:rPr>
          <w:t>https://nature-art17.eionet.europa.eu/article17/species/report/</w:t>
        </w:r>
      </w:hyperlink>
    </w:p>
    <w:p w:rsidR="00EC5D51" w:rsidRPr="00EC5D51" w:rsidRDefault="00EC5D51" w:rsidP="00EC5D51">
      <w:pPr>
        <w:spacing w:before="120" w:after="0" w:line="240" w:lineRule="auto"/>
        <w:jc w:val="both"/>
        <w:rPr>
          <w:rFonts w:ascii="Times New Roman" w:eastAsia="Calibri" w:hAnsi="Times New Roman"/>
          <w:sz w:val="24"/>
          <w:szCs w:val="24"/>
          <w:lang w:val="en-US"/>
        </w:rPr>
      </w:pPr>
      <w:r w:rsidRPr="00EC5D51">
        <w:rPr>
          <w:rFonts w:ascii="Times New Roman" w:eastAsia="Calibri" w:hAnsi="Times New Roman"/>
          <w:sz w:val="24"/>
          <w:szCs w:val="24"/>
          <w:lang w:val="en-US"/>
        </w:rPr>
        <w:t xml:space="preserve">Основните заплахи за вида могат да бъдат резюмирани до следните негативни фактори: </w:t>
      </w:r>
    </w:p>
    <w:p w:rsidR="00EC5D51" w:rsidRPr="00EC5D51" w:rsidRDefault="00EC5D51" w:rsidP="00EC5D51">
      <w:pPr>
        <w:spacing w:after="0" w:line="240" w:lineRule="auto"/>
        <w:jc w:val="both"/>
        <w:rPr>
          <w:rFonts w:ascii="Times New Roman" w:eastAsia="Calibri" w:hAnsi="Times New Roman"/>
          <w:sz w:val="24"/>
          <w:szCs w:val="24"/>
          <w:lang w:val="en-US"/>
        </w:rPr>
      </w:pPr>
      <w:r w:rsidRPr="00EC5D51">
        <w:rPr>
          <w:rFonts w:ascii="Times New Roman" w:eastAsia="Calibri" w:hAnsi="Times New Roman"/>
          <w:sz w:val="24"/>
          <w:szCs w:val="24"/>
          <w:lang w:val="en-US"/>
        </w:rPr>
        <w:t>Пряко въздействащи негативни антропогенни фактори.</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Разрушаване на местообитанията и прекъсване на биокоридорите: добив на инертни материали, корекции на реки, преграждане на реките.</w:t>
      </w:r>
    </w:p>
    <w:p w:rsidR="00EC5D51" w:rsidRPr="00EC5D51" w:rsidRDefault="00EC5D51" w:rsidP="00635999">
      <w:pPr>
        <w:numPr>
          <w:ilvl w:val="0"/>
          <w:numId w:val="10"/>
        </w:numPr>
        <w:spacing w:after="0" w:line="240" w:lineRule="auto"/>
        <w:contextualSpacing/>
        <w:jc w:val="both"/>
        <w:rPr>
          <w:rFonts w:ascii="Times New Roman" w:eastAsia="Calibri" w:hAnsi="Times New Roman"/>
          <w:color w:val="0000FF"/>
          <w:sz w:val="24"/>
          <w:szCs w:val="24"/>
          <w:u w:val="single"/>
        </w:rPr>
      </w:pPr>
      <w:r w:rsidRPr="00EC5D51">
        <w:rPr>
          <w:rFonts w:ascii="Times New Roman" w:eastAsia="Calibri" w:hAnsi="Times New Roman"/>
          <w:sz w:val="24"/>
          <w:szCs w:val="24"/>
        </w:rPr>
        <w:t>Замърсяване на водите.</w:t>
      </w:r>
      <w:r w:rsidRPr="00EC5D51">
        <w:rPr>
          <w:rFonts w:ascii="Times New Roman" w:eastAsia="Calibri" w:hAnsi="Times New Roman"/>
          <w:sz w:val="24"/>
          <w:szCs w:val="24"/>
          <w:u w:val="single"/>
        </w:rPr>
        <w:t xml:space="preserve"> </w:t>
      </w:r>
    </w:p>
    <w:p w:rsidR="00EC5D51" w:rsidRPr="00EC5D51" w:rsidRDefault="00EC5D51" w:rsidP="00EC5D51">
      <w:pPr>
        <w:spacing w:after="0" w:line="240" w:lineRule="auto"/>
        <w:jc w:val="both"/>
        <w:rPr>
          <w:rFonts w:ascii="Times New Roman" w:eastAsia="Calibri" w:hAnsi="Times New Roman"/>
          <w:b/>
          <w:sz w:val="24"/>
          <w:szCs w:val="24"/>
          <w:lang w:val="en-US"/>
        </w:rPr>
      </w:pPr>
    </w:p>
    <w:p w:rsidR="00EC5D51" w:rsidRPr="00EC5D51" w:rsidRDefault="00EC5D51" w:rsidP="00EC5D51">
      <w:pPr>
        <w:spacing w:after="0" w:line="240" w:lineRule="auto"/>
        <w:jc w:val="both"/>
        <w:rPr>
          <w:rFonts w:ascii="Times New Roman" w:eastAsia="Calibri" w:hAnsi="Times New Roman"/>
          <w:b/>
          <w:sz w:val="24"/>
          <w:szCs w:val="24"/>
          <w:lang w:val="en-US"/>
        </w:rPr>
      </w:pPr>
      <w:r w:rsidRPr="00EC5D51">
        <w:rPr>
          <w:rFonts w:ascii="Times New Roman" w:eastAsia="Calibri" w:hAnsi="Times New Roman"/>
          <w:b/>
          <w:sz w:val="24"/>
          <w:szCs w:val="24"/>
          <w:lang w:val="en-US"/>
        </w:rPr>
        <w:t xml:space="preserve">4. Състояние на ниво защитена зона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44"/>
        <w:gridCol w:w="610"/>
        <w:gridCol w:w="1175"/>
        <w:gridCol w:w="271"/>
        <w:gridCol w:w="564"/>
        <w:gridCol w:w="321"/>
        <w:gridCol w:w="656"/>
        <w:gridCol w:w="713"/>
        <w:gridCol w:w="551"/>
        <w:gridCol w:w="539"/>
        <w:gridCol w:w="987"/>
        <w:gridCol w:w="826"/>
        <w:gridCol w:w="574"/>
        <w:gridCol w:w="489"/>
        <w:gridCol w:w="724"/>
      </w:tblGrid>
      <w:tr w:rsidR="00EC5D51" w:rsidRPr="00EC5D51" w:rsidTr="003774E5">
        <w:trPr>
          <w:tblCellSpacing w:w="15" w:type="dxa"/>
        </w:trPr>
        <w:tc>
          <w:tcPr>
            <w:tcW w:w="1560"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bookmarkStart w:id="45" w:name="_Hlk88856972"/>
            <w:r w:rsidRPr="00EC5D51">
              <w:rPr>
                <w:rFonts w:ascii="Times New Roman" w:eastAsia="Calibri" w:hAnsi="Times New Roman"/>
                <w:b/>
                <w:bCs/>
                <w:sz w:val="16"/>
                <w:szCs w:val="16"/>
                <w:lang w:val="en-US"/>
              </w:rPr>
              <w:t xml:space="preserve">Species </w:t>
            </w:r>
          </w:p>
        </w:tc>
        <w:tc>
          <w:tcPr>
            <w:tcW w:w="1996"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Population in the site </w:t>
            </w:r>
          </w:p>
        </w:tc>
        <w:tc>
          <w:tcPr>
            <w:tcW w:w="1380"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Site assessment </w:t>
            </w:r>
          </w:p>
        </w:tc>
      </w:tr>
      <w:tr w:rsidR="00EC5D51" w:rsidRPr="00EC5D51" w:rsidTr="003774E5">
        <w:trPr>
          <w:tblCellSpacing w:w="15" w:type="dxa"/>
        </w:trPr>
        <w:tc>
          <w:tcPr>
            <w:tcW w:w="167"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G </w:t>
            </w:r>
          </w:p>
        </w:tc>
        <w:tc>
          <w:tcPr>
            <w:tcW w:w="324"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Code </w:t>
            </w:r>
          </w:p>
        </w:tc>
        <w:tc>
          <w:tcPr>
            <w:tcW w:w="638"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Scientific Name </w:t>
            </w:r>
          </w:p>
        </w:tc>
        <w:tc>
          <w:tcPr>
            <w:tcW w:w="134"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 </w:t>
            </w:r>
          </w:p>
        </w:tc>
        <w:tc>
          <w:tcPr>
            <w:tcW w:w="233"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NP </w:t>
            </w:r>
          </w:p>
        </w:tc>
        <w:tc>
          <w:tcPr>
            <w:tcW w:w="162"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T </w:t>
            </w:r>
          </w:p>
        </w:tc>
        <w:tc>
          <w:tcPr>
            <w:tcW w:w="728" w:type="pct"/>
            <w:gridSpan w:val="2"/>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Size </w:t>
            </w:r>
          </w:p>
        </w:tc>
        <w:tc>
          <w:tcPr>
            <w:tcW w:w="29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Unit </w:t>
            </w:r>
          </w:p>
        </w:tc>
        <w:tc>
          <w:tcPr>
            <w:tcW w:w="28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Cat. </w:t>
            </w:r>
          </w:p>
        </w:tc>
        <w:tc>
          <w:tcPr>
            <w:tcW w:w="46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D.qual. </w:t>
            </w:r>
          </w:p>
        </w:tc>
        <w:tc>
          <w:tcPr>
            <w:tcW w:w="44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A|B|C|D </w:t>
            </w:r>
          </w:p>
        </w:tc>
        <w:tc>
          <w:tcPr>
            <w:tcW w:w="921"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A|B|C </w:t>
            </w:r>
          </w:p>
        </w:tc>
      </w:tr>
      <w:tr w:rsidR="00EC5D51" w:rsidRPr="00EC5D51" w:rsidTr="003774E5">
        <w:trPr>
          <w:tblCellSpacing w:w="15" w:type="dxa"/>
        </w:trPr>
        <w:tc>
          <w:tcPr>
            <w:tcW w:w="16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32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63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13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2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16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3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Min</w:t>
            </w:r>
          </w:p>
        </w:tc>
        <w:tc>
          <w:tcPr>
            <w:tcW w:w="36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Max</w:t>
            </w:r>
          </w:p>
        </w:tc>
        <w:tc>
          <w:tcPr>
            <w:tcW w:w="29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28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p>
        </w:tc>
        <w:tc>
          <w:tcPr>
            <w:tcW w:w="46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44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Pop.</w:t>
            </w:r>
          </w:p>
        </w:tc>
        <w:tc>
          <w:tcPr>
            <w:tcW w:w="30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Con.</w:t>
            </w:r>
          </w:p>
        </w:tc>
        <w:tc>
          <w:tcPr>
            <w:tcW w:w="25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Iso.</w:t>
            </w:r>
          </w:p>
        </w:tc>
        <w:tc>
          <w:tcPr>
            <w:tcW w:w="32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Glo.</w:t>
            </w:r>
          </w:p>
        </w:tc>
      </w:tr>
      <w:tr w:rsidR="00EC5D51" w:rsidRPr="00EC5D51" w:rsidTr="00EC5D51">
        <w:trPr>
          <w:tblCellSpacing w:w="15" w:type="dxa"/>
        </w:trPr>
        <w:tc>
          <w:tcPr>
            <w:tcW w:w="1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F</w:t>
            </w:r>
          </w:p>
        </w:tc>
        <w:tc>
          <w:tcPr>
            <w:tcW w:w="32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2484</w:t>
            </w:r>
          </w:p>
        </w:tc>
        <w:tc>
          <w:tcPr>
            <w:tcW w:w="63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i/>
                <w:sz w:val="16"/>
                <w:szCs w:val="16"/>
                <w:lang w:val="en-US"/>
              </w:rPr>
            </w:pPr>
            <w:r w:rsidRPr="00EC5D51">
              <w:rPr>
                <w:rFonts w:ascii="Times New Roman" w:eastAsia="Calibri" w:hAnsi="Times New Roman"/>
                <w:b/>
                <w:bCs/>
                <w:i/>
                <w:sz w:val="16"/>
                <w:szCs w:val="16"/>
                <w:lang w:val="en-US"/>
              </w:rPr>
              <w:t>Eudontomyzon mariae</w:t>
            </w:r>
          </w:p>
        </w:tc>
        <w:tc>
          <w:tcPr>
            <w:tcW w:w="13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p>
        </w:tc>
        <w:tc>
          <w:tcPr>
            <w:tcW w:w="23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p>
        </w:tc>
        <w:tc>
          <w:tcPr>
            <w:tcW w:w="16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Р</w:t>
            </w:r>
          </w:p>
        </w:tc>
        <w:tc>
          <w:tcPr>
            <w:tcW w:w="34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rPr>
            </w:pPr>
            <w:r w:rsidRPr="00EC5D51">
              <w:rPr>
                <w:rFonts w:ascii="Times New Roman" w:eastAsia="Calibri" w:hAnsi="Times New Roman"/>
                <w:b/>
                <w:bCs/>
                <w:sz w:val="16"/>
                <w:szCs w:val="16"/>
              </w:rPr>
              <w:t>6683</w:t>
            </w:r>
          </w:p>
        </w:tc>
        <w:tc>
          <w:tcPr>
            <w:tcW w:w="36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rPr>
            </w:pPr>
            <w:r w:rsidRPr="00EC5D51">
              <w:rPr>
                <w:rFonts w:ascii="Times New Roman" w:eastAsia="Calibri" w:hAnsi="Times New Roman"/>
                <w:b/>
                <w:bCs/>
                <w:sz w:val="16"/>
                <w:szCs w:val="16"/>
              </w:rPr>
              <w:t>6683</w:t>
            </w:r>
          </w:p>
        </w:tc>
        <w:tc>
          <w:tcPr>
            <w:tcW w:w="29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i</w:t>
            </w:r>
          </w:p>
        </w:tc>
        <w:tc>
          <w:tcPr>
            <w:tcW w:w="28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w:t>
            </w:r>
          </w:p>
        </w:tc>
        <w:tc>
          <w:tcPr>
            <w:tcW w:w="4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G</w:t>
            </w:r>
          </w:p>
        </w:tc>
        <w:tc>
          <w:tcPr>
            <w:tcW w:w="44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C</w:t>
            </w:r>
          </w:p>
        </w:tc>
        <w:tc>
          <w:tcPr>
            <w:tcW w:w="30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A</w:t>
            </w:r>
          </w:p>
        </w:tc>
        <w:tc>
          <w:tcPr>
            <w:tcW w:w="25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A</w:t>
            </w:r>
          </w:p>
        </w:tc>
        <w:tc>
          <w:tcPr>
            <w:tcW w:w="32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A</w:t>
            </w:r>
          </w:p>
        </w:tc>
      </w:tr>
      <w:bookmarkEnd w:id="45"/>
    </w:tbl>
    <w:p w:rsidR="00EC5D51" w:rsidRPr="00EC5D51" w:rsidRDefault="00EC5D51" w:rsidP="00EC5D51">
      <w:pPr>
        <w:autoSpaceDE w:val="0"/>
        <w:autoSpaceDN w:val="0"/>
        <w:adjustRightInd w:val="0"/>
        <w:spacing w:after="0" w:line="240" w:lineRule="auto"/>
        <w:jc w:val="both"/>
        <w:rPr>
          <w:rFonts w:ascii="Times New Roman" w:eastAsia="Calibri" w:hAnsi="Times New Roman"/>
          <w:b/>
          <w:sz w:val="24"/>
          <w:szCs w:val="24"/>
          <w:lang w:val="en-US"/>
        </w:rPr>
      </w:pPr>
    </w:p>
    <w:p w:rsidR="00EC5D51" w:rsidRPr="00EC5D51" w:rsidRDefault="00EC5D51" w:rsidP="00EC5D51">
      <w:pPr>
        <w:autoSpaceDE w:val="0"/>
        <w:autoSpaceDN w:val="0"/>
        <w:adjustRightInd w:val="0"/>
        <w:spacing w:after="0" w:line="240" w:lineRule="auto"/>
        <w:jc w:val="both"/>
        <w:rPr>
          <w:rFonts w:ascii="Times New Roman" w:eastAsia="Calibri" w:hAnsi="Times New Roman"/>
          <w:bCs/>
          <w:color w:val="000000"/>
          <w:kern w:val="36"/>
          <w:sz w:val="24"/>
          <w:szCs w:val="24"/>
          <w:lang w:val="en-US"/>
        </w:rPr>
      </w:pPr>
      <w:r w:rsidRPr="00EC5D51">
        <w:rPr>
          <w:rFonts w:ascii="Times New Roman" w:eastAsia="Calibri" w:hAnsi="Times New Roman"/>
          <w:b/>
          <w:sz w:val="24"/>
          <w:szCs w:val="24"/>
          <w:lang w:val="en-US"/>
        </w:rPr>
        <w:t xml:space="preserve">Източник: </w:t>
      </w:r>
    </w:p>
    <w:p w:rsidR="00EC5D51" w:rsidRPr="00EC5D51" w:rsidRDefault="00DE51FF" w:rsidP="00EC5D51">
      <w:pPr>
        <w:spacing w:after="0" w:line="240" w:lineRule="auto"/>
        <w:jc w:val="both"/>
        <w:rPr>
          <w:rFonts w:ascii="Times New Roman" w:eastAsia="Calibri" w:hAnsi="Times New Roman"/>
          <w:sz w:val="24"/>
          <w:szCs w:val="24"/>
          <w:lang w:val="en-US"/>
        </w:rPr>
      </w:pPr>
      <w:hyperlink r:id="rId103" w:history="1">
        <w:r w:rsidR="00EC5D51" w:rsidRPr="00EC5D51">
          <w:rPr>
            <w:rFonts w:ascii="Times New Roman" w:eastAsia="Calibri" w:hAnsi="Times New Roman"/>
            <w:color w:val="0000FF"/>
            <w:sz w:val="24"/>
            <w:szCs w:val="24"/>
            <w:u w:val="single"/>
            <w:lang w:val="en-US"/>
          </w:rPr>
          <w:t>http://natura2000.moew.government.bg/PublicDownloads/Auto/PS_SCI/BG0000529/BG0000529_PS_16.pdf</w:t>
        </w:r>
      </w:hyperlink>
    </w:p>
    <w:p w:rsidR="00EC5D51" w:rsidRPr="00EC5D51" w:rsidRDefault="00EC5D51" w:rsidP="003774E5">
      <w:pPr>
        <w:spacing w:before="120" w:after="0" w:line="240" w:lineRule="auto"/>
        <w:ind w:firstLine="709"/>
        <w:jc w:val="both"/>
        <w:rPr>
          <w:rFonts w:ascii="Times New Roman" w:eastAsia="Calibri" w:hAnsi="Times New Roman"/>
          <w:sz w:val="24"/>
          <w:szCs w:val="24"/>
          <w:lang w:val="en-US"/>
        </w:rPr>
      </w:pPr>
      <w:r w:rsidRPr="00EC5D51">
        <w:rPr>
          <w:rFonts w:ascii="Times New Roman" w:eastAsia="Calibri" w:hAnsi="Times New Roman"/>
          <w:sz w:val="24"/>
          <w:szCs w:val="24"/>
          <w:lang w:val="en-US"/>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EC5D51" w:rsidRPr="00EC5D51" w:rsidRDefault="00EC5D51" w:rsidP="003774E5">
      <w:pPr>
        <w:spacing w:before="120"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Качеството на данните за вида е оценено като „добро“ (</w:t>
      </w:r>
      <w:r w:rsidRPr="00EC5D51">
        <w:rPr>
          <w:rFonts w:ascii="Times New Roman" w:eastAsia="Calibri" w:hAnsi="Times New Roman"/>
          <w:sz w:val="24"/>
          <w:szCs w:val="24"/>
          <w:lang w:val="en-GB"/>
        </w:rPr>
        <w:t>G</w:t>
      </w:r>
      <w:r w:rsidRPr="00EC5D51">
        <w:rPr>
          <w:rFonts w:ascii="Times New Roman" w:eastAsia="Calibri" w:hAnsi="Times New Roman"/>
          <w:sz w:val="24"/>
          <w:szCs w:val="24"/>
        </w:rPr>
        <w:t>). Като популационна единица е използван брой индивиди в зоната (мин-макс). Опазването на вида е оценено с „</w:t>
      </w:r>
      <w:r w:rsidRPr="00EC5D51">
        <w:rPr>
          <w:rFonts w:ascii="Times New Roman" w:eastAsia="Calibri" w:hAnsi="Times New Roman"/>
          <w:bCs/>
          <w:color w:val="000000"/>
          <w:kern w:val="36"/>
          <w:sz w:val="24"/>
          <w:szCs w:val="24"/>
        </w:rPr>
        <w:t>А“ (Отлично опазване)</w:t>
      </w:r>
      <w:r w:rsidRPr="00EC5D51">
        <w:rPr>
          <w:rFonts w:ascii="Times New Roman" w:eastAsia="Calibri" w:hAnsi="Times New Roman"/>
          <w:sz w:val="24"/>
          <w:szCs w:val="24"/>
        </w:rPr>
        <w:t>. Изолираността на популацията е оценен</w:t>
      </w:r>
      <w:r w:rsidR="0001440D">
        <w:rPr>
          <w:rFonts w:ascii="Times New Roman" w:eastAsia="Calibri" w:hAnsi="Times New Roman"/>
          <w:sz w:val="24"/>
          <w:szCs w:val="24"/>
        </w:rPr>
        <w:t>а</w:t>
      </w:r>
      <w:r w:rsidRPr="00EC5D51">
        <w:rPr>
          <w:rFonts w:ascii="Times New Roman" w:eastAsia="Calibri" w:hAnsi="Times New Roman"/>
          <w:sz w:val="24"/>
          <w:szCs w:val="24"/>
        </w:rPr>
        <w:t xml:space="preserve"> с „А“</w:t>
      </w:r>
      <w:r w:rsidRPr="00EC5D51">
        <w:rPr>
          <w:rFonts w:ascii="Times New Roman" w:eastAsia="Calibri" w:hAnsi="Times New Roman"/>
          <w:bCs/>
          <w:color w:val="000000"/>
          <w:kern w:val="36"/>
          <w:sz w:val="24"/>
          <w:szCs w:val="24"/>
        </w:rPr>
        <w:t xml:space="preserve"> (почти) изолирана популация).</w:t>
      </w:r>
      <w:r w:rsidRPr="00EC5D51">
        <w:rPr>
          <w:rFonts w:ascii="Times New Roman" w:eastAsia="Calibri" w:hAnsi="Times New Roman"/>
          <w:sz w:val="24"/>
          <w:szCs w:val="24"/>
        </w:rPr>
        <w:t xml:space="preserve"> Цялостна оценка на стойността на зоната за опазването на вида попада в категорията „А“</w:t>
      </w:r>
      <w:r w:rsidRPr="00EC5D51">
        <w:rPr>
          <w:rFonts w:ascii="Times New Roman" w:eastAsia="Calibri" w:hAnsi="Times New Roman"/>
          <w:bCs/>
          <w:color w:val="000000"/>
          <w:kern w:val="36"/>
          <w:sz w:val="24"/>
          <w:szCs w:val="24"/>
        </w:rPr>
        <w:t xml:space="preserve"> (отлична стойност)</w:t>
      </w:r>
      <w:r w:rsidRPr="00EC5D51">
        <w:rPr>
          <w:rFonts w:ascii="Times New Roman" w:eastAsia="Calibri" w:hAnsi="Times New Roman"/>
          <w:sz w:val="24"/>
          <w:szCs w:val="24"/>
        </w:rPr>
        <w:t xml:space="preserve">. </w:t>
      </w:r>
    </w:p>
    <w:p w:rsidR="00EC5D51" w:rsidRPr="003774E5" w:rsidRDefault="00EC5D51" w:rsidP="003774E5">
      <w:pPr>
        <w:spacing w:before="120" w:after="0" w:line="240" w:lineRule="auto"/>
        <w:jc w:val="both"/>
        <w:rPr>
          <w:rFonts w:ascii="Times New Roman" w:eastAsia="Calibri" w:hAnsi="Times New Roman"/>
          <w:b/>
          <w:sz w:val="24"/>
          <w:szCs w:val="24"/>
        </w:rPr>
      </w:pPr>
      <w:r w:rsidRPr="00EC5D51">
        <w:rPr>
          <w:rFonts w:ascii="Times New Roman" w:eastAsia="Calibri" w:hAnsi="Times New Roman"/>
          <w:b/>
          <w:sz w:val="24"/>
          <w:szCs w:val="24"/>
          <w:lang w:val="en-US"/>
        </w:rPr>
        <w:t>5.</w:t>
      </w:r>
      <w:r w:rsidR="003774E5">
        <w:rPr>
          <w:rFonts w:ascii="Times New Roman" w:eastAsia="Calibri" w:hAnsi="Times New Roman"/>
          <w:b/>
          <w:sz w:val="24"/>
          <w:szCs w:val="24"/>
          <w:lang w:val="en-US"/>
        </w:rPr>
        <w:t xml:space="preserve"> Анализ на наличната информация</w:t>
      </w:r>
    </w:p>
    <w:p w:rsidR="00EC5D51" w:rsidRPr="00EC5D51" w:rsidRDefault="00EC5D51" w:rsidP="003774E5">
      <w:pPr>
        <w:spacing w:after="0" w:line="240" w:lineRule="auto"/>
        <w:ind w:firstLine="709"/>
        <w:jc w:val="both"/>
        <w:rPr>
          <w:rFonts w:ascii="Times New Roman" w:eastAsia="Calibri" w:hAnsi="Times New Roman"/>
          <w:sz w:val="24"/>
          <w:szCs w:val="24"/>
        </w:rPr>
      </w:pPr>
      <w:r w:rsidRPr="003774E5">
        <w:rPr>
          <w:rFonts w:ascii="Times New Roman" w:eastAsia="Calibri" w:hAnsi="Times New Roman"/>
          <w:bCs/>
          <w:color w:val="000000"/>
          <w:kern w:val="36"/>
          <w:sz w:val="24"/>
          <w:szCs w:val="24"/>
        </w:rPr>
        <w:lastRenderedPageBreak/>
        <w:t>Видът</w:t>
      </w:r>
      <w:r w:rsidRPr="00EC5D51">
        <w:rPr>
          <w:rFonts w:ascii="Times New Roman" w:eastAsia="Calibri" w:hAnsi="Times New Roman"/>
          <w:sz w:val="24"/>
          <w:szCs w:val="24"/>
        </w:rPr>
        <w:t xml:space="preserve"> е регистриран през 2013 г. в зоната по време на проект "Картиране и определяне на природозащитното състояние на природни местообитания и видове - фаза I". По всички критерии за оценка видът в зоната е категоризиран в „благоприятно“ ПС. В стандартния формуляр като популационна единица е посочена обща численост (6683 инд. макс.-мин.). Според наличните данни видът е разпространен в голяма част от българския участък на р. Дунав, но пространственото му разпределение е неравномерно и зависи от характера на дънния субстрат. Затова определената в СФ степен на изолация „(почти) изолирана популация“ не е коректна и следва да се промени.</w:t>
      </w:r>
    </w:p>
    <w:p w:rsidR="00EC5D51" w:rsidRPr="00EC5D51" w:rsidRDefault="00EC5D51" w:rsidP="003774E5">
      <w:pPr>
        <w:spacing w:after="0" w:line="240" w:lineRule="auto"/>
        <w:ind w:firstLine="709"/>
        <w:jc w:val="both"/>
        <w:rPr>
          <w:rFonts w:ascii="Times New Roman" w:eastAsia="Calibri" w:hAnsi="Times New Roman"/>
          <w:sz w:val="24"/>
          <w:szCs w:val="24"/>
        </w:rPr>
      </w:pPr>
      <w:r w:rsidRPr="003774E5">
        <w:rPr>
          <w:rFonts w:ascii="Times New Roman" w:eastAsia="Calibri" w:hAnsi="Times New Roman"/>
          <w:bCs/>
          <w:color w:val="000000"/>
          <w:kern w:val="36"/>
          <w:sz w:val="24"/>
          <w:szCs w:val="24"/>
        </w:rPr>
        <w:t>Местообитания</w:t>
      </w:r>
      <w:r w:rsidRPr="00EC5D51">
        <w:rPr>
          <w:rFonts w:ascii="Times New Roman" w:eastAsia="Calibri" w:hAnsi="Times New Roman"/>
          <w:sz w:val="24"/>
          <w:szCs w:val="24"/>
        </w:rPr>
        <w:t xml:space="preserve"> на вида в зоната има само в р. Дунав. Участъкът от река Дунав в зоната, според своите хидроморфологични характеристики представлява подходящо местообитание за вида и ефективен екокоридор за връзка с останалите части на популацията, тъй като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въпреки, че стойностите на параметъра „Сапробност“ (ББИ) вероятно са индикатор за наличието на акумулиран натиск от по-горните участъци на р. Дунав. По данни от международното научно изследване </w:t>
      </w:r>
      <w:r w:rsidRPr="00EC5D51">
        <w:rPr>
          <w:rFonts w:ascii="Times New Roman" w:eastAsia="Calibri" w:hAnsi="Times New Roman"/>
          <w:sz w:val="24"/>
          <w:szCs w:val="24"/>
          <w:lang w:val="en-US"/>
        </w:rPr>
        <w:t>“JDS 4”</w:t>
      </w:r>
      <w:r w:rsidRPr="00EC5D51">
        <w:rPr>
          <w:rFonts w:ascii="Times New Roman" w:eastAsia="Calibri" w:hAnsi="Times New Roman"/>
          <w:sz w:val="24"/>
          <w:szCs w:val="24"/>
        </w:rPr>
        <w:t xml:space="preserve">, през 2019 </w:t>
      </w:r>
      <w:r w:rsidR="00E5709C">
        <w:rPr>
          <w:rFonts w:ascii="Times New Roman" w:eastAsia="Calibri" w:hAnsi="Times New Roman"/>
          <w:sz w:val="24"/>
          <w:szCs w:val="24"/>
        </w:rPr>
        <w:t xml:space="preserve">г. </w:t>
      </w:r>
      <w:r w:rsidRPr="00EC5D51">
        <w:rPr>
          <w:rFonts w:ascii="Times New Roman" w:eastAsia="Calibri" w:hAnsi="Times New Roman"/>
          <w:sz w:val="24"/>
          <w:szCs w:val="24"/>
        </w:rPr>
        <w:t xml:space="preserve">на най-близкия мониторингов пункт на р. Дунав при с. Ветрен е определен </w:t>
      </w:r>
      <w:r w:rsidR="00E5709C">
        <w:rPr>
          <w:rFonts w:ascii="Times New Roman" w:eastAsia="Calibri" w:hAnsi="Times New Roman"/>
          <w:sz w:val="24"/>
          <w:szCs w:val="24"/>
        </w:rPr>
        <w:t>„</w:t>
      </w:r>
      <w:r w:rsidRPr="00EC5D51">
        <w:rPr>
          <w:rFonts w:ascii="Times New Roman" w:eastAsia="Calibri" w:hAnsi="Times New Roman"/>
          <w:sz w:val="24"/>
          <w:szCs w:val="24"/>
        </w:rPr>
        <w:t>Добър екологичен потенциал</w:t>
      </w:r>
      <w:r w:rsidR="00051A9F">
        <w:rPr>
          <w:rFonts w:ascii="Times New Roman" w:eastAsia="Calibri" w:hAnsi="Times New Roman"/>
          <w:sz w:val="24"/>
          <w:szCs w:val="24"/>
        </w:rPr>
        <w:t>“</w:t>
      </w:r>
      <w:r w:rsidRPr="00EC5D51">
        <w:rPr>
          <w:rFonts w:ascii="Times New Roman" w:eastAsia="Calibri" w:hAnsi="Times New Roman"/>
          <w:sz w:val="24"/>
          <w:szCs w:val="24"/>
        </w:rPr>
        <w:t xml:space="preserve"> по БЕК Риби, БЕК Макрозообентос и БЕК Макрофити.</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Полевото проучване</w:t>
      </w:r>
      <w:r w:rsidR="00E5709C">
        <w:rPr>
          <w:rFonts w:ascii="Times New Roman" w:eastAsia="Calibri" w:hAnsi="Times New Roman"/>
          <w:sz w:val="24"/>
          <w:szCs w:val="24"/>
        </w:rPr>
        <w:t xml:space="preserve"> през 2021 г. </w:t>
      </w:r>
      <w:r w:rsidRPr="00EC5D51">
        <w:rPr>
          <w:rFonts w:ascii="Times New Roman" w:eastAsia="Calibri" w:hAnsi="Times New Roman"/>
          <w:sz w:val="24"/>
          <w:szCs w:val="24"/>
        </w:rPr>
        <w:t>по време на проекта за определяне на целите за опазване на вида в защитената зона е извършено в съответствие с утвърдените методики за мониторинг на риби в р. Дунав. Използван е допълнителен подход за мониторинг на видове риби в р. Дунав (</w:t>
      </w:r>
      <w:hyperlink r:id="rId104" w:history="1">
        <w:r w:rsidRPr="00EC5D51">
          <w:rPr>
            <w:rFonts w:ascii="Times New Roman" w:eastAsia="Calibri" w:hAnsi="Times New Roman"/>
            <w:color w:val="0563C1"/>
            <w:sz w:val="24"/>
            <w:szCs w:val="24"/>
            <w:u w:val="single"/>
          </w:rPr>
          <w:t>http://eea.government.bg/bg/bio/nsmbr/praktichesko-rakovodstvo-metodiki-za-monitoring-i-otsenka/Podhod_Dunav_electrofishing.pdf</w:t>
        </w:r>
      </w:hyperlink>
      <w:r w:rsidRPr="00EC5D51">
        <w:rPr>
          <w:rFonts w:ascii="Times New Roman" w:eastAsia="Calibri" w:hAnsi="Times New Roman"/>
          <w:sz w:val="24"/>
          <w:szCs w:val="24"/>
        </w:rPr>
        <w:t xml:space="preserve">). В участъка от р. Дунав в зоната са избрани за пробонабиране 2 пункта, които да покриват представителни хабитати на вида, и които позволяват адекватна оценка на популацията в зоната. На всеки пункт пробонабирането е извършено на 3-5 трансекта с дължина по 30-50 м и ширина 2-4 м в зависимост от релефа на дъното. </w:t>
      </w:r>
      <w:r w:rsidRPr="00EC5D51">
        <w:rPr>
          <w:rFonts w:ascii="Times New Roman" w:eastAsia="Calibri" w:hAnsi="Times New Roman"/>
          <w:sz w:val="24"/>
          <w:szCs w:val="24"/>
          <w:lang w:val="en-US"/>
        </w:rPr>
        <w:t>Не е регистриран нито един екземпляр на вида в нито един от трансектите.</w:t>
      </w:r>
      <w:r w:rsidRPr="00EC5D51">
        <w:rPr>
          <w:rFonts w:ascii="Times New Roman" w:eastAsia="Calibri" w:hAnsi="Times New Roman"/>
          <w:sz w:val="24"/>
          <w:szCs w:val="24"/>
        </w:rPr>
        <w:t xml:space="preserve"> </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Невъзможност да се регистрира вида в зоната в случая не означава неблагоприятно състояние, тъй като популацията му се характеризира с ниско обилие в целия български участък от р. Дунав. Състоянието на вида до голяма степен може да бъде определено косвено чрез оценка на неговото местообитание, по експертна оценка. </w:t>
      </w:r>
      <w:r w:rsidRPr="00EC5D51">
        <w:rPr>
          <w:rFonts w:ascii="Times New Roman" w:eastAsia="Calibri" w:hAnsi="Times New Roman"/>
          <w:sz w:val="24"/>
          <w:szCs w:val="24"/>
          <w:lang w:val="en-US"/>
        </w:rPr>
        <w:t xml:space="preserve"> </w:t>
      </w:r>
    </w:p>
    <w:p w:rsidR="00EC5D51" w:rsidRPr="00EC5D51" w:rsidRDefault="00EC5D51" w:rsidP="003774E5">
      <w:pPr>
        <w:spacing w:after="0" w:line="240" w:lineRule="auto"/>
        <w:ind w:firstLine="709"/>
        <w:jc w:val="both"/>
        <w:rPr>
          <w:rFonts w:ascii="Times New Roman" w:eastAsia="Calibri" w:hAnsi="Times New Roman"/>
          <w:sz w:val="24"/>
          <w:szCs w:val="24"/>
          <w:lang w:val="en-US"/>
        </w:rPr>
      </w:pPr>
      <w:r w:rsidRPr="00EC5D51">
        <w:rPr>
          <w:rFonts w:ascii="Times New Roman" w:eastAsia="Calibri" w:hAnsi="Times New Roman"/>
          <w:sz w:val="24"/>
          <w:szCs w:val="24"/>
        </w:rPr>
        <w:t xml:space="preserve">Защитена зона </w:t>
      </w:r>
      <w:r w:rsidRPr="00EC5D51">
        <w:rPr>
          <w:rFonts w:ascii="Times New Roman" w:eastAsia="Calibri" w:hAnsi="Times New Roman"/>
          <w:sz w:val="24"/>
          <w:szCs w:val="24"/>
          <w:lang w:val="en-US"/>
        </w:rPr>
        <w:t>BG0000241</w:t>
      </w:r>
      <w:r w:rsidRPr="00EC5D51">
        <w:rPr>
          <w:rFonts w:ascii="Times New Roman" w:eastAsia="Calibri" w:hAnsi="Times New Roman"/>
          <w:sz w:val="24"/>
          <w:szCs w:val="24"/>
        </w:rPr>
        <w:t xml:space="preserve"> Сребърна включва едноименния поддържан резерват и ЗМ „Пеликаните“ по ЗЗТ. </w:t>
      </w:r>
      <w:r w:rsidRPr="00EC5D51">
        <w:rPr>
          <w:rFonts w:ascii="Times New Roman" w:eastAsia="Calibri" w:hAnsi="Times New Roman"/>
          <w:sz w:val="24"/>
          <w:szCs w:val="24"/>
          <w:lang w:val="en-US"/>
        </w:rPr>
        <w:t xml:space="preserve">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бяха установени допълнителни сериозни заплахи: освен различен по мащаб риболов, модифициране и разрушаване на подходящи </w:t>
      </w:r>
      <w:r w:rsidRPr="00EC5D51">
        <w:rPr>
          <w:rFonts w:ascii="Times New Roman" w:eastAsia="Calibri" w:hAnsi="Times New Roman"/>
          <w:sz w:val="24"/>
          <w:szCs w:val="24"/>
        </w:rPr>
        <w:t>крайбрежни местообитания</w:t>
      </w:r>
      <w:r w:rsidRPr="00EC5D51">
        <w:rPr>
          <w:rFonts w:ascii="Times New Roman" w:eastAsia="Calibri" w:hAnsi="Times New Roman"/>
          <w:sz w:val="24"/>
          <w:szCs w:val="24"/>
          <w:lang w:val="en-US"/>
        </w:rPr>
        <w:t xml:space="preserve"> вследствие различна антропогенна дейност Те могат да се отразяват съществено върху популацията на вида в зоната.</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Според </w:t>
      </w:r>
      <w:r w:rsidRPr="003774E5">
        <w:rPr>
          <w:rFonts w:ascii="Times New Roman" w:eastAsia="Calibri" w:hAnsi="Times New Roman"/>
          <w:sz w:val="24"/>
          <w:szCs w:val="24"/>
          <w:lang w:val="en-US"/>
        </w:rPr>
        <w:t>информацията</w:t>
      </w:r>
      <w:r w:rsidRPr="00EC5D51">
        <w:rPr>
          <w:rFonts w:ascii="Times New Roman" w:eastAsia="Calibri" w:hAnsi="Times New Roman"/>
          <w:sz w:val="24"/>
          <w:szCs w:val="24"/>
        </w:rPr>
        <w:t xml:space="preserve">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w:t>
      </w:r>
      <w:r w:rsidR="00051A9F">
        <w:rPr>
          <w:rFonts w:ascii="Times New Roman" w:eastAsia="Calibri" w:hAnsi="Times New Roman"/>
          <w:sz w:val="24"/>
          <w:szCs w:val="24"/>
        </w:rPr>
        <w:t>незаконен</w:t>
      </w:r>
      <w:r w:rsidRPr="00EC5D51">
        <w:rPr>
          <w:rFonts w:ascii="Times New Roman" w:eastAsia="Calibri" w:hAnsi="Times New Roman"/>
          <w:sz w:val="24"/>
          <w:szCs w:val="24"/>
        </w:rPr>
        <w:t xml:space="preserve">),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w:t>
      </w:r>
      <w:r w:rsidR="00051A9F">
        <w:rPr>
          <w:rFonts w:ascii="Times New Roman" w:eastAsia="Calibri" w:hAnsi="Times New Roman"/>
          <w:sz w:val="24"/>
          <w:szCs w:val="24"/>
        </w:rPr>
        <w:t xml:space="preserve">С изключение на ерозионните процеси, които водят до промяна на състава и </w:t>
      </w:r>
      <w:r w:rsidR="00051A9F">
        <w:rPr>
          <w:rFonts w:ascii="Times New Roman" w:eastAsia="Calibri" w:hAnsi="Times New Roman"/>
          <w:sz w:val="24"/>
          <w:szCs w:val="24"/>
        </w:rPr>
        <w:lastRenderedPageBreak/>
        <w:t>структурата на дънните седименти, другите заплахи не оказват значимо влияние върху вида в р. Дунав</w:t>
      </w:r>
      <w:r w:rsidRPr="00EC5D51">
        <w:rPr>
          <w:rFonts w:ascii="Times New Roman" w:eastAsia="Calibri" w:hAnsi="Times New Roman"/>
          <w:sz w:val="24"/>
          <w:szCs w:val="24"/>
        </w:rPr>
        <w:t>.</w:t>
      </w:r>
    </w:p>
    <w:p w:rsidR="00EC5D51" w:rsidRPr="00051A9F" w:rsidRDefault="00EC5D51" w:rsidP="003774E5">
      <w:pPr>
        <w:spacing w:before="120" w:after="0" w:line="240" w:lineRule="auto"/>
        <w:jc w:val="both"/>
        <w:rPr>
          <w:rFonts w:ascii="Times New Roman" w:eastAsia="Calibri" w:hAnsi="Times New Roman"/>
          <w:b/>
          <w:sz w:val="24"/>
          <w:szCs w:val="24"/>
        </w:rPr>
      </w:pPr>
      <w:r w:rsidRPr="00EC5D51">
        <w:rPr>
          <w:rFonts w:ascii="Times New Roman" w:eastAsia="Calibri" w:hAnsi="Times New Roman"/>
          <w:b/>
          <w:sz w:val="24"/>
          <w:szCs w:val="24"/>
          <w:lang w:val="en-US"/>
        </w:rPr>
        <w:t>6. Цели за подобряване/поддържане на природозащитн</w:t>
      </w:r>
      <w:r w:rsidR="00051A9F">
        <w:rPr>
          <w:rFonts w:ascii="Times New Roman" w:eastAsia="Calibri" w:hAnsi="Times New Roman"/>
          <w:b/>
          <w:sz w:val="24"/>
          <w:szCs w:val="24"/>
          <w:lang w:val="en-US"/>
        </w:rPr>
        <w:t>ото състояние на вида в зоната</w:t>
      </w:r>
    </w:p>
    <w:p w:rsidR="00EC5D51" w:rsidRPr="00EC5D51" w:rsidRDefault="00EC5D51" w:rsidP="00EC5D51">
      <w:pPr>
        <w:spacing w:before="120" w:after="0" w:line="240" w:lineRule="auto"/>
        <w:jc w:val="both"/>
        <w:rPr>
          <w:rFonts w:ascii="Times New Roman" w:eastAsia="Calibri" w:hAnsi="Times New Roman"/>
          <w:sz w:val="24"/>
          <w:szCs w:val="24"/>
          <w:lang w:val="en-US"/>
        </w:rPr>
      </w:pPr>
      <w:r w:rsidRPr="00EC5D51">
        <w:rPr>
          <w:rFonts w:ascii="Times New Roman" w:eastAsia="Calibri" w:hAnsi="Times New Roman"/>
          <w:sz w:val="24"/>
          <w:szCs w:val="24"/>
          <w:lang w:val="en-US"/>
        </w:rPr>
        <w:t>Целите са формулирани по показатели, в таблицата по-долу.</w:t>
      </w:r>
    </w:p>
    <w:p w:rsidR="00EC5D51" w:rsidRPr="00EC5D51" w:rsidRDefault="00EC5D51" w:rsidP="00EC5D51">
      <w:pPr>
        <w:spacing w:before="120" w:after="0" w:line="240" w:lineRule="auto"/>
        <w:jc w:val="both"/>
        <w:rPr>
          <w:rFonts w:ascii="Times New Roman" w:eastAsia="Calibri" w:hAnsi="Times New Roman"/>
          <w:sz w:val="24"/>
          <w:szCs w:val="24"/>
          <w:lang w:val="en-US"/>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276"/>
        <w:gridCol w:w="1133"/>
        <w:gridCol w:w="3319"/>
        <w:gridCol w:w="1857"/>
      </w:tblGrid>
      <w:tr w:rsidR="00EC5D51" w:rsidRPr="003774E5" w:rsidTr="003774E5">
        <w:trPr>
          <w:tblHeader/>
          <w:jc w:val="center"/>
        </w:trPr>
        <w:tc>
          <w:tcPr>
            <w:tcW w:w="756"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lang w:val="en-US"/>
              </w:rPr>
            </w:pPr>
            <w:r w:rsidRPr="003774E5">
              <w:rPr>
                <w:rFonts w:ascii="Times New Roman" w:eastAsia="Calibri" w:hAnsi="Times New Roman"/>
                <w:b/>
                <w:bCs/>
                <w:lang w:val="en-US"/>
              </w:rPr>
              <w:t>Параметър</w:t>
            </w:r>
          </w:p>
        </w:tc>
        <w:tc>
          <w:tcPr>
            <w:tcW w:w="714"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lang w:val="en-US"/>
              </w:rPr>
            </w:pPr>
            <w:r w:rsidRPr="003774E5">
              <w:rPr>
                <w:rFonts w:ascii="Times New Roman" w:hAnsi="Times New Roman"/>
                <w:b/>
                <w:bCs/>
                <w:lang w:val="en-US"/>
              </w:rPr>
              <w:t>Мерна единица</w:t>
            </w:r>
          </w:p>
        </w:tc>
        <w:tc>
          <w:tcPr>
            <w:tcW w:w="634"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lang w:val="en-US"/>
              </w:rPr>
            </w:pPr>
            <w:r w:rsidRPr="003774E5">
              <w:rPr>
                <w:rFonts w:ascii="Times New Roman" w:hAnsi="Times New Roman"/>
                <w:b/>
                <w:bCs/>
                <w:lang w:val="en-US"/>
              </w:rPr>
              <w:t>Целева стойност</w:t>
            </w:r>
          </w:p>
        </w:tc>
        <w:tc>
          <w:tcPr>
            <w:tcW w:w="1857"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lang w:val="en-US"/>
              </w:rPr>
            </w:pPr>
            <w:r w:rsidRPr="003774E5">
              <w:rPr>
                <w:rFonts w:ascii="Times New Roman" w:hAnsi="Times New Roman"/>
                <w:b/>
                <w:bCs/>
                <w:lang w:val="en-US"/>
              </w:rPr>
              <w:t xml:space="preserve">Допълнителна информация </w:t>
            </w:r>
          </w:p>
        </w:tc>
        <w:tc>
          <w:tcPr>
            <w:tcW w:w="1039"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lang w:val="en-US"/>
              </w:rPr>
            </w:pPr>
            <w:r w:rsidRPr="003774E5">
              <w:rPr>
                <w:rFonts w:ascii="Times New Roman" w:eastAsia="Calibri" w:hAnsi="Times New Roman"/>
                <w:b/>
                <w:bCs/>
                <w:lang w:val="en-US"/>
              </w:rPr>
              <w:t>Специфични цели на опазване за зоната</w:t>
            </w:r>
          </w:p>
        </w:tc>
      </w:tr>
      <w:tr w:rsidR="00EC5D51" w:rsidRPr="003774E5" w:rsidTr="003774E5">
        <w:trPr>
          <w:jc w:val="center"/>
        </w:trPr>
        <w:tc>
          <w:tcPr>
            <w:tcW w:w="756" w:type="pct"/>
            <w:shd w:val="clear" w:color="auto" w:fill="auto"/>
          </w:tcPr>
          <w:p w:rsidR="00EC5D51" w:rsidRPr="003774E5" w:rsidRDefault="00EC5D51" w:rsidP="00EC5D51">
            <w:pPr>
              <w:spacing w:before="120" w:after="120" w:line="240" w:lineRule="auto"/>
              <w:jc w:val="both"/>
              <w:rPr>
                <w:rFonts w:ascii="Times New Roman" w:eastAsia="Calibri" w:hAnsi="Times New Roman"/>
                <w:b/>
                <w:lang w:val="en-US"/>
              </w:rPr>
            </w:pPr>
            <w:r w:rsidRPr="003774E5">
              <w:rPr>
                <w:rFonts w:ascii="Times New Roman" w:eastAsia="Calibri" w:hAnsi="Times New Roman"/>
                <w:b/>
                <w:lang w:val="en-US"/>
              </w:rPr>
              <w:t>Плътност на популацията</w:t>
            </w:r>
          </w:p>
        </w:tc>
        <w:tc>
          <w:tcPr>
            <w:tcW w:w="714"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Брой индивиди/ha</w:t>
            </w:r>
          </w:p>
        </w:tc>
        <w:tc>
          <w:tcPr>
            <w:tcW w:w="634" w:type="pct"/>
            <w:shd w:val="clear" w:color="auto" w:fill="auto"/>
          </w:tcPr>
          <w:p w:rsidR="00EC5D51" w:rsidRPr="00051A9F" w:rsidRDefault="00051A9F" w:rsidP="00051A9F">
            <w:pPr>
              <w:spacing w:before="120" w:after="120" w:line="240" w:lineRule="auto"/>
              <w:jc w:val="both"/>
              <w:rPr>
                <w:rFonts w:ascii="Times New Roman" w:eastAsia="Calibri" w:hAnsi="Times New Roman"/>
              </w:rPr>
            </w:pPr>
            <w:r>
              <w:rPr>
                <w:rFonts w:ascii="Times New Roman" w:eastAsia="Calibri" w:hAnsi="Times New Roman"/>
                <w:lang w:val="en-US"/>
              </w:rPr>
              <w:t>Най-малко 5</w:t>
            </w:r>
          </w:p>
        </w:tc>
        <w:tc>
          <w:tcPr>
            <w:tcW w:w="1857"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Стойността </w:t>
            </w:r>
            <w:r w:rsidRPr="003774E5">
              <w:rPr>
                <w:rFonts w:ascii="Times New Roman" w:eastAsia="Calibri" w:hAnsi="Times New Roman"/>
              </w:rPr>
              <w:t xml:space="preserve">на </w:t>
            </w:r>
            <w:r w:rsidRPr="003774E5">
              <w:rPr>
                <w:rFonts w:ascii="Times New Roman" w:eastAsia="Calibri" w:hAnsi="Times New Roman"/>
                <w:lang w:val="en-US"/>
              </w:rPr>
              <w:t>този параметър се определя на базата на броя на уловените екземпляри от вида на трансект, чиято площ се изчислява в м</w:t>
            </w:r>
            <w:r w:rsidRPr="003774E5">
              <w:rPr>
                <w:rFonts w:ascii="Times New Roman" w:eastAsia="Calibri" w:hAnsi="Times New Roman"/>
                <w:vertAlign w:val="superscript"/>
                <w:lang w:val="en-US"/>
              </w:rPr>
              <w:t>2</w:t>
            </w:r>
            <w:r w:rsidRPr="003774E5">
              <w:rPr>
                <w:rFonts w:ascii="Times New Roman" w:eastAsia="Calibri" w:hAnsi="Times New Roman"/>
                <w:lang w:val="en-US"/>
              </w:rPr>
              <w:t xml:space="preserve">. След това броят на уловените екземпляри се преизчислява на един хектар. </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Според наличните данни (проект "Картиране и определяне на природозащитното състояние на природни местообитания и видове - фаза I".) </w:t>
            </w:r>
            <w:r w:rsidRPr="003774E5">
              <w:rPr>
                <w:rFonts w:ascii="Times New Roman" w:eastAsia="Calibri" w:hAnsi="Times New Roman"/>
              </w:rPr>
              <w:t>референтната</w:t>
            </w:r>
            <w:r w:rsidRPr="003774E5">
              <w:rPr>
                <w:rFonts w:ascii="Times New Roman" w:eastAsia="Calibri" w:hAnsi="Times New Roman"/>
                <w:lang w:val="en-US"/>
              </w:rPr>
              <w:t xml:space="preserve"> стойност на числеността на вида в зоната </w:t>
            </w:r>
            <w:r w:rsidRPr="003774E5">
              <w:rPr>
                <w:rFonts w:ascii="Times New Roman" w:eastAsia="Calibri" w:hAnsi="Times New Roman"/>
              </w:rPr>
              <w:t>е 5-10 екз./ха</w:t>
            </w:r>
            <w:r w:rsidRPr="003774E5">
              <w:rPr>
                <w:rFonts w:ascii="Times New Roman" w:eastAsia="Calibri" w:hAnsi="Times New Roman"/>
                <w:lang w:val="en-US"/>
              </w:rPr>
              <w:t xml:space="preserve">. През 2021 г. е проведено теренно проучване за вида в </w:t>
            </w:r>
            <w:r w:rsidRPr="003774E5">
              <w:rPr>
                <w:rFonts w:ascii="Times New Roman" w:eastAsia="Calibri" w:hAnsi="Times New Roman"/>
              </w:rPr>
              <w:t>3</w:t>
            </w:r>
            <w:r w:rsidRPr="003774E5">
              <w:rPr>
                <w:rFonts w:ascii="Times New Roman" w:eastAsia="Calibri" w:hAnsi="Times New Roman"/>
                <w:lang w:val="en-US"/>
              </w:rPr>
              <w:t>точки на зоната</w:t>
            </w:r>
            <w:r w:rsidRPr="003774E5">
              <w:rPr>
                <w:rFonts w:ascii="Times New Roman" w:eastAsia="Calibri" w:hAnsi="Times New Roman"/>
              </w:rPr>
              <w:t>,</w:t>
            </w:r>
            <w:r w:rsidRPr="003774E5">
              <w:rPr>
                <w:rFonts w:ascii="Times New Roman" w:eastAsia="Calibri" w:hAnsi="Times New Roman"/>
                <w:lang w:val="en-US"/>
              </w:rPr>
              <w:t xml:space="preserve"> но </w:t>
            </w:r>
            <w:r w:rsidRPr="003774E5">
              <w:rPr>
                <w:rFonts w:ascii="Times New Roman" w:eastAsia="Calibri" w:hAnsi="Times New Roman"/>
              </w:rPr>
              <w:t xml:space="preserve">видът </w:t>
            </w:r>
            <w:r w:rsidRPr="003774E5">
              <w:rPr>
                <w:rFonts w:ascii="Times New Roman" w:eastAsia="Calibri" w:hAnsi="Times New Roman"/>
                <w:lang w:val="en-US"/>
              </w:rPr>
              <w:t xml:space="preserve">не е регистриран. Поради тази причина като минимална целева стойност на популацията се приема </w:t>
            </w:r>
            <w:r w:rsidRPr="003774E5">
              <w:rPr>
                <w:rFonts w:ascii="Times New Roman" w:eastAsia="Calibri" w:hAnsi="Times New Roman"/>
              </w:rPr>
              <w:t>минимолното референтна стойност, определена</w:t>
            </w:r>
            <w:r w:rsidRPr="003774E5">
              <w:rPr>
                <w:rFonts w:ascii="Times New Roman" w:eastAsia="Calibri" w:hAnsi="Times New Roman"/>
                <w:lang w:val="en-US"/>
              </w:rPr>
              <w:t xml:space="preserve"> </w:t>
            </w:r>
            <w:r w:rsidRPr="003774E5">
              <w:rPr>
                <w:rFonts w:ascii="Times New Roman" w:eastAsia="Calibri" w:hAnsi="Times New Roman"/>
              </w:rPr>
              <w:t>в</w:t>
            </w:r>
            <w:r w:rsidRPr="003774E5">
              <w:rPr>
                <w:rFonts w:ascii="Times New Roman" w:eastAsia="Calibri" w:hAnsi="Times New Roman"/>
                <w:lang w:val="en-US"/>
              </w:rPr>
              <w:t xml:space="preserve"> проект</w:t>
            </w:r>
            <w:r w:rsidRPr="003774E5">
              <w:rPr>
                <w:rFonts w:ascii="Times New Roman" w:eastAsia="Calibri" w:hAnsi="Times New Roman"/>
              </w:rPr>
              <w:t>а</w:t>
            </w:r>
            <w:r w:rsidRPr="003774E5">
              <w:rPr>
                <w:rFonts w:ascii="Times New Roman" w:eastAsia="Calibri" w:hAnsi="Times New Roman"/>
                <w:lang w:val="en-US"/>
              </w:rPr>
              <w:t xml:space="preserve"> "Картиране и определяне на природозащитното състояние на природни местообитания и видове - фаза I".</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По отношение на натиска, в този конкретен речен участък в рамките на защитената зона може да се счита за хомогенен и значителен. </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От друга страна, кумулативния натиск с източници на произход извън зоната може също да бъде значим.</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rPr>
              <w:t>В</w:t>
            </w:r>
            <w:r w:rsidRPr="003774E5">
              <w:rPr>
                <w:rFonts w:ascii="Times New Roman" w:eastAsia="Calibri" w:hAnsi="Times New Roman"/>
                <w:lang w:val="en-US"/>
              </w:rPr>
              <w:t xml:space="preserve"> </w:t>
            </w:r>
            <w:r w:rsidRPr="003774E5">
              <w:rPr>
                <w:rFonts w:ascii="Times New Roman" w:eastAsia="Calibri" w:hAnsi="Times New Roman"/>
              </w:rPr>
              <w:t>м</w:t>
            </w:r>
            <w:r w:rsidRPr="003774E5">
              <w:rPr>
                <w:rFonts w:ascii="Times New Roman" w:eastAsia="Calibri" w:hAnsi="Times New Roman"/>
                <w:lang w:val="en-US"/>
              </w:rPr>
              <w:t>етод</w:t>
            </w:r>
            <w:r w:rsidRPr="003774E5">
              <w:rPr>
                <w:rFonts w:ascii="Times New Roman" w:eastAsia="Calibri" w:hAnsi="Times New Roman"/>
              </w:rPr>
              <w:t>иката</w:t>
            </w:r>
            <w:r w:rsidRPr="003774E5">
              <w:rPr>
                <w:rFonts w:ascii="Times New Roman" w:eastAsia="Calibri" w:hAnsi="Times New Roman"/>
                <w:lang w:val="en-US"/>
              </w:rPr>
              <w:t xml:space="preserve"> за оценка на състоянието на риби  </w:t>
            </w:r>
            <w:r w:rsidRPr="003774E5">
              <w:rPr>
                <w:rFonts w:ascii="Times New Roman" w:eastAsia="Calibri" w:hAnsi="Times New Roman"/>
              </w:rPr>
              <w:t>в НСМБР</w:t>
            </w:r>
            <w:r w:rsidRPr="003774E5">
              <w:rPr>
                <w:rFonts w:ascii="Times New Roman" w:eastAsia="Calibri" w:hAnsi="Times New Roman"/>
                <w:lang w:val="en-US"/>
              </w:rPr>
              <w:t xml:space="preserve"> </w:t>
            </w:r>
            <w:r w:rsidRPr="003774E5">
              <w:rPr>
                <w:rFonts w:ascii="Times New Roman" w:eastAsia="Calibri" w:hAnsi="Times New Roman"/>
                <w:lang w:val="en-US"/>
              </w:rPr>
              <w:lastRenderedPageBreak/>
              <w:t xml:space="preserve">референтните стойности за плътността на популацията на този вид не са </w:t>
            </w:r>
            <w:r w:rsidRPr="003774E5">
              <w:rPr>
                <w:rFonts w:ascii="Times New Roman" w:eastAsia="Calibri" w:hAnsi="Times New Roman"/>
              </w:rPr>
              <w:t>определени</w:t>
            </w:r>
            <w:r w:rsidRPr="003774E5">
              <w:rPr>
                <w:rFonts w:ascii="Times New Roman" w:eastAsia="Calibri" w:hAnsi="Times New Roman"/>
                <w:lang w:val="en-US"/>
              </w:rPr>
              <w:t xml:space="preserve">. </w:t>
            </w:r>
            <w:r w:rsidRPr="003774E5">
              <w:rPr>
                <w:rFonts w:ascii="Times New Roman" w:eastAsia="Calibri" w:hAnsi="Times New Roman"/>
              </w:rPr>
              <w:t>Към момента поради недостатъчно данни</w:t>
            </w:r>
            <w:r w:rsidRPr="003774E5">
              <w:rPr>
                <w:rFonts w:ascii="Times New Roman" w:eastAsia="Calibri" w:hAnsi="Times New Roman"/>
                <w:lang w:val="en-US"/>
              </w:rPr>
              <w:t xml:space="preserve"> състоянието на вида по този показател не може да бъде определен</w:t>
            </w:r>
            <w:r w:rsidRPr="003774E5">
              <w:rPr>
                <w:rFonts w:ascii="Times New Roman" w:eastAsia="Calibri" w:hAnsi="Times New Roman"/>
              </w:rPr>
              <w:t>о</w:t>
            </w:r>
            <w:r w:rsidRPr="003774E5">
              <w:rPr>
                <w:rFonts w:ascii="Times New Roman" w:eastAsia="Calibri" w:hAnsi="Times New Roman"/>
                <w:lang w:val="en-US"/>
              </w:rPr>
              <w:t>.</w:t>
            </w:r>
          </w:p>
        </w:tc>
        <w:tc>
          <w:tcPr>
            <w:tcW w:w="1039" w:type="pct"/>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lastRenderedPageBreak/>
              <w:t xml:space="preserve">Поддържане на плътността на популацията най-малко на 5 инд./ха. </w:t>
            </w:r>
          </w:p>
          <w:p w:rsidR="00EC5D51" w:rsidRPr="003774E5" w:rsidRDefault="00EC5D51" w:rsidP="00EC5D51">
            <w:pPr>
              <w:spacing w:before="120" w:after="120" w:line="240" w:lineRule="auto"/>
              <w:jc w:val="both"/>
              <w:rPr>
                <w:rFonts w:ascii="Times New Roman" w:eastAsia="Calibri" w:hAnsi="Times New Roman"/>
                <w:lang w:val="en-US"/>
              </w:rPr>
            </w:pP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Междинна цел: да се </w:t>
            </w:r>
            <w:r w:rsidRPr="003774E5">
              <w:rPr>
                <w:rFonts w:ascii="Times New Roman" w:eastAsia="Calibri" w:hAnsi="Times New Roman"/>
              </w:rPr>
              <w:t xml:space="preserve">потвърди присъствието </w:t>
            </w:r>
            <w:r w:rsidRPr="003774E5">
              <w:rPr>
                <w:rFonts w:ascii="Times New Roman" w:eastAsia="Calibri" w:hAnsi="Times New Roman"/>
                <w:lang w:val="en-US"/>
              </w:rPr>
              <w:t xml:space="preserve"> на вида в зоната </w:t>
            </w:r>
            <w:r w:rsidRPr="003774E5">
              <w:rPr>
                <w:rFonts w:ascii="Times New Roman" w:eastAsia="Calibri" w:hAnsi="Times New Roman"/>
              </w:rPr>
              <w:t>и да се актуализира референтната стойност на числеността.</w:t>
            </w:r>
          </w:p>
        </w:tc>
      </w:tr>
      <w:tr w:rsidR="00EC5D51" w:rsidRPr="003774E5" w:rsidTr="003774E5">
        <w:trPr>
          <w:jc w:val="center"/>
        </w:trPr>
        <w:tc>
          <w:tcPr>
            <w:tcW w:w="756" w:type="pct"/>
            <w:shd w:val="clear" w:color="auto" w:fill="auto"/>
          </w:tcPr>
          <w:p w:rsidR="00EC5D51" w:rsidRPr="003774E5" w:rsidRDefault="00EC5D51" w:rsidP="00EC5D51">
            <w:pPr>
              <w:spacing w:before="120" w:after="120" w:line="240" w:lineRule="auto"/>
              <w:jc w:val="both"/>
              <w:rPr>
                <w:rFonts w:ascii="Times New Roman" w:eastAsia="Calibri" w:hAnsi="Times New Roman"/>
                <w:b/>
                <w:lang w:val="en-US"/>
              </w:rPr>
            </w:pPr>
            <w:r w:rsidRPr="003774E5">
              <w:rPr>
                <w:rFonts w:ascii="Times New Roman" w:eastAsia="Calibri" w:hAnsi="Times New Roman"/>
                <w:b/>
                <w:lang w:val="en-US"/>
              </w:rPr>
              <w:lastRenderedPageBreak/>
              <w:t xml:space="preserve">Местообитание на вида: </w:t>
            </w:r>
          </w:p>
          <w:p w:rsidR="00EC5D51" w:rsidRPr="003774E5" w:rsidRDefault="00EC5D51" w:rsidP="00EC5D51">
            <w:pPr>
              <w:spacing w:before="120" w:after="120" w:line="240" w:lineRule="auto"/>
              <w:jc w:val="both"/>
              <w:rPr>
                <w:rFonts w:ascii="Times New Roman" w:eastAsia="Calibri" w:hAnsi="Times New Roman"/>
                <w:b/>
                <w:lang w:val="en-US"/>
              </w:rPr>
            </w:pPr>
            <w:r w:rsidRPr="003774E5">
              <w:rPr>
                <w:rFonts w:ascii="Times New Roman" w:eastAsia="Calibri" w:hAnsi="Times New Roman"/>
                <w:b/>
                <w:lang w:val="en-US"/>
              </w:rPr>
              <w:t>речна мрежа, представляваща потенциално местообитание за вида</w:t>
            </w:r>
          </w:p>
        </w:tc>
        <w:tc>
          <w:tcPr>
            <w:tcW w:w="714"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км</w:t>
            </w:r>
          </w:p>
        </w:tc>
        <w:tc>
          <w:tcPr>
            <w:tcW w:w="634" w:type="pct"/>
            <w:shd w:val="clear" w:color="auto" w:fill="auto"/>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shd w:val="clear" w:color="auto" w:fill="FFFFFF"/>
                <w:lang w:val="en-US"/>
              </w:rPr>
              <w:t xml:space="preserve">Най-малко </w:t>
            </w:r>
            <w:r w:rsidRPr="003774E5">
              <w:rPr>
                <w:rFonts w:ascii="Times New Roman" w:eastAsia="Calibri" w:hAnsi="Times New Roman"/>
                <w:shd w:val="clear" w:color="auto" w:fill="FFFFFF"/>
              </w:rPr>
              <w:t>3</w:t>
            </w:r>
          </w:p>
        </w:tc>
        <w:tc>
          <w:tcPr>
            <w:tcW w:w="1857"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Дължината на речния участък се определя чрез GIS анализ, използващ следните екологични критерии:</w:t>
            </w:r>
          </w:p>
          <w:p w:rsidR="00EC5D51" w:rsidRPr="003774E5" w:rsidRDefault="00EC5D51" w:rsidP="00635999">
            <w:pPr>
              <w:numPr>
                <w:ilvl w:val="0"/>
                <w:numId w:val="11"/>
              </w:num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Река Дунав</w:t>
            </w:r>
            <w:r w:rsidRPr="003774E5">
              <w:rPr>
                <w:rFonts w:ascii="Times New Roman" w:eastAsia="Calibri" w:hAnsi="Times New Roman"/>
              </w:rPr>
              <w:t>;</w:t>
            </w:r>
          </w:p>
          <w:p w:rsidR="00EC5D51" w:rsidRPr="003774E5" w:rsidRDefault="00EC5D51" w:rsidP="00635999">
            <w:pPr>
              <w:numPr>
                <w:ilvl w:val="0"/>
                <w:numId w:val="11"/>
              </w:num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Изключени са всички стоящи водни тела в зоната.</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На базата на този анализ е установено, че </w:t>
            </w:r>
            <w:r w:rsidRPr="003774E5">
              <w:rPr>
                <w:rFonts w:ascii="Times New Roman" w:eastAsia="Calibri" w:hAnsi="Times New Roman"/>
              </w:rPr>
              <w:t>3</w:t>
            </w:r>
            <w:r w:rsidRPr="003774E5">
              <w:rPr>
                <w:rFonts w:ascii="Times New Roman" w:eastAsia="Calibri" w:hAnsi="Times New Roman"/>
                <w:lang w:val="en-US"/>
              </w:rPr>
              <w:t xml:space="preserve"> км </w:t>
            </w:r>
            <w:r w:rsidRPr="003774E5">
              <w:rPr>
                <w:rFonts w:ascii="Times New Roman" w:eastAsia="Calibri" w:hAnsi="Times New Roman"/>
              </w:rPr>
              <w:t xml:space="preserve">от р. Дунав </w:t>
            </w:r>
            <w:r w:rsidRPr="003774E5">
              <w:rPr>
                <w:rFonts w:ascii="Times New Roman" w:eastAsia="Calibri" w:hAnsi="Times New Roman"/>
                <w:lang w:val="en-US"/>
              </w:rPr>
              <w:t>в защитената зона отговарят на посочените критерии. Според наличните данни за вида, той се среща моза</w:t>
            </w:r>
            <w:r w:rsidRPr="003774E5">
              <w:rPr>
                <w:rFonts w:ascii="Times New Roman" w:eastAsia="Calibri" w:hAnsi="Times New Roman"/>
              </w:rPr>
              <w:t>е</w:t>
            </w:r>
            <w:r w:rsidRPr="003774E5">
              <w:rPr>
                <w:rFonts w:ascii="Times New Roman" w:eastAsia="Calibri" w:hAnsi="Times New Roman"/>
                <w:lang w:val="en-US"/>
              </w:rPr>
              <w:t>чно в зоната с агрегации при подходящ субстрат.</w:t>
            </w:r>
          </w:p>
        </w:tc>
        <w:tc>
          <w:tcPr>
            <w:tcW w:w="1039" w:type="pct"/>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Поддържане на речната мрежа, представляваща подходящо местообитание, обитавано от вида, най-малко </w:t>
            </w:r>
            <w:r w:rsidRPr="003774E5">
              <w:rPr>
                <w:rFonts w:ascii="Times New Roman" w:eastAsia="Calibri" w:hAnsi="Times New Roman"/>
              </w:rPr>
              <w:t>3</w:t>
            </w:r>
            <w:r w:rsidRPr="003774E5">
              <w:rPr>
                <w:rFonts w:ascii="Times New Roman" w:eastAsia="Calibri" w:hAnsi="Times New Roman"/>
                <w:lang w:val="en-US"/>
              </w:rPr>
              <w:t xml:space="preserve"> км. </w:t>
            </w:r>
          </w:p>
          <w:p w:rsidR="00EC5D51" w:rsidRPr="003774E5" w:rsidRDefault="00EC5D51" w:rsidP="00EC5D51">
            <w:pPr>
              <w:spacing w:before="120" w:after="120" w:line="240" w:lineRule="auto"/>
              <w:jc w:val="both"/>
              <w:rPr>
                <w:rFonts w:ascii="Times New Roman" w:eastAsia="Calibri" w:hAnsi="Times New Roman"/>
                <w:lang w:val="en-US"/>
              </w:rPr>
            </w:pPr>
          </w:p>
          <w:p w:rsidR="00EC5D51" w:rsidRPr="003774E5" w:rsidRDefault="00EC5D51" w:rsidP="00EC5D51">
            <w:pPr>
              <w:spacing w:before="120" w:after="120" w:line="240" w:lineRule="auto"/>
              <w:jc w:val="both"/>
              <w:rPr>
                <w:rFonts w:ascii="Times New Roman" w:eastAsia="Calibri" w:hAnsi="Times New Roman"/>
                <w:lang w:val="en-US"/>
              </w:rPr>
            </w:pPr>
          </w:p>
        </w:tc>
      </w:tr>
      <w:tr w:rsidR="00EC5D51" w:rsidRPr="003774E5" w:rsidTr="003774E5">
        <w:trPr>
          <w:jc w:val="center"/>
        </w:trPr>
        <w:tc>
          <w:tcPr>
            <w:tcW w:w="756" w:type="pct"/>
            <w:shd w:val="clear" w:color="auto" w:fill="auto"/>
          </w:tcPr>
          <w:p w:rsidR="00EC5D51" w:rsidRPr="003774E5" w:rsidRDefault="00EC5D51" w:rsidP="00EC5D51">
            <w:pPr>
              <w:spacing w:before="120" w:after="120" w:line="240" w:lineRule="auto"/>
              <w:jc w:val="both"/>
              <w:rPr>
                <w:rFonts w:ascii="Times New Roman" w:eastAsia="Calibri" w:hAnsi="Times New Roman"/>
                <w:b/>
                <w:lang w:val="en-US"/>
              </w:rPr>
            </w:pPr>
            <w:r w:rsidRPr="003774E5">
              <w:rPr>
                <w:rFonts w:ascii="Times New Roman" w:eastAsia="Calibri" w:hAnsi="Times New Roman"/>
                <w:b/>
                <w:lang w:val="en-US"/>
              </w:rPr>
              <w:t xml:space="preserve">Местообитание на вида: </w:t>
            </w:r>
          </w:p>
          <w:p w:rsidR="00EC5D51" w:rsidRPr="003774E5" w:rsidRDefault="00EC5D51" w:rsidP="00EC5D51">
            <w:pPr>
              <w:spacing w:before="120" w:after="120" w:line="240" w:lineRule="auto"/>
              <w:jc w:val="both"/>
              <w:rPr>
                <w:rFonts w:ascii="Times New Roman" w:eastAsia="Calibri" w:hAnsi="Times New Roman"/>
                <w:b/>
                <w:lang w:val="en-US"/>
              </w:rPr>
            </w:pPr>
            <w:r w:rsidRPr="003774E5">
              <w:rPr>
                <w:rFonts w:ascii="Times New Roman" w:eastAsia="Calibri" w:hAnsi="Times New Roman"/>
                <w:b/>
                <w:lang w:val="en-US"/>
              </w:rPr>
              <w:t xml:space="preserve">Степен на свързаност на местообитанието на вида </w:t>
            </w:r>
          </w:p>
          <w:p w:rsidR="00EC5D51" w:rsidRPr="003774E5" w:rsidRDefault="00EC5D51" w:rsidP="00EC5D51">
            <w:pPr>
              <w:spacing w:before="120" w:after="120" w:line="240" w:lineRule="auto"/>
              <w:jc w:val="both"/>
              <w:rPr>
                <w:rFonts w:ascii="Times New Roman" w:eastAsia="Calibri" w:hAnsi="Times New Roman"/>
                <w:b/>
                <w:lang w:val="en-US"/>
              </w:rPr>
            </w:pPr>
          </w:p>
          <w:p w:rsidR="00EC5D51" w:rsidRPr="003774E5" w:rsidRDefault="00EC5D51" w:rsidP="00EC5D51">
            <w:pPr>
              <w:spacing w:before="120" w:after="120" w:line="240" w:lineRule="auto"/>
              <w:jc w:val="both"/>
              <w:rPr>
                <w:rFonts w:ascii="Times New Roman" w:eastAsia="Calibri" w:hAnsi="Times New Roman"/>
                <w:b/>
                <w:lang w:val="en-US"/>
              </w:rPr>
            </w:pPr>
          </w:p>
        </w:tc>
        <w:tc>
          <w:tcPr>
            <w:tcW w:w="714"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5 степенна скала за всяка бариера </w:t>
            </w:r>
          </w:p>
        </w:tc>
        <w:tc>
          <w:tcPr>
            <w:tcW w:w="634"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Степен 1</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за всяка бариера</w:t>
            </w:r>
          </w:p>
        </w:tc>
        <w:tc>
          <w:tcPr>
            <w:tcW w:w="1857"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w:t>
            </w:r>
            <w:r w:rsidRPr="003774E5">
              <w:rPr>
                <w:rFonts w:ascii="Times New Roman" w:eastAsia="Calibri" w:hAnsi="Times New Roman"/>
                <w:lang w:val="en-US"/>
              </w:rPr>
              <w:lastRenderedPageBreak/>
              <w:t xml:space="preserve">състояние на повърхностните водни тела”. </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Натискът от изграждане на миграционни бариери е оценен съгласно приетите критерии, използвайки 5 степенна скала.</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На базата на информацията в ПУБР 2016-2021 г. и пробонабирането през 2021г.,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9" w:type="pct"/>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lastRenderedPageBreak/>
              <w:t xml:space="preserve">Поддържане на свързаност на местообитанието на вида от Степен 1 за всяка бариера в речния участък. </w:t>
            </w:r>
          </w:p>
        </w:tc>
      </w:tr>
      <w:tr w:rsidR="00EC5D51" w:rsidRPr="003774E5" w:rsidTr="003774E5">
        <w:trPr>
          <w:jc w:val="center"/>
        </w:trPr>
        <w:tc>
          <w:tcPr>
            <w:tcW w:w="756" w:type="pct"/>
            <w:shd w:val="clear" w:color="auto" w:fill="auto"/>
          </w:tcPr>
          <w:p w:rsidR="00EC5D51" w:rsidRPr="003774E5" w:rsidRDefault="00EC5D51" w:rsidP="00EC5D51">
            <w:pPr>
              <w:spacing w:before="120" w:after="120" w:line="240" w:lineRule="auto"/>
              <w:jc w:val="both"/>
              <w:rPr>
                <w:rFonts w:ascii="Times New Roman" w:eastAsia="Calibri" w:hAnsi="Times New Roman"/>
                <w:b/>
                <w:lang w:val="en-US"/>
              </w:rPr>
            </w:pPr>
            <w:r w:rsidRPr="003774E5">
              <w:rPr>
                <w:rFonts w:ascii="Times New Roman" w:eastAsia="Calibri" w:hAnsi="Times New Roman"/>
                <w:b/>
                <w:lang w:val="en-US"/>
              </w:rPr>
              <w:lastRenderedPageBreak/>
              <w:t xml:space="preserve">Местообитание на вида: Екологично 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714"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5 степенна скала за екологично състояние съгласно РДВ </w:t>
            </w:r>
          </w:p>
        </w:tc>
        <w:tc>
          <w:tcPr>
            <w:tcW w:w="634" w:type="pct"/>
            <w:shd w:val="clear" w:color="auto" w:fill="auto"/>
          </w:tcPr>
          <w:p w:rsidR="00EC5D51" w:rsidRPr="00051A9F" w:rsidRDefault="00EC5D51" w:rsidP="00051A9F">
            <w:pPr>
              <w:spacing w:before="120" w:after="120" w:line="240" w:lineRule="auto"/>
              <w:jc w:val="both"/>
              <w:rPr>
                <w:rFonts w:ascii="Times New Roman" w:eastAsia="Calibri" w:hAnsi="Times New Roman"/>
              </w:rPr>
            </w:pPr>
            <w:r w:rsidRPr="003774E5">
              <w:rPr>
                <w:rFonts w:ascii="Times New Roman" w:eastAsia="Calibri" w:hAnsi="Times New Roman"/>
                <w:lang w:val="en-US"/>
              </w:rPr>
              <w:t xml:space="preserve">По-висока или равна на 2 – </w:t>
            </w:r>
            <w:r w:rsidR="00051A9F">
              <w:rPr>
                <w:rFonts w:ascii="Times New Roman" w:eastAsia="Calibri" w:hAnsi="Times New Roman"/>
              </w:rPr>
              <w:t>Добър потенциал</w:t>
            </w:r>
          </w:p>
        </w:tc>
        <w:tc>
          <w:tcPr>
            <w:tcW w:w="1857" w:type="pct"/>
            <w:shd w:val="clear" w:color="auto" w:fill="auto"/>
          </w:tcPr>
          <w:p w:rsidR="00EC5D51" w:rsidRPr="003774E5" w:rsidRDefault="00EC5D51" w:rsidP="00EC5D51">
            <w:pPr>
              <w:spacing w:after="0" w:line="240" w:lineRule="auto"/>
              <w:jc w:val="both"/>
              <w:rPr>
                <w:rFonts w:ascii="Times New Roman" w:eastAsia="Calibri" w:hAnsi="Times New Roman"/>
                <w:lang w:val="en-US"/>
              </w:rPr>
            </w:pPr>
            <w:r w:rsidRPr="003774E5">
              <w:rPr>
                <w:rFonts w:ascii="Times New Roman" w:eastAsia="Calibri" w:hAnsi="Times New Roman"/>
                <w:lang w:val="en-US"/>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„сапробичен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w:t>
            </w:r>
            <w:r w:rsidRPr="003774E5">
              <w:rPr>
                <w:rFonts w:ascii="Times New Roman" w:eastAsia="Calibri" w:hAnsi="Times New Roman"/>
              </w:rPr>
              <w:t xml:space="preserve">(ЕС) или екологичният потенциал (ЕП) </w:t>
            </w:r>
            <w:r w:rsidRPr="003774E5">
              <w:rPr>
                <w:rFonts w:ascii="Times New Roman" w:eastAsia="Calibri" w:hAnsi="Times New Roman"/>
                <w:lang w:val="en-US"/>
              </w:rPr>
              <w:t xml:space="preserve">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EC5D51" w:rsidRPr="003774E5" w:rsidTr="00EC5D51">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EC5D51" w:rsidRPr="003774E5" w:rsidRDefault="00EC5D51" w:rsidP="00EC5D51">
                  <w:pPr>
                    <w:spacing w:after="0" w:line="240" w:lineRule="auto"/>
                    <w:jc w:val="center"/>
                    <w:rPr>
                      <w:rFonts w:ascii="Times New Roman" w:eastAsia="Calibri" w:hAnsi="Times New Roman"/>
                      <w:b/>
                      <w:bCs/>
                      <w:color w:val="000000"/>
                    </w:rPr>
                  </w:pPr>
                  <w:r w:rsidRPr="003774E5">
                    <w:rPr>
                      <w:rFonts w:ascii="Times New Roman" w:eastAsia="Calibri" w:hAnsi="Times New Roman"/>
                      <w:b/>
                      <w:bCs/>
                      <w:color w:val="000000"/>
                    </w:rPr>
                    <w:t>ЕС/ЕП</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EC5D51" w:rsidRPr="003774E5" w:rsidRDefault="00EC5D51" w:rsidP="00EC5D51">
                  <w:pPr>
                    <w:spacing w:after="0" w:line="240" w:lineRule="auto"/>
                    <w:jc w:val="center"/>
                    <w:rPr>
                      <w:rFonts w:ascii="Times New Roman" w:eastAsia="Calibri" w:hAnsi="Times New Roman"/>
                      <w:color w:val="000000"/>
                      <w:lang w:val="en-US"/>
                    </w:rPr>
                  </w:pPr>
                  <w:r w:rsidRPr="003774E5">
                    <w:rPr>
                      <w:rFonts w:ascii="Times New Roman" w:eastAsia="Calibri" w:hAnsi="Times New Roman"/>
                      <w:color w:val="000000"/>
                      <w:lang w:val="en-US"/>
                    </w:rPr>
                    <w:t>1 - Отлично</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EC5D51" w:rsidRPr="003774E5" w:rsidRDefault="00EC5D51" w:rsidP="00EC5D51">
                  <w:pPr>
                    <w:spacing w:after="0" w:line="240" w:lineRule="auto"/>
                    <w:jc w:val="center"/>
                    <w:rPr>
                      <w:rFonts w:ascii="Times New Roman" w:eastAsia="Calibri" w:hAnsi="Times New Roman"/>
                      <w:color w:val="000000"/>
                      <w:lang w:val="en-US"/>
                    </w:rPr>
                  </w:pPr>
                  <w:r w:rsidRPr="003774E5">
                    <w:rPr>
                      <w:rFonts w:ascii="Times New Roman" w:eastAsia="Calibri" w:hAnsi="Times New Roman"/>
                      <w:color w:val="000000"/>
                      <w:lang w:val="en-US"/>
                    </w:rPr>
                    <w:t>2 - Добро</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C5D51" w:rsidRPr="003774E5" w:rsidRDefault="00EC5D51" w:rsidP="00EC5D51">
                  <w:pPr>
                    <w:spacing w:after="0" w:line="240" w:lineRule="auto"/>
                    <w:jc w:val="center"/>
                    <w:rPr>
                      <w:rFonts w:ascii="Times New Roman" w:eastAsia="Calibri" w:hAnsi="Times New Roman"/>
                      <w:color w:val="000000"/>
                      <w:lang w:val="en-US"/>
                    </w:rPr>
                  </w:pPr>
                  <w:r w:rsidRPr="003774E5">
                    <w:rPr>
                      <w:rFonts w:ascii="Times New Roman" w:eastAsia="Calibri" w:hAnsi="Times New Roman"/>
                      <w:color w:val="000000"/>
                      <w:lang w:val="en-US"/>
                    </w:rPr>
                    <w:t>3 - Умерено</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C5D51" w:rsidRPr="003774E5" w:rsidRDefault="00EC5D51" w:rsidP="00EC5D51">
                  <w:pPr>
                    <w:spacing w:after="0" w:line="240" w:lineRule="auto"/>
                    <w:jc w:val="center"/>
                    <w:rPr>
                      <w:rFonts w:ascii="Times New Roman" w:eastAsia="Calibri" w:hAnsi="Times New Roman"/>
                      <w:color w:val="000000"/>
                      <w:lang w:val="en-US"/>
                    </w:rPr>
                  </w:pPr>
                  <w:r w:rsidRPr="003774E5">
                    <w:rPr>
                      <w:rFonts w:ascii="Times New Roman" w:eastAsia="Calibri" w:hAnsi="Times New Roman"/>
                      <w:color w:val="000000"/>
                      <w:lang w:val="en-US"/>
                    </w:rPr>
                    <w:t>4 - Лошо</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C5D51" w:rsidRPr="003774E5" w:rsidRDefault="00EC5D51" w:rsidP="00EC5D51">
                  <w:pPr>
                    <w:spacing w:after="0" w:line="240" w:lineRule="auto"/>
                    <w:jc w:val="center"/>
                    <w:rPr>
                      <w:rFonts w:ascii="Times New Roman" w:eastAsia="Calibri" w:hAnsi="Times New Roman"/>
                      <w:color w:val="000000"/>
                      <w:lang w:val="en-US"/>
                    </w:rPr>
                  </w:pPr>
                  <w:r w:rsidRPr="003774E5">
                    <w:rPr>
                      <w:rFonts w:ascii="Times New Roman" w:eastAsia="Calibri" w:hAnsi="Times New Roman"/>
                      <w:color w:val="000000"/>
                      <w:lang w:val="en-US"/>
                    </w:rPr>
                    <w:lastRenderedPageBreak/>
                    <w:t>5 - Много лошо</w:t>
                  </w:r>
                </w:p>
              </w:tc>
            </w:tr>
          </w:tbl>
          <w:p w:rsidR="00EC5D51" w:rsidRPr="003774E5" w:rsidRDefault="00051A9F" w:rsidP="00EC5D51">
            <w:pPr>
              <w:spacing w:before="120" w:after="120" w:line="240" w:lineRule="auto"/>
              <w:jc w:val="both"/>
              <w:rPr>
                <w:rFonts w:ascii="Times New Roman" w:eastAsia="Calibri" w:hAnsi="Times New Roman"/>
                <w:lang w:val="en-US"/>
              </w:rPr>
            </w:pPr>
            <w:r w:rsidRPr="00760D2A">
              <w:rPr>
                <w:rFonts w:ascii="Times New Roman" w:eastAsia="Calibri" w:hAnsi="Times New Roman"/>
              </w:rPr>
              <w:t>Съгласно ПУРБ 2016-2021 г. целият български участък от р. Дунав представлява силно модифицирано водно тяло, с код (</w:t>
            </w:r>
            <w:hyperlink r:id="rId105" w:history="1">
              <w:r w:rsidRPr="00760D2A">
                <w:rPr>
                  <w:rFonts w:ascii="Times New Roman" w:eastAsia="Calibri" w:hAnsi="Times New Roman"/>
                  <w:color w:val="0000FF"/>
                  <w:u w:val="single"/>
                </w:rPr>
                <w:t>http://www.bd-dunav.org/uploads/content/files/upravlenie-na-vodite/PURB-2016-2021-final/Razdel-1/prilojenia_R1/Pril_1244.pdf</w:t>
              </w:r>
            </w:hyperlink>
            <w:r w:rsidRPr="00760D2A">
              <w:rPr>
                <w:rFonts w:ascii="Times New Roman" w:eastAsia="Calibri" w:hAnsi="Times New Roman"/>
              </w:rPr>
              <w:t>).Екологичният потенциал на р. Дунав е оценен като Умерен, (3),  (</w:t>
            </w:r>
            <w:hyperlink r:id="rId106" w:history="1">
              <w:r w:rsidRPr="00760D2A">
                <w:rPr>
                  <w:rFonts w:ascii="Times New Roman" w:eastAsia="Calibri" w:hAnsi="Times New Roman"/>
                  <w:color w:val="0000FF"/>
                  <w:u w:val="single"/>
                </w:rPr>
                <w:t>https://www.eea.europa.eu/data-and-maps/explore-interactive-maps/water-framework-directive-quality-elements?utm_source=EEASubscriptions&amp;utm_medium=RSSFeeds&amp;utm_campaign=Generic</w:t>
              </w:r>
            </w:hyperlink>
            <w:r w:rsidRPr="00760D2A">
              <w:rPr>
                <w:rFonts w:ascii="Times New Roman" w:eastAsia="Calibri" w:hAnsi="Times New Roman"/>
              </w:rPr>
              <w:t>)</w:t>
            </w:r>
            <w:r w:rsidR="00EC5D51" w:rsidRPr="003774E5">
              <w:rPr>
                <w:rFonts w:ascii="Times New Roman" w:eastAsia="Calibri" w:hAnsi="Times New Roman"/>
                <w:lang w:val="en-US"/>
              </w:rPr>
              <w:t>.</w:t>
            </w:r>
          </w:p>
        </w:tc>
        <w:tc>
          <w:tcPr>
            <w:tcW w:w="1039" w:type="pct"/>
          </w:tcPr>
          <w:p w:rsidR="00EC5D51" w:rsidRPr="00051A9F"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lang w:val="en-US"/>
              </w:rPr>
              <w:lastRenderedPageBreak/>
              <w:t xml:space="preserve">Постигане и поддържане на екологичния потенциал на участъка от р. Дунав в границата на зоната на стойност от по-висока или равна на 2 – Добър </w:t>
            </w:r>
            <w:r w:rsidR="00051A9F">
              <w:rPr>
                <w:rFonts w:ascii="Times New Roman" w:eastAsia="Calibri" w:hAnsi="Times New Roman"/>
              </w:rPr>
              <w:t>потенциал</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Междинна цел:</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Установяване на източниците на замърсяване в и извън зоната, които могат да повлияят на популацията на вида.</w:t>
            </w:r>
          </w:p>
        </w:tc>
      </w:tr>
      <w:tr w:rsidR="00EC5D51" w:rsidRPr="003774E5" w:rsidTr="003774E5">
        <w:trPr>
          <w:jc w:val="center"/>
        </w:trPr>
        <w:tc>
          <w:tcPr>
            <w:tcW w:w="756" w:type="pct"/>
            <w:shd w:val="clear" w:color="auto" w:fill="auto"/>
          </w:tcPr>
          <w:p w:rsidR="00EC5D51" w:rsidRPr="003774E5" w:rsidRDefault="00EC5D51" w:rsidP="00EC5D51">
            <w:pPr>
              <w:spacing w:before="120" w:after="120" w:line="240" w:lineRule="auto"/>
              <w:jc w:val="both"/>
              <w:rPr>
                <w:rFonts w:ascii="Times New Roman" w:eastAsia="Calibri" w:hAnsi="Times New Roman"/>
                <w:b/>
                <w:lang w:val="en-US"/>
              </w:rPr>
            </w:pPr>
            <w:r w:rsidRPr="003774E5">
              <w:rPr>
                <w:rFonts w:ascii="Times New Roman" w:eastAsia="Calibri" w:hAnsi="Times New Roman"/>
                <w:b/>
                <w:lang w:val="en-US"/>
              </w:rPr>
              <w:lastRenderedPageBreak/>
              <w:t>Местообитание на вида: естествено структуриран субстрат в подходящите местообитания на вида</w:t>
            </w:r>
          </w:p>
        </w:tc>
        <w:tc>
          <w:tcPr>
            <w:tcW w:w="714"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Съотношение в % от дължината на речните участъци с подходящи  местообитания на вида и с естествено структуриран субстрат, съотнесен към общата дължина на речните участъци с подходящи местообитания за вида</w:t>
            </w:r>
          </w:p>
        </w:tc>
        <w:tc>
          <w:tcPr>
            <w:tcW w:w="634"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95% от дължината на речните участъци с подходящи местообитания за вида имат естественоструктуриран субстрат</w:t>
            </w:r>
          </w:p>
        </w:tc>
        <w:tc>
          <w:tcPr>
            <w:tcW w:w="1857"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Представлява бентосен псам</w:t>
            </w:r>
            <w:r w:rsidRPr="003774E5">
              <w:rPr>
                <w:rFonts w:ascii="Times New Roman" w:eastAsia="Calibri" w:hAnsi="Times New Roman"/>
              </w:rPr>
              <w:t xml:space="preserve">пелофилен </w:t>
            </w:r>
            <w:r w:rsidRPr="003774E5">
              <w:rPr>
                <w:rFonts w:ascii="Times New Roman" w:eastAsia="Calibri" w:hAnsi="Times New Roman"/>
                <w:lang w:val="en-US"/>
              </w:rPr>
              <w:t>вид. През ла</w:t>
            </w:r>
            <w:r w:rsidRPr="003774E5">
              <w:rPr>
                <w:rFonts w:ascii="Times New Roman" w:eastAsia="Calibri" w:hAnsi="Times New Roman"/>
              </w:rPr>
              <w:t>р</w:t>
            </w:r>
            <w:r w:rsidRPr="003774E5">
              <w:rPr>
                <w:rFonts w:ascii="Times New Roman" w:eastAsia="Calibri" w:hAnsi="Times New Roman"/>
                <w:lang w:val="en-US"/>
              </w:rPr>
              <w:t>вния период живее заровен в субстрата. В България актуалното разпространение на вида е ограничено само в р. Дунав и най-долните течения на някои притоци, където е местообитанието на ларвите – в тихи крайбрежни участъци с фино структурирано дъно. През размножителния период видът извършва локални миграции към по-горните участъци на реките, с бързо течение и чакълесто дъно. В тази връзка, поддържането на естествената структура на дънния субстрат в подходящите местообитания на вида е важно за неговото състояние.</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Фактори, водещи до нарушаване на естествената структура на дънния субстрат, са:</w:t>
            </w:r>
          </w:p>
          <w:p w:rsidR="00EC5D51" w:rsidRPr="003774E5" w:rsidRDefault="00EC5D51" w:rsidP="00635999">
            <w:pPr>
              <w:numPr>
                <w:ilvl w:val="0"/>
                <w:numId w:val="15"/>
              </w:num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Отстраняване на чакъл и пясък от коритото на реката;</w:t>
            </w:r>
          </w:p>
          <w:p w:rsidR="00EC5D51" w:rsidRPr="003774E5" w:rsidRDefault="00EC5D51" w:rsidP="00635999">
            <w:pPr>
              <w:numPr>
                <w:ilvl w:val="0"/>
                <w:numId w:val="15"/>
              </w:num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Изкопаване на речното </w:t>
            </w:r>
            <w:r w:rsidRPr="003774E5">
              <w:rPr>
                <w:rFonts w:ascii="Times New Roman" w:eastAsia="Calibri" w:hAnsi="Times New Roman"/>
                <w:lang w:val="en-US"/>
              </w:rPr>
              <w:lastRenderedPageBreak/>
              <w:t>корито, водещо до ускоряване на водния поток и отстраняване на субстрата;</w:t>
            </w:r>
          </w:p>
          <w:p w:rsidR="00EC5D51" w:rsidRPr="003774E5" w:rsidRDefault="00EC5D51" w:rsidP="00635999">
            <w:pPr>
              <w:numPr>
                <w:ilvl w:val="0"/>
                <w:numId w:val="15"/>
              </w:num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Изграждане на хидротехнически съоръжения, водещи до забавяне на водния поток и задържане на утайки.</w:t>
            </w:r>
          </w:p>
          <w:p w:rsidR="00EC5D51" w:rsidRPr="003774E5" w:rsidRDefault="00EC5D51" w:rsidP="00635999">
            <w:pPr>
              <w:numPr>
                <w:ilvl w:val="0"/>
                <w:numId w:val="15"/>
              </w:num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др.</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Не е установен натиск в зоната по този параметър над 5%.</w:t>
            </w:r>
          </w:p>
        </w:tc>
        <w:tc>
          <w:tcPr>
            <w:tcW w:w="1039" w:type="pct"/>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lastRenderedPageBreak/>
              <w:t>Поддържане на 95 % от дължината на речните участъци с подходящи местообитания за вида да са с естествено структуриран субстрат.</w:t>
            </w:r>
          </w:p>
        </w:tc>
      </w:tr>
    </w:tbl>
    <w:p w:rsidR="00EC5D51" w:rsidRPr="00EC5D51" w:rsidRDefault="00EC5D51" w:rsidP="00EC5D51">
      <w:pPr>
        <w:spacing w:after="0" w:line="240" w:lineRule="auto"/>
        <w:jc w:val="both"/>
        <w:rPr>
          <w:rFonts w:ascii="Times New Roman" w:eastAsia="Calibri" w:hAnsi="Times New Roman"/>
          <w:b/>
          <w:sz w:val="24"/>
          <w:szCs w:val="24"/>
          <w:lang w:val="en-US"/>
        </w:rPr>
      </w:pPr>
    </w:p>
    <w:p w:rsidR="00EC5D51" w:rsidRPr="003774E5" w:rsidRDefault="00EC5D51" w:rsidP="00EC5D51">
      <w:pPr>
        <w:spacing w:after="0" w:line="240" w:lineRule="auto"/>
        <w:jc w:val="both"/>
        <w:rPr>
          <w:rFonts w:ascii="Times New Roman" w:eastAsia="Calibri" w:hAnsi="Times New Roman"/>
          <w:b/>
          <w:sz w:val="24"/>
          <w:szCs w:val="24"/>
        </w:rPr>
      </w:pPr>
      <w:r w:rsidRPr="00EC5D51">
        <w:rPr>
          <w:rFonts w:ascii="Times New Roman" w:eastAsia="Calibri" w:hAnsi="Times New Roman"/>
          <w:b/>
          <w:sz w:val="24"/>
          <w:szCs w:val="24"/>
          <w:lang w:val="en-US"/>
        </w:rPr>
        <w:t>7. Необходимост от актуали</w:t>
      </w:r>
      <w:r w:rsidR="003774E5">
        <w:rPr>
          <w:rFonts w:ascii="Times New Roman" w:eastAsia="Calibri" w:hAnsi="Times New Roman"/>
          <w:b/>
          <w:sz w:val="24"/>
          <w:szCs w:val="24"/>
          <w:lang w:val="en-US"/>
        </w:rPr>
        <w:t>зация на СФ на защитената зона</w:t>
      </w:r>
    </w:p>
    <w:p w:rsidR="00051A9F" w:rsidRPr="0061058D" w:rsidRDefault="00051A9F" w:rsidP="00051A9F">
      <w:pPr>
        <w:spacing w:after="0" w:line="240" w:lineRule="auto"/>
        <w:ind w:firstLine="709"/>
        <w:jc w:val="both"/>
        <w:rPr>
          <w:rFonts w:ascii="Times New Roman" w:eastAsia="Calibri" w:hAnsi="Times New Roman"/>
          <w:sz w:val="24"/>
          <w:szCs w:val="24"/>
        </w:rPr>
      </w:pPr>
      <w:r>
        <w:rPr>
          <w:rFonts w:ascii="Times New Roman" w:eastAsia="Calibri" w:hAnsi="Times New Roman"/>
          <w:sz w:val="24"/>
          <w:szCs w:val="24"/>
        </w:rPr>
        <w:t>В съответствие с утвърдената</w:t>
      </w:r>
      <w:r w:rsidRPr="0061058D">
        <w:rPr>
          <w:rFonts w:ascii="Times New Roman" w:eastAsia="Calibri" w:hAnsi="Times New Roman"/>
          <w:sz w:val="24"/>
          <w:szCs w:val="24"/>
        </w:rPr>
        <w:t xml:space="preserve"> методика за мониторинг на риби</w:t>
      </w:r>
      <w:r>
        <w:rPr>
          <w:rFonts w:ascii="Times New Roman" w:eastAsia="Calibri" w:hAnsi="Times New Roman"/>
          <w:sz w:val="24"/>
          <w:szCs w:val="24"/>
          <w:lang w:val="en-US"/>
        </w:rPr>
        <w:t xml:space="preserve"> </w:t>
      </w:r>
      <w:r>
        <w:rPr>
          <w:rFonts w:ascii="Times New Roman" w:eastAsia="Calibri" w:hAnsi="Times New Roman"/>
          <w:sz w:val="24"/>
          <w:szCs w:val="24"/>
        </w:rPr>
        <w:t>в р. Дунав</w:t>
      </w:r>
      <w:r w:rsidRPr="0061058D">
        <w:rPr>
          <w:rFonts w:ascii="Times New Roman" w:eastAsia="Calibri" w:hAnsi="Times New Roman"/>
          <w:sz w:val="24"/>
          <w:szCs w:val="24"/>
        </w:rPr>
        <w:t xml:space="preserve">, най-подходящата популационна единица за определянето на състоянието на вида е индивиди на хектар. </w:t>
      </w:r>
      <w:r w:rsidRPr="006F443B">
        <w:rPr>
          <w:rFonts w:ascii="Times New Roman" w:eastAsia="Calibri" w:hAnsi="Times New Roman"/>
          <w:sz w:val="24"/>
          <w:szCs w:val="24"/>
        </w:rPr>
        <w:t>Тази единица обаче засега не е приета за оценка на видове риби при докладванията в ЕК. Затова, като се има предвид високата сезонна вариабилност на числеността на вида в зоната и с оглед унифицирането на подхода за внасянето на данни в СФ на този етап като единица за оценка се използва „Площ“ (area) на местообитанията“</w:t>
      </w:r>
      <w:r w:rsidRPr="0061058D">
        <w:rPr>
          <w:rFonts w:ascii="Times New Roman" w:eastAsia="Calibri" w:hAnsi="Times New Roman"/>
          <w:sz w:val="24"/>
          <w:szCs w:val="24"/>
        </w:rPr>
        <w:t>, като е уточнена площта н</w:t>
      </w:r>
      <w:r>
        <w:rPr>
          <w:rFonts w:ascii="Times New Roman" w:eastAsia="Calibri" w:hAnsi="Times New Roman"/>
          <w:sz w:val="24"/>
          <w:szCs w:val="24"/>
        </w:rPr>
        <w:t>а участъка от р. Дунав в зоната.</w:t>
      </w:r>
    </w:p>
    <w:p w:rsidR="00EC5D51" w:rsidRPr="00EC5D51" w:rsidRDefault="00EC5D51" w:rsidP="00EC5D51">
      <w:pPr>
        <w:spacing w:after="0" w:line="240" w:lineRule="auto"/>
        <w:jc w:val="both"/>
        <w:rPr>
          <w:rFonts w:ascii="Times New Roman" w:eastAsia="Calibri" w:hAnsi="Times New Roman"/>
          <w:sz w:val="24"/>
          <w:szCs w:val="24"/>
          <w:lang w:val="en-US"/>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31"/>
        <w:gridCol w:w="587"/>
        <w:gridCol w:w="1131"/>
        <w:gridCol w:w="262"/>
        <w:gridCol w:w="659"/>
        <w:gridCol w:w="310"/>
        <w:gridCol w:w="631"/>
        <w:gridCol w:w="716"/>
        <w:gridCol w:w="532"/>
        <w:gridCol w:w="519"/>
        <w:gridCol w:w="1064"/>
        <w:gridCol w:w="796"/>
        <w:gridCol w:w="553"/>
        <w:gridCol w:w="471"/>
        <w:gridCol w:w="782"/>
      </w:tblGrid>
      <w:tr w:rsidR="00EC5D51" w:rsidRPr="00EC5D51" w:rsidTr="00051A9F">
        <w:trPr>
          <w:tblCellSpacing w:w="15" w:type="dxa"/>
        </w:trPr>
        <w:tc>
          <w:tcPr>
            <w:tcW w:w="1562"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Species </w:t>
            </w:r>
          </w:p>
        </w:tc>
        <w:tc>
          <w:tcPr>
            <w:tcW w:w="2000"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Population in the site </w:t>
            </w:r>
          </w:p>
        </w:tc>
        <w:tc>
          <w:tcPr>
            <w:tcW w:w="1374"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Site assessment </w:t>
            </w:r>
          </w:p>
        </w:tc>
      </w:tr>
      <w:tr w:rsidR="00EC5D51" w:rsidRPr="00EC5D51" w:rsidTr="00051A9F">
        <w:trPr>
          <w:tblCellSpacing w:w="15" w:type="dxa"/>
        </w:trPr>
        <w:tc>
          <w:tcPr>
            <w:tcW w:w="160"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G </w:t>
            </w:r>
          </w:p>
        </w:tc>
        <w:tc>
          <w:tcPr>
            <w:tcW w:w="310"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Code </w:t>
            </w:r>
          </w:p>
        </w:tc>
        <w:tc>
          <w:tcPr>
            <w:tcW w:w="613"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Scientific Name </w:t>
            </w:r>
          </w:p>
        </w:tc>
        <w:tc>
          <w:tcPr>
            <w:tcW w:w="129"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 </w:t>
            </w:r>
          </w:p>
        </w:tc>
        <w:tc>
          <w:tcPr>
            <w:tcW w:w="286"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NP </w:t>
            </w:r>
          </w:p>
        </w:tc>
        <w:tc>
          <w:tcPr>
            <w:tcW w:w="156"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T </w:t>
            </w:r>
          </w:p>
        </w:tc>
        <w:tc>
          <w:tcPr>
            <w:tcW w:w="717" w:type="pct"/>
            <w:gridSpan w:val="2"/>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Size </w:t>
            </w:r>
          </w:p>
        </w:tc>
        <w:tc>
          <w:tcPr>
            <w:tcW w:w="27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Unit </w:t>
            </w:r>
          </w:p>
        </w:tc>
        <w:tc>
          <w:tcPr>
            <w:tcW w:w="27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Cat. </w:t>
            </w:r>
          </w:p>
        </w:tc>
        <w:tc>
          <w:tcPr>
            <w:tcW w:w="51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D.qual. </w:t>
            </w:r>
          </w:p>
        </w:tc>
        <w:tc>
          <w:tcPr>
            <w:tcW w:w="42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A|B|C </w:t>
            </w:r>
          </w:p>
        </w:tc>
      </w:tr>
      <w:tr w:rsidR="00EC5D51" w:rsidRPr="00EC5D51" w:rsidTr="00051A9F">
        <w:trPr>
          <w:tblCellSpacing w:w="15" w:type="dxa"/>
        </w:trPr>
        <w:tc>
          <w:tcPr>
            <w:tcW w:w="16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31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61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12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28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15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33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Min</w:t>
            </w:r>
          </w:p>
        </w:tc>
        <w:tc>
          <w:tcPr>
            <w:tcW w:w="36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Max</w:t>
            </w:r>
          </w:p>
        </w:tc>
        <w:tc>
          <w:tcPr>
            <w:tcW w:w="27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27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p>
        </w:tc>
        <w:tc>
          <w:tcPr>
            <w:tcW w:w="51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42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Pop.</w:t>
            </w:r>
          </w:p>
        </w:tc>
        <w:tc>
          <w:tcPr>
            <w:tcW w:w="291"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Con.</w:t>
            </w:r>
          </w:p>
        </w:tc>
        <w:tc>
          <w:tcPr>
            <w:tcW w:w="24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Iso.</w:t>
            </w:r>
          </w:p>
        </w:tc>
        <w:tc>
          <w:tcPr>
            <w:tcW w:w="36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Glo.</w:t>
            </w:r>
          </w:p>
        </w:tc>
      </w:tr>
      <w:tr w:rsidR="00051A9F" w:rsidRPr="00EC5D51" w:rsidTr="00051A9F">
        <w:trPr>
          <w:tblCellSpacing w:w="15" w:type="dxa"/>
        </w:trPr>
        <w:tc>
          <w:tcPr>
            <w:tcW w:w="16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51A9F" w:rsidRPr="00EC5D51" w:rsidRDefault="00051A9F"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F</w:t>
            </w:r>
          </w:p>
        </w:tc>
        <w:tc>
          <w:tcPr>
            <w:tcW w:w="31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51A9F" w:rsidRPr="00EC5D51" w:rsidRDefault="00051A9F"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2484</w:t>
            </w:r>
          </w:p>
        </w:tc>
        <w:tc>
          <w:tcPr>
            <w:tcW w:w="61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51A9F" w:rsidRPr="00EC5D51" w:rsidRDefault="00051A9F" w:rsidP="00EC5D51">
            <w:pPr>
              <w:spacing w:before="120" w:after="0" w:line="240" w:lineRule="auto"/>
              <w:jc w:val="both"/>
              <w:rPr>
                <w:rFonts w:ascii="Times New Roman" w:eastAsia="Calibri" w:hAnsi="Times New Roman"/>
                <w:b/>
                <w:bCs/>
                <w:i/>
                <w:sz w:val="16"/>
                <w:szCs w:val="16"/>
                <w:lang w:val="en-US"/>
              </w:rPr>
            </w:pPr>
            <w:r w:rsidRPr="00EC5D51">
              <w:rPr>
                <w:rFonts w:ascii="Times New Roman" w:eastAsia="Calibri" w:hAnsi="Times New Roman"/>
                <w:b/>
                <w:bCs/>
                <w:i/>
                <w:sz w:val="16"/>
                <w:szCs w:val="16"/>
                <w:lang w:val="en-US"/>
              </w:rPr>
              <w:t>Eudontomyzon mariae</w:t>
            </w:r>
          </w:p>
        </w:tc>
        <w:tc>
          <w:tcPr>
            <w:tcW w:w="12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51A9F" w:rsidRPr="00EC5D51" w:rsidRDefault="00051A9F" w:rsidP="00EC5D51">
            <w:pPr>
              <w:spacing w:before="120" w:after="0" w:line="240" w:lineRule="auto"/>
              <w:jc w:val="both"/>
              <w:rPr>
                <w:rFonts w:ascii="Times New Roman" w:eastAsia="Calibri" w:hAnsi="Times New Roman"/>
                <w:b/>
                <w:bCs/>
                <w:sz w:val="16"/>
                <w:szCs w:val="16"/>
                <w:lang w:val="en-US"/>
              </w:rPr>
            </w:pPr>
          </w:p>
        </w:tc>
        <w:tc>
          <w:tcPr>
            <w:tcW w:w="28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51A9F" w:rsidRPr="00EC5D51" w:rsidRDefault="00051A9F" w:rsidP="00EC5D51">
            <w:pPr>
              <w:spacing w:before="120" w:after="0" w:line="240" w:lineRule="auto"/>
              <w:jc w:val="both"/>
              <w:rPr>
                <w:rFonts w:ascii="Times New Roman" w:eastAsia="Calibri" w:hAnsi="Times New Roman"/>
                <w:b/>
                <w:bCs/>
                <w:sz w:val="16"/>
                <w:szCs w:val="16"/>
                <w:lang w:val="en-US"/>
              </w:rPr>
            </w:pPr>
          </w:p>
        </w:tc>
        <w:tc>
          <w:tcPr>
            <w:tcW w:w="15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51A9F" w:rsidRPr="00EC5D51" w:rsidRDefault="00051A9F"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Р</w:t>
            </w:r>
          </w:p>
        </w:tc>
        <w:tc>
          <w:tcPr>
            <w:tcW w:w="33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051A9F" w:rsidRPr="004B33EA" w:rsidRDefault="00051A9F" w:rsidP="00051A9F">
            <w:pPr>
              <w:spacing w:before="120" w:after="0" w:line="240" w:lineRule="auto"/>
              <w:jc w:val="both"/>
              <w:rPr>
                <w:rFonts w:ascii="Times New Roman" w:eastAsia="Calibri" w:hAnsi="Times New Roman"/>
                <w:b/>
                <w:bCs/>
                <w:color w:val="FF0000"/>
                <w:sz w:val="20"/>
                <w:szCs w:val="20"/>
              </w:rPr>
            </w:pPr>
            <w:r w:rsidRPr="004B33EA">
              <w:rPr>
                <w:rFonts w:ascii="Times New Roman" w:hAnsi="Times New Roman"/>
                <w:b/>
                <w:bCs/>
                <w:color w:val="FF0000"/>
                <w:sz w:val="20"/>
                <w:szCs w:val="20"/>
              </w:rPr>
              <w:t>593180</w:t>
            </w:r>
          </w:p>
        </w:tc>
        <w:tc>
          <w:tcPr>
            <w:tcW w:w="36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051A9F" w:rsidRPr="004B33EA" w:rsidRDefault="00051A9F" w:rsidP="00051A9F">
            <w:pPr>
              <w:spacing w:before="120" w:after="0" w:line="240" w:lineRule="auto"/>
              <w:jc w:val="both"/>
              <w:rPr>
                <w:rFonts w:ascii="Times New Roman" w:eastAsia="Calibri" w:hAnsi="Times New Roman"/>
                <w:b/>
                <w:bCs/>
                <w:color w:val="FF0000"/>
                <w:sz w:val="20"/>
                <w:szCs w:val="20"/>
              </w:rPr>
            </w:pPr>
            <w:r w:rsidRPr="004B33EA">
              <w:rPr>
                <w:rFonts w:ascii="Times New Roman" w:hAnsi="Times New Roman"/>
                <w:b/>
                <w:bCs/>
                <w:color w:val="FF0000"/>
                <w:sz w:val="20"/>
                <w:szCs w:val="20"/>
              </w:rPr>
              <w:t>593180</w:t>
            </w:r>
          </w:p>
        </w:tc>
        <w:tc>
          <w:tcPr>
            <w:tcW w:w="27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51A9F" w:rsidRPr="004B33EA" w:rsidRDefault="00051A9F" w:rsidP="00051A9F">
            <w:pPr>
              <w:spacing w:before="120" w:after="0" w:line="240" w:lineRule="auto"/>
              <w:jc w:val="both"/>
              <w:rPr>
                <w:rFonts w:ascii="Times New Roman" w:eastAsia="Calibri" w:hAnsi="Times New Roman"/>
                <w:b/>
                <w:bCs/>
                <w:color w:val="FF0000"/>
                <w:sz w:val="20"/>
                <w:szCs w:val="20"/>
                <w:lang w:val="en-US"/>
              </w:rPr>
            </w:pPr>
            <w:r w:rsidRPr="004B33EA">
              <w:rPr>
                <w:rFonts w:ascii="Times New Roman" w:eastAsia="Calibri" w:hAnsi="Times New Roman"/>
                <w:b/>
                <w:bCs/>
                <w:color w:val="FF0000"/>
                <w:sz w:val="20"/>
                <w:szCs w:val="20"/>
              </w:rPr>
              <w:t>а</w:t>
            </w:r>
            <w:r w:rsidRPr="004B33EA">
              <w:rPr>
                <w:rFonts w:ascii="Times New Roman" w:eastAsia="Calibri" w:hAnsi="Times New Roman"/>
                <w:b/>
                <w:bCs/>
                <w:color w:val="FF0000"/>
                <w:sz w:val="20"/>
                <w:szCs w:val="20"/>
                <w:lang w:val="en-US"/>
              </w:rPr>
              <w:t>rea</w:t>
            </w:r>
          </w:p>
        </w:tc>
        <w:tc>
          <w:tcPr>
            <w:tcW w:w="27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51A9F" w:rsidRPr="008D45AF" w:rsidRDefault="00051A9F" w:rsidP="00051A9F">
            <w:pPr>
              <w:spacing w:before="120" w:after="0" w:line="240" w:lineRule="auto"/>
              <w:jc w:val="both"/>
              <w:rPr>
                <w:rFonts w:ascii="Times New Roman" w:eastAsia="Calibri" w:hAnsi="Times New Roman"/>
                <w:b/>
                <w:bCs/>
                <w:sz w:val="16"/>
                <w:szCs w:val="16"/>
              </w:rPr>
            </w:pPr>
            <w:r>
              <w:rPr>
                <w:rFonts w:ascii="Times New Roman" w:eastAsia="Calibri" w:hAnsi="Times New Roman"/>
                <w:b/>
                <w:bCs/>
                <w:sz w:val="16"/>
                <w:szCs w:val="16"/>
              </w:rPr>
              <w:t>Р</w:t>
            </w:r>
          </w:p>
        </w:tc>
        <w:tc>
          <w:tcPr>
            <w:tcW w:w="51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51A9F" w:rsidRPr="00EC5D51" w:rsidRDefault="00051A9F" w:rsidP="00051A9F">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G</w:t>
            </w:r>
          </w:p>
        </w:tc>
        <w:tc>
          <w:tcPr>
            <w:tcW w:w="42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51A9F" w:rsidRPr="008D45AF" w:rsidRDefault="00051A9F" w:rsidP="00051A9F">
            <w:pPr>
              <w:spacing w:before="120" w:after="0" w:line="240" w:lineRule="auto"/>
              <w:jc w:val="both"/>
              <w:rPr>
                <w:rFonts w:ascii="Times New Roman" w:eastAsia="Calibri" w:hAnsi="Times New Roman"/>
                <w:b/>
                <w:bCs/>
                <w:sz w:val="16"/>
                <w:szCs w:val="16"/>
              </w:rPr>
            </w:pPr>
            <w:r w:rsidRPr="008D45AF">
              <w:rPr>
                <w:rFonts w:ascii="Times New Roman" w:eastAsia="Calibri" w:hAnsi="Times New Roman"/>
                <w:b/>
                <w:bCs/>
                <w:sz w:val="16"/>
                <w:szCs w:val="16"/>
              </w:rPr>
              <w:t>С</w:t>
            </w:r>
          </w:p>
        </w:tc>
        <w:tc>
          <w:tcPr>
            <w:tcW w:w="29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51A9F" w:rsidRPr="00EC5D51" w:rsidRDefault="00051A9F" w:rsidP="00051A9F">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A</w:t>
            </w:r>
          </w:p>
        </w:tc>
        <w:tc>
          <w:tcPr>
            <w:tcW w:w="24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51A9F" w:rsidRPr="004B33EA" w:rsidRDefault="00051A9F" w:rsidP="00051A9F">
            <w:pPr>
              <w:spacing w:before="120" w:after="0" w:line="240" w:lineRule="auto"/>
              <w:jc w:val="both"/>
              <w:rPr>
                <w:rFonts w:ascii="Times New Roman" w:eastAsia="Calibri" w:hAnsi="Times New Roman"/>
                <w:b/>
                <w:bCs/>
                <w:color w:val="FF0000"/>
                <w:sz w:val="16"/>
                <w:szCs w:val="16"/>
              </w:rPr>
            </w:pPr>
            <w:r w:rsidRPr="004B33EA">
              <w:rPr>
                <w:rFonts w:ascii="Times New Roman" w:eastAsia="Calibri" w:hAnsi="Times New Roman"/>
                <w:b/>
                <w:bCs/>
                <w:color w:val="FF0000"/>
                <w:sz w:val="16"/>
                <w:szCs w:val="16"/>
              </w:rPr>
              <w:t>С</w:t>
            </w:r>
          </w:p>
        </w:tc>
        <w:tc>
          <w:tcPr>
            <w:tcW w:w="36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51A9F" w:rsidRPr="00EC5D51" w:rsidRDefault="00051A9F"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A</w:t>
            </w:r>
          </w:p>
        </w:tc>
      </w:tr>
    </w:tbl>
    <w:p w:rsidR="00EC5D51" w:rsidRPr="00EC5D51" w:rsidRDefault="00EC5D51" w:rsidP="00EC5D51">
      <w:pPr>
        <w:spacing w:after="0" w:line="240" w:lineRule="auto"/>
        <w:jc w:val="both"/>
        <w:rPr>
          <w:rFonts w:ascii="Times New Roman" w:eastAsia="Calibri" w:hAnsi="Times New Roman"/>
          <w:sz w:val="24"/>
          <w:szCs w:val="24"/>
          <w:lang w:val="en-US"/>
        </w:rPr>
      </w:pPr>
    </w:p>
    <w:p w:rsidR="00EC5D51" w:rsidRPr="003774E5" w:rsidRDefault="003774E5" w:rsidP="00EC5D51">
      <w:pPr>
        <w:spacing w:after="0" w:line="240" w:lineRule="auto"/>
        <w:jc w:val="both"/>
        <w:rPr>
          <w:rFonts w:ascii="Times New Roman" w:eastAsia="Calibri" w:hAnsi="Times New Roman"/>
          <w:b/>
          <w:sz w:val="24"/>
          <w:szCs w:val="24"/>
        </w:rPr>
      </w:pPr>
      <w:r>
        <w:rPr>
          <w:rFonts w:ascii="Times New Roman" w:eastAsia="Calibri" w:hAnsi="Times New Roman"/>
          <w:b/>
          <w:sz w:val="24"/>
          <w:szCs w:val="24"/>
          <w:lang w:val="en-US"/>
        </w:rPr>
        <w:t>8. Цитирана литература</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Булгурков, К. 1958. Рибната фауна в реките на Витоша планина и околните й язовири. – Изв. на Зоолог. инст., 7: 163–194.</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Булгурков, К. 1958а. Хидроложки особености на резервата езерото Сребърна и състав на рибната му фауна. – Изв. на Зоолог. инст., 7: 251–268.</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 xml:space="preserve">Големански, </w:t>
      </w:r>
      <w:r w:rsidR="003774E5">
        <w:rPr>
          <w:rFonts w:ascii="Times New Roman" w:eastAsia="Calibri" w:hAnsi="Times New Roman"/>
          <w:sz w:val="24"/>
          <w:szCs w:val="24"/>
          <w:lang w:eastAsia="x-none"/>
        </w:rPr>
        <w:t>В</w:t>
      </w:r>
      <w:r w:rsidRPr="00EC5D51">
        <w:rPr>
          <w:rFonts w:ascii="Times New Roman" w:eastAsia="Calibri" w:hAnsi="Times New Roman"/>
          <w:sz w:val="24"/>
          <w:szCs w:val="24"/>
          <w:lang w:val="en-US" w:eastAsia="x-none"/>
        </w:rPr>
        <w:t>. и др. (ред.) 2011. Червена книга на Република България. Том 2. Животни. ИБЕИ - БАН &amp; МОСВ, София. Електронно издание:</w:t>
      </w:r>
      <w:r w:rsidRPr="00EC5D51">
        <w:rPr>
          <w:rFonts w:ascii="Times New Roman" w:eastAsia="Calibri" w:hAnsi="Times New Roman"/>
          <w:sz w:val="24"/>
          <w:szCs w:val="24"/>
          <w:lang w:val="en-US"/>
        </w:rPr>
        <w:t xml:space="preserve"> </w:t>
      </w:r>
      <w:hyperlink r:id="rId107" w:history="1">
        <w:r w:rsidRPr="00EC5D51">
          <w:rPr>
            <w:rFonts w:ascii="Times New Roman" w:eastAsia="Calibri" w:hAnsi="Times New Roman"/>
            <w:color w:val="0000FF"/>
            <w:sz w:val="24"/>
            <w:szCs w:val="24"/>
            <w:u w:val="single"/>
            <w:lang w:val="en-US"/>
          </w:rPr>
          <w:t>Том II - Животни (bas.bg)</w:t>
        </w:r>
      </w:hyperlink>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Дренски, П. 1948. Състав и разпространение на рибите в България. – Годишник на Софийския университет – Природо-математически факултет, 44(3): 11–71.</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Дренски, П. 1951. Рибите в България. Фауна на България II. С., БАН, 270 с.</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lastRenderedPageBreak/>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 xml:space="preserve">ИАОС. Теренни проучвания на разпространение на видове/оценка на състоянието на видове и хабитати на територията на цялата страна - I фаза. </w:t>
      </w:r>
      <w:hyperlink r:id="rId108" w:history="1">
        <w:r w:rsidRPr="00EC5D51">
          <w:rPr>
            <w:rFonts w:ascii="Times New Roman" w:eastAsia="Calibri" w:hAnsi="Times New Roman"/>
            <w:color w:val="0000FF"/>
            <w:sz w:val="24"/>
            <w:szCs w:val="24"/>
            <w:u w:val="single"/>
            <w:lang w:val="en-US" w:eastAsia="x-none"/>
          </w:rPr>
          <w:t>http://eea.government.bg/bg/bio/opos/activities-results/ribi</w:t>
        </w:r>
      </w:hyperlink>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Информационна система за защитени зони от екологична мрежа НАТУРА 2000.</w:t>
      </w:r>
    </w:p>
    <w:p w:rsidR="00EC5D51" w:rsidRPr="00EC5D51" w:rsidRDefault="00DE51FF" w:rsidP="0001440D">
      <w:pPr>
        <w:spacing w:after="0" w:line="240" w:lineRule="auto"/>
        <w:ind w:left="709" w:hanging="1"/>
        <w:jc w:val="both"/>
        <w:rPr>
          <w:rFonts w:ascii="Times New Roman" w:eastAsia="Calibri" w:hAnsi="Times New Roman"/>
          <w:sz w:val="24"/>
          <w:szCs w:val="24"/>
          <w:lang w:val="en-US" w:eastAsia="x-none"/>
        </w:rPr>
      </w:pPr>
      <w:hyperlink r:id="rId109" w:history="1">
        <w:r w:rsidR="00EC5D51" w:rsidRPr="00EC5D51">
          <w:rPr>
            <w:rFonts w:ascii="Times New Roman" w:eastAsia="Calibri" w:hAnsi="Times New Roman"/>
            <w:color w:val="0000FF"/>
            <w:sz w:val="24"/>
            <w:szCs w:val="24"/>
            <w:u w:val="single"/>
            <w:lang w:val="en-US" w:eastAsia="x-none"/>
          </w:rPr>
          <w:t>http://natura2000.moew.government.bg/</w:t>
        </w:r>
      </w:hyperlink>
      <w:r w:rsidR="00EC5D51" w:rsidRPr="00EC5D51">
        <w:rPr>
          <w:rFonts w:ascii="Times New Roman" w:eastAsia="Calibri" w:hAnsi="Times New Roman"/>
          <w:sz w:val="24"/>
          <w:szCs w:val="24"/>
          <w:lang w:val="en-US" w:eastAsia="x-none"/>
        </w:rPr>
        <w:t xml:space="preserve">; </w:t>
      </w:r>
      <w:hyperlink r:id="rId110" w:history="1">
        <w:r w:rsidR="00EC5D51" w:rsidRPr="00EC5D51">
          <w:rPr>
            <w:rFonts w:ascii="Times New Roman" w:eastAsia="Calibri" w:hAnsi="Times New Roman"/>
            <w:color w:val="0000FF"/>
            <w:sz w:val="24"/>
            <w:szCs w:val="24"/>
            <w:u w:val="single"/>
            <w:lang w:val="en-US" w:eastAsia="x-none"/>
          </w:rPr>
          <w:t>http://natura2000.moew.government.bg/Home/Reports?reportType=Fishes</w:t>
        </w:r>
      </w:hyperlink>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Карапеткова, М. 1972. Ихтиофауна на р. Янтра. – Изв. на Зоолог. инст. с музей, 36: 149–182.</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Карапеткова, М. 1994. Гръбначни животни. – В: Русев Б. (ред.), Лимнология на българските дунавски притоци, МОСВ, С., БАН, 175–186.</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Карапеткова, М., Ц. Диков. 1986. Върху състава, разпространението, числеността и биомасата на ихтиофауната на р. Вит. – Хидробиология, 28: 3–14.</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Карапеткова, М., М. Живков. 1995. Рибите в България. С., "Гея-Либрис", 247 с.</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Карапеткова, М., Е. Унджиян 1988. Ихтиофауна на поречието Русенски Лом. – Хидробиология, 32: 44–49.</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Ковачев, В. 1923. Сладководната ихтиологична фауна на България. – Архив на Министерството на земеделието и държавните имоти, 3: 1–164.</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Коларов, П. 1960. Една рядка находка в р. Дунав – минога от вида Eudontomyzon danfordi Regan, 1911. – Природа, 3: 70.</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Маринов, Б. 1966. Върху ихтиофауната на българския участък на река Дунав. – Изв. на Зоолог. инст. с музей, 20: 139–155.</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Моров, Т. 1931. Сладководните риби в България. С., "Художник", 93 с.</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Паспалев, Г., Ц. Пешев. 1955. Принос към изучаване на ихтиофауната на р. Искър. – Год. на СУ, Биолого-Геолого-Географски фак., 48(1): 1–39.</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Проект DIR-59318-1-2 „Картиране и определяне на природозащитното състояние на природни местообитания и видове - фаза I", 2013.</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EC5D51" w:rsidRPr="00EC5D51" w:rsidRDefault="00EC5D51" w:rsidP="003774E5">
      <w:pPr>
        <w:spacing w:after="0" w:line="240" w:lineRule="auto"/>
        <w:ind w:left="709" w:hanging="709"/>
        <w:jc w:val="both"/>
        <w:rPr>
          <w:rFonts w:ascii="Times New Roman" w:eastAsia="Calibri" w:hAnsi="Times New Roman"/>
          <w:sz w:val="24"/>
          <w:szCs w:val="24"/>
          <w:lang w:val="en-US"/>
        </w:rPr>
      </w:pPr>
      <w:r w:rsidRPr="00EC5D51">
        <w:rPr>
          <w:rFonts w:ascii="Times New Roman" w:eastAsia="Calibri" w:hAnsi="Times New Roman"/>
          <w:sz w:val="24"/>
          <w:szCs w:val="24"/>
          <w:lang w:val="en-US" w:eastAsia="x-none"/>
        </w:rPr>
        <w:t>Управление на защитените зони по „Натура 2000“. Разпоредбите на член 6 от Директива 92/43/ЕИО за местообитанията.</w:t>
      </w:r>
      <w:r w:rsidRPr="00EC5D51">
        <w:rPr>
          <w:rFonts w:ascii="Times New Roman" w:eastAsia="Calibri" w:hAnsi="Times New Roman"/>
          <w:sz w:val="24"/>
          <w:szCs w:val="24"/>
          <w:lang w:val="en-US"/>
        </w:rPr>
        <w:t xml:space="preserve"> </w:t>
      </w:r>
    </w:p>
    <w:p w:rsidR="00EC5D51" w:rsidRPr="00EC5D51" w:rsidRDefault="00DE51FF" w:rsidP="003774E5">
      <w:pPr>
        <w:spacing w:after="0" w:line="240" w:lineRule="auto"/>
        <w:ind w:left="709" w:hanging="709"/>
        <w:jc w:val="both"/>
        <w:rPr>
          <w:rFonts w:ascii="Times New Roman" w:eastAsia="Calibri" w:hAnsi="Times New Roman"/>
          <w:sz w:val="24"/>
          <w:szCs w:val="24"/>
          <w:lang w:val="en-US" w:eastAsia="x-none"/>
        </w:rPr>
      </w:pPr>
      <w:hyperlink r:id="rId111" w:history="1">
        <w:r w:rsidR="00EC5D51" w:rsidRPr="00EC5D51">
          <w:rPr>
            <w:rFonts w:ascii="Times New Roman" w:eastAsia="Calibri" w:hAnsi="Times New Roman"/>
            <w:color w:val="0000FF"/>
            <w:sz w:val="24"/>
            <w:szCs w:val="24"/>
            <w:u w:val="single"/>
            <w:lang w:val="en-US" w:eastAsia="x-none"/>
          </w:rPr>
          <w:t>https://ec.europa.eu/environment/nature/natura2000/management/docs/art6/BG_art_6_guide_jun_2019.pdf</w:t>
        </w:r>
      </w:hyperlink>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Apostolou A., Pehlivanov L., Schabuss M., Zorning H.. Distribution of the Ukrainian Brook Lamprey Eudontomyzon mariae (Berg, 1931) (Cephalaspidomorphi: Petromyzontidae) in Bulgarian protected zones along the Danube River. Acta Zoologica Bulgarica., 71, 1:149-151.</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Apostolou A., L. Pehlivanov, M. Schabuss, H. Zorning 2021.</w:t>
      </w:r>
      <w:r w:rsidRPr="00EC5D51">
        <w:rPr>
          <w:rFonts w:ascii="Times New Roman" w:eastAsia="Calibri" w:hAnsi="Times New Roman"/>
          <w:sz w:val="24"/>
          <w:szCs w:val="24"/>
          <w:lang w:val="en-US"/>
        </w:rPr>
        <w:t xml:space="preserve"> </w:t>
      </w:r>
      <w:r w:rsidRPr="00EC5D51">
        <w:rPr>
          <w:rFonts w:ascii="Times New Roman" w:eastAsia="Calibri" w:hAnsi="Times New Roman"/>
          <w:sz w:val="24"/>
          <w:szCs w:val="24"/>
          <w:lang w:val="en-US" w:eastAsia="x-none"/>
        </w:rPr>
        <w:t>Monitoring fish in Lower Danube River main channel by applying various sampling methodologies.</w:t>
      </w:r>
      <w:r w:rsidRPr="00EC5D51">
        <w:rPr>
          <w:rFonts w:ascii="Times New Roman" w:eastAsia="Calibri" w:hAnsi="Times New Roman"/>
          <w:sz w:val="24"/>
          <w:szCs w:val="24"/>
          <w:lang w:val="en-US"/>
        </w:rPr>
        <w:t xml:space="preserve"> </w:t>
      </w:r>
      <w:r w:rsidRPr="00EC5D51">
        <w:rPr>
          <w:rFonts w:ascii="Times New Roman" w:eastAsia="Calibri" w:hAnsi="Times New Roman"/>
          <w:sz w:val="24"/>
          <w:szCs w:val="24"/>
          <w:lang w:val="en-US" w:eastAsia="x-none"/>
        </w:rPr>
        <w:t>Acta Zool. Bulg., 73 (2): 269-274.</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Bern Convention on the Conservation of European Wildlife and Natural Habitats.</w:t>
      </w:r>
      <w:r w:rsidRPr="00EC5D51">
        <w:rPr>
          <w:rFonts w:ascii="Times New Roman" w:eastAsia="Calibri" w:hAnsi="Times New Roman"/>
          <w:sz w:val="24"/>
          <w:szCs w:val="24"/>
          <w:lang w:val="en-US"/>
        </w:rPr>
        <w:t xml:space="preserve"> </w:t>
      </w:r>
      <w:hyperlink r:id="rId112" w:history="1">
        <w:r w:rsidRPr="00EC5D51">
          <w:rPr>
            <w:rFonts w:ascii="Times New Roman" w:eastAsia="Calibri" w:hAnsi="Times New Roman"/>
            <w:color w:val="0000FF"/>
            <w:sz w:val="24"/>
            <w:szCs w:val="24"/>
            <w:u w:val="single"/>
            <w:lang w:val="en-US" w:eastAsia="x-none"/>
          </w:rPr>
          <w:t>https://www.coe.int/en/web/bern-convention</w:t>
        </w:r>
      </w:hyperlink>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CEN - EN 14011, 2003. Water quality - Sampling of fish with electricity. Brussels, 16 p.</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lastRenderedPageBreak/>
        <w:t>Drensky, P. 1935. Petromyzontiden (Pisces) aus dem Donaugebiet. – Sitzungsbericht der Gesellschaft naturforschender Freunde, Berlin, 102–106.</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Froese, R., D. Pauly. Editors. 2021. FishBase. World Wide Web electronic publication. www.fishbase.org, (06/2021):</w:t>
      </w:r>
      <w:r w:rsidRPr="00EC5D51">
        <w:rPr>
          <w:rFonts w:ascii="Times New Roman" w:eastAsia="Calibri" w:hAnsi="Times New Roman"/>
          <w:sz w:val="24"/>
          <w:szCs w:val="24"/>
          <w:lang w:val="en-US"/>
        </w:rPr>
        <w:t xml:space="preserve"> </w:t>
      </w:r>
      <w:hyperlink r:id="rId113" w:history="1">
        <w:r w:rsidRPr="00EC5D51">
          <w:rPr>
            <w:rFonts w:ascii="Times New Roman" w:eastAsia="Calibri" w:hAnsi="Times New Roman"/>
            <w:color w:val="0000FF"/>
            <w:sz w:val="24"/>
            <w:szCs w:val="24"/>
            <w:u w:val="single"/>
            <w:lang w:val="en-US"/>
          </w:rPr>
          <w:t>Search FishBase (mnhn.fr)</w:t>
        </w:r>
      </w:hyperlink>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Holcik, J., C. Renaud. 1986. Eudontomyzon mariae (Berg, 1931). – In: Holcik, J. (Ed.). The Freshwater Fishes of Europe. Vol. 1 / I. Petromyzontiformes. AULA-Verlag, Wiesbaden, 165–185.</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 xml:space="preserve">IUCN 2021. The IUCN Red List of Threatened Species. Version 2021-2. </w:t>
      </w:r>
      <w:hyperlink r:id="rId114" w:history="1">
        <w:r w:rsidRPr="00EC5D51">
          <w:rPr>
            <w:rFonts w:ascii="Times New Roman" w:eastAsia="Calibri" w:hAnsi="Times New Roman"/>
            <w:color w:val="0000FF"/>
            <w:sz w:val="24"/>
            <w:szCs w:val="24"/>
            <w:u w:val="single"/>
            <w:lang w:val="en-US" w:eastAsia="x-none"/>
          </w:rPr>
          <w:t>https://www.iucnredlist.org</w:t>
        </w:r>
      </w:hyperlink>
      <w:r w:rsidRPr="00EC5D51">
        <w:rPr>
          <w:rFonts w:ascii="Times New Roman" w:eastAsia="Calibri" w:hAnsi="Times New Roman"/>
          <w:sz w:val="24"/>
          <w:szCs w:val="24"/>
          <w:lang w:val="en-US" w:eastAsia="x-none"/>
        </w:rPr>
        <w:t>.</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Kottelat, M., J. Freyhof, 2007. Handbook of European freshwater fishes. Publications Kottelat, Cornol and Freyhof, Berlin. 646 pp.</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Pehlivanov, L. 2000a. Ichthyofauna in the Srebarna Lake, the Danube Basin: state and significance of the management and conservation strategies of this wetland. – International Association for Danube Research, 33: 317–322.</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Stefanov, T., J. Holcik. 2007. The lampreys of Bulgaria. – Folia Zoologica, 56 (2): 213–224.</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Vassilev, M., L. Pehlivanov. 2005. Checklist of Bulgarian freshwater fishes. – Acta zool. bulg., 57(2): 161–190.</w:t>
      </w:r>
    </w:p>
    <w:p w:rsidR="00EC5D51" w:rsidRPr="00EC5D51" w:rsidRDefault="00EC5D51" w:rsidP="00EC5D51">
      <w:pPr>
        <w:spacing w:after="0" w:line="240" w:lineRule="auto"/>
        <w:jc w:val="both"/>
        <w:rPr>
          <w:rFonts w:ascii="Times New Roman" w:eastAsia="Calibri" w:hAnsi="Times New Roman"/>
          <w:i/>
          <w:sz w:val="24"/>
          <w:szCs w:val="24"/>
          <w:lang w:val="en-US"/>
        </w:rPr>
      </w:pPr>
    </w:p>
    <w:p w:rsidR="00EC5D51" w:rsidRPr="00051A9F" w:rsidRDefault="00EC5D51" w:rsidP="00EC5D51">
      <w:pPr>
        <w:spacing w:after="0" w:line="240" w:lineRule="auto"/>
        <w:jc w:val="both"/>
        <w:rPr>
          <w:rFonts w:ascii="Times New Roman" w:eastAsia="Calibri" w:hAnsi="Times New Roman"/>
          <w:sz w:val="24"/>
          <w:szCs w:val="24"/>
        </w:rPr>
      </w:pPr>
      <w:r w:rsidRPr="00EC5D51">
        <w:rPr>
          <w:rFonts w:ascii="Times New Roman" w:eastAsia="Calibri" w:hAnsi="Times New Roman"/>
          <w:i/>
          <w:sz w:val="24"/>
          <w:szCs w:val="24"/>
          <w:lang w:val="en-US"/>
        </w:rPr>
        <w:t>Автори</w:t>
      </w:r>
      <w:r w:rsidRPr="00EC5D51">
        <w:rPr>
          <w:rFonts w:ascii="Times New Roman" w:eastAsia="Calibri" w:hAnsi="Times New Roman"/>
          <w:sz w:val="24"/>
          <w:szCs w:val="24"/>
          <w:lang w:val="en-US"/>
        </w:rPr>
        <w:t>:</w:t>
      </w:r>
      <w:r w:rsidRPr="00EC5D51">
        <w:rPr>
          <w:rFonts w:ascii="Times New Roman" w:eastAsia="Calibri" w:hAnsi="Times New Roman"/>
          <w:b/>
          <w:sz w:val="24"/>
          <w:szCs w:val="24"/>
          <w:lang w:val="en-US"/>
        </w:rPr>
        <w:t xml:space="preserve"> </w:t>
      </w:r>
      <w:r w:rsidRPr="00EC5D51">
        <w:rPr>
          <w:rFonts w:ascii="Times New Roman" w:eastAsia="Calibri" w:hAnsi="Times New Roman"/>
          <w:sz w:val="24"/>
          <w:szCs w:val="24"/>
          <w:lang w:val="en-US"/>
        </w:rPr>
        <w:t>Апостолос Апостолу, Лъчезар Пехливанов, Стефан</w:t>
      </w:r>
      <w:r w:rsidR="00051A9F">
        <w:rPr>
          <w:rFonts w:ascii="Times New Roman" w:eastAsia="Calibri" w:hAnsi="Times New Roman"/>
          <w:sz w:val="24"/>
          <w:szCs w:val="24"/>
          <w:lang w:val="en-US"/>
        </w:rPr>
        <w:t xml:space="preserve"> Казаков</w:t>
      </w:r>
    </w:p>
    <w:p w:rsidR="00EC5D51" w:rsidRDefault="00EC5D51" w:rsidP="0070678B">
      <w:pPr>
        <w:rPr>
          <w:rFonts w:ascii="Times New Roman" w:hAnsi="Times New Roman"/>
          <w:color w:val="1F497D" w:themeColor="text2"/>
          <w:sz w:val="28"/>
          <w:szCs w:val="28"/>
        </w:rPr>
      </w:pPr>
    </w:p>
    <w:p w:rsidR="0070678B" w:rsidRDefault="00107719" w:rsidP="003774E5">
      <w:pPr>
        <w:outlineLvl w:val="1"/>
        <w:rPr>
          <w:rFonts w:ascii="Times New Roman" w:hAnsi="Times New Roman"/>
          <w:i/>
          <w:color w:val="1F497D" w:themeColor="text2"/>
          <w:sz w:val="28"/>
          <w:szCs w:val="28"/>
        </w:rPr>
      </w:pPr>
      <w:bookmarkStart w:id="46" w:name="_Toc98838548"/>
      <w:r>
        <w:rPr>
          <w:rFonts w:ascii="Times New Roman" w:hAnsi="Times New Roman"/>
          <w:color w:val="1F497D" w:themeColor="text2"/>
          <w:sz w:val="28"/>
          <w:szCs w:val="28"/>
        </w:rPr>
        <w:t xml:space="preserve">Природозащитни цели за </w:t>
      </w:r>
      <w:r w:rsidR="0070678B">
        <w:rPr>
          <w:rFonts w:ascii="Times New Roman" w:hAnsi="Times New Roman"/>
          <w:color w:val="1F497D" w:themeColor="text2"/>
          <w:sz w:val="28"/>
          <w:szCs w:val="28"/>
        </w:rPr>
        <w:t xml:space="preserve">2555 </w:t>
      </w:r>
      <w:r w:rsidR="0070678B" w:rsidRPr="00107719">
        <w:rPr>
          <w:rFonts w:ascii="Times New Roman" w:hAnsi="Times New Roman"/>
          <w:i/>
          <w:color w:val="1F497D" w:themeColor="text2"/>
          <w:sz w:val="28"/>
          <w:szCs w:val="28"/>
        </w:rPr>
        <w:t>Gymnocephalus baloni</w:t>
      </w:r>
      <w:bookmarkEnd w:id="46"/>
    </w:p>
    <w:p w:rsidR="003D617F" w:rsidRPr="003D617F" w:rsidRDefault="003D617F" w:rsidP="003D617F">
      <w:pPr>
        <w:spacing w:after="160" w:line="240" w:lineRule="auto"/>
        <w:jc w:val="both"/>
        <w:rPr>
          <w:rFonts w:ascii="Times New Roman" w:eastAsia="Calibri" w:hAnsi="Times New Roman"/>
          <w:b/>
          <w:bCs/>
          <w:sz w:val="24"/>
          <w:szCs w:val="24"/>
        </w:rPr>
      </w:pPr>
      <w:r w:rsidRPr="003D617F">
        <w:rPr>
          <w:rFonts w:ascii="Times New Roman" w:eastAsia="Calibri" w:hAnsi="Times New Roman"/>
          <w:b/>
          <w:sz w:val="24"/>
          <w:szCs w:val="24"/>
        </w:rPr>
        <w:t xml:space="preserve">1. Код и наименование на вида: </w:t>
      </w:r>
      <w:r w:rsidRPr="003774E5">
        <w:rPr>
          <w:rFonts w:ascii="Times New Roman" w:hAnsi="Times New Roman"/>
          <w:bCs/>
          <w:color w:val="000000"/>
          <w:sz w:val="24"/>
          <w:szCs w:val="24"/>
          <w:lang w:eastAsia="bg-BG"/>
        </w:rPr>
        <w:t xml:space="preserve">2555 </w:t>
      </w:r>
      <w:r w:rsidR="003774E5" w:rsidRPr="003774E5">
        <w:rPr>
          <w:rFonts w:ascii="Times New Roman" w:hAnsi="Times New Roman"/>
          <w:bCs/>
          <w:i/>
          <w:iCs/>
          <w:color w:val="000000"/>
          <w:sz w:val="24"/>
          <w:szCs w:val="24"/>
          <w:lang w:val="en-US" w:eastAsia="bg-BG"/>
        </w:rPr>
        <w:t>Gymnocephalus baloni</w:t>
      </w:r>
      <w:r w:rsidR="003774E5" w:rsidRPr="003774E5">
        <w:rPr>
          <w:rFonts w:ascii="Times New Roman" w:hAnsi="Times New Roman"/>
          <w:bCs/>
          <w:color w:val="000000"/>
          <w:sz w:val="24"/>
          <w:szCs w:val="24"/>
          <w:lang w:eastAsia="bg-BG"/>
        </w:rPr>
        <w:t xml:space="preserve"> Високотел бибан</w:t>
      </w: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2. Кратка </w:t>
      </w:r>
      <w:r w:rsidR="003774E5">
        <w:rPr>
          <w:rFonts w:ascii="Times New Roman" w:eastAsia="Calibri" w:hAnsi="Times New Roman"/>
          <w:b/>
          <w:sz w:val="24"/>
          <w:szCs w:val="24"/>
        </w:rPr>
        <w:t>характеристика на целевия обект</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Риба от сем. Бодлоперки (</w:t>
      </w:r>
      <w:r w:rsidRPr="003D617F">
        <w:rPr>
          <w:rFonts w:ascii="Times New Roman" w:eastAsia="Calibri" w:hAnsi="Times New Roman"/>
          <w:sz w:val="24"/>
          <w:szCs w:val="24"/>
          <w:lang w:val="en-US"/>
        </w:rPr>
        <w:t>Percidae</w:t>
      </w:r>
      <w:r w:rsidRPr="003D617F">
        <w:rPr>
          <w:rFonts w:ascii="Times New Roman" w:eastAsia="Calibri" w:hAnsi="Times New Roman"/>
          <w:sz w:val="24"/>
          <w:szCs w:val="24"/>
        </w:rPr>
        <w:t xml:space="preserve">). Прилича на обикновения бибан </w:t>
      </w:r>
      <w:r w:rsidRPr="003D617F">
        <w:rPr>
          <w:rFonts w:ascii="Times New Roman" w:eastAsia="Calibri" w:hAnsi="Times New Roman"/>
          <w:sz w:val="24"/>
          <w:szCs w:val="24"/>
          <w:lang w:val="en-US"/>
        </w:rPr>
        <w:t>(</w:t>
      </w:r>
      <w:r w:rsidRPr="0001440D">
        <w:rPr>
          <w:rFonts w:ascii="Times New Roman" w:eastAsia="Calibri" w:hAnsi="Times New Roman"/>
          <w:i/>
          <w:sz w:val="24"/>
          <w:szCs w:val="24"/>
          <w:lang w:val="en-US"/>
        </w:rPr>
        <w:t>G. cernuus</w:t>
      </w:r>
      <w:r w:rsidRPr="003D617F">
        <w:rPr>
          <w:rFonts w:ascii="Times New Roman" w:eastAsia="Calibri" w:hAnsi="Times New Roman"/>
          <w:sz w:val="24"/>
          <w:szCs w:val="24"/>
          <w:lang w:val="en-US"/>
        </w:rPr>
        <w:t>)</w:t>
      </w:r>
      <w:r w:rsidRPr="003D617F">
        <w:rPr>
          <w:rFonts w:ascii="Times New Roman" w:eastAsia="Calibri" w:hAnsi="Times New Roman"/>
          <w:sz w:val="24"/>
          <w:szCs w:val="24"/>
        </w:rPr>
        <w:t>, като се отличава от него и по следните по-характерни белези: относително по-високо тяло, хрилно капаче с два шипа, първият твърд лъч на аналната перка е дъгообразно извит, отстрани на тялото има 4-6 напречни тъмнокафяви пояса с неправилна форма. На дължина достига до 15 см.</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Видът е разпространен по цялото протежение на р. Дунав от делтата до Германия, както и в по големите дунавски притоци. В България е съобщаван за цел</w:t>
      </w:r>
      <w:r w:rsidRPr="003D617F">
        <w:rPr>
          <w:rFonts w:ascii="Times New Roman" w:eastAsia="Calibri" w:hAnsi="Times New Roman"/>
          <w:sz w:val="24"/>
          <w:szCs w:val="24"/>
          <w:lang w:val="en-US"/>
        </w:rPr>
        <w:t>r</w:t>
      </w:r>
      <w:r w:rsidRPr="003D617F">
        <w:rPr>
          <w:rFonts w:ascii="Times New Roman" w:eastAsia="Calibri" w:hAnsi="Times New Roman"/>
          <w:sz w:val="24"/>
          <w:szCs w:val="24"/>
        </w:rPr>
        <w:t xml:space="preserve">я български участък от р. Дунав и за устията на притоците Огоста, Искър, Вит, Осъм, Янтра и Русенски Лом, но през последните години е намиран само в основното русло на р. Дунав от с. Връв до с. Сандрово на изток. </w:t>
      </w:r>
    </w:p>
    <w:p w:rsidR="003D617F" w:rsidRPr="003D617F" w:rsidRDefault="0001440D" w:rsidP="003774E5">
      <w:pPr>
        <w:spacing w:after="0" w:line="240" w:lineRule="auto"/>
        <w:ind w:firstLine="709"/>
        <w:jc w:val="both"/>
        <w:rPr>
          <w:rFonts w:ascii="Times New Roman" w:eastAsia="Calibri" w:hAnsi="Times New Roman"/>
          <w:sz w:val="24"/>
          <w:szCs w:val="24"/>
        </w:rPr>
      </w:pPr>
      <w:r>
        <w:rPr>
          <w:rFonts w:ascii="Times New Roman" w:eastAsia="Calibri" w:hAnsi="Times New Roman"/>
          <w:color w:val="000000"/>
          <w:sz w:val="24"/>
          <w:szCs w:val="24"/>
        </w:rPr>
        <w:t>Придънен реофилен вид. Х</w:t>
      </w:r>
      <w:r w:rsidR="003D617F" w:rsidRPr="003D617F">
        <w:rPr>
          <w:rFonts w:ascii="Times New Roman" w:eastAsia="Calibri" w:hAnsi="Times New Roman"/>
          <w:color w:val="000000"/>
          <w:sz w:val="24"/>
          <w:szCs w:val="24"/>
        </w:rPr>
        <w:t xml:space="preserve">рани се с дънни безгръбначни животни. </w:t>
      </w:r>
      <w:r w:rsidR="003D617F" w:rsidRPr="003D617F">
        <w:rPr>
          <w:rFonts w:ascii="Times New Roman" w:eastAsia="Calibri" w:hAnsi="Times New Roman"/>
          <w:sz w:val="24"/>
          <w:szCs w:val="24"/>
        </w:rPr>
        <w:t xml:space="preserve">Достига полова зрялост на 1-2 години. Размножава се през април-май, като през този период мигрира към крайбрежните зони на реките и в странични ръкави с по-слабо течение. </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Високотелият бибан не е обект на стопански или любителски риболов, но отделни екземпляри попадат в стопанските улови като случаен приулов.</w:t>
      </w:r>
    </w:p>
    <w:p w:rsidR="003D617F" w:rsidRPr="003D617F" w:rsidRDefault="003D617F" w:rsidP="003774E5">
      <w:pPr>
        <w:spacing w:after="0" w:line="240" w:lineRule="auto"/>
        <w:ind w:firstLine="709"/>
        <w:jc w:val="both"/>
        <w:rPr>
          <w:rFonts w:ascii="Times New Roman" w:eastAsia="Calibri" w:hAnsi="Times New Roman"/>
          <w:sz w:val="24"/>
          <w:szCs w:val="24"/>
        </w:rPr>
      </w:pPr>
      <w:r w:rsidRPr="0001440D">
        <w:rPr>
          <w:rFonts w:ascii="Times New Roman" w:eastAsia="Calibri" w:hAnsi="Times New Roman"/>
          <w:i/>
          <w:sz w:val="24"/>
          <w:szCs w:val="24"/>
        </w:rPr>
        <w:t>Характеристики на местообитанието в България</w:t>
      </w:r>
      <w:r w:rsidR="0001440D">
        <w:rPr>
          <w:rFonts w:ascii="Times New Roman" w:eastAsia="Calibri" w:hAnsi="Times New Roman"/>
          <w:sz w:val="24"/>
          <w:szCs w:val="24"/>
        </w:rPr>
        <w:t>.</w:t>
      </w:r>
      <w:r w:rsidRPr="003D617F">
        <w:rPr>
          <w:rFonts w:ascii="Times New Roman" w:eastAsia="Calibri" w:hAnsi="Times New Roman"/>
          <w:sz w:val="24"/>
          <w:szCs w:val="24"/>
          <w:lang w:val="en-US"/>
        </w:rPr>
        <w:t xml:space="preserve"> </w:t>
      </w:r>
      <w:r w:rsidRPr="003D617F">
        <w:rPr>
          <w:rFonts w:ascii="Times New Roman" w:eastAsia="Calibri" w:hAnsi="Times New Roman"/>
          <w:sz w:val="24"/>
          <w:szCs w:val="24"/>
        </w:rPr>
        <w:t xml:space="preserve">Придънен реофилен вид. Обитава открити участъци с пясъчно или тинесто дъно в големи реки с умерено течение, включително странични ръкави. В България – целият български участък на р. Дунав. </w:t>
      </w:r>
    </w:p>
    <w:p w:rsidR="003D617F" w:rsidRPr="003D617F" w:rsidRDefault="003D617F" w:rsidP="003774E5">
      <w:pPr>
        <w:spacing w:before="120"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3. Състояние на биогеографско ниво и разпространение в мрежата </w:t>
      </w:r>
    </w:p>
    <w:p w:rsidR="003D617F" w:rsidRPr="003D617F" w:rsidRDefault="003D617F" w:rsidP="003774E5">
      <w:pPr>
        <w:spacing w:after="0" w:line="240" w:lineRule="auto"/>
        <w:ind w:firstLine="709"/>
        <w:jc w:val="both"/>
        <w:rPr>
          <w:rFonts w:ascii="Times New Roman" w:eastAsia="Calibri" w:hAnsi="Times New Roman"/>
          <w:color w:val="0563C1"/>
          <w:sz w:val="24"/>
          <w:szCs w:val="24"/>
          <w:u w:val="single"/>
        </w:rPr>
      </w:pPr>
      <w:r w:rsidRPr="003D617F">
        <w:rPr>
          <w:rFonts w:ascii="Times New Roman" w:eastAsia="Calibri" w:hAnsi="Times New Roman"/>
          <w:sz w:val="24"/>
          <w:szCs w:val="24"/>
        </w:rPr>
        <w:t>При двете проучвания предмет на докладване съгласно чл. 17 от Директивата за местообитанията (92/43/ЕИО) видът е оценен в Благопри</w:t>
      </w:r>
      <w:r w:rsidR="003774E5">
        <w:rPr>
          <w:rFonts w:ascii="Times New Roman" w:eastAsia="Calibri" w:hAnsi="Times New Roman"/>
          <w:sz w:val="24"/>
          <w:szCs w:val="24"/>
        </w:rPr>
        <w:t>ят</w:t>
      </w:r>
      <w:r w:rsidR="0001440D">
        <w:rPr>
          <w:rFonts w:ascii="Times New Roman" w:eastAsia="Calibri" w:hAnsi="Times New Roman"/>
          <w:sz w:val="24"/>
          <w:szCs w:val="24"/>
        </w:rPr>
        <w:t>но</w:t>
      </w:r>
      <w:r w:rsidR="003774E5">
        <w:rPr>
          <w:rFonts w:ascii="Times New Roman" w:eastAsia="Calibri" w:hAnsi="Times New Roman"/>
          <w:sz w:val="24"/>
          <w:szCs w:val="24"/>
        </w:rPr>
        <w:t xml:space="preserve"> ПС по всички показатели </w:t>
      </w:r>
      <w:r w:rsidR="003774E5">
        <w:rPr>
          <w:rFonts w:ascii="Times New Roman" w:eastAsia="Calibri" w:hAnsi="Times New Roman"/>
          <w:sz w:val="24"/>
          <w:szCs w:val="24"/>
        </w:rPr>
        <w:lastRenderedPageBreak/>
        <w:t>в К</w:t>
      </w:r>
      <w:r w:rsidRPr="003D617F">
        <w:rPr>
          <w:rFonts w:ascii="Times New Roman" w:eastAsia="Calibri" w:hAnsi="Times New Roman"/>
          <w:sz w:val="24"/>
          <w:szCs w:val="24"/>
        </w:rPr>
        <w:t xml:space="preserve">онтиненталния биогеографски </w:t>
      </w:r>
      <w:r w:rsidR="003774E5">
        <w:rPr>
          <w:rFonts w:ascii="Times New Roman" w:eastAsia="Calibri" w:hAnsi="Times New Roman"/>
          <w:sz w:val="24"/>
          <w:szCs w:val="24"/>
        </w:rPr>
        <w:t>регион</w:t>
      </w:r>
      <w:r w:rsidRPr="003D617F">
        <w:rPr>
          <w:rFonts w:ascii="Times New Roman" w:eastAsia="Calibri" w:hAnsi="Times New Roman"/>
          <w:sz w:val="24"/>
          <w:szCs w:val="24"/>
        </w:rPr>
        <w:t xml:space="preserve">. Източник на информацията: </w:t>
      </w:r>
      <w:hyperlink r:id="rId115" w:history="1">
        <w:r w:rsidRPr="003D617F">
          <w:rPr>
            <w:rFonts w:ascii="Times New Roman" w:eastAsia="Calibri" w:hAnsi="Times New Roman"/>
            <w:color w:val="0563C1"/>
            <w:sz w:val="24"/>
            <w:szCs w:val="24"/>
            <w:u w:val="single"/>
          </w:rPr>
          <w:t>https://nature-art17.eionet.europa.eu/article17/species/report/</w:t>
        </w:r>
      </w:hyperlink>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3D617F" w:rsidRPr="003D617F" w:rsidRDefault="003D617F" w:rsidP="003D617F">
      <w:pPr>
        <w:spacing w:after="0" w:line="240" w:lineRule="auto"/>
        <w:jc w:val="both"/>
        <w:rPr>
          <w:rFonts w:ascii="Times New Roman" w:eastAsia="Calibri" w:hAnsi="Times New Roman"/>
          <w:sz w:val="24"/>
          <w:szCs w:val="24"/>
        </w:rPr>
      </w:pPr>
      <w:r w:rsidRPr="003D617F">
        <w:rPr>
          <w:rFonts w:ascii="Times New Roman" w:eastAsia="Calibri" w:hAnsi="Times New Roman"/>
          <w:sz w:val="24"/>
          <w:szCs w:val="24"/>
        </w:rPr>
        <w:t>1. Пряко въздействащи негативни антропогенни фактори.</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Разрушаване на местообитанията и прекъсване на биокоридорите: добив на инертни материали, корекции на реки, преграждане на речните корита;</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Замърсяване на водите.</w:t>
      </w:r>
    </w:p>
    <w:p w:rsidR="003D617F" w:rsidRPr="003D617F" w:rsidRDefault="003D617F" w:rsidP="003D617F">
      <w:pPr>
        <w:spacing w:after="0" w:line="240" w:lineRule="auto"/>
        <w:jc w:val="both"/>
        <w:rPr>
          <w:rFonts w:ascii="Times New Roman" w:eastAsia="Calibri" w:hAnsi="Times New Roman"/>
          <w:sz w:val="24"/>
          <w:szCs w:val="24"/>
        </w:rPr>
      </w:pPr>
      <w:r w:rsidRPr="003D617F">
        <w:rPr>
          <w:rFonts w:ascii="Times New Roman" w:eastAsia="Calibri" w:hAnsi="Times New Roman"/>
          <w:sz w:val="24"/>
          <w:szCs w:val="24"/>
        </w:rPr>
        <w:t>2. Непряко въздействащи негативни фактори</w:t>
      </w:r>
    </w:p>
    <w:p w:rsidR="003D617F" w:rsidRPr="003D617F" w:rsidRDefault="003D617F" w:rsidP="00635999">
      <w:pPr>
        <w:numPr>
          <w:ilvl w:val="0"/>
          <w:numId w:val="18"/>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 xml:space="preserve">Развитие на многочислени популации на инвазивни дънни видове риби </w:t>
      </w:r>
      <w:r w:rsidRPr="003D617F">
        <w:rPr>
          <w:rFonts w:ascii="Times New Roman" w:eastAsia="Calibri" w:hAnsi="Times New Roman"/>
          <w:sz w:val="24"/>
          <w:szCs w:val="24"/>
          <w:lang w:val="en-US"/>
        </w:rPr>
        <w:t>(</w:t>
      </w:r>
      <w:r w:rsidRPr="003D617F">
        <w:rPr>
          <w:rFonts w:ascii="Times New Roman" w:eastAsia="Calibri" w:hAnsi="Times New Roman"/>
          <w:sz w:val="24"/>
          <w:szCs w:val="24"/>
        </w:rPr>
        <w:t xml:space="preserve">напр., </w:t>
      </w:r>
      <w:r w:rsidRPr="003774E5">
        <w:rPr>
          <w:rFonts w:ascii="Times New Roman" w:eastAsia="Calibri" w:hAnsi="Times New Roman"/>
          <w:i/>
          <w:sz w:val="24"/>
          <w:szCs w:val="24"/>
          <w:lang w:val="en-US"/>
        </w:rPr>
        <w:t>Neogobius melanostomus</w:t>
      </w:r>
      <w:r w:rsidRPr="003D617F">
        <w:rPr>
          <w:rFonts w:ascii="Times New Roman" w:eastAsia="Calibri" w:hAnsi="Times New Roman"/>
          <w:sz w:val="24"/>
          <w:szCs w:val="24"/>
        </w:rPr>
        <w:t>)</w:t>
      </w:r>
      <w:r w:rsidRPr="003D617F">
        <w:rPr>
          <w:rFonts w:ascii="Times New Roman" w:eastAsia="Calibri" w:hAnsi="Times New Roman"/>
          <w:sz w:val="24"/>
          <w:szCs w:val="24"/>
          <w:lang w:val="en-US"/>
        </w:rPr>
        <w:t xml:space="preserve"> (Bauer et al., 2006; Juza et al., 2018)</w:t>
      </w:r>
    </w:p>
    <w:p w:rsidR="003D617F" w:rsidRPr="003D617F" w:rsidRDefault="003D617F" w:rsidP="003D617F">
      <w:pPr>
        <w:spacing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4. Състояние на ниво защитена зона </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297"/>
        <w:gridCol w:w="522"/>
        <w:gridCol w:w="1003"/>
        <w:gridCol w:w="262"/>
        <w:gridCol w:w="921"/>
        <w:gridCol w:w="275"/>
        <w:gridCol w:w="562"/>
        <w:gridCol w:w="718"/>
        <w:gridCol w:w="571"/>
        <w:gridCol w:w="462"/>
        <w:gridCol w:w="1282"/>
        <w:gridCol w:w="710"/>
        <w:gridCol w:w="495"/>
        <w:gridCol w:w="421"/>
        <w:gridCol w:w="951"/>
      </w:tblGrid>
      <w:tr w:rsidR="003D617F" w:rsidRPr="003D617F" w:rsidTr="003774E5">
        <w:trPr>
          <w:tblCellSpacing w:w="15" w:type="dxa"/>
        </w:trPr>
        <w:tc>
          <w:tcPr>
            <w:tcW w:w="1561"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2032"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44"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3774E5">
        <w:trPr>
          <w:tblCellSpacing w:w="15" w:type="dxa"/>
        </w:trPr>
        <w:tc>
          <w:tcPr>
            <w:tcW w:w="139"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G </w:t>
            </w:r>
          </w:p>
        </w:tc>
        <w:tc>
          <w:tcPr>
            <w:tcW w:w="272"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536"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427"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35"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672"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29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3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62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37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54"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3774E5">
        <w:trPr>
          <w:tblCellSpacing w:w="15" w:type="dxa"/>
        </w:trPr>
        <w:tc>
          <w:tcPr>
            <w:tcW w:w="13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7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53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42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3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9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29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3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62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7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25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Con.</w:t>
            </w:r>
          </w:p>
        </w:tc>
        <w:tc>
          <w:tcPr>
            <w:tcW w:w="21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Iso.</w:t>
            </w:r>
          </w:p>
        </w:tc>
        <w:tc>
          <w:tcPr>
            <w:tcW w:w="45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Glo.</w:t>
            </w:r>
          </w:p>
        </w:tc>
      </w:tr>
      <w:tr w:rsidR="003D617F" w:rsidRPr="003D617F" w:rsidTr="003774E5">
        <w:trPr>
          <w:tblCellSpacing w:w="15" w:type="dxa"/>
        </w:trPr>
        <w:tc>
          <w:tcPr>
            <w:tcW w:w="13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F</w:t>
            </w:r>
          </w:p>
        </w:tc>
        <w:tc>
          <w:tcPr>
            <w:tcW w:w="27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2555</w:t>
            </w:r>
          </w:p>
        </w:tc>
        <w:tc>
          <w:tcPr>
            <w:tcW w:w="53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sz w:val="16"/>
                <w:szCs w:val="16"/>
              </w:rPr>
              <w:t>Gymnocephalus baloni</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42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13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29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245440</w:t>
            </w:r>
          </w:p>
        </w:tc>
        <w:tc>
          <w:tcPr>
            <w:tcW w:w="36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245440</w:t>
            </w:r>
          </w:p>
        </w:tc>
        <w:tc>
          <w:tcPr>
            <w:tcW w:w="29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area</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37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С</w:t>
            </w:r>
          </w:p>
        </w:tc>
        <w:tc>
          <w:tcPr>
            <w:tcW w:w="25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В</w:t>
            </w:r>
          </w:p>
        </w:tc>
        <w:tc>
          <w:tcPr>
            <w:tcW w:w="21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В</w:t>
            </w:r>
          </w:p>
        </w:tc>
        <w:tc>
          <w:tcPr>
            <w:tcW w:w="45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В</w:t>
            </w:r>
          </w:p>
        </w:tc>
      </w:tr>
    </w:tbl>
    <w:p w:rsidR="003D617F" w:rsidRPr="003D617F" w:rsidRDefault="003D617F" w:rsidP="003D617F">
      <w:pPr>
        <w:autoSpaceDE w:val="0"/>
        <w:autoSpaceDN w:val="0"/>
        <w:adjustRightInd w:val="0"/>
        <w:spacing w:after="0" w:line="240" w:lineRule="auto"/>
        <w:jc w:val="both"/>
        <w:rPr>
          <w:rFonts w:ascii="Times New Roman" w:eastAsia="Calibri" w:hAnsi="Times New Roman"/>
          <w:b/>
          <w:sz w:val="24"/>
          <w:szCs w:val="24"/>
        </w:rPr>
      </w:pPr>
    </w:p>
    <w:p w:rsidR="003D617F" w:rsidRPr="003D617F" w:rsidRDefault="003D617F" w:rsidP="003D617F">
      <w:pPr>
        <w:autoSpaceDE w:val="0"/>
        <w:autoSpaceDN w:val="0"/>
        <w:adjustRightInd w:val="0"/>
        <w:spacing w:after="0" w:line="240" w:lineRule="auto"/>
        <w:jc w:val="both"/>
        <w:rPr>
          <w:rFonts w:ascii="Times New Roman" w:eastAsia="Calibri" w:hAnsi="Times New Roman"/>
          <w:bCs/>
          <w:color w:val="000000"/>
          <w:kern w:val="36"/>
          <w:sz w:val="24"/>
          <w:szCs w:val="24"/>
        </w:rPr>
      </w:pPr>
      <w:r w:rsidRPr="003D617F">
        <w:rPr>
          <w:rFonts w:ascii="Times New Roman" w:eastAsia="Calibri" w:hAnsi="Times New Roman"/>
          <w:b/>
          <w:sz w:val="24"/>
          <w:szCs w:val="24"/>
        </w:rPr>
        <w:t xml:space="preserve">Източник: </w:t>
      </w:r>
    </w:p>
    <w:p w:rsidR="003D617F" w:rsidRPr="003D617F" w:rsidRDefault="00DE51FF" w:rsidP="003D617F">
      <w:pPr>
        <w:spacing w:after="160" w:line="240" w:lineRule="auto"/>
        <w:jc w:val="both"/>
        <w:rPr>
          <w:rFonts w:ascii="Times New Roman" w:eastAsia="Calibri" w:hAnsi="Times New Roman"/>
          <w:sz w:val="24"/>
          <w:szCs w:val="24"/>
        </w:rPr>
      </w:pPr>
      <w:hyperlink r:id="rId116" w:history="1">
        <w:r w:rsidR="003D617F" w:rsidRPr="003D617F">
          <w:rPr>
            <w:rFonts w:ascii="Times New Roman" w:eastAsia="Calibri" w:hAnsi="Times New Roman"/>
            <w:color w:val="0563C1"/>
            <w:sz w:val="24"/>
            <w:szCs w:val="24"/>
            <w:u w:val="single"/>
          </w:rPr>
          <w:t>http://natura2000.moew.government.bg/Home/ProtectedSite?code=BG0000334&amp;siteType=HabitatDirective</w:t>
        </w:r>
      </w:hyperlink>
      <w:r w:rsidR="003D617F" w:rsidRPr="003D617F">
        <w:rPr>
          <w:rFonts w:ascii="Times New Roman" w:eastAsia="Calibri" w:hAnsi="Times New Roman"/>
          <w:sz w:val="24"/>
          <w:szCs w:val="24"/>
        </w:rPr>
        <w:t>.</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Качеството на данните за високотелия бибан е оценено като „лошо“ (Р). Като популационна единица е използвана площта на местообитанията (мин-макс). Опазването на вида е оценено с „</w:t>
      </w:r>
      <w:r w:rsidRPr="003D617F">
        <w:rPr>
          <w:rFonts w:ascii="Times New Roman" w:eastAsia="Calibri" w:hAnsi="Times New Roman"/>
          <w:bCs/>
          <w:color w:val="000000"/>
          <w:kern w:val="36"/>
          <w:sz w:val="24"/>
          <w:szCs w:val="24"/>
        </w:rPr>
        <w:t>В“ (добро опазване)</w:t>
      </w:r>
      <w:r w:rsidRPr="003D617F">
        <w:rPr>
          <w:rFonts w:ascii="Times New Roman" w:eastAsia="Calibri" w:hAnsi="Times New Roman"/>
          <w:sz w:val="24"/>
          <w:szCs w:val="24"/>
        </w:rPr>
        <w:t>. Стпента на изолация е оценена с „В</w:t>
      </w:r>
      <w:r w:rsidRPr="003D617F">
        <w:rPr>
          <w:rFonts w:ascii="Times New Roman" w:eastAsia="Calibri" w:hAnsi="Times New Roman"/>
          <w:bCs/>
          <w:color w:val="000000"/>
          <w:kern w:val="36"/>
          <w:sz w:val="24"/>
          <w:szCs w:val="24"/>
        </w:rPr>
        <w:t>“ (не изолирана популация, но на границата на ареала на разпространение).</w:t>
      </w:r>
      <w:r w:rsidRPr="003D617F">
        <w:rPr>
          <w:rFonts w:ascii="Times New Roman" w:eastAsia="Calibri" w:hAnsi="Times New Roman"/>
          <w:sz w:val="24"/>
          <w:szCs w:val="24"/>
        </w:rPr>
        <w:t xml:space="preserve"> Цялостна оценка на стойността на зоната за опазването на вида попада в категорията „</w:t>
      </w:r>
      <w:r w:rsidRPr="003D617F">
        <w:rPr>
          <w:rFonts w:ascii="Times New Roman" w:eastAsia="Calibri" w:hAnsi="Times New Roman"/>
          <w:bCs/>
          <w:color w:val="000000"/>
          <w:kern w:val="36"/>
          <w:sz w:val="24"/>
          <w:szCs w:val="24"/>
        </w:rPr>
        <w:t>В“ (добра стойност)</w:t>
      </w:r>
      <w:r w:rsidRPr="003D617F">
        <w:rPr>
          <w:rFonts w:ascii="Times New Roman" w:eastAsia="Calibri" w:hAnsi="Times New Roman"/>
          <w:sz w:val="24"/>
          <w:szCs w:val="24"/>
        </w:rPr>
        <w:t xml:space="preserve">. </w:t>
      </w:r>
    </w:p>
    <w:p w:rsidR="003D617F" w:rsidRPr="003D617F" w:rsidRDefault="003D617F" w:rsidP="003D617F">
      <w:pPr>
        <w:autoSpaceDE w:val="0"/>
        <w:autoSpaceDN w:val="0"/>
        <w:adjustRightInd w:val="0"/>
        <w:spacing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5. </w:t>
      </w:r>
      <w:r w:rsidR="003774E5">
        <w:rPr>
          <w:rFonts w:ascii="Times New Roman" w:eastAsia="Calibri" w:hAnsi="Times New Roman"/>
          <w:b/>
          <w:sz w:val="24"/>
          <w:szCs w:val="24"/>
        </w:rPr>
        <w:t>Анализ на наличната информация</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Видът не е регистриран през 2013 г. в зоната по време на проект "Картиране и определяне на природозащитното състояние на природни местообитания и видове - фаза I". Поради тази причина видът е категоризиран в „неблагоприятно-незадоволително“ ПС по критерий „Популация в границите на зоната“, както и по критерий „Структура и функции“, който се отнася за качеството на местообитанията, поради влошени показатели на параметъра Български биотичен индкекс (ББИ). ПС е оценено като „благоприятно“ по критерии „Площ на местообитанията“ и „Бъдещи перспективи“, но цялостната оценка е „неблагоприятно-незадоволително“ ПС според приетата методика за оценяване. В стандартния формуляр няма информация за </w:t>
      </w:r>
      <w:r w:rsidRPr="003D617F">
        <w:rPr>
          <w:rFonts w:ascii="Times New Roman" w:eastAsia="Calibri" w:hAnsi="Times New Roman"/>
          <w:sz w:val="24"/>
          <w:szCs w:val="24"/>
        </w:rPr>
        <w:lastRenderedPageBreak/>
        <w:t xml:space="preserve">числеността на популацията, а само за площите на потенциалните местообитания (245440 мин.-макс). </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В гранниците на зоната местообитания на вида има само в р. Дунав. Участъкът от река Дунав в зоната, според своите хидроморфологични характеристики представлява подходящо местообитание за вида и ефективен екокоридор за връзка с останалите части на популацията, тъй като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въпреки, че стойностите на ББИ вероятно са индикатор за наличието на акумулиран натиск от по-горните участъци на р. Дунав. По данни от международното научно изследване </w:t>
      </w:r>
      <w:r w:rsidRPr="003D617F">
        <w:rPr>
          <w:rFonts w:ascii="Times New Roman" w:eastAsia="Calibri" w:hAnsi="Times New Roman"/>
          <w:sz w:val="24"/>
          <w:szCs w:val="24"/>
          <w:lang w:val="en-US"/>
        </w:rPr>
        <w:t>“JDS 4”</w:t>
      </w:r>
      <w:r w:rsidRPr="003D617F">
        <w:rPr>
          <w:rFonts w:ascii="Times New Roman" w:eastAsia="Calibri" w:hAnsi="Times New Roman"/>
          <w:sz w:val="24"/>
          <w:szCs w:val="24"/>
        </w:rPr>
        <w:t xml:space="preserve">, през 2019 </w:t>
      </w:r>
      <w:r w:rsidR="00051A9F">
        <w:rPr>
          <w:rFonts w:ascii="Times New Roman" w:eastAsia="Calibri" w:hAnsi="Times New Roman"/>
          <w:sz w:val="24"/>
          <w:szCs w:val="24"/>
        </w:rPr>
        <w:t xml:space="preserve">г. </w:t>
      </w:r>
      <w:r w:rsidRPr="003D617F">
        <w:rPr>
          <w:rFonts w:ascii="Times New Roman" w:eastAsia="Calibri" w:hAnsi="Times New Roman"/>
          <w:sz w:val="24"/>
          <w:szCs w:val="24"/>
        </w:rPr>
        <w:t xml:space="preserve">на най-близкия мониторингов пункт на р. Дунав при с. Ветрен е определен </w:t>
      </w:r>
      <w:r w:rsidR="00051A9F">
        <w:rPr>
          <w:rFonts w:ascii="Times New Roman" w:eastAsia="Calibri" w:hAnsi="Times New Roman"/>
          <w:sz w:val="24"/>
          <w:szCs w:val="24"/>
        </w:rPr>
        <w:t>„</w:t>
      </w:r>
      <w:r w:rsidRPr="003D617F">
        <w:rPr>
          <w:rFonts w:ascii="Times New Roman" w:eastAsia="Calibri" w:hAnsi="Times New Roman"/>
          <w:sz w:val="24"/>
          <w:szCs w:val="24"/>
        </w:rPr>
        <w:t>Добър екологичен потенциал</w:t>
      </w:r>
      <w:r w:rsidR="00051A9F">
        <w:rPr>
          <w:rFonts w:ascii="Times New Roman" w:eastAsia="Calibri" w:hAnsi="Times New Roman"/>
          <w:sz w:val="24"/>
          <w:szCs w:val="24"/>
        </w:rPr>
        <w:t>“</w:t>
      </w:r>
      <w:r w:rsidRPr="003D617F">
        <w:rPr>
          <w:rFonts w:ascii="Times New Roman" w:eastAsia="Calibri" w:hAnsi="Times New Roman"/>
          <w:sz w:val="24"/>
          <w:szCs w:val="24"/>
        </w:rPr>
        <w:t xml:space="preserve"> по БЕК Риби, БЕК Макрозообентос и БЕК Макрофити.</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Невъзможност да се регистрира вида в зоната в случая не означава неблагоприятно състояние, тъй като популацията му се характеризира с ниско обилие в целия български участък от р. Дунав. Състоянието на вида до голяма степен може да бъде определено косвено чрез оценка на неговото местообитание, по експертна оценка. </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При полевото проучване </w:t>
      </w:r>
      <w:r w:rsidR="00051A9F">
        <w:rPr>
          <w:rFonts w:ascii="Times New Roman" w:eastAsia="Calibri" w:hAnsi="Times New Roman"/>
          <w:sz w:val="24"/>
          <w:szCs w:val="24"/>
        </w:rPr>
        <w:t xml:space="preserve">през 2021 г. </w:t>
      </w:r>
      <w:r w:rsidRPr="003D617F">
        <w:rPr>
          <w:rFonts w:ascii="Times New Roman" w:eastAsia="Calibri" w:hAnsi="Times New Roman"/>
          <w:sz w:val="24"/>
          <w:szCs w:val="24"/>
        </w:rPr>
        <w:t>по време на проекта за определяне на целите за опазване на вида в защитената зона са извършени пробни улови. Според дължината на подходящите речни участъци в зоната са избрани за пробонабиране 2 участъка, които включват представителни хабитати на вида, и които позволяват адекватна оценка на популацията в зоната. Използван е един метод за пробонабиране приложим за този вид: стационарни многобримкови хрилни мрежи с дължина 25-30 м, поставяни успоредно на брега съгласно методиката за мониторинг на риби (подход за мониторинг на риби в р. Дунав), приета в Националната система за мониторинг на биологичното разнообразие (http://eea.government.bg/bg/bio/nsmbr/praktichesko-rakovodstvo-metodiki-za-monitoring-i-otsenka/Podhod_Dunav.pdf). Във всеки участък са поставяни 3-5 мрежи. При този подход числеността на рибите се определя като улов (индивиди) на единица риболовно усилие (ind. CPUE).</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Не е регистриран нито един екземпляр на вида в нито един от трансектите.</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Защитена зона </w:t>
      </w:r>
      <w:r w:rsidRPr="003D617F">
        <w:rPr>
          <w:rFonts w:ascii="Times New Roman" w:eastAsia="Calibri" w:hAnsi="Times New Roman"/>
          <w:sz w:val="24"/>
          <w:szCs w:val="24"/>
          <w:lang w:val="en-US"/>
        </w:rPr>
        <w:t>BG0000241</w:t>
      </w:r>
      <w:r w:rsidRPr="003D617F">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w:t>
      </w:r>
      <w:r w:rsidR="00051A9F">
        <w:rPr>
          <w:rFonts w:ascii="Times New Roman" w:eastAsia="Calibri" w:hAnsi="Times New Roman"/>
          <w:sz w:val="24"/>
          <w:szCs w:val="24"/>
        </w:rPr>
        <w:t>незаконен</w:t>
      </w:r>
      <w:r w:rsidRPr="003D617F">
        <w:rPr>
          <w:rFonts w:ascii="Times New Roman" w:eastAsia="Calibri" w:hAnsi="Times New Roman"/>
          <w:sz w:val="24"/>
          <w:szCs w:val="24"/>
        </w:rPr>
        <w:t>),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3D617F" w:rsidRPr="003D617F" w:rsidRDefault="003D617F" w:rsidP="003D617F">
      <w:pPr>
        <w:spacing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6. Цели за подобряване/поддържане на природозащитното със</w:t>
      </w:r>
      <w:r w:rsidR="00051A9F">
        <w:rPr>
          <w:rFonts w:ascii="Times New Roman" w:eastAsia="Calibri" w:hAnsi="Times New Roman"/>
          <w:b/>
          <w:sz w:val="24"/>
          <w:szCs w:val="24"/>
        </w:rPr>
        <w:t>тояние на вида в зоната</w:t>
      </w:r>
    </w:p>
    <w:p w:rsidR="003D617F" w:rsidRPr="003D617F" w:rsidRDefault="003D617F" w:rsidP="003D617F">
      <w:pPr>
        <w:spacing w:before="120" w:after="0" w:line="240" w:lineRule="auto"/>
        <w:jc w:val="both"/>
        <w:rPr>
          <w:rFonts w:ascii="Times New Roman" w:eastAsia="Calibri" w:hAnsi="Times New Roman"/>
          <w:sz w:val="24"/>
          <w:szCs w:val="24"/>
        </w:rPr>
      </w:pPr>
      <w:r w:rsidRPr="003D617F">
        <w:rPr>
          <w:rFonts w:ascii="Times New Roman" w:eastAsia="Calibri" w:hAnsi="Times New Roman"/>
          <w:sz w:val="24"/>
          <w:szCs w:val="24"/>
        </w:rPr>
        <w:t>Целите са формулирани по показатели, в таблицата по-долу.</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1135"/>
        <w:gridCol w:w="1135"/>
        <w:gridCol w:w="3462"/>
        <w:gridCol w:w="1854"/>
      </w:tblGrid>
      <w:tr w:rsidR="003D617F" w:rsidRPr="003D617F" w:rsidTr="003774E5">
        <w:trPr>
          <w:tblHeader/>
          <w:jc w:val="center"/>
        </w:trPr>
        <w:tc>
          <w:tcPr>
            <w:tcW w:w="75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lastRenderedPageBreak/>
              <w:t>Параметър</w:t>
            </w:r>
          </w:p>
        </w:tc>
        <w:tc>
          <w:tcPr>
            <w:tcW w:w="635"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Мерна единица</w:t>
            </w:r>
          </w:p>
        </w:tc>
        <w:tc>
          <w:tcPr>
            <w:tcW w:w="635"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Целева стойност</w:t>
            </w:r>
          </w:p>
        </w:tc>
        <w:tc>
          <w:tcPr>
            <w:tcW w:w="1937"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 xml:space="preserve">Допълнителна информация </w:t>
            </w:r>
          </w:p>
        </w:tc>
        <w:tc>
          <w:tcPr>
            <w:tcW w:w="1037"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t>Специфични цели на опазване за зоната</w:t>
            </w:r>
          </w:p>
        </w:tc>
      </w:tr>
      <w:tr w:rsidR="003D617F" w:rsidRPr="003D617F" w:rsidTr="003774E5">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lang w:val="en-US"/>
              </w:rPr>
            </w:pPr>
            <w:r w:rsidRPr="003D617F">
              <w:rPr>
                <w:rFonts w:ascii="Times New Roman" w:eastAsia="Calibri" w:hAnsi="Times New Roman"/>
                <w:b/>
              </w:rPr>
              <w:t>Плътност на популацията</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ind. CPUE</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Най-малко</w:t>
            </w:r>
            <w:r w:rsidRPr="003D617F">
              <w:rPr>
                <w:rFonts w:ascii="Times New Roman" w:eastAsia="Calibri" w:hAnsi="Times New Roman"/>
                <w:lang w:val="en-US"/>
              </w:rPr>
              <w:t xml:space="preserve"> </w:t>
            </w:r>
            <w:r w:rsidRPr="003D617F">
              <w:rPr>
                <w:rFonts w:ascii="Times New Roman" w:eastAsia="Calibri" w:hAnsi="Times New Roman"/>
              </w:rPr>
              <w:t xml:space="preserve">1-3 </w:t>
            </w:r>
          </w:p>
        </w:tc>
        <w:tc>
          <w:tcPr>
            <w:tcW w:w="1937"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Стойността по  този параметър при работа със стационарни мрежи се определя като брой на уловените екземпляри от вида спрямо площта на хрилните мрежи и времето на престоя им в работно положение. При използване на След това броят на уловените екземпляри се преизчислява на единица риболовно усилие (ind. CPUE).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Според наличните данни (проект "Картиране и определяне на природозащитното състояние на природни местообитания и видове - фаза I".) средната стойност на числеността на вида в зоната не е определена. Няма данни и от последващи регистрации на вида в зоната, вкл. и през 2021 г., когато е проведено теренно проучване за вида в 2 участъка на зоната. Поради тази причина минималната целева стойност на популацията се определя чрез експертна преценка като се отчита  референтната стойност, предложена по време на проект "Картиране и определяне на природозащитното състояние на природни местообитания и видове - фаза I" (20-50 екз./ха).</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По отношение на натиска, този конкретен речен участък в рамките на защитената зона може да се счита за хомогенен.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От друга страна, кумулативния натиск с източници на произход извън зоната може да бъде значим, но към момента не може да бъде отчетен.</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Съгласно методиката за оценка на състоянието на риби в НСМБР референтните стойности за плътността на популацията на този вид не са определени </w:t>
            </w:r>
          </w:p>
        </w:tc>
        <w:tc>
          <w:tcPr>
            <w:tcW w:w="1037" w:type="pct"/>
          </w:tcPr>
          <w:p w:rsidR="003D617F" w:rsidRPr="003D617F" w:rsidRDefault="003D617F" w:rsidP="003D617F">
            <w:pPr>
              <w:spacing w:before="120" w:after="120" w:line="240" w:lineRule="auto"/>
              <w:jc w:val="both"/>
              <w:rPr>
                <w:rFonts w:ascii="Times New Roman" w:eastAsia="Calibri" w:hAnsi="Times New Roman"/>
                <w:lang w:val="en-US"/>
              </w:rPr>
            </w:pPr>
            <w:r w:rsidRPr="003D617F">
              <w:rPr>
                <w:rFonts w:ascii="Times New Roman" w:eastAsia="Calibri" w:hAnsi="Times New Roman"/>
              </w:rPr>
              <w:t>Намаляване на числеността на инвазивни дънни видове риби (</w:t>
            </w:r>
            <w:r w:rsidRPr="00051A9F">
              <w:rPr>
                <w:rFonts w:ascii="Times New Roman" w:eastAsia="Calibri" w:hAnsi="Times New Roman"/>
                <w:i/>
              </w:rPr>
              <w:t>Neogobius melanostomus, Perccottus glenii</w:t>
            </w:r>
            <w:r w:rsidRPr="003D617F">
              <w:rPr>
                <w:rFonts w:ascii="Times New Roman" w:eastAsia="Calibri" w:hAnsi="Times New Roman"/>
              </w:rPr>
              <w:t>). Предотвратяване на разпространението на нови инвазивни видове риби.</w:t>
            </w:r>
          </w:p>
        </w:tc>
      </w:tr>
      <w:tr w:rsidR="003D617F" w:rsidRPr="003D617F" w:rsidTr="003774E5">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 xml:space="preserve">Местообитание на вида: </w:t>
            </w:r>
          </w:p>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речна мрежа, представляваща потенциално местообитание за вида</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км</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shd w:val="clear" w:color="auto" w:fill="FFFFFF"/>
              </w:rPr>
              <w:t>Най-малко 3 км</w:t>
            </w:r>
          </w:p>
        </w:tc>
        <w:tc>
          <w:tcPr>
            <w:tcW w:w="1937"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Тъй като в границите на зоната видът се среща само в р. Дунав, като размер на местообитанието на вида се определя дължината на участъка от р. Дунав в границите на ЗЗ Чрез ГИС анализ е установено, че 3 км от р. Дунав в защитената зона отговарят на посочените критерии. Според наличните данни за вида, той е разпространен мозаечно в зоната с агрегации при подходящ субстрат.</w:t>
            </w:r>
          </w:p>
        </w:tc>
        <w:tc>
          <w:tcPr>
            <w:tcW w:w="1037"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Поддържане на речната мрежа, представляваща подходящо местообитание, обитавано от вида, най-малко 3 км. </w:t>
            </w:r>
          </w:p>
          <w:p w:rsidR="003D617F" w:rsidRPr="003D617F" w:rsidRDefault="003D617F" w:rsidP="003D617F">
            <w:pPr>
              <w:spacing w:before="120" w:after="120" w:line="240" w:lineRule="auto"/>
              <w:jc w:val="both"/>
              <w:rPr>
                <w:rFonts w:ascii="Times New Roman" w:eastAsia="Calibri" w:hAnsi="Times New Roman"/>
              </w:rPr>
            </w:pPr>
          </w:p>
          <w:p w:rsidR="003D617F" w:rsidRPr="003D617F" w:rsidRDefault="003D617F" w:rsidP="003D617F">
            <w:pPr>
              <w:spacing w:before="120" w:after="120" w:line="240" w:lineRule="auto"/>
              <w:jc w:val="both"/>
              <w:rPr>
                <w:rFonts w:ascii="Times New Roman" w:eastAsia="Calibri" w:hAnsi="Times New Roman"/>
              </w:rPr>
            </w:pPr>
          </w:p>
        </w:tc>
      </w:tr>
      <w:tr w:rsidR="003D617F" w:rsidRPr="003D617F" w:rsidTr="003774E5">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 xml:space="preserve">Местообитание на вида: </w:t>
            </w:r>
          </w:p>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 xml:space="preserve">Степен на свързаност на местообитанието на вида </w:t>
            </w:r>
          </w:p>
          <w:p w:rsidR="003D617F" w:rsidRPr="003D617F" w:rsidRDefault="003D617F" w:rsidP="003D617F">
            <w:pPr>
              <w:spacing w:before="120" w:after="120" w:line="240" w:lineRule="auto"/>
              <w:rPr>
                <w:rFonts w:ascii="Times New Roman" w:eastAsia="Calibri" w:hAnsi="Times New Roman"/>
                <w:b/>
              </w:rPr>
            </w:pPr>
          </w:p>
          <w:p w:rsidR="003D617F" w:rsidRPr="003D617F" w:rsidRDefault="003D617F" w:rsidP="003D617F">
            <w:pPr>
              <w:spacing w:before="120" w:after="120" w:line="240" w:lineRule="auto"/>
              <w:rPr>
                <w:rFonts w:ascii="Times New Roman" w:eastAsia="Calibri" w:hAnsi="Times New Roman"/>
                <w:b/>
              </w:rPr>
            </w:pP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 xml:space="preserve">5 степенна скала за всяка бариера </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lang w:val="en-US"/>
              </w:rPr>
            </w:pPr>
            <w:r w:rsidRPr="003D617F">
              <w:rPr>
                <w:rFonts w:ascii="Times New Roman" w:eastAsia="Calibri" w:hAnsi="Times New Roman"/>
              </w:rPr>
              <w:t>Степен</w:t>
            </w:r>
            <w:r w:rsidRPr="003D617F">
              <w:rPr>
                <w:rFonts w:ascii="Times New Roman" w:eastAsia="Calibri" w:hAnsi="Times New Roman"/>
                <w:lang w:val="en-US"/>
              </w:rPr>
              <w:t xml:space="preserve"> 1</w:t>
            </w:r>
          </w:p>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за всяка бариера</w:t>
            </w:r>
          </w:p>
        </w:tc>
        <w:tc>
          <w:tcPr>
            <w:tcW w:w="1937"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На базата на информацията в ПУБР 2016-2021 г. и пробонабирането през 2021 г., може да се направи изводът, че натискът от изграждане на миграционни бариери за речните участъци, представляващи подходящи местообитания за </w:t>
            </w:r>
            <w:r w:rsidRPr="003D617F">
              <w:rPr>
                <w:rFonts w:ascii="Times New Roman" w:eastAsia="Calibri" w:hAnsi="Times New Roman"/>
              </w:rPr>
              <w:lastRenderedPageBreak/>
              <w:t>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7"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 xml:space="preserve">Поддържане на свързаност на местообитанието на вида от Степен 1 за всяка бариера в речния участък. </w:t>
            </w:r>
          </w:p>
        </w:tc>
      </w:tr>
      <w:tr w:rsidR="003D617F" w:rsidRPr="003D617F" w:rsidTr="003774E5">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 xml:space="preserve">Местообитание на вида: Екологично 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 xml:space="preserve">5 степенна скала за екологично състояние съгласно РДВ </w:t>
            </w:r>
          </w:p>
        </w:tc>
        <w:tc>
          <w:tcPr>
            <w:tcW w:w="635" w:type="pct"/>
            <w:shd w:val="clear" w:color="auto" w:fill="auto"/>
          </w:tcPr>
          <w:p w:rsidR="003D617F" w:rsidRPr="003D617F" w:rsidRDefault="003D617F" w:rsidP="00051A9F">
            <w:pPr>
              <w:spacing w:before="120" w:after="120" w:line="240" w:lineRule="auto"/>
              <w:rPr>
                <w:rFonts w:ascii="Times New Roman" w:eastAsia="Calibri" w:hAnsi="Times New Roman"/>
              </w:rPr>
            </w:pPr>
            <w:r w:rsidRPr="003D617F">
              <w:rPr>
                <w:rFonts w:ascii="Times New Roman" w:eastAsia="Calibri" w:hAnsi="Times New Roman"/>
              </w:rPr>
              <w:t xml:space="preserve">По-висока или равна на 2 – </w:t>
            </w:r>
            <w:r w:rsidR="00051A9F">
              <w:rPr>
                <w:rFonts w:ascii="Times New Roman" w:eastAsia="Calibri" w:hAnsi="Times New Roman"/>
              </w:rPr>
              <w:t>Добър потенциал</w:t>
            </w:r>
          </w:p>
        </w:tc>
        <w:tc>
          <w:tcPr>
            <w:tcW w:w="1937" w:type="pct"/>
            <w:shd w:val="clear" w:color="auto" w:fill="auto"/>
          </w:tcPr>
          <w:p w:rsidR="003D617F" w:rsidRPr="003D617F" w:rsidRDefault="003D617F" w:rsidP="003D617F">
            <w:pPr>
              <w:spacing w:after="0" w:line="240" w:lineRule="auto"/>
              <w:jc w:val="both"/>
              <w:rPr>
                <w:rFonts w:ascii="Times New Roman" w:eastAsia="Calibri" w:hAnsi="Times New Roman"/>
              </w:rPr>
            </w:pPr>
            <w:r w:rsidRPr="003D617F">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3D617F" w:rsidRPr="003D617F" w:rsidTr="003D617F">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3D617F" w:rsidRPr="003D617F" w:rsidRDefault="003D617F" w:rsidP="003D617F">
                  <w:pPr>
                    <w:spacing w:after="0" w:line="240" w:lineRule="auto"/>
                    <w:jc w:val="center"/>
                    <w:rPr>
                      <w:rFonts w:ascii="Times New Roman" w:eastAsia="Calibri" w:hAnsi="Times New Roman"/>
                      <w:b/>
                      <w:bCs/>
                      <w:color w:val="000000"/>
                    </w:rPr>
                  </w:pPr>
                  <w:r w:rsidRPr="003D617F">
                    <w:rPr>
                      <w:rFonts w:ascii="Times New Roman" w:eastAsia="Calibri" w:hAnsi="Times New Roman"/>
                      <w:b/>
                      <w:bCs/>
                      <w:color w:val="000000"/>
                    </w:rPr>
                    <w:t>ЕС/ЕП</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1 - Отлично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2 - Добро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3 - Умерено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4 - Лошо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5 - Много лошо</w:t>
                  </w:r>
                </w:p>
              </w:tc>
            </w:tr>
          </w:tbl>
          <w:p w:rsidR="003D617F" w:rsidRPr="003D617F" w:rsidRDefault="00051A9F" w:rsidP="003D617F">
            <w:pPr>
              <w:spacing w:before="120" w:after="120" w:line="240" w:lineRule="auto"/>
              <w:jc w:val="both"/>
              <w:rPr>
                <w:rFonts w:ascii="Times New Roman" w:eastAsia="Calibri" w:hAnsi="Times New Roman"/>
              </w:rPr>
            </w:pPr>
            <w:r w:rsidRPr="00BF1D7C">
              <w:rPr>
                <w:rFonts w:ascii="Times New Roman" w:eastAsia="Calibri" w:hAnsi="Times New Roman"/>
              </w:rPr>
              <w:t>Съгласно ПУРБ 2016-2021 г. целият български участък от р. Дунав представлява силно модифицирано водно тяло, с код (</w:t>
            </w:r>
            <w:hyperlink r:id="rId117" w:history="1">
              <w:r w:rsidRPr="00BF1D7C">
                <w:rPr>
                  <w:rFonts w:ascii="Times New Roman" w:eastAsia="Calibri" w:hAnsi="Times New Roman"/>
                  <w:color w:val="0000FF"/>
                  <w:u w:val="single"/>
                </w:rPr>
                <w:t>http://www.bd-dunav.org/uploads/content/files/upravlenie-na-vodite/PURB-2016-2021-final/Razdel-1/prilojenia_R1/Pril_1244.pdf</w:t>
              </w:r>
            </w:hyperlink>
            <w:r w:rsidRPr="00BF1D7C">
              <w:rPr>
                <w:rFonts w:ascii="Times New Roman" w:eastAsia="Calibri" w:hAnsi="Times New Roman"/>
              </w:rPr>
              <w:t>).Екологичният потенциал на р. Дунав е оценен като Умерен, (3),  (</w:t>
            </w:r>
            <w:hyperlink r:id="rId118" w:history="1">
              <w:r w:rsidRPr="00BF1D7C">
                <w:rPr>
                  <w:rFonts w:ascii="Times New Roman" w:eastAsia="Calibri" w:hAnsi="Times New Roman"/>
                  <w:color w:val="0000FF"/>
                  <w:u w:val="single"/>
                </w:rPr>
                <w:t>https://www.eea.europa.eu/data-and-maps/explore-interactive-maps/water-framework-directive-quality-</w:t>
              </w:r>
              <w:r w:rsidRPr="00BF1D7C">
                <w:rPr>
                  <w:rFonts w:ascii="Times New Roman" w:eastAsia="Calibri" w:hAnsi="Times New Roman"/>
                  <w:color w:val="0000FF"/>
                  <w:u w:val="single"/>
                </w:rPr>
                <w:lastRenderedPageBreak/>
                <w:t>elements?utm_source=EEASubscriptions&amp;utm_medium=RSSFeeds&amp;utm_campaign=Generic</w:t>
              </w:r>
            </w:hyperlink>
            <w:r w:rsidR="003D617F" w:rsidRPr="003D617F">
              <w:rPr>
                <w:rFonts w:ascii="Times New Roman" w:eastAsia="Calibri" w:hAnsi="Times New Roman"/>
              </w:rPr>
              <w:t>).</w:t>
            </w:r>
          </w:p>
        </w:tc>
        <w:tc>
          <w:tcPr>
            <w:tcW w:w="1037"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Постигане и поддържане на екологичния потенциал на участъка от р. Дунав в границата на зоната на стойност от по-висока или равна на 2 – Добър ЕП</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Междинна цел:</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3D617F" w:rsidRPr="003D617F" w:rsidTr="003774E5">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Съотношение в % от дължината на речните участъци с подходящи  местообитания на вида и с естествено структуриран субстрат, съотнесен към общата дължина на речните участъци с подходящи местообитания за вида</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95% от дължината на речните участъци с подходящи местообитания за вида имат естественоструктуриран субстрат</w:t>
            </w:r>
          </w:p>
        </w:tc>
        <w:tc>
          <w:tcPr>
            <w:tcW w:w="1937"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Високотелият бибан е придънен вид. В България актуалното му разпространение е ограничено само в р. Дунав. През размножителния период видът извършва локални миграции към крайбрежните зони и странични ръкави с по-бавно течение. В тази връзка, поддържането на естествената структура на дънния субстрат в подходящите местообитания на вида е важно за неговото състояние.</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Фактори, водещи до нарушаване на естествената структура на дънния субстрат, са:</w:t>
            </w:r>
          </w:p>
          <w:p w:rsidR="003D617F" w:rsidRPr="003D617F" w:rsidRDefault="003D617F" w:rsidP="00635999">
            <w:pPr>
              <w:numPr>
                <w:ilvl w:val="0"/>
                <w:numId w:val="15"/>
              </w:numPr>
              <w:spacing w:before="120" w:after="120" w:line="240" w:lineRule="auto"/>
              <w:jc w:val="both"/>
              <w:rPr>
                <w:rFonts w:ascii="Times New Roman" w:eastAsia="Calibri" w:hAnsi="Times New Roman"/>
              </w:rPr>
            </w:pPr>
            <w:r w:rsidRPr="003D617F">
              <w:rPr>
                <w:rFonts w:ascii="Times New Roman" w:eastAsia="Calibri" w:hAnsi="Times New Roman"/>
              </w:rPr>
              <w:t>Отстраняване на чакъл и пясък от коритото на реката;</w:t>
            </w:r>
          </w:p>
          <w:p w:rsidR="003D617F" w:rsidRPr="003D617F" w:rsidRDefault="003D617F" w:rsidP="00635999">
            <w:pPr>
              <w:numPr>
                <w:ilvl w:val="0"/>
                <w:numId w:val="15"/>
              </w:numPr>
              <w:spacing w:before="120" w:after="120" w:line="240" w:lineRule="auto"/>
              <w:jc w:val="both"/>
              <w:rPr>
                <w:rFonts w:ascii="Times New Roman" w:eastAsia="Calibri" w:hAnsi="Times New Roman"/>
              </w:rPr>
            </w:pPr>
            <w:r w:rsidRPr="003D617F">
              <w:rPr>
                <w:rFonts w:ascii="Times New Roman" w:eastAsia="Calibri" w:hAnsi="Times New Roman"/>
              </w:rPr>
              <w:t>Изкопаване на речното корито, водещо до ускоряване на водния поток и отстраняване на субстрата;</w:t>
            </w:r>
          </w:p>
          <w:p w:rsidR="003D617F" w:rsidRPr="003D617F" w:rsidRDefault="003D617F" w:rsidP="00635999">
            <w:pPr>
              <w:numPr>
                <w:ilvl w:val="0"/>
                <w:numId w:val="15"/>
              </w:numPr>
              <w:spacing w:before="120" w:after="120" w:line="240" w:lineRule="auto"/>
              <w:jc w:val="both"/>
              <w:rPr>
                <w:rFonts w:ascii="Times New Roman" w:eastAsia="Calibri" w:hAnsi="Times New Roman"/>
              </w:rPr>
            </w:pPr>
            <w:r w:rsidRPr="003D617F">
              <w:rPr>
                <w:rFonts w:ascii="Times New Roman" w:eastAsia="Calibri" w:hAnsi="Times New Roman"/>
              </w:rPr>
              <w:t>др.</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Не е установен натиск в зоната по този параметър.</w:t>
            </w:r>
          </w:p>
        </w:tc>
        <w:tc>
          <w:tcPr>
            <w:tcW w:w="1037"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Поддържане на 95 % от дължината на речните участъци с подходящи местообитания за вида да са с естествено структуриран субстрат.</w:t>
            </w:r>
          </w:p>
        </w:tc>
      </w:tr>
    </w:tbl>
    <w:p w:rsidR="003D617F" w:rsidRPr="003D617F" w:rsidRDefault="003D617F" w:rsidP="003D617F">
      <w:pPr>
        <w:spacing w:before="120"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7. Необходимост от актуализация на СФ на защ</w:t>
      </w:r>
      <w:r w:rsidR="003774E5">
        <w:rPr>
          <w:rFonts w:ascii="Times New Roman" w:eastAsia="Calibri" w:hAnsi="Times New Roman"/>
          <w:b/>
          <w:sz w:val="24"/>
          <w:szCs w:val="24"/>
        </w:rPr>
        <w:t>итената зона</w:t>
      </w:r>
    </w:p>
    <w:p w:rsidR="003D617F" w:rsidRPr="003D617F" w:rsidRDefault="00051A9F" w:rsidP="003774E5">
      <w:pPr>
        <w:spacing w:after="160" w:line="240" w:lineRule="auto"/>
        <w:ind w:firstLine="709"/>
        <w:jc w:val="both"/>
        <w:rPr>
          <w:rFonts w:ascii="Times New Roman" w:eastAsia="Calibri" w:hAnsi="Times New Roman"/>
          <w:sz w:val="24"/>
          <w:szCs w:val="24"/>
        </w:rPr>
      </w:pPr>
      <w:bookmarkStart w:id="47" w:name="_Hlk88833723"/>
      <w:r>
        <w:rPr>
          <w:rFonts w:ascii="Times New Roman" w:eastAsia="Calibri" w:hAnsi="Times New Roman"/>
          <w:sz w:val="24"/>
          <w:szCs w:val="24"/>
        </w:rPr>
        <w:t xml:space="preserve">В съответствие с </w:t>
      </w:r>
      <w:r w:rsidRPr="003D617F">
        <w:rPr>
          <w:rFonts w:ascii="Times New Roman" w:eastAsia="Calibri" w:hAnsi="Times New Roman"/>
          <w:sz w:val="24"/>
          <w:szCs w:val="24"/>
        </w:rPr>
        <w:t xml:space="preserve">методиката за </w:t>
      </w:r>
      <w:r>
        <w:rPr>
          <w:rFonts w:ascii="Times New Roman" w:eastAsia="Calibri" w:hAnsi="Times New Roman"/>
          <w:sz w:val="24"/>
          <w:szCs w:val="24"/>
        </w:rPr>
        <w:t>пробонабиране</w:t>
      </w:r>
      <w:r w:rsidRPr="003D617F">
        <w:rPr>
          <w:rFonts w:ascii="Times New Roman" w:eastAsia="Calibri" w:hAnsi="Times New Roman"/>
          <w:sz w:val="24"/>
          <w:szCs w:val="24"/>
        </w:rPr>
        <w:t xml:space="preserve"> на </w:t>
      </w:r>
      <w:r>
        <w:rPr>
          <w:rFonts w:ascii="Times New Roman" w:eastAsia="Calibri" w:hAnsi="Times New Roman"/>
          <w:sz w:val="24"/>
          <w:szCs w:val="24"/>
        </w:rPr>
        <w:t>вида</w:t>
      </w:r>
      <w:r w:rsidRPr="003D617F">
        <w:rPr>
          <w:rFonts w:ascii="Times New Roman" w:eastAsia="Calibri" w:hAnsi="Times New Roman"/>
          <w:sz w:val="24"/>
          <w:szCs w:val="24"/>
        </w:rPr>
        <w:t>, най-подходящата единица за определянето на състоянието на вида е улов на единица риболовно усилие (</w:t>
      </w:r>
      <w:r w:rsidRPr="003D617F">
        <w:rPr>
          <w:rFonts w:ascii="Times New Roman" w:eastAsia="Calibri" w:hAnsi="Times New Roman"/>
          <w:sz w:val="24"/>
          <w:szCs w:val="24"/>
          <w:lang w:val="en-US"/>
        </w:rPr>
        <w:t>CPUE</w:t>
      </w:r>
      <w:r w:rsidRPr="003D617F">
        <w:rPr>
          <w:rFonts w:ascii="Times New Roman" w:eastAsia="Calibri" w:hAnsi="Times New Roman"/>
          <w:sz w:val="24"/>
          <w:szCs w:val="24"/>
        </w:rPr>
        <w:t xml:space="preserve">). </w:t>
      </w:r>
      <w:r w:rsidRPr="006F443B">
        <w:rPr>
          <w:rFonts w:ascii="Times New Roman" w:eastAsia="Calibri" w:hAnsi="Times New Roman"/>
          <w:sz w:val="24"/>
          <w:szCs w:val="24"/>
        </w:rPr>
        <w:t>Тази единица обаче засега не е приета за оценка на видове риби при докладванията в ЕК. Затова, като се има предвид високата сезонна вариабилност на числеността на вида в зоната и с оглед унифицирането на подхода за внасянето на данни в СФ на този етап като единица за оценка се използва „Площ“ (area) на местообитанията“.</w:t>
      </w:r>
      <w:r>
        <w:rPr>
          <w:rFonts w:ascii="Times New Roman" w:eastAsia="Calibri" w:hAnsi="Times New Roman"/>
          <w:sz w:val="24"/>
          <w:szCs w:val="24"/>
        </w:rPr>
        <w:t>Не са необходими промени на СФ.</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08"/>
        <w:gridCol w:w="546"/>
        <w:gridCol w:w="1043"/>
        <w:gridCol w:w="262"/>
        <w:gridCol w:w="836"/>
        <w:gridCol w:w="286"/>
        <w:gridCol w:w="583"/>
        <w:gridCol w:w="718"/>
        <w:gridCol w:w="593"/>
        <w:gridCol w:w="482"/>
        <w:gridCol w:w="1209"/>
        <w:gridCol w:w="737"/>
        <w:gridCol w:w="513"/>
        <w:gridCol w:w="437"/>
        <w:gridCol w:w="899"/>
      </w:tblGrid>
      <w:tr w:rsidR="003D617F" w:rsidRPr="003D617F" w:rsidTr="00051A9F">
        <w:trPr>
          <w:tblCellSpacing w:w="15" w:type="dxa"/>
        </w:trPr>
        <w:tc>
          <w:tcPr>
            <w:tcW w:w="1554" w:type="pct"/>
            <w:gridSpan w:val="5"/>
            <w:shd w:val="clear" w:color="auto" w:fill="D9D9D9" w:themeFill="background1" w:themeFillShade="D9"/>
            <w:tcMar>
              <w:top w:w="96" w:type="dxa"/>
              <w:left w:w="96" w:type="dxa"/>
              <w:bottom w:w="96" w:type="dxa"/>
              <w:right w:w="96" w:type="dxa"/>
            </w:tcMar>
            <w:vAlign w:val="center"/>
          </w:tcPr>
          <w:bookmarkEnd w:id="47"/>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2033"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49"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051A9F">
        <w:trPr>
          <w:tblCellSpacing w:w="15" w:type="dxa"/>
        </w:trPr>
        <w:tc>
          <w:tcPr>
            <w:tcW w:w="145"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lastRenderedPageBreak/>
              <w:t xml:space="preserve">G </w:t>
            </w:r>
          </w:p>
        </w:tc>
        <w:tc>
          <w:tcPr>
            <w:tcW w:w="284"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558"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382"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41"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684"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31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4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58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38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44"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051A9F">
        <w:trPr>
          <w:tblCellSpacing w:w="15" w:type="dxa"/>
        </w:trPr>
        <w:tc>
          <w:tcPr>
            <w:tcW w:w="14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8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55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8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4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31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4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58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8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26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Con.</w:t>
            </w:r>
          </w:p>
        </w:tc>
        <w:tc>
          <w:tcPr>
            <w:tcW w:w="22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Iso.</w:t>
            </w:r>
          </w:p>
        </w:tc>
        <w:tc>
          <w:tcPr>
            <w:tcW w:w="4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Glo.</w:t>
            </w:r>
          </w:p>
        </w:tc>
      </w:tr>
      <w:tr w:rsidR="00051A9F" w:rsidRPr="003D617F" w:rsidTr="00051A9F">
        <w:trPr>
          <w:tblCellSpacing w:w="15" w:type="dxa"/>
        </w:trPr>
        <w:tc>
          <w:tcPr>
            <w:tcW w:w="14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3D617F" w:rsidRDefault="00051A9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F</w:t>
            </w:r>
          </w:p>
        </w:tc>
        <w:tc>
          <w:tcPr>
            <w:tcW w:w="28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3D617F" w:rsidRDefault="00051A9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2555</w:t>
            </w:r>
          </w:p>
        </w:tc>
        <w:tc>
          <w:tcPr>
            <w:tcW w:w="55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3D617F" w:rsidRDefault="00051A9F"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sz w:val="16"/>
                <w:szCs w:val="16"/>
              </w:rPr>
              <w:t>Gymnocephalus baloni</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3D617F" w:rsidRDefault="00051A9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3D617F" w:rsidRDefault="00051A9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14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3D617F" w:rsidRDefault="00051A9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3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3D617F" w:rsidRDefault="00051A9F" w:rsidP="00051A9F">
            <w:pPr>
              <w:spacing w:before="120" w:after="0" w:line="259" w:lineRule="auto"/>
              <w:jc w:val="both"/>
              <w:rPr>
                <w:rFonts w:ascii="Times New Roman" w:eastAsia="Calibri" w:hAnsi="Times New Roman"/>
                <w:b/>
                <w:bCs/>
                <w:color w:val="FF0000"/>
                <w:sz w:val="16"/>
                <w:szCs w:val="16"/>
              </w:rPr>
            </w:pPr>
            <w:r w:rsidRPr="003D617F">
              <w:rPr>
                <w:rFonts w:ascii="Times New Roman" w:eastAsia="Calibri" w:hAnsi="Times New Roman"/>
                <w:b/>
                <w:bCs/>
                <w:sz w:val="16"/>
                <w:szCs w:val="16"/>
              </w:rPr>
              <w:t>245440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3D617F" w:rsidRDefault="00051A9F" w:rsidP="00051A9F">
            <w:pPr>
              <w:spacing w:before="120" w:after="0" w:line="259" w:lineRule="auto"/>
              <w:jc w:val="both"/>
              <w:rPr>
                <w:rFonts w:ascii="Times New Roman" w:eastAsia="Calibri" w:hAnsi="Times New Roman"/>
                <w:b/>
                <w:bCs/>
                <w:color w:val="FF0000"/>
                <w:sz w:val="16"/>
                <w:szCs w:val="16"/>
              </w:rPr>
            </w:pPr>
            <w:r w:rsidRPr="003D617F">
              <w:rPr>
                <w:rFonts w:ascii="Times New Roman" w:eastAsia="Calibri" w:hAnsi="Times New Roman"/>
                <w:b/>
                <w:bCs/>
                <w:sz w:val="16"/>
                <w:szCs w:val="16"/>
              </w:rPr>
              <w:t>245440</w:t>
            </w:r>
          </w:p>
        </w:tc>
        <w:tc>
          <w:tcPr>
            <w:tcW w:w="31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3D617F" w:rsidRDefault="00051A9F" w:rsidP="00051A9F">
            <w:pPr>
              <w:spacing w:before="120" w:after="0" w:line="259" w:lineRule="auto"/>
              <w:jc w:val="both"/>
              <w:rPr>
                <w:rFonts w:ascii="Times New Roman" w:eastAsia="Calibri" w:hAnsi="Times New Roman"/>
                <w:b/>
                <w:bCs/>
                <w:color w:val="FF0000"/>
                <w:sz w:val="16"/>
                <w:szCs w:val="16"/>
                <w:lang w:val="en-US"/>
              </w:rPr>
            </w:pPr>
            <w:r w:rsidRPr="003D617F">
              <w:rPr>
                <w:rFonts w:ascii="Times New Roman" w:eastAsia="Calibri" w:hAnsi="Times New Roman"/>
                <w:b/>
                <w:bCs/>
                <w:sz w:val="16"/>
                <w:szCs w:val="16"/>
              </w:rPr>
              <w:t>area</w:t>
            </w:r>
          </w:p>
        </w:tc>
        <w:tc>
          <w:tcPr>
            <w:tcW w:w="24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3D617F" w:rsidRDefault="00051A9F" w:rsidP="00051A9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58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3D617F" w:rsidRDefault="00051A9F" w:rsidP="00051A9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38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3D617F" w:rsidRDefault="00051A9F" w:rsidP="00051A9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С</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3D617F" w:rsidRDefault="00051A9F" w:rsidP="00051A9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В</w:t>
            </w:r>
          </w:p>
        </w:tc>
        <w:tc>
          <w:tcPr>
            <w:tcW w:w="22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3D617F" w:rsidRDefault="00051A9F" w:rsidP="00051A9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В</w:t>
            </w:r>
          </w:p>
        </w:tc>
        <w:tc>
          <w:tcPr>
            <w:tcW w:w="4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3D617F" w:rsidRDefault="00051A9F" w:rsidP="00051A9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В</w:t>
            </w:r>
          </w:p>
        </w:tc>
      </w:tr>
    </w:tbl>
    <w:p w:rsidR="003D617F" w:rsidRPr="003D617F" w:rsidRDefault="003D617F" w:rsidP="003D617F">
      <w:pPr>
        <w:spacing w:after="160" w:line="240" w:lineRule="auto"/>
        <w:jc w:val="both"/>
        <w:rPr>
          <w:rFonts w:ascii="Times New Roman" w:eastAsia="Calibri" w:hAnsi="Times New Roman"/>
          <w:sz w:val="24"/>
          <w:szCs w:val="24"/>
        </w:rPr>
      </w:pPr>
    </w:p>
    <w:p w:rsidR="003D617F" w:rsidRPr="003D617F" w:rsidRDefault="003774E5" w:rsidP="003D617F">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8. Цитирана литература</w:t>
      </w:r>
    </w:p>
    <w:p w:rsidR="003D617F" w:rsidRPr="003D617F" w:rsidRDefault="003D617F" w:rsidP="003D617F">
      <w:pPr>
        <w:spacing w:after="0" w:line="259" w:lineRule="auto"/>
        <w:ind w:left="720" w:hanging="720"/>
        <w:jc w:val="both"/>
        <w:rPr>
          <w:rFonts w:ascii="Times New Roman" w:eastAsia="Calibri" w:hAnsi="Times New Roman"/>
          <w:sz w:val="24"/>
          <w:szCs w:val="24"/>
        </w:rPr>
      </w:pPr>
      <w:bookmarkStart w:id="48" w:name="_Hlk85987911"/>
      <w:r w:rsidRPr="003D617F">
        <w:rPr>
          <w:rFonts w:ascii="Times New Roman" w:eastAsia="Calibri" w:hAnsi="Times New Roman"/>
          <w:sz w:val="24"/>
          <w:szCs w:val="24"/>
        </w:rPr>
        <w:t>Големански, В. и др. (ред.) 2011. Червена книга на Република България. Том 2. Животни. ИБЕИ - БАН &amp; МОСВ, София. Електронно издание: Том II - Животни (bas.bg)</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1951. Рибите в България. Фауна на България II. С., БАН, 270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Информационна система за защитени зони от екологична мрежа НАТУРА 2000.</w:t>
      </w:r>
    </w:p>
    <w:p w:rsidR="003D617F" w:rsidRPr="003D617F" w:rsidRDefault="003D617F" w:rsidP="0001440D">
      <w:pPr>
        <w:spacing w:after="0" w:line="259" w:lineRule="auto"/>
        <w:ind w:left="720" w:hanging="12"/>
        <w:jc w:val="both"/>
        <w:rPr>
          <w:rFonts w:ascii="Times New Roman" w:eastAsia="Calibri" w:hAnsi="Times New Roman"/>
          <w:sz w:val="24"/>
          <w:szCs w:val="24"/>
        </w:rPr>
      </w:pPr>
      <w:r w:rsidRPr="003D617F">
        <w:rPr>
          <w:rFonts w:ascii="Times New Roman" w:eastAsia="Calibri" w:hAnsi="Times New Roman"/>
          <w:sz w:val="24"/>
          <w:szCs w:val="24"/>
        </w:rPr>
        <w:t>http://natura2000.moew.government.bg/; http://natura2000.moew.government.bg/Home/Reports?reportType=Fishes</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1972. Ихтиофауна на р. Янтра. – Изв. на Зоолог. инст. с музей, 36: 149–182.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М. Живков. 1995. Рибите в България. С., "Гея-Либрис", 247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Моров, Т. 1931. Сладководните риби в България. С., "Художник", 93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lastRenderedPageBreak/>
        <w:t>https://ec.europa.eu/environment/nature/natura2000/management/docs/art6/BG_art_6_guide_jun_2019.pdf</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Шишков Г. 1939. Няколко думи за риболова по р. Искър. – Рибарски преглед, 9(8): 4–7.</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Bauer, C. Bobeldy, A., Lamberti G. 2006.  Predicting habitat use and trophic interactions of Eurasian ruffe, round gobies, and zebra mussels in nearshore areas of the Great Lakes. – Biol Invasions,  DOI 10.1007/s10530-006-9067-8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Bern Convention on the Conservation of European Wildlife and Natural Habitats. https://www.coe.int/en/web/bern-convention</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CEN - EN 14011, 2003. Water quality - Sampling of fish with electricity. Brussels, 16 p.3–680.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Froese, R., D. Pauly. Editors. 2021. FishBase. World Wide Web electronic publication. www.fishbase.org, (06/2021): Search FishBase (mnhn.fr)</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IUCN 2021. The IUCN Red List of Threatened Species. Version 2021-2. </w:t>
      </w:r>
      <w:hyperlink r:id="rId119" w:history="1">
        <w:r w:rsidRPr="003D617F">
          <w:rPr>
            <w:rFonts w:ascii="Times New Roman" w:eastAsia="Calibri" w:hAnsi="Times New Roman"/>
            <w:color w:val="0563C1"/>
            <w:sz w:val="24"/>
            <w:szCs w:val="24"/>
            <w:u w:val="single"/>
          </w:rPr>
          <w:t>https://www.iucnredlist.org</w:t>
        </w:r>
      </w:hyperlink>
      <w:r w:rsidRPr="003D617F">
        <w:rPr>
          <w:rFonts w:ascii="Times New Roman" w:eastAsia="Calibri" w:hAnsi="Times New Roman"/>
          <w:sz w:val="24"/>
          <w:szCs w:val="24"/>
        </w:rPr>
        <w:t>.</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Juza T., Blabolil P., Baran R., Barton B.,  Cech M., Drastık V., Frouzova J., Holubova M., Ketelaars H., Kocvara L., Kubecka J., Muska M. Prchalova M., Rıha M., Sajdlova Z., Smejkal M.,Tuser M., Vasek M., Vejrık L., Vejrıkova I., Wagenvoort A., Zak J., Peterka J. 2018. Collapse of the native ruffe (Gymnocephalus cernua) population in the Biesbosch lakes (the Netherlands) owing to round goby (Neogobius melanostomus) invasion. Biol. Invasions, 20:1523–1535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Kottelat, M., J. Freyhof, 2007. Handbook of European freshwater fishes. Publications Kottelat, Cornol and Freyhof, Berlin. 646 pp.</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Naseka, A., N. Bogutskaya, P. Banarescu. 1999. Gobio albipinnatus Lukasch, 1933. – In: Banarescu P. (Ed.), The Freshwater Fishes of Europe. Vol. 5 / I. Cyprinidae 2 / I. AULA-Verlag, Wiesbaden, 37–68.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Vassilev, M., L. Pehlivanov. 2005. Checklist of Bulgarian freshwater fishes. – Acta zool. bulg., 57(2): 161–190.Публичен регистър по екологични оценки - </w:t>
      </w:r>
      <w:hyperlink r:id="rId120" w:history="1">
        <w:r w:rsidRPr="003D617F">
          <w:rPr>
            <w:rFonts w:ascii="Times New Roman" w:eastAsia="Calibri" w:hAnsi="Times New Roman"/>
            <w:color w:val="0563C1"/>
            <w:sz w:val="24"/>
            <w:szCs w:val="24"/>
            <w:u w:val="single"/>
          </w:rPr>
          <w:t>http://registers.moew.government.bg/eo</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Публичен регистър по оценки за въздействие на околната среда </w:t>
      </w:r>
      <w:hyperlink r:id="rId121" w:history="1">
        <w:r w:rsidRPr="003D617F">
          <w:rPr>
            <w:rFonts w:ascii="Times New Roman" w:eastAsia="Calibri" w:hAnsi="Times New Roman"/>
            <w:color w:val="0563C1"/>
            <w:sz w:val="24"/>
            <w:szCs w:val="24"/>
            <w:u w:val="single"/>
          </w:rPr>
          <w:t>http://registers.moew.government.bg/ovos/</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40"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3D617F">
        <w:rPr>
          <w:rFonts w:ascii="Times New Roman" w:eastAsia="Calibri" w:hAnsi="Times New Roman"/>
          <w:color w:val="0563C1"/>
          <w:sz w:val="24"/>
          <w:szCs w:val="24"/>
          <w:u w:val="single"/>
        </w:rPr>
        <w:t>https://riew-pleven.eu/</w:t>
      </w:r>
    </w:p>
    <w:p w:rsidR="003D617F" w:rsidRPr="003D617F" w:rsidRDefault="00DE51FF" w:rsidP="003D617F">
      <w:pPr>
        <w:spacing w:after="0" w:line="240" w:lineRule="auto"/>
        <w:ind w:left="720" w:hanging="720"/>
        <w:jc w:val="both"/>
        <w:rPr>
          <w:rFonts w:ascii="Times New Roman" w:eastAsia="Calibri" w:hAnsi="Times New Roman"/>
          <w:sz w:val="24"/>
          <w:szCs w:val="24"/>
        </w:rPr>
      </w:pPr>
      <w:hyperlink r:id="rId122" w:history="1">
        <w:r w:rsidR="003D617F" w:rsidRPr="003D617F">
          <w:rPr>
            <w:rFonts w:ascii="Times New Roman" w:eastAsia="Calibri" w:hAnsi="Times New Roman"/>
            <w:iCs/>
            <w:color w:val="0563C1"/>
            <w:sz w:val="24"/>
            <w:szCs w:val="24"/>
            <w:u w:val="single"/>
          </w:rPr>
          <w:t>http://eea.government.bg/bg/bio/nsmbr/praktichesko-rakovodstvo-metodiki-za-monitoring-i-otsenka/Podhod_Dunav.pdf</w:t>
        </w:r>
      </w:hyperlink>
    </w:p>
    <w:bookmarkEnd w:id="48"/>
    <w:p w:rsidR="003D617F" w:rsidRPr="003D617F" w:rsidRDefault="003D617F" w:rsidP="003D617F">
      <w:pPr>
        <w:spacing w:after="160" w:line="240" w:lineRule="auto"/>
        <w:jc w:val="both"/>
        <w:rPr>
          <w:rFonts w:ascii="Times New Roman" w:eastAsia="Calibri" w:hAnsi="Times New Roman"/>
          <w:i/>
          <w:sz w:val="24"/>
          <w:szCs w:val="24"/>
        </w:rPr>
      </w:pPr>
    </w:p>
    <w:p w:rsidR="003D617F" w:rsidRPr="003D617F" w:rsidRDefault="003D617F" w:rsidP="003D617F">
      <w:pPr>
        <w:spacing w:after="160" w:line="259" w:lineRule="auto"/>
        <w:rPr>
          <w:rFonts w:ascii="Times New Roman" w:eastAsia="Calibri" w:hAnsi="Times New Roman"/>
          <w:i/>
          <w:iCs/>
          <w:sz w:val="24"/>
          <w:szCs w:val="24"/>
        </w:rPr>
      </w:pPr>
      <w:r w:rsidRPr="003D617F">
        <w:rPr>
          <w:rFonts w:ascii="Times New Roman" w:eastAsia="Calibri" w:hAnsi="Times New Roman"/>
          <w:i/>
          <w:sz w:val="24"/>
          <w:szCs w:val="24"/>
        </w:rPr>
        <w:t>Автори</w:t>
      </w:r>
      <w:r w:rsidRPr="003D617F">
        <w:rPr>
          <w:rFonts w:ascii="Times New Roman" w:eastAsia="Calibri" w:hAnsi="Times New Roman"/>
          <w:sz w:val="24"/>
          <w:szCs w:val="24"/>
        </w:rPr>
        <w:t>:</w:t>
      </w:r>
      <w:r w:rsidRPr="003D617F">
        <w:rPr>
          <w:rFonts w:ascii="Times New Roman" w:eastAsia="Calibri" w:hAnsi="Times New Roman"/>
          <w:b/>
          <w:sz w:val="24"/>
          <w:szCs w:val="24"/>
        </w:rPr>
        <w:t xml:space="preserve"> </w:t>
      </w:r>
      <w:r w:rsidRPr="003774E5">
        <w:rPr>
          <w:rFonts w:ascii="Times New Roman" w:eastAsia="Calibri" w:hAnsi="Times New Roman"/>
          <w:iCs/>
          <w:sz w:val="24"/>
          <w:szCs w:val="24"/>
        </w:rPr>
        <w:t>Апостолос Апостолу, Лъчезар Пехливанов</w:t>
      </w:r>
    </w:p>
    <w:p w:rsidR="003D617F" w:rsidRPr="00107719" w:rsidRDefault="003D617F" w:rsidP="0070678B">
      <w:pPr>
        <w:rPr>
          <w:rFonts w:ascii="Times New Roman" w:hAnsi="Times New Roman"/>
          <w:i/>
          <w:color w:val="1F497D" w:themeColor="text2"/>
          <w:sz w:val="28"/>
          <w:szCs w:val="28"/>
        </w:rPr>
      </w:pPr>
    </w:p>
    <w:p w:rsidR="0070678B" w:rsidRDefault="00107719" w:rsidP="003774E5">
      <w:pPr>
        <w:outlineLvl w:val="1"/>
        <w:rPr>
          <w:rFonts w:ascii="Times New Roman" w:hAnsi="Times New Roman"/>
          <w:i/>
          <w:color w:val="1F497D" w:themeColor="text2"/>
          <w:sz w:val="28"/>
          <w:szCs w:val="28"/>
        </w:rPr>
      </w:pPr>
      <w:bookmarkStart w:id="49" w:name="_Toc98838549"/>
      <w:r w:rsidRPr="00107719">
        <w:rPr>
          <w:rFonts w:ascii="Times New Roman" w:hAnsi="Times New Roman"/>
          <w:color w:val="1F497D" w:themeColor="text2"/>
          <w:sz w:val="28"/>
          <w:szCs w:val="28"/>
        </w:rPr>
        <w:t xml:space="preserve">Природозащитни цели за </w:t>
      </w:r>
      <w:r w:rsidR="0070678B" w:rsidRPr="00107719">
        <w:rPr>
          <w:rFonts w:ascii="Times New Roman" w:hAnsi="Times New Roman"/>
          <w:color w:val="1F497D" w:themeColor="text2"/>
          <w:sz w:val="28"/>
          <w:szCs w:val="28"/>
        </w:rPr>
        <w:t>1157</w:t>
      </w:r>
      <w:r w:rsidR="0070678B" w:rsidRPr="00107719">
        <w:rPr>
          <w:rFonts w:ascii="Times New Roman" w:hAnsi="Times New Roman"/>
          <w:i/>
          <w:color w:val="1F497D" w:themeColor="text2"/>
          <w:sz w:val="28"/>
          <w:szCs w:val="28"/>
        </w:rPr>
        <w:t xml:space="preserve"> Gymnocephalus</w:t>
      </w:r>
      <w:r w:rsidR="0070678B">
        <w:rPr>
          <w:rFonts w:ascii="Times New Roman" w:hAnsi="Times New Roman"/>
          <w:color w:val="1F497D" w:themeColor="text2"/>
          <w:sz w:val="28"/>
          <w:szCs w:val="28"/>
        </w:rPr>
        <w:t xml:space="preserve"> </w:t>
      </w:r>
      <w:r w:rsidR="0070678B" w:rsidRPr="00107719">
        <w:rPr>
          <w:rFonts w:ascii="Times New Roman" w:hAnsi="Times New Roman"/>
          <w:i/>
          <w:color w:val="1F497D" w:themeColor="text2"/>
          <w:sz w:val="28"/>
          <w:szCs w:val="28"/>
        </w:rPr>
        <w:t>schraetzer</w:t>
      </w:r>
      <w:bookmarkEnd w:id="49"/>
    </w:p>
    <w:p w:rsidR="00EC5D51" w:rsidRPr="00EC5D51" w:rsidRDefault="00EC5D51" w:rsidP="00EC5D51">
      <w:pPr>
        <w:spacing w:after="160" w:line="240" w:lineRule="auto"/>
        <w:jc w:val="both"/>
        <w:rPr>
          <w:rFonts w:ascii="Times New Roman" w:eastAsia="Calibri" w:hAnsi="Times New Roman"/>
          <w:b/>
          <w:bCs/>
          <w:sz w:val="24"/>
          <w:szCs w:val="24"/>
        </w:rPr>
      </w:pPr>
      <w:r w:rsidRPr="00EC5D51">
        <w:rPr>
          <w:rFonts w:ascii="Times New Roman" w:eastAsia="Calibri" w:hAnsi="Times New Roman"/>
          <w:b/>
          <w:sz w:val="24"/>
          <w:szCs w:val="24"/>
        </w:rPr>
        <w:lastRenderedPageBreak/>
        <w:t>1. Код и наименование на вид</w:t>
      </w:r>
      <w:r w:rsidRPr="00EC5D51">
        <w:rPr>
          <w:rFonts w:ascii="Times New Roman" w:eastAsia="Calibri" w:hAnsi="Times New Roman"/>
          <w:b/>
          <w:sz w:val="24"/>
          <w:szCs w:val="24"/>
          <w:lang w:val="en-GB"/>
        </w:rPr>
        <w:t>a</w:t>
      </w:r>
      <w:r w:rsidRPr="00EC5D51">
        <w:rPr>
          <w:rFonts w:ascii="Times New Roman" w:eastAsia="Calibri" w:hAnsi="Times New Roman"/>
          <w:b/>
          <w:sz w:val="24"/>
          <w:szCs w:val="24"/>
        </w:rPr>
        <w:t xml:space="preserve">: </w:t>
      </w:r>
      <w:r w:rsidRPr="003774E5">
        <w:rPr>
          <w:rFonts w:ascii="Times New Roman" w:hAnsi="Times New Roman"/>
          <w:bCs/>
          <w:color w:val="000000"/>
          <w:sz w:val="24"/>
          <w:szCs w:val="24"/>
          <w:lang w:eastAsia="bg-BG"/>
        </w:rPr>
        <w:t xml:space="preserve">1157 </w:t>
      </w:r>
      <w:r w:rsidRPr="003774E5">
        <w:rPr>
          <w:rFonts w:ascii="Times New Roman" w:hAnsi="Times New Roman"/>
          <w:bCs/>
          <w:i/>
          <w:iCs/>
          <w:color w:val="000000"/>
          <w:sz w:val="24"/>
          <w:szCs w:val="24"/>
          <w:lang w:val="en-US" w:eastAsia="bg-BG"/>
        </w:rPr>
        <w:t>Gymnocephalus schraetzer</w:t>
      </w:r>
      <w:r w:rsidRPr="003774E5">
        <w:rPr>
          <w:rFonts w:ascii="Times New Roman" w:hAnsi="Times New Roman"/>
          <w:bCs/>
          <w:color w:val="000000"/>
          <w:sz w:val="24"/>
          <w:szCs w:val="24"/>
          <w:lang w:eastAsia="bg-BG"/>
        </w:rPr>
        <w:t xml:space="preserve"> - Ивичест бибан</w:t>
      </w:r>
      <w:r w:rsidRPr="00EC5D51">
        <w:rPr>
          <w:rFonts w:ascii="Times New Roman" w:hAnsi="Times New Roman"/>
          <w:b/>
          <w:bCs/>
          <w:color w:val="000000"/>
          <w:sz w:val="24"/>
          <w:szCs w:val="24"/>
          <w:lang w:eastAsia="bg-BG"/>
        </w:rPr>
        <w:t xml:space="preserve"> </w:t>
      </w: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2. Кратка х</w:t>
      </w:r>
      <w:r w:rsidR="003774E5">
        <w:rPr>
          <w:rFonts w:ascii="Times New Roman" w:eastAsia="Calibri" w:hAnsi="Times New Roman"/>
          <w:b/>
          <w:sz w:val="24"/>
          <w:szCs w:val="24"/>
        </w:rPr>
        <w:t>арактеристика на целевия обект</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Риба от сем. Бодлоперки (</w:t>
      </w:r>
      <w:r w:rsidRPr="00EC5D51">
        <w:rPr>
          <w:rFonts w:ascii="Times New Roman" w:eastAsia="Calibri" w:hAnsi="Times New Roman"/>
          <w:sz w:val="24"/>
          <w:szCs w:val="24"/>
          <w:lang w:val="en-US"/>
        </w:rPr>
        <w:t>Percidae</w:t>
      </w:r>
      <w:r w:rsidRPr="00EC5D51">
        <w:rPr>
          <w:rFonts w:ascii="Times New Roman" w:eastAsia="Calibri" w:hAnsi="Times New Roman"/>
          <w:sz w:val="24"/>
          <w:szCs w:val="24"/>
        </w:rPr>
        <w:t>). Тялото е продълговато, странично сплеснато, с тънко и ниско опашно стъбло. Главата е забележимо удължена, странично сплесната. Хрилното капаче завършва с дълъг шип, а предхрилното – с 8-15 шипа. Една гръбна перка, чиято предна бодлива част е дълга, със 17-19 бодливи лъча, с множество кръгли тъмни петна, групирани в 2-3 надлъжни ивици. Втората част е с 12-13 разклонени лъча. В аналната перка има 2 твърди и 6-7 меки лъча. По страните на тялото има 3-4 тъмнокафяви надлъжни ивици.</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Видът е разпространен в басейна на р. Дунав. В България е съобщаван за целия български участък от р. Дунав и за устията на притоците Видбол, Лом, Огоста, Искър, Вит, Осъм и Янтра, както и за р. Камчия. Понастощем единични екземпляри са улавяни само в основното русло на р. Дунав от с. Връв до с. Ветрен на изток, като не е установен в притоците и в басейна на р. Камчия.</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color w:val="000000"/>
          <w:sz w:val="24"/>
          <w:szCs w:val="24"/>
        </w:rPr>
        <w:t xml:space="preserve">Придънен реофилен вид, предпочита дълбоки участъци с каменисто-пясъчно дъно. Храни се с дънни безгръбначни животни. Активен е през нощта, когато излиза към по-плитките места да се храни. </w:t>
      </w:r>
      <w:r w:rsidRPr="00EC5D51">
        <w:rPr>
          <w:rFonts w:ascii="Times New Roman" w:eastAsia="Calibri" w:hAnsi="Times New Roman"/>
          <w:sz w:val="24"/>
          <w:szCs w:val="24"/>
        </w:rPr>
        <w:t xml:space="preserve">Достига полова зрялост на втората година. Размножава се през март-май. </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Ивичестият бибан не е обект на стопански или любителски риболов, но отделни екземпляри попадат в стопанските улови като случаен приулов.</w:t>
      </w:r>
    </w:p>
    <w:p w:rsidR="00EC5D51" w:rsidRPr="00EC5D51" w:rsidRDefault="00EC5D51" w:rsidP="003774E5">
      <w:pPr>
        <w:spacing w:after="0" w:line="240" w:lineRule="auto"/>
        <w:ind w:firstLine="709"/>
        <w:jc w:val="both"/>
        <w:rPr>
          <w:rFonts w:ascii="Times New Roman" w:eastAsia="Calibri" w:hAnsi="Times New Roman"/>
          <w:sz w:val="24"/>
          <w:szCs w:val="24"/>
        </w:rPr>
      </w:pPr>
      <w:r w:rsidRPr="0001440D">
        <w:rPr>
          <w:rFonts w:ascii="Times New Roman" w:eastAsia="Calibri" w:hAnsi="Times New Roman"/>
          <w:i/>
          <w:sz w:val="24"/>
          <w:szCs w:val="24"/>
        </w:rPr>
        <w:t>Характеристики на местообитанието в България</w:t>
      </w:r>
      <w:r w:rsidR="0001440D">
        <w:rPr>
          <w:rFonts w:ascii="Times New Roman" w:eastAsia="Calibri" w:hAnsi="Times New Roman"/>
          <w:sz w:val="24"/>
          <w:szCs w:val="24"/>
        </w:rPr>
        <w:t>.</w:t>
      </w:r>
      <w:r w:rsidRPr="00EC5D51">
        <w:rPr>
          <w:rFonts w:ascii="Times New Roman" w:eastAsia="Calibri" w:hAnsi="Times New Roman"/>
          <w:sz w:val="24"/>
          <w:szCs w:val="24"/>
        </w:rPr>
        <w:t xml:space="preserve"> Придънен реофилен вид. Обитава дълбоки участъци с каменисто-пясъчно дъно. В България се среща с много ниска численост в целият български участък на р. Дунав. </w:t>
      </w:r>
    </w:p>
    <w:p w:rsidR="00EC5D51" w:rsidRPr="00EC5D51" w:rsidRDefault="00EC5D51" w:rsidP="003774E5">
      <w:pPr>
        <w:spacing w:before="120"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3. Състояние на биогеографско ниво и разпространение в мрежата </w:t>
      </w:r>
    </w:p>
    <w:p w:rsidR="00EC5D51" w:rsidRPr="00EC5D51" w:rsidRDefault="00EC5D51" w:rsidP="003774E5">
      <w:pPr>
        <w:spacing w:after="0" w:line="240" w:lineRule="auto"/>
        <w:ind w:firstLine="709"/>
        <w:jc w:val="both"/>
        <w:rPr>
          <w:rFonts w:ascii="Times New Roman" w:eastAsia="Calibri" w:hAnsi="Times New Roman"/>
          <w:color w:val="0563C1"/>
          <w:sz w:val="24"/>
          <w:szCs w:val="24"/>
          <w:u w:val="single"/>
        </w:rPr>
      </w:pPr>
      <w:r w:rsidRPr="00EC5D51">
        <w:rPr>
          <w:rFonts w:ascii="Times New Roman" w:eastAsia="Calibri" w:hAnsi="Times New Roman"/>
          <w:sz w:val="24"/>
          <w:szCs w:val="24"/>
        </w:rPr>
        <w:t>При двете проучвания предмет на докладване съгласно чл. 17 от Директивата за местообитанията (92/43/ЕИО) видът е оценен в Благоприят</w:t>
      </w:r>
      <w:r w:rsidR="0001440D">
        <w:rPr>
          <w:rFonts w:ascii="Times New Roman" w:eastAsia="Calibri" w:hAnsi="Times New Roman"/>
          <w:sz w:val="24"/>
          <w:szCs w:val="24"/>
        </w:rPr>
        <w:t>но</w:t>
      </w:r>
      <w:r w:rsidRPr="00EC5D51">
        <w:rPr>
          <w:rFonts w:ascii="Times New Roman" w:eastAsia="Calibri" w:hAnsi="Times New Roman"/>
          <w:sz w:val="24"/>
          <w:szCs w:val="24"/>
        </w:rPr>
        <w:t xml:space="preserve"> ПС по всички показатели </w:t>
      </w:r>
      <w:r w:rsidR="003774E5">
        <w:rPr>
          <w:rFonts w:ascii="Times New Roman" w:eastAsia="Calibri" w:hAnsi="Times New Roman"/>
          <w:sz w:val="24"/>
          <w:szCs w:val="24"/>
        </w:rPr>
        <w:t>в К</w:t>
      </w:r>
      <w:r w:rsidRPr="00EC5D51">
        <w:rPr>
          <w:rFonts w:ascii="Times New Roman" w:eastAsia="Calibri" w:hAnsi="Times New Roman"/>
          <w:sz w:val="24"/>
          <w:szCs w:val="24"/>
        </w:rPr>
        <w:t xml:space="preserve">онтиненталния биогеографски </w:t>
      </w:r>
      <w:r w:rsidR="003774E5">
        <w:rPr>
          <w:rFonts w:ascii="Times New Roman" w:eastAsia="Calibri" w:hAnsi="Times New Roman"/>
          <w:sz w:val="24"/>
          <w:szCs w:val="24"/>
        </w:rPr>
        <w:t>регион</w:t>
      </w:r>
      <w:r w:rsidRPr="00EC5D51">
        <w:rPr>
          <w:rFonts w:ascii="Times New Roman" w:eastAsia="Calibri" w:hAnsi="Times New Roman"/>
          <w:sz w:val="24"/>
          <w:szCs w:val="24"/>
        </w:rPr>
        <w:t xml:space="preserve">. </w:t>
      </w:r>
      <w:r w:rsidRPr="003774E5">
        <w:rPr>
          <w:rFonts w:ascii="Times New Roman" w:eastAsia="Calibri" w:hAnsi="Times New Roman"/>
          <w:sz w:val="24"/>
          <w:szCs w:val="24"/>
        </w:rPr>
        <w:t>Източник на информацията</w:t>
      </w:r>
      <w:r w:rsidRPr="00EC5D51">
        <w:rPr>
          <w:rFonts w:ascii="Times New Roman" w:eastAsia="Calibri" w:hAnsi="Times New Roman"/>
          <w:color w:val="0563C1"/>
          <w:sz w:val="24"/>
          <w:szCs w:val="24"/>
          <w:u w:val="single"/>
        </w:rPr>
        <w:t xml:space="preserve">: </w:t>
      </w:r>
      <w:hyperlink r:id="rId123" w:history="1">
        <w:r w:rsidRPr="00EC5D51">
          <w:rPr>
            <w:rFonts w:ascii="Times New Roman" w:eastAsia="Calibri" w:hAnsi="Times New Roman"/>
            <w:color w:val="0563C1"/>
            <w:sz w:val="24"/>
            <w:szCs w:val="24"/>
            <w:u w:val="single"/>
          </w:rPr>
          <w:t>https://nature-art17.eionet.europa.eu/article17/species/report/</w:t>
        </w:r>
      </w:hyperlink>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EC5D51" w:rsidRPr="00EC5D51" w:rsidRDefault="00EC5D51" w:rsidP="00EC5D51">
      <w:pPr>
        <w:spacing w:after="0" w:line="240" w:lineRule="auto"/>
        <w:jc w:val="both"/>
        <w:rPr>
          <w:rFonts w:ascii="Times New Roman" w:eastAsia="Calibri" w:hAnsi="Times New Roman"/>
          <w:sz w:val="24"/>
          <w:szCs w:val="24"/>
        </w:rPr>
      </w:pPr>
      <w:r w:rsidRPr="00EC5D51">
        <w:rPr>
          <w:rFonts w:ascii="Times New Roman" w:eastAsia="Calibri" w:hAnsi="Times New Roman"/>
          <w:sz w:val="24"/>
          <w:szCs w:val="24"/>
        </w:rPr>
        <w:t>1. Пряко въздействащи негативни антропогенни фактори.</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Разрушаване на местообитанията и прекъсване на биокоридорите: добив на инертни материали, корекции на реки, преграждане на речните корита;</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 xml:space="preserve">Замърсяване на водите. </w:t>
      </w:r>
    </w:p>
    <w:p w:rsidR="00EC5D51" w:rsidRPr="00EC5D51" w:rsidRDefault="00EC5D51" w:rsidP="00EC5D51">
      <w:pPr>
        <w:spacing w:after="0" w:line="240" w:lineRule="auto"/>
        <w:jc w:val="both"/>
        <w:rPr>
          <w:rFonts w:ascii="Times New Roman" w:eastAsia="Calibri" w:hAnsi="Times New Roman"/>
          <w:sz w:val="24"/>
          <w:szCs w:val="24"/>
        </w:rPr>
      </w:pPr>
      <w:r w:rsidRPr="00EC5D51">
        <w:rPr>
          <w:rFonts w:ascii="Times New Roman" w:eastAsia="Calibri" w:hAnsi="Times New Roman"/>
          <w:sz w:val="24"/>
          <w:szCs w:val="24"/>
        </w:rPr>
        <w:t>2. Непряко въздействащи негативни фактори</w:t>
      </w:r>
    </w:p>
    <w:p w:rsidR="00EC5D51" w:rsidRPr="00EC5D51" w:rsidRDefault="00EC5D51" w:rsidP="00635999">
      <w:pPr>
        <w:numPr>
          <w:ilvl w:val="0"/>
          <w:numId w:val="18"/>
        </w:numPr>
        <w:spacing w:after="0" w:line="240" w:lineRule="auto"/>
        <w:contextualSpacing/>
        <w:jc w:val="both"/>
        <w:rPr>
          <w:rFonts w:ascii="Times New Roman" w:eastAsia="Calibri" w:hAnsi="Times New Roman"/>
          <w:sz w:val="24"/>
          <w:szCs w:val="24"/>
        </w:rPr>
      </w:pPr>
      <w:bookmarkStart w:id="50" w:name="_Hlk86048369"/>
      <w:r w:rsidRPr="00EC5D51">
        <w:rPr>
          <w:rFonts w:ascii="Times New Roman" w:eastAsia="Calibri" w:hAnsi="Times New Roman"/>
          <w:sz w:val="24"/>
          <w:szCs w:val="24"/>
        </w:rPr>
        <w:t xml:space="preserve">Развитие на многочислени популации на инвазивни дънни видове риби </w:t>
      </w:r>
      <w:r w:rsidRPr="00EC5D51">
        <w:rPr>
          <w:rFonts w:ascii="Times New Roman" w:eastAsia="Calibri" w:hAnsi="Times New Roman"/>
          <w:sz w:val="24"/>
          <w:szCs w:val="24"/>
          <w:lang w:val="en-US"/>
        </w:rPr>
        <w:t>(</w:t>
      </w:r>
      <w:r w:rsidRPr="00EC5D51">
        <w:rPr>
          <w:rFonts w:ascii="Times New Roman" w:eastAsia="Calibri" w:hAnsi="Times New Roman"/>
          <w:sz w:val="24"/>
          <w:szCs w:val="24"/>
        </w:rPr>
        <w:t xml:space="preserve">напр., </w:t>
      </w:r>
      <w:r w:rsidRPr="003774E5">
        <w:rPr>
          <w:rFonts w:ascii="Times New Roman" w:eastAsia="Calibri" w:hAnsi="Times New Roman"/>
          <w:i/>
          <w:sz w:val="24"/>
          <w:szCs w:val="24"/>
          <w:lang w:val="en-US"/>
        </w:rPr>
        <w:t>Neogobius melanostomus</w:t>
      </w:r>
      <w:r w:rsidRPr="00EC5D51">
        <w:rPr>
          <w:rFonts w:ascii="Times New Roman" w:eastAsia="Calibri" w:hAnsi="Times New Roman"/>
          <w:sz w:val="24"/>
          <w:szCs w:val="24"/>
        </w:rPr>
        <w:t>)</w:t>
      </w:r>
      <w:r w:rsidRPr="00EC5D51">
        <w:rPr>
          <w:rFonts w:ascii="Times New Roman" w:eastAsia="Calibri" w:hAnsi="Times New Roman"/>
          <w:sz w:val="24"/>
          <w:szCs w:val="24"/>
          <w:lang w:val="en-US"/>
        </w:rPr>
        <w:t xml:space="preserve"> (Bauer et al., 2006; Juza et al., 2018)</w:t>
      </w:r>
      <w:bookmarkEnd w:id="50"/>
    </w:p>
    <w:p w:rsidR="00EC5D51" w:rsidRPr="00EC5D51" w:rsidRDefault="00EC5D51" w:rsidP="00EC5D51">
      <w:pPr>
        <w:spacing w:after="0" w:line="240" w:lineRule="auto"/>
        <w:jc w:val="both"/>
        <w:rPr>
          <w:rFonts w:ascii="Times New Roman" w:eastAsia="Calibri" w:hAnsi="Times New Roman"/>
          <w:b/>
          <w:sz w:val="24"/>
          <w:szCs w:val="24"/>
          <w:lang w:val="en-US"/>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4. Състояние на ниво защитена зона </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EC5D51" w:rsidRPr="00EC5D51" w:rsidTr="003774E5">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Site assessment </w:t>
            </w:r>
          </w:p>
        </w:tc>
      </w:tr>
      <w:tr w:rsidR="00EC5D51" w:rsidRPr="00EC5D51" w:rsidTr="003774E5">
        <w:trPr>
          <w:tblCellSpacing w:w="15" w:type="dxa"/>
        </w:trPr>
        <w:tc>
          <w:tcPr>
            <w:tcW w:w="151"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 </w:t>
            </w:r>
          </w:p>
        </w:tc>
      </w:tr>
      <w:tr w:rsidR="00EC5D51" w:rsidRPr="00EC5D51" w:rsidTr="003774E5">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9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Glo.</w:t>
            </w:r>
          </w:p>
        </w:tc>
      </w:tr>
      <w:tr w:rsidR="00EC5D51" w:rsidRPr="00EC5D51" w:rsidTr="00EC5D51">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lastRenderedPageBreak/>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051A9F" w:rsidP="00EC5D51">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sz w:val="16"/>
                <w:szCs w:val="16"/>
              </w:rPr>
              <w:t>1157</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i/>
                <w:sz w:val="16"/>
                <w:szCs w:val="16"/>
                <w:lang w:val="en-US"/>
              </w:rPr>
            </w:pPr>
            <w:r w:rsidRPr="00EC5D51">
              <w:rPr>
                <w:rFonts w:ascii="Times New Roman" w:eastAsia="Calibri" w:hAnsi="Times New Roman"/>
                <w:b/>
                <w:bCs/>
                <w:sz w:val="16"/>
                <w:szCs w:val="16"/>
              </w:rPr>
              <w:t xml:space="preserve">Gymnocephalus </w:t>
            </w:r>
            <w:r w:rsidRPr="00EC5D51">
              <w:rPr>
                <w:rFonts w:ascii="Times New Roman" w:eastAsia="Calibri" w:hAnsi="Times New Roman"/>
                <w:b/>
                <w:bCs/>
                <w:sz w:val="16"/>
                <w:szCs w:val="16"/>
                <w:lang w:val="en-US"/>
              </w:rPr>
              <w:t>schraetzer</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680620</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680620</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Area </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C</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A</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r>
    </w:tbl>
    <w:p w:rsidR="00EC5D51" w:rsidRPr="00EC5D51" w:rsidRDefault="00EC5D51" w:rsidP="00EC5D51">
      <w:pPr>
        <w:autoSpaceDE w:val="0"/>
        <w:autoSpaceDN w:val="0"/>
        <w:adjustRightInd w:val="0"/>
        <w:spacing w:after="0" w:line="240" w:lineRule="auto"/>
        <w:jc w:val="both"/>
        <w:rPr>
          <w:rFonts w:ascii="Times New Roman" w:eastAsia="Calibri" w:hAnsi="Times New Roman"/>
          <w:b/>
          <w:sz w:val="24"/>
          <w:szCs w:val="24"/>
        </w:rPr>
      </w:pPr>
    </w:p>
    <w:p w:rsidR="00EC5D51" w:rsidRPr="00EC5D51" w:rsidRDefault="00EC5D51" w:rsidP="00EC5D51">
      <w:pPr>
        <w:autoSpaceDE w:val="0"/>
        <w:autoSpaceDN w:val="0"/>
        <w:adjustRightInd w:val="0"/>
        <w:spacing w:after="0" w:line="240" w:lineRule="auto"/>
        <w:jc w:val="both"/>
        <w:rPr>
          <w:rFonts w:ascii="Times New Roman" w:eastAsia="Calibri" w:hAnsi="Times New Roman"/>
          <w:bCs/>
          <w:color w:val="000000"/>
          <w:kern w:val="36"/>
          <w:sz w:val="24"/>
          <w:szCs w:val="24"/>
        </w:rPr>
      </w:pPr>
      <w:r w:rsidRPr="00EC5D51">
        <w:rPr>
          <w:rFonts w:ascii="Times New Roman" w:eastAsia="Calibri" w:hAnsi="Times New Roman"/>
          <w:b/>
          <w:sz w:val="24"/>
          <w:szCs w:val="24"/>
        </w:rPr>
        <w:t xml:space="preserve">Източник: </w:t>
      </w:r>
    </w:p>
    <w:p w:rsidR="00EC5D51" w:rsidRPr="00EC5D51" w:rsidRDefault="00DE51FF" w:rsidP="00EC5D51">
      <w:pPr>
        <w:spacing w:after="160" w:line="240" w:lineRule="auto"/>
        <w:jc w:val="both"/>
        <w:rPr>
          <w:rFonts w:ascii="Times New Roman" w:eastAsia="Calibri" w:hAnsi="Times New Roman"/>
          <w:sz w:val="24"/>
          <w:szCs w:val="24"/>
        </w:rPr>
      </w:pPr>
      <w:hyperlink r:id="rId124" w:history="1">
        <w:r w:rsidR="00EC5D51" w:rsidRPr="00EC5D51">
          <w:rPr>
            <w:rFonts w:ascii="Times New Roman" w:eastAsia="Calibri" w:hAnsi="Times New Roman"/>
            <w:color w:val="0563C1"/>
            <w:sz w:val="24"/>
            <w:szCs w:val="24"/>
            <w:u w:val="single"/>
          </w:rPr>
          <w:t>http://natura2000.moew.government.bg/Home/ProtectedSite?code=BG0000334&amp;siteType=HabitatDirective</w:t>
        </w:r>
      </w:hyperlink>
      <w:r w:rsidR="00EC5D51" w:rsidRPr="00EC5D51">
        <w:rPr>
          <w:rFonts w:ascii="Times New Roman" w:eastAsia="Calibri" w:hAnsi="Times New Roman"/>
          <w:sz w:val="24"/>
          <w:szCs w:val="24"/>
        </w:rPr>
        <w:t>.</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Качеството на данните за ивичестия бибан е оценено като „лошо“ (Р). Като единица за оценка на популацията е използвана площ на местообитанията (мин-макс) и е оценена с „значителна представителност“ (С). Опазването на вида е оценено с „</w:t>
      </w:r>
      <w:r w:rsidRPr="00EC5D51">
        <w:rPr>
          <w:rFonts w:ascii="Times New Roman" w:eastAsia="Calibri" w:hAnsi="Times New Roman"/>
          <w:bCs/>
          <w:color w:val="000000"/>
          <w:kern w:val="36"/>
          <w:sz w:val="24"/>
          <w:szCs w:val="24"/>
        </w:rPr>
        <w:t>В“ (добро опазване)</w:t>
      </w:r>
      <w:r w:rsidRPr="00EC5D51">
        <w:rPr>
          <w:rFonts w:ascii="Times New Roman" w:eastAsia="Calibri" w:hAnsi="Times New Roman"/>
          <w:sz w:val="24"/>
          <w:szCs w:val="24"/>
        </w:rPr>
        <w:t>. Степента на изолация на популацията е оценен</w:t>
      </w:r>
      <w:r w:rsidR="0001440D">
        <w:rPr>
          <w:rFonts w:ascii="Times New Roman" w:eastAsia="Calibri" w:hAnsi="Times New Roman"/>
          <w:sz w:val="24"/>
          <w:szCs w:val="24"/>
        </w:rPr>
        <w:t>а</w:t>
      </w:r>
      <w:r w:rsidRPr="00EC5D51">
        <w:rPr>
          <w:rFonts w:ascii="Times New Roman" w:eastAsia="Calibri" w:hAnsi="Times New Roman"/>
          <w:sz w:val="24"/>
          <w:szCs w:val="24"/>
        </w:rPr>
        <w:t xml:space="preserve"> с „В</w:t>
      </w:r>
      <w:r w:rsidRPr="00EC5D51">
        <w:rPr>
          <w:rFonts w:ascii="Times New Roman" w:eastAsia="Calibri" w:hAnsi="Times New Roman"/>
          <w:bCs/>
          <w:color w:val="000000"/>
          <w:kern w:val="36"/>
          <w:sz w:val="24"/>
          <w:szCs w:val="24"/>
        </w:rPr>
        <w:t>“ (не изолирана популация, но на границата на ареала на разпространение).</w:t>
      </w:r>
      <w:r w:rsidRPr="00EC5D51">
        <w:rPr>
          <w:rFonts w:ascii="Times New Roman" w:eastAsia="Calibri" w:hAnsi="Times New Roman"/>
          <w:sz w:val="24"/>
          <w:szCs w:val="24"/>
        </w:rPr>
        <w:t xml:space="preserve"> Цялостна оценка на стойността на зоната за опазването на вида попада в категорията „</w:t>
      </w:r>
      <w:r w:rsidRPr="00EC5D51">
        <w:rPr>
          <w:rFonts w:ascii="Times New Roman" w:eastAsia="Calibri" w:hAnsi="Times New Roman"/>
          <w:bCs/>
          <w:color w:val="000000"/>
          <w:kern w:val="36"/>
          <w:sz w:val="24"/>
          <w:szCs w:val="24"/>
        </w:rPr>
        <w:t>В“ (добра стойност)</w:t>
      </w:r>
      <w:r w:rsidRPr="00EC5D51">
        <w:rPr>
          <w:rFonts w:ascii="Times New Roman" w:eastAsia="Calibri" w:hAnsi="Times New Roman"/>
          <w:sz w:val="24"/>
          <w:szCs w:val="24"/>
        </w:rPr>
        <w:t xml:space="preserve">. </w:t>
      </w:r>
    </w:p>
    <w:p w:rsidR="00EC5D51" w:rsidRPr="00EC5D51" w:rsidRDefault="00EC5D51" w:rsidP="00EC5D51">
      <w:pPr>
        <w:autoSpaceDE w:val="0"/>
        <w:autoSpaceDN w:val="0"/>
        <w:adjustRightInd w:val="0"/>
        <w:spacing w:after="0" w:line="240" w:lineRule="auto"/>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5. </w:t>
      </w:r>
      <w:r w:rsidR="003774E5">
        <w:rPr>
          <w:rFonts w:ascii="Times New Roman" w:eastAsia="Calibri" w:hAnsi="Times New Roman"/>
          <w:b/>
          <w:sz w:val="24"/>
          <w:szCs w:val="24"/>
        </w:rPr>
        <w:t>Анализ на наличната информация</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Видът не е регистриран през 2013 г. участъка в зоната по време на проект "Картиране и </w:t>
      </w:r>
      <w:r w:rsidRPr="003774E5">
        <w:rPr>
          <w:rFonts w:ascii="Times New Roman" w:eastAsia="Calibri" w:hAnsi="Times New Roman"/>
          <w:bCs/>
          <w:color w:val="000000"/>
          <w:kern w:val="36"/>
          <w:sz w:val="24"/>
          <w:szCs w:val="24"/>
        </w:rPr>
        <w:t>определяне</w:t>
      </w:r>
      <w:r w:rsidRPr="00EC5D51">
        <w:rPr>
          <w:rFonts w:ascii="Times New Roman" w:eastAsia="Calibri" w:hAnsi="Times New Roman"/>
          <w:sz w:val="24"/>
          <w:szCs w:val="24"/>
        </w:rPr>
        <w:t xml:space="preserve"> на природозащитното състояние на природни местообитания и видове - фаза I". Поради това, оценката на ПС по </w:t>
      </w:r>
      <w:bookmarkStart w:id="51" w:name="_Hlk85994324"/>
      <w:r w:rsidRPr="00EC5D51">
        <w:rPr>
          <w:rFonts w:ascii="Times New Roman" w:eastAsia="Calibri" w:hAnsi="Times New Roman"/>
          <w:sz w:val="24"/>
          <w:szCs w:val="24"/>
        </w:rPr>
        <w:t>критерий „Популация в границите на зоната“ е „неблагоприятно-незадоволително“. Също в границите на „неблагоприятно-незадоволително“ ПС са стойностите на параметъра „Сапробност“ на критерия „Структура и функции“. По останалите критерии е определено „Благоприятно“ ПС, но цялостната оценка е „неблагоприятно-незадоволително“ ПС според приетата методика за оценяване. В стандартния формуляр е посочена площ на местообитанията на вида в зоната (680620, мин.-макс.).</w:t>
      </w:r>
      <w:bookmarkEnd w:id="51"/>
      <w:r w:rsidRPr="00EC5D51">
        <w:rPr>
          <w:rFonts w:ascii="Times New Roman" w:eastAsia="Calibri" w:hAnsi="Times New Roman"/>
          <w:sz w:val="24"/>
          <w:szCs w:val="24"/>
        </w:rPr>
        <w:t xml:space="preserve"> Подходящи местообитания за вида в зоната има само в р. Дунав. Видът не е обект на стопански риболов и няма информация за уловите на ивичест бибан в риболовната статистика. Има само данни за случайни улови като приулов в рибарски мрежи.</w:t>
      </w:r>
    </w:p>
    <w:p w:rsidR="00EC5D51" w:rsidRPr="00EC5D51" w:rsidRDefault="00EC5D51" w:rsidP="003774E5">
      <w:pPr>
        <w:spacing w:after="0" w:line="240" w:lineRule="auto"/>
        <w:ind w:firstLine="709"/>
        <w:jc w:val="both"/>
        <w:rPr>
          <w:rFonts w:ascii="Times New Roman" w:eastAsia="Calibri" w:hAnsi="Times New Roman"/>
          <w:sz w:val="24"/>
          <w:szCs w:val="24"/>
        </w:rPr>
      </w:pPr>
      <w:bookmarkStart w:id="52" w:name="_Hlk85994363"/>
      <w:bookmarkStart w:id="53" w:name="_Hlk88986152"/>
      <w:r w:rsidRPr="00EC5D51">
        <w:rPr>
          <w:rFonts w:ascii="Times New Roman" w:eastAsia="Calibri" w:hAnsi="Times New Roman"/>
          <w:sz w:val="24"/>
          <w:szCs w:val="24"/>
        </w:rPr>
        <w:t>В з</w:t>
      </w:r>
      <w:r w:rsidRPr="003774E5">
        <w:rPr>
          <w:rFonts w:ascii="Times New Roman" w:eastAsia="Calibri" w:hAnsi="Times New Roman"/>
          <w:bCs/>
          <w:color w:val="000000"/>
          <w:kern w:val="36"/>
          <w:sz w:val="24"/>
          <w:szCs w:val="24"/>
        </w:rPr>
        <w:t>о</w:t>
      </w:r>
      <w:r w:rsidRPr="00EC5D51">
        <w:rPr>
          <w:rFonts w:ascii="Times New Roman" w:eastAsia="Calibri" w:hAnsi="Times New Roman"/>
          <w:sz w:val="24"/>
          <w:szCs w:val="24"/>
        </w:rPr>
        <w:t xml:space="preserve">ната видът се среща само в р. Дунав. Участъкът от река Дунав в зоната, според своите хидроморфологични характеристики представлява подходящо местообитание за вида и ефективен екокоридор за връзка с останалите части на популацията, тъй като няма прегради, нарушаващи коридорните функции. </w:t>
      </w:r>
      <w:bookmarkStart w:id="54" w:name="_Hlk85990187"/>
      <w:r w:rsidRPr="00EC5D51">
        <w:rPr>
          <w:rFonts w:ascii="Times New Roman" w:eastAsia="Calibri" w:hAnsi="Times New Roman"/>
          <w:sz w:val="24"/>
          <w:szCs w:val="24"/>
        </w:rPr>
        <w:t>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въпреки, че стойностите на параметъра „Сапробност“ (ББИ) вероятно са индикатор за наличието на акумулиран натиск от по-горните участъци на р. Дунав.</w:t>
      </w:r>
      <w:bookmarkEnd w:id="52"/>
      <w:r w:rsidRPr="00EC5D51">
        <w:rPr>
          <w:rFonts w:ascii="Times New Roman" w:eastAsia="Calibri" w:hAnsi="Times New Roman"/>
          <w:sz w:val="24"/>
          <w:szCs w:val="24"/>
        </w:rPr>
        <w:t xml:space="preserve"> По данни от международното научно изследване </w:t>
      </w:r>
      <w:r w:rsidRPr="00EC5D51">
        <w:rPr>
          <w:rFonts w:ascii="Times New Roman" w:eastAsia="Calibri" w:hAnsi="Times New Roman"/>
          <w:sz w:val="24"/>
          <w:szCs w:val="24"/>
          <w:lang w:val="en-US"/>
        </w:rPr>
        <w:t>“Joint Danube Survey 4”</w:t>
      </w:r>
      <w:r w:rsidRPr="00EC5D51">
        <w:rPr>
          <w:rFonts w:ascii="Times New Roman" w:eastAsia="Calibri" w:hAnsi="Times New Roman"/>
          <w:sz w:val="24"/>
          <w:szCs w:val="24"/>
        </w:rPr>
        <w:t>, през 2019 на най-близкия мониторингов пункт на р. Дунав при с. Ветрен е определен като Добър екологичен потенциал по БЕК Риби, БЕК Макрозообентос и БЕК Макрофити.</w:t>
      </w:r>
    </w:p>
    <w:bookmarkEnd w:id="54"/>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Невъзможност да се регистрира вида в зоната в случая не означава неблагоприятно състояние, тъй като популацията му се характеризира с ниско обилие в целия български участък от р. Дунав. Състоянието на вида до голяма степен може да бъде определено косвено чрез оценка на неговото местообитание, по експертна оценка. </w:t>
      </w:r>
    </w:p>
    <w:bookmarkEnd w:id="53"/>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При полевото проучване </w:t>
      </w:r>
      <w:r w:rsidR="00051A9F">
        <w:rPr>
          <w:rFonts w:ascii="Times New Roman" w:eastAsia="Calibri" w:hAnsi="Times New Roman"/>
          <w:sz w:val="24"/>
          <w:szCs w:val="24"/>
        </w:rPr>
        <w:t xml:space="preserve">през 2021 г. </w:t>
      </w:r>
      <w:r w:rsidRPr="00EC5D51">
        <w:rPr>
          <w:rFonts w:ascii="Times New Roman" w:eastAsia="Calibri" w:hAnsi="Times New Roman"/>
          <w:sz w:val="24"/>
          <w:szCs w:val="24"/>
        </w:rPr>
        <w:t>по време на проекта за определяне на целите за опазване на вида в защитената зона са и</w:t>
      </w:r>
      <w:r w:rsidR="00051A9F">
        <w:rPr>
          <w:rFonts w:ascii="Times New Roman" w:eastAsia="Calibri" w:hAnsi="Times New Roman"/>
          <w:sz w:val="24"/>
          <w:szCs w:val="24"/>
        </w:rPr>
        <w:t xml:space="preserve">звършени пробни улови. </w:t>
      </w:r>
      <w:r w:rsidR="00051A9F" w:rsidRPr="00EC5D51">
        <w:rPr>
          <w:rFonts w:ascii="Times New Roman" w:eastAsia="Calibri" w:hAnsi="Times New Roman"/>
          <w:sz w:val="24"/>
          <w:szCs w:val="24"/>
        </w:rPr>
        <w:t xml:space="preserve">Според дължината на подходящи речни участъци в зоната са избрани за пробонабиране 2 </w:t>
      </w:r>
      <w:r w:rsidR="00051A9F" w:rsidRPr="00EC5D51">
        <w:rPr>
          <w:rFonts w:ascii="Times New Roman" w:eastAsia="Calibri" w:hAnsi="Times New Roman"/>
          <w:sz w:val="24"/>
          <w:szCs w:val="24"/>
        </w:rPr>
        <w:lastRenderedPageBreak/>
        <w:t>участъка, които да включват представителни хабитати на вида, и които позволяват адекватна оценка на популацията в зоната. Използван е един метод за пробонабиране приложим за този вид: стационарни многобримкови хрилни мрежи с дължина 25-30 м, поставяни успоредно на брега съгласно методиката за мониторинг на риби (подход за мониторинг на риби в р. Дунав), приета в Националната система за мониторинг на биологичното разнообразие (http://eea.government.bg/bg/bio/nsmbr/praktichesko-rakovodstvo-metodiki-za-monitoring-i-otsenka/Podhod_Dunav.pdf). Във всеки участък са поставяни 3-5 мрежи. При този подход числеността на рибите се определя като улов (индивиди) на единица риболовно усилие (ind. CPUE). Не е регистриран нито един екземпляр на вида в нито един от трансектите.</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Защитена зона </w:t>
      </w:r>
      <w:r w:rsidRPr="00EC5D51">
        <w:rPr>
          <w:rFonts w:ascii="Times New Roman" w:eastAsia="Calibri" w:hAnsi="Times New Roman"/>
          <w:sz w:val="24"/>
          <w:szCs w:val="24"/>
          <w:lang w:val="en-US"/>
        </w:rPr>
        <w:t>BG0000241</w:t>
      </w:r>
      <w:r w:rsidRPr="00EC5D51">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w:t>
      </w:r>
      <w:r w:rsidR="00051A9F">
        <w:rPr>
          <w:rFonts w:ascii="Times New Roman" w:eastAsia="Calibri" w:hAnsi="Times New Roman"/>
          <w:sz w:val="24"/>
          <w:szCs w:val="24"/>
        </w:rPr>
        <w:t>незаконен</w:t>
      </w:r>
      <w:r w:rsidRPr="00EC5D51">
        <w:rPr>
          <w:rFonts w:ascii="Times New Roman" w:eastAsia="Calibri" w:hAnsi="Times New Roman"/>
          <w:sz w:val="24"/>
          <w:szCs w:val="24"/>
        </w:rPr>
        <w:t>),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EC5D51" w:rsidRPr="00EC5D51" w:rsidRDefault="00EC5D51" w:rsidP="00EC5D51">
      <w:pPr>
        <w:spacing w:after="0" w:line="240" w:lineRule="auto"/>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6. Цели за подобряване/поддържане на природозащит</w:t>
      </w:r>
      <w:r w:rsidR="00051A9F">
        <w:rPr>
          <w:rFonts w:ascii="Times New Roman" w:eastAsia="Calibri" w:hAnsi="Times New Roman"/>
          <w:b/>
          <w:sz w:val="24"/>
          <w:szCs w:val="24"/>
        </w:rPr>
        <w:t>ното състояние на вида в зоната</w:t>
      </w:r>
    </w:p>
    <w:p w:rsidR="00EC5D51" w:rsidRDefault="00EC5D51" w:rsidP="00EC5D51">
      <w:pPr>
        <w:spacing w:before="120" w:after="0" w:line="240" w:lineRule="auto"/>
        <w:jc w:val="both"/>
        <w:rPr>
          <w:rFonts w:ascii="Times New Roman" w:eastAsia="Calibri" w:hAnsi="Times New Roman"/>
          <w:sz w:val="24"/>
          <w:szCs w:val="24"/>
        </w:rPr>
      </w:pPr>
      <w:r w:rsidRPr="00EC5D51">
        <w:rPr>
          <w:rFonts w:ascii="Times New Roman" w:eastAsia="Calibri" w:hAnsi="Times New Roman"/>
          <w:sz w:val="24"/>
          <w:szCs w:val="24"/>
        </w:rPr>
        <w:t>Целите са формулирани по показатели, в таблицата по-долу.</w:t>
      </w:r>
    </w:p>
    <w:p w:rsidR="003774E5" w:rsidRPr="00EC5D51" w:rsidRDefault="003774E5" w:rsidP="00EC5D51">
      <w:pPr>
        <w:spacing w:before="120" w:after="0" w:line="240" w:lineRule="auto"/>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992"/>
        <w:gridCol w:w="1137"/>
        <w:gridCol w:w="3460"/>
        <w:gridCol w:w="1855"/>
      </w:tblGrid>
      <w:tr w:rsidR="00EC5D51" w:rsidRPr="003774E5" w:rsidTr="003774E5">
        <w:trPr>
          <w:tblHeader/>
          <w:jc w:val="center"/>
        </w:trPr>
        <w:tc>
          <w:tcPr>
            <w:tcW w:w="835"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rPr>
            </w:pPr>
            <w:r w:rsidRPr="003774E5">
              <w:rPr>
                <w:rFonts w:ascii="Times New Roman" w:eastAsia="Calibri" w:hAnsi="Times New Roman"/>
                <w:b/>
                <w:bCs/>
              </w:rPr>
              <w:t>Параметър</w:t>
            </w:r>
          </w:p>
        </w:tc>
        <w:tc>
          <w:tcPr>
            <w:tcW w:w="555"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rPr>
            </w:pPr>
            <w:r w:rsidRPr="003774E5">
              <w:rPr>
                <w:rFonts w:ascii="Times New Roman" w:hAnsi="Times New Roman"/>
                <w:b/>
                <w:bCs/>
              </w:rPr>
              <w:t>Мерна единица</w:t>
            </w:r>
          </w:p>
        </w:tc>
        <w:tc>
          <w:tcPr>
            <w:tcW w:w="636"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rPr>
            </w:pPr>
            <w:r w:rsidRPr="003774E5">
              <w:rPr>
                <w:rFonts w:ascii="Times New Roman" w:hAnsi="Times New Roman"/>
                <w:b/>
                <w:bCs/>
              </w:rPr>
              <w:t>Целева стойност</w:t>
            </w:r>
          </w:p>
        </w:tc>
        <w:tc>
          <w:tcPr>
            <w:tcW w:w="1936"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rPr>
            </w:pPr>
            <w:r w:rsidRPr="003774E5">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rPr>
            </w:pPr>
            <w:r w:rsidRPr="003774E5">
              <w:rPr>
                <w:rFonts w:ascii="Times New Roman" w:eastAsia="Calibri" w:hAnsi="Times New Roman"/>
                <w:b/>
                <w:bCs/>
              </w:rPr>
              <w:t>Специфични цели на опазване за зоната</w:t>
            </w:r>
          </w:p>
        </w:tc>
      </w:tr>
      <w:tr w:rsidR="00EC5D51" w:rsidRPr="003774E5" w:rsidTr="003774E5">
        <w:trPr>
          <w:jc w:val="center"/>
        </w:trPr>
        <w:tc>
          <w:tcPr>
            <w:tcW w:w="835" w:type="pct"/>
            <w:shd w:val="clear" w:color="auto" w:fill="auto"/>
          </w:tcPr>
          <w:p w:rsidR="00EC5D51" w:rsidRPr="003774E5" w:rsidRDefault="00EC5D51" w:rsidP="00EC5D51">
            <w:pPr>
              <w:spacing w:before="120" w:after="120" w:line="240" w:lineRule="auto"/>
              <w:rPr>
                <w:rFonts w:ascii="Times New Roman" w:eastAsia="Calibri" w:hAnsi="Times New Roman"/>
                <w:b/>
                <w:lang w:val="en-US"/>
              </w:rPr>
            </w:pPr>
            <w:r w:rsidRPr="003774E5">
              <w:rPr>
                <w:rFonts w:ascii="Times New Roman" w:eastAsia="Calibri" w:hAnsi="Times New Roman"/>
                <w:b/>
              </w:rPr>
              <w:t>Плътност на популацията</w:t>
            </w:r>
          </w:p>
        </w:tc>
        <w:tc>
          <w:tcPr>
            <w:tcW w:w="555" w:type="pct"/>
            <w:shd w:val="clear" w:color="auto" w:fill="auto"/>
          </w:tcPr>
          <w:p w:rsidR="00EC5D51" w:rsidRPr="003774E5" w:rsidRDefault="00EC5D51" w:rsidP="00EC5D51">
            <w:pPr>
              <w:spacing w:before="120" w:after="120" w:line="240" w:lineRule="auto"/>
              <w:rPr>
                <w:rFonts w:ascii="Times New Roman" w:eastAsia="Calibri" w:hAnsi="Times New Roman"/>
                <w:lang w:val="en-US"/>
              </w:rPr>
            </w:pPr>
            <w:r w:rsidRPr="003774E5">
              <w:rPr>
                <w:rFonts w:ascii="Times New Roman" w:eastAsia="Calibri" w:hAnsi="Times New Roman"/>
              </w:rPr>
              <w:t>ind. CPUE</w:t>
            </w:r>
          </w:p>
        </w:tc>
        <w:tc>
          <w:tcPr>
            <w:tcW w:w="636" w:type="pct"/>
            <w:shd w:val="clear" w:color="auto" w:fill="auto"/>
          </w:tcPr>
          <w:p w:rsidR="00EC5D51" w:rsidRPr="003774E5" w:rsidRDefault="00EC5D51" w:rsidP="00EC5D51">
            <w:pPr>
              <w:spacing w:before="120" w:after="120" w:line="240" w:lineRule="auto"/>
              <w:rPr>
                <w:rFonts w:ascii="Times New Roman" w:eastAsia="Calibri" w:hAnsi="Times New Roman"/>
              </w:rPr>
            </w:pPr>
            <w:r w:rsidRPr="003774E5">
              <w:rPr>
                <w:rFonts w:ascii="Times New Roman" w:eastAsia="Calibri" w:hAnsi="Times New Roman"/>
              </w:rPr>
              <w:t>Най-малко</w:t>
            </w:r>
            <w:r w:rsidRPr="003774E5">
              <w:rPr>
                <w:rFonts w:ascii="Times New Roman" w:eastAsia="Calibri" w:hAnsi="Times New Roman"/>
                <w:lang w:val="en-US"/>
              </w:rPr>
              <w:t xml:space="preserve"> </w:t>
            </w:r>
            <w:r w:rsidRPr="003774E5">
              <w:rPr>
                <w:rFonts w:ascii="Times New Roman" w:eastAsia="Calibri" w:hAnsi="Times New Roman"/>
              </w:rPr>
              <w:t xml:space="preserve">1-3 </w:t>
            </w:r>
          </w:p>
        </w:tc>
        <w:tc>
          <w:tcPr>
            <w:tcW w:w="1936" w:type="pct"/>
            <w:shd w:val="clear" w:color="auto" w:fill="auto"/>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 xml:space="preserve">Стойността по този параметър при работа със стационарни мрежи се определя като брой на уловените екземпляри от вида спрямо площта на хрилните мрежи и времето на престоя им в работно положение. При използване на След това броят на уловените екземпляри се преизчислява на единица риболовно усилие (ind. CPUE). </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 xml:space="preserve">Според наличните данни (проект "Картиране и определяне на природозащитното състояние на природни местообитания и видове - фаза I".) средната стойност на числеността на вида в зоната не е определена. Няма данни и от последващи </w:t>
            </w:r>
            <w:r w:rsidRPr="003774E5">
              <w:rPr>
                <w:rFonts w:ascii="Times New Roman" w:eastAsia="Calibri" w:hAnsi="Times New Roman"/>
              </w:rPr>
              <w:lastRenderedPageBreak/>
              <w:t>регистрации на вида в зоната, вкл. и през 2021 г., когато е проведено теренно проучване за вида в 2 участъка на зоната. Поради тази причина минималната целева стойност на популацията се определя чрез експертна преценка като се отчита  референтната стойност, предложена по време на проект "Картиране и определяне на природозащитното състояние на природни местообитания и видове - фаза I" (20-50 екз./ха).</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 xml:space="preserve">По отношение на натиска, този конкретен речен участък в рамките на защитената зона може да се счита за хомогенен. </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От друга страна, кумулативния натиск с източници на произход извън зоната може да бъде значим, но към момента не може да бъде отчетен.</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 xml:space="preserve">В методиките за мониторинг в НСМБР референтни стойности за плътността на популацията на този вид не са определени. </w:t>
            </w:r>
          </w:p>
        </w:tc>
        <w:tc>
          <w:tcPr>
            <w:tcW w:w="1038" w:type="pct"/>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lastRenderedPageBreak/>
              <w:t>Намаляване на числеността на инвазивни дънни видове риби (</w:t>
            </w:r>
            <w:r w:rsidRPr="00051A9F">
              <w:rPr>
                <w:rFonts w:ascii="Times New Roman" w:eastAsia="Calibri" w:hAnsi="Times New Roman"/>
                <w:i/>
              </w:rPr>
              <w:t>Neogobius melanostomus</w:t>
            </w:r>
            <w:r w:rsidRPr="00051A9F">
              <w:rPr>
                <w:rFonts w:ascii="Times New Roman" w:eastAsia="Calibri" w:hAnsi="Times New Roman"/>
                <w:i/>
                <w:lang w:val="en-US"/>
              </w:rPr>
              <w:t>,</w:t>
            </w:r>
            <w:r w:rsidRPr="00051A9F">
              <w:rPr>
                <w:rFonts w:ascii="Times New Roman" w:eastAsia="Calibri" w:hAnsi="Times New Roman"/>
                <w:i/>
              </w:rPr>
              <w:t xml:space="preserve"> </w:t>
            </w:r>
            <w:r w:rsidRPr="00051A9F">
              <w:rPr>
                <w:rFonts w:ascii="Times New Roman" w:eastAsia="Calibri" w:hAnsi="Times New Roman"/>
                <w:i/>
                <w:lang w:val="en-US"/>
              </w:rPr>
              <w:t>P</w:t>
            </w:r>
            <w:r w:rsidRPr="00051A9F">
              <w:rPr>
                <w:rFonts w:ascii="Times New Roman" w:eastAsia="Calibri" w:hAnsi="Times New Roman"/>
                <w:i/>
              </w:rPr>
              <w:t>erccottus glenii</w:t>
            </w:r>
            <w:r w:rsidRPr="003774E5">
              <w:rPr>
                <w:rFonts w:ascii="Times New Roman" w:eastAsia="Calibri" w:hAnsi="Times New Roman"/>
              </w:rPr>
              <w:t>). Предотвратяване на разпространението на нови инвазивни видове риби.</w:t>
            </w:r>
          </w:p>
        </w:tc>
      </w:tr>
      <w:tr w:rsidR="00EC5D51" w:rsidRPr="003774E5" w:rsidTr="003774E5">
        <w:trPr>
          <w:jc w:val="center"/>
        </w:trPr>
        <w:tc>
          <w:tcPr>
            <w:tcW w:w="835" w:type="pct"/>
            <w:shd w:val="clear" w:color="auto" w:fill="auto"/>
          </w:tcPr>
          <w:p w:rsidR="00EC5D51" w:rsidRPr="003774E5" w:rsidRDefault="00EC5D51" w:rsidP="00EC5D51">
            <w:pPr>
              <w:spacing w:before="120" w:after="120" w:line="240" w:lineRule="auto"/>
              <w:rPr>
                <w:rFonts w:ascii="Times New Roman" w:eastAsia="Calibri" w:hAnsi="Times New Roman"/>
                <w:b/>
              </w:rPr>
            </w:pPr>
            <w:r w:rsidRPr="003774E5">
              <w:rPr>
                <w:rFonts w:ascii="Times New Roman" w:eastAsia="Calibri" w:hAnsi="Times New Roman"/>
                <w:b/>
              </w:rPr>
              <w:lastRenderedPageBreak/>
              <w:t xml:space="preserve">Местообитание на вида: </w:t>
            </w:r>
          </w:p>
          <w:p w:rsidR="00EC5D51" w:rsidRPr="003774E5" w:rsidRDefault="00EC5D51" w:rsidP="00EC5D51">
            <w:pPr>
              <w:spacing w:before="120" w:after="120" w:line="240" w:lineRule="auto"/>
              <w:rPr>
                <w:rFonts w:ascii="Times New Roman" w:eastAsia="Calibri" w:hAnsi="Times New Roman"/>
                <w:b/>
              </w:rPr>
            </w:pPr>
            <w:r w:rsidRPr="003774E5">
              <w:rPr>
                <w:rFonts w:ascii="Times New Roman" w:eastAsia="Calibri" w:hAnsi="Times New Roman"/>
                <w:b/>
              </w:rPr>
              <w:t>речна мрежа, представляваща потенциално местообитание за вида</w:t>
            </w:r>
          </w:p>
        </w:tc>
        <w:tc>
          <w:tcPr>
            <w:tcW w:w="555" w:type="pct"/>
            <w:shd w:val="clear" w:color="auto" w:fill="auto"/>
          </w:tcPr>
          <w:p w:rsidR="00EC5D51" w:rsidRPr="003774E5" w:rsidRDefault="00EC5D51" w:rsidP="00EC5D51">
            <w:pPr>
              <w:spacing w:before="120" w:after="120" w:line="240" w:lineRule="auto"/>
              <w:rPr>
                <w:rFonts w:ascii="Times New Roman" w:eastAsia="Calibri" w:hAnsi="Times New Roman"/>
              </w:rPr>
            </w:pPr>
            <w:r w:rsidRPr="003774E5">
              <w:rPr>
                <w:rFonts w:ascii="Times New Roman" w:eastAsia="Calibri" w:hAnsi="Times New Roman"/>
              </w:rPr>
              <w:t>км</w:t>
            </w:r>
          </w:p>
        </w:tc>
        <w:tc>
          <w:tcPr>
            <w:tcW w:w="636" w:type="pct"/>
            <w:shd w:val="clear" w:color="auto" w:fill="auto"/>
          </w:tcPr>
          <w:p w:rsidR="00EC5D51" w:rsidRPr="003774E5" w:rsidRDefault="00EC5D51" w:rsidP="00EC5D51">
            <w:pPr>
              <w:spacing w:before="120" w:after="120" w:line="240" w:lineRule="auto"/>
              <w:rPr>
                <w:rFonts w:ascii="Times New Roman" w:eastAsia="Calibri" w:hAnsi="Times New Roman"/>
              </w:rPr>
            </w:pPr>
            <w:r w:rsidRPr="003774E5">
              <w:rPr>
                <w:rFonts w:ascii="Times New Roman" w:eastAsia="Calibri" w:hAnsi="Times New Roman"/>
                <w:shd w:val="clear" w:color="auto" w:fill="FFFFFF"/>
              </w:rPr>
              <w:t xml:space="preserve">Най-малко </w:t>
            </w:r>
            <w:r w:rsidRPr="003774E5">
              <w:rPr>
                <w:rFonts w:ascii="Times New Roman" w:eastAsia="Calibri" w:hAnsi="Times New Roman"/>
                <w:shd w:val="clear" w:color="auto" w:fill="FFFFFF"/>
                <w:lang w:val="en-GB"/>
              </w:rPr>
              <w:t>3</w:t>
            </w:r>
            <w:r w:rsidRPr="003774E5">
              <w:rPr>
                <w:rFonts w:ascii="Times New Roman" w:eastAsia="Calibri" w:hAnsi="Times New Roman"/>
                <w:shd w:val="clear" w:color="auto" w:fill="FFFFFF"/>
              </w:rPr>
              <w:t xml:space="preserve"> км</w:t>
            </w:r>
          </w:p>
        </w:tc>
        <w:tc>
          <w:tcPr>
            <w:tcW w:w="1936" w:type="pct"/>
            <w:shd w:val="clear" w:color="auto" w:fill="auto"/>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 xml:space="preserve">Тъй като в границите на зоната видът се среща само в р. Дунав, като размер на местообитанието на вида се определя дължината на участъка от р. Дунав в границите на ЗЗ. Чрез ГИС анализ е установено, че </w:t>
            </w:r>
            <w:r w:rsidRPr="003774E5">
              <w:rPr>
                <w:rFonts w:ascii="Times New Roman" w:eastAsia="Calibri" w:hAnsi="Times New Roman"/>
                <w:lang w:val="en-GB"/>
              </w:rPr>
              <w:t>3</w:t>
            </w:r>
            <w:r w:rsidRPr="003774E5">
              <w:rPr>
                <w:rFonts w:ascii="Times New Roman" w:eastAsia="Calibri" w:hAnsi="Times New Roman"/>
              </w:rPr>
              <w:t xml:space="preserve"> км  от р. Дунав в защитената зона отговарят на посочените критерии. Според наличните данни за вида, той се среща мозаечно в зоната с агрегации при подходящ субстрат.</w:t>
            </w:r>
          </w:p>
        </w:tc>
        <w:tc>
          <w:tcPr>
            <w:tcW w:w="1038" w:type="pct"/>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 xml:space="preserve">Поддържане на участъка от р. Дунав, представляващ подходящо местообитание в границите на зоната – най-малко 3 км. </w:t>
            </w:r>
          </w:p>
          <w:p w:rsidR="00EC5D51" w:rsidRPr="003774E5" w:rsidRDefault="00EC5D51" w:rsidP="00EC5D51">
            <w:pPr>
              <w:spacing w:before="120" w:after="120" w:line="240" w:lineRule="auto"/>
              <w:jc w:val="both"/>
              <w:rPr>
                <w:rFonts w:ascii="Times New Roman" w:eastAsia="Calibri" w:hAnsi="Times New Roman"/>
              </w:rPr>
            </w:pPr>
          </w:p>
        </w:tc>
      </w:tr>
      <w:tr w:rsidR="00EC5D51" w:rsidRPr="003774E5" w:rsidTr="003774E5">
        <w:trPr>
          <w:jc w:val="center"/>
        </w:trPr>
        <w:tc>
          <w:tcPr>
            <w:tcW w:w="835" w:type="pct"/>
            <w:shd w:val="clear" w:color="auto" w:fill="auto"/>
          </w:tcPr>
          <w:p w:rsidR="00EC5D51" w:rsidRPr="003774E5" w:rsidRDefault="00EC5D51" w:rsidP="00EC5D51">
            <w:pPr>
              <w:spacing w:before="120" w:after="120" w:line="240" w:lineRule="auto"/>
              <w:rPr>
                <w:rFonts w:ascii="Times New Roman" w:eastAsia="Calibri" w:hAnsi="Times New Roman"/>
                <w:b/>
              </w:rPr>
            </w:pPr>
            <w:r w:rsidRPr="003774E5">
              <w:rPr>
                <w:rFonts w:ascii="Times New Roman" w:eastAsia="Calibri" w:hAnsi="Times New Roman"/>
                <w:b/>
              </w:rPr>
              <w:t xml:space="preserve">Местообитание на вида: </w:t>
            </w:r>
          </w:p>
          <w:p w:rsidR="00EC5D51" w:rsidRPr="003774E5" w:rsidRDefault="00EC5D51" w:rsidP="00EC5D51">
            <w:pPr>
              <w:spacing w:before="120" w:after="120" w:line="240" w:lineRule="auto"/>
              <w:rPr>
                <w:rFonts w:ascii="Times New Roman" w:eastAsia="Calibri" w:hAnsi="Times New Roman"/>
                <w:b/>
              </w:rPr>
            </w:pPr>
            <w:r w:rsidRPr="003774E5">
              <w:rPr>
                <w:rFonts w:ascii="Times New Roman" w:eastAsia="Calibri" w:hAnsi="Times New Roman"/>
                <w:b/>
              </w:rPr>
              <w:t>Степен на свързаност на местообитан</w:t>
            </w:r>
            <w:r w:rsidRPr="003774E5">
              <w:rPr>
                <w:rFonts w:ascii="Times New Roman" w:eastAsia="Calibri" w:hAnsi="Times New Roman"/>
                <w:b/>
              </w:rPr>
              <w:lastRenderedPageBreak/>
              <w:t xml:space="preserve">ието на вида </w:t>
            </w:r>
          </w:p>
          <w:p w:rsidR="00EC5D51" w:rsidRPr="003774E5" w:rsidRDefault="00EC5D51" w:rsidP="00EC5D51">
            <w:pPr>
              <w:spacing w:before="120" w:after="120" w:line="240" w:lineRule="auto"/>
              <w:rPr>
                <w:rFonts w:ascii="Times New Roman" w:eastAsia="Calibri" w:hAnsi="Times New Roman"/>
                <w:b/>
              </w:rPr>
            </w:pPr>
          </w:p>
          <w:p w:rsidR="00EC5D51" w:rsidRPr="003774E5" w:rsidRDefault="00EC5D51" w:rsidP="00EC5D51">
            <w:pPr>
              <w:spacing w:before="120" w:after="120" w:line="240" w:lineRule="auto"/>
              <w:rPr>
                <w:rFonts w:ascii="Times New Roman" w:eastAsia="Calibri" w:hAnsi="Times New Roman"/>
                <w:b/>
              </w:rPr>
            </w:pPr>
          </w:p>
        </w:tc>
        <w:tc>
          <w:tcPr>
            <w:tcW w:w="555" w:type="pct"/>
            <w:shd w:val="clear" w:color="auto" w:fill="auto"/>
          </w:tcPr>
          <w:p w:rsidR="00EC5D51" w:rsidRPr="003774E5" w:rsidRDefault="00EC5D51" w:rsidP="00EC5D51">
            <w:pPr>
              <w:spacing w:before="120" w:after="120" w:line="240" w:lineRule="auto"/>
              <w:rPr>
                <w:rFonts w:ascii="Times New Roman" w:eastAsia="Calibri" w:hAnsi="Times New Roman"/>
              </w:rPr>
            </w:pPr>
            <w:r w:rsidRPr="003774E5">
              <w:rPr>
                <w:rFonts w:ascii="Times New Roman" w:eastAsia="Calibri" w:hAnsi="Times New Roman"/>
              </w:rPr>
              <w:lastRenderedPageBreak/>
              <w:t xml:space="preserve">5 степенна скала за всяка бариера </w:t>
            </w:r>
          </w:p>
        </w:tc>
        <w:tc>
          <w:tcPr>
            <w:tcW w:w="636" w:type="pct"/>
            <w:shd w:val="clear" w:color="auto" w:fill="auto"/>
          </w:tcPr>
          <w:p w:rsidR="00EC5D51" w:rsidRPr="003774E5" w:rsidRDefault="00EC5D51" w:rsidP="00EC5D51">
            <w:pPr>
              <w:spacing w:before="120" w:after="120" w:line="240" w:lineRule="auto"/>
              <w:rPr>
                <w:rFonts w:ascii="Times New Roman" w:eastAsia="Calibri" w:hAnsi="Times New Roman"/>
                <w:lang w:val="en-US"/>
              </w:rPr>
            </w:pPr>
            <w:r w:rsidRPr="003774E5">
              <w:rPr>
                <w:rFonts w:ascii="Times New Roman" w:eastAsia="Calibri" w:hAnsi="Times New Roman"/>
              </w:rPr>
              <w:t>Степен</w:t>
            </w:r>
            <w:r w:rsidRPr="003774E5">
              <w:rPr>
                <w:rFonts w:ascii="Times New Roman" w:eastAsia="Calibri" w:hAnsi="Times New Roman"/>
                <w:lang w:val="en-US"/>
              </w:rPr>
              <w:t xml:space="preserve"> 1</w:t>
            </w:r>
          </w:p>
          <w:p w:rsidR="00EC5D51" w:rsidRPr="003774E5" w:rsidRDefault="00EC5D51" w:rsidP="00EC5D51">
            <w:pPr>
              <w:spacing w:before="120" w:after="120" w:line="240" w:lineRule="auto"/>
              <w:rPr>
                <w:rFonts w:ascii="Times New Roman" w:eastAsia="Calibri" w:hAnsi="Times New Roman"/>
              </w:rPr>
            </w:pPr>
            <w:r w:rsidRPr="003774E5">
              <w:rPr>
                <w:rFonts w:ascii="Times New Roman" w:eastAsia="Calibri" w:hAnsi="Times New Roman"/>
              </w:rPr>
              <w:t>за всяка бариера</w:t>
            </w:r>
          </w:p>
        </w:tc>
        <w:tc>
          <w:tcPr>
            <w:tcW w:w="1936" w:type="pct"/>
            <w:shd w:val="clear" w:color="auto" w:fill="auto"/>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w:t>
            </w:r>
            <w:r w:rsidRPr="003774E5">
              <w:rPr>
                <w:rFonts w:ascii="Times New Roman" w:eastAsia="Calibri" w:hAnsi="Times New Roman"/>
              </w:rPr>
              <w:lastRenderedPageBreak/>
              <w:t xml:space="preserve">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На базата на информацията в ПУБР 2016-2021 г. и пробонабирането през 2021г.,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lastRenderedPageBreak/>
              <w:t xml:space="preserve">Поддържане на свързаност на местообитанието на вида от Степен 1 за всяка бариера в речния участък. </w:t>
            </w:r>
          </w:p>
        </w:tc>
      </w:tr>
      <w:tr w:rsidR="00EC5D51" w:rsidRPr="003774E5" w:rsidTr="003774E5">
        <w:trPr>
          <w:jc w:val="center"/>
        </w:trPr>
        <w:tc>
          <w:tcPr>
            <w:tcW w:w="835" w:type="pct"/>
            <w:shd w:val="clear" w:color="auto" w:fill="auto"/>
          </w:tcPr>
          <w:p w:rsidR="00EC5D51" w:rsidRPr="003774E5" w:rsidRDefault="00EC5D51" w:rsidP="00EC5D51">
            <w:pPr>
              <w:spacing w:before="120" w:after="120" w:line="240" w:lineRule="auto"/>
              <w:rPr>
                <w:rFonts w:ascii="Times New Roman" w:eastAsia="Calibri" w:hAnsi="Times New Roman"/>
                <w:b/>
              </w:rPr>
            </w:pPr>
            <w:r w:rsidRPr="003774E5">
              <w:rPr>
                <w:rFonts w:ascii="Times New Roman" w:eastAsia="Calibri" w:hAnsi="Times New Roman"/>
                <w:b/>
              </w:rPr>
              <w:lastRenderedPageBreak/>
              <w:t xml:space="preserve">Местообитание на вида: Екологично състояние на водните тела с потенциални местообитания за вида въз основа на биологичните елементи </w:t>
            </w:r>
            <w:r w:rsidRPr="003774E5">
              <w:rPr>
                <w:rFonts w:ascii="Times New Roman" w:eastAsia="Calibri" w:hAnsi="Times New Roman"/>
                <w:b/>
              </w:rPr>
              <w:lastRenderedPageBreak/>
              <w:t xml:space="preserve">за качесто (БЕК  Макрозообентос, Фитобентос, Риби, Макрофити) </w:t>
            </w:r>
          </w:p>
        </w:tc>
        <w:tc>
          <w:tcPr>
            <w:tcW w:w="555" w:type="pct"/>
            <w:shd w:val="clear" w:color="auto" w:fill="auto"/>
          </w:tcPr>
          <w:p w:rsidR="00EC5D51" w:rsidRPr="003774E5" w:rsidRDefault="00EC5D51" w:rsidP="00EC5D51">
            <w:pPr>
              <w:spacing w:before="120" w:after="120" w:line="240" w:lineRule="auto"/>
              <w:rPr>
                <w:rFonts w:ascii="Times New Roman" w:eastAsia="Calibri" w:hAnsi="Times New Roman"/>
              </w:rPr>
            </w:pPr>
            <w:r w:rsidRPr="003774E5">
              <w:rPr>
                <w:rFonts w:ascii="Times New Roman" w:eastAsia="Calibri" w:hAnsi="Times New Roman"/>
              </w:rPr>
              <w:lastRenderedPageBreak/>
              <w:t xml:space="preserve">5 степенна скала за екологично състояние съгласно РДВ </w:t>
            </w:r>
          </w:p>
        </w:tc>
        <w:tc>
          <w:tcPr>
            <w:tcW w:w="636" w:type="pct"/>
            <w:shd w:val="clear" w:color="auto" w:fill="auto"/>
          </w:tcPr>
          <w:p w:rsidR="00EC5D51" w:rsidRPr="003774E5" w:rsidRDefault="00EC5D51" w:rsidP="00051A9F">
            <w:pPr>
              <w:spacing w:before="120" w:after="120" w:line="240" w:lineRule="auto"/>
              <w:rPr>
                <w:rFonts w:ascii="Times New Roman" w:eastAsia="Calibri" w:hAnsi="Times New Roman"/>
              </w:rPr>
            </w:pPr>
            <w:r w:rsidRPr="003774E5">
              <w:rPr>
                <w:rFonts w:ascii="Times New Roman" w:eastAsia="Calibri" w:hAnsi="Times New Roman"/>
              </w:rPr>
              <w:t xml:space="preserve">По-висока или равна на 2 – </w:t>
            </w:r>
            <w:r w:rsidR="00051A9F">
              <w:rPr>
                <w:rFonts w:ascii="Times New Roman" w:eastAsia="Calibri" w:hAnsi="Times New Roman"/>
              </w:rPr>
              <w:t>Добър потенциал</w:t>
            </w:r>
          </w:p>
        </w:tc>
        <w:tc>
          <w:tcPr>
            <w:tcW w:w="1936" w:type="pct"/>
            <w:shd w:val="clear" w:color="auto" w:fill="auto"/>
          </w:tcPr>
          <w:p w:rsidR="00EC5D51" w:rsidRPr="003774E5" w:rsidRDefault="00EC5D51" w:rsidP="00EC5D51">
            <w:pPr>
              <w:spacing w:after="0" w:line="240" w:lineRule="auto"/>
              <w:jc w:val="both"/>
              <w:rPr>
                <w:rFonts w:ascii="Times New Roman" w:eastAsia="Calibri" w:hAnsi="Times New Roman"/>
              </w:rPr>
            </w:pPr>
            <w:r w:rsidRPr="003774E5">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w:t>
            </w:r>
            <w:r w:rsidRPr="003774E5">
              <w:rPr>
                <w:rFonts w:ascii="Times New Roman" w:eastAsia="Calibri" w:hAnsi="Times New Roman"/>
              </w:rPr>
              <w:lastRenderedPageBreak/>
              <w:t xml:space="preserve">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EC5D51" w:rsidRPr="003774E5" w:rsidTr="00EC5D51">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EC5D51" w:rsidRPr="003774E5" w:rsidRDefault="00EC5D51" w:rsidP="00EC5D51">
                  <w:pPr>
                    <w:spacing w:after="0" w:line="240" w:lineRule="auto"/>
                    <w:jc w:val="center"/>
                    <w:rPr>
                      <w:rFonts w:ascii="Times New Roman" w:eastAsia="Calibri" w:hAnsi="Times New Roman"/>
                      <w:b/>
                      <w:bCs/>
                      <w:color w:val="000000"/>
                    </w:rPr>
                  </w:pPr>
                  <w:r w:rsidRPr="003774E5">
                    <w:rPr>
                      <w:rFonts w:ascii="Times New Roman" w:eastAsia="Calibri" w:hAnsi="Times New Roman"/>
                      <w:b/>
                      <w:bCs/>
                      <w:color w:val="000000"/>
                    </w:rPr>
                    <w:t>ЕС/ЕП</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EC5D51" w:rsidRPr="003774E5" w:rsidRDefault="00EC5D51" w:rsidP="00EC5D51">
                  <w:pPr>
                    <w:spacing w:after="0" w:line="240" w:lineRule="auto"/>
                    <w:jc w:val="center"/>
                    <w:rPr>
                      <w:rFonts w:ascii="Times New Roman" w:eastAsia="Calibri" w:hAnsi="Times New Roman"/>
                      <w:color w:val="000000"/>
                    </w:rPr>
                  </w:pPr>
                  <w:r w:rsidRPr="003774E5">
                    <w:rPr>
                      <w:rFonts w:ascii="Times New Roman" w:eastAsia="Calibri" w:hAnsi="Times New Roman"/>
                      <w:color w:val="000000"/>
                    </w:rPr>
                    <w:t>1 - Отлично</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EC5D51" w:rsidRPr="003774E5" w:rsidRDefault="00EC5D51" w:rsidP="00EC5D51">
                  <w:pPr>
                    <w:spacing w:after="0" w:line="240" w:lineRule="auto"/>
                    <w:jc w:val="center"/>
                    <w:rPr>
                      <w:rFonts w:ascii="Times New Roman" w:eastAsia="Calibri" w:hAnsi="Times New Roman"/>
                      <w:color w:val="000000"/>
                    </w:rPr>
                  </w:pPr>
                  <w:r w:rsidRPr="003774E5">
                    <w:rPr>
                      <w:rFonts w:ascii="Times New Roman" w:eastAsia="Calibri" w:hAnsi="Times New Roman"/>
                      <w:color w:val="000000"/>
                    </w:rPr>
                    <w:t>2 - Добро</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C5D51" w:rsidRPr="003774E5" w:rsidRDefault="00EC5D51" w:rsidP="00EC5D51">
                  <w:pPr>
                    <w:spacing w:after="0" w:line="240" w:lineRule="auto"/>
                    <w:jc w:val="center"/>
                    <w:rPr>
                      <w:rFonts w:ascii="Times New Roman" w:eastAsia="Calibri" w:hAnsi="Times New Roman"/>
                      <w:color w:val="000000"/>
                    </w:rPr>
                  </w:pPr>
                  <w:r w:rsidRPr="003774E5">
                    <w:rPr>
                      <w:rFonts w:ascii="Times New Roman" w:eastAsia="Calibri" w:hAnsi="Times New Roman"/>
                      <w:color w:val="000000"/>
                    </w:rPr>
                    <w:t>3 - Умерено</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C5D51" w:rsidRPr="003774E5" w:rsidRDefault="00EC5D51" w:rsidP="00EC5D51">
                  <w:pPr>
                    <w:spacing w:after="0" w:line="240" w:lineRule="auto"/>
                    <w:jc w:val="center"/>
                    <w:rPr>
                      <w:rFonts w:ascii="Times New Roman" w:eastAsia="Calibri" w:hAnsi="Times New Roman"/>
                      <w:color w:val="000000"/>
                    </w:rPr>
                  </w:pPr>
                  <w:r w:rsidRPr="003774E5">
                    <w:rPr>
                      <w:rFonts w:ascii="Times New Roman" w:eastAsia="Calibri" w:hAnsi="Times New Roman"/>
                      <w:color w:val="000000"/>
                    </w:rPr>
                    <w:t>4 - Лошо</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C5D51" w:rsidRPr="003774E5" w:rsidRDefault="00EC5D51" w:rsidP="00EC5D51">
                  <w:pPr>
                    <w:spacing w:after="0" w:line="240" w:lineRule="auto"/>
                    <w:jc w:val="center"/>
                    <w:rPr>
                      <w:rFonts w:ascii="Times New Roman" w:eastAsia="Calibri" w:hAnsi="Times New Roman"/>
                      <w:color w:val="000000"/>
                    </w:rPr>
                  </w:pPr>
                  <w:r w:rsidRPr="003774E5">
                    <w:rPr>
                      <w:rFonts w:ascii="Times New Roman" w:eastAsia="Calibri" w:hAnsi="Times New Roman"/>
                      <w:color w:val="000000"/>
                    </w:rPr>
                    <w:t>5 - Много лошо</w:t>
                  </w:r>
                </w:p>
              </w:tc>
            </w:tr>
          </w:tbl>
          <w:p w:rsidR="00EC5D51" w:rsidRPr="003774E5" w:rsidRDefault="00051A9F" w:rsidP="00051A9F">
            <w:pPr>
              <w:spacing w:before="120" w:after="120" w:line="240" w:lineRule="auto"/>
              <w:jc w:val="both"/>
              <w:rPr>
                <w:rFonts w:ascii="Times New Roman" w:eastAsia="Calibri" w:hAnsi="Times New Roman"/>
              </w:rPr>
            </w:pPr>
            <w:r w:rsidRPr="00BD3D2B">
              <w:rPr>
                <w:rFonts w:ascii="Times New Roman" w:eastAsia="Calibri" w:hAnsi="Times New Roman"/>
              </w:rPr>
              <w:t>Съгласно ПУРБ 2016-2021 г. целият български участък от р. Дунав представлява силно модифицирано водно тяло, с код (</w:t>
            </w:r>
            <w:hyperlink r:id="rId125" w:history="1">
              <w:r w:rsidRPr="00BD3D2B">
                <w:rPr>
                  <w:rFonts w:ascii="Times New Roman" w:eastAsia="Calibri" w:hAnsi="Times New Roman"/>
                  <w:color w:val="0000FF"/>
                  <w:u w:val="single"/>
                </w:rPr>
                <w:t>http://www.bd-dunav.org/uploads/content/files/upravlenie-na-vodite/PURB-2016-2021-final/Razdel-1/prilojenia_R1/Pril_1244.pdf</w:t>
              </w:r>
            </w:hyperlink>
            <w:r w:rsidRPr="00BD3D2B">
              <w:rPr>
                <w:rFonts w:ascii="Times New Roman" w:eastAsia="Calibri" w:hAnsi="Times New Roman"/>
              </w:rPr>
              <w:t>).Екологичният потенциал на р. Дунав е оценен като Умерен, (3),  (</w:t>
            </w:r>
            <w:hyperlink r:id="rId126" w:history="1">
              <w:r w:rsidRPr="00BD3D2B">
                <w:rPr>
                  <w:rFonts w:ascii="Times New Roman" w:eastAsia="Calibri" w:hAnsi="Times New Roman"/>
                  <w:color w:val="0000FF"/>
                  <w:u w:val="single"/>
                </w:rPr>
                <w:t>https://www.eea.europa.eu/data-and-maps/explore-interactive-maps/water-framework-directive-quality-elements?utm_source=EEASubscriptions&amp;utm_medium=RSSFeeds&amp;utm_campaign=Generic</w:t>
              </w:r>
            </w:hyperlink>
            <w:r w:rsidRPr="00BD3D2B">
              <w:rPr>
                <w:rFonts w:ascii="Times New Roman" w:eastAsia="Calibri" w:hAnsi="Times New Roman"/>
              </w:rPr>
              <w:t>)</w:t>
            </w:r>
            <w:r w:rsidR="00EC5D51" w:rsidRPr="003774E5">
              <w:rPr>
                <w:rFonts w:ascii="Times New Roman" w:eastAsia="Calibri" w:hAnsi="Times New Roman"/>
              </w:rPr>
              <w:t>.</w:t>
            </w:r>
          </w:p>
        </w:tc>
        <w:tc>
          <w:tcPr>
            <w:tcW w:w="1038" w:type="pct"/>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lastRenderedPageBreak/>
              <w:t>Постигане и поддържане на екологичния потенциал на участъка от р. Дунав в границата на зоната на стойност от по-висока или равна на 2 – Добър ЕП</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Междинна цел:</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 xml:space="preserve">Установяване на </w:t>
            </w:r>
            <w:r w:rsidRPr="003774E5">
              <w:rPr>
                <w:rFonts w:ascii="Times New Roman" w:eastAsia="Calibri" w:hAnsi="Times New Roman"/>
              </w:rPr>
              <w:lastRenderedPageBreak/>
              <w:t>източниците на замърсяване в и извън зоната, които могат да повлияят на популацията на вида.</w:t>
            </w:r>
          </w:p>
        </w:tc>
      </w:tr>
      <w:tr w:rsidR="00EC5D51" w:rsidRPr="003774E5" w:rsidTr="003774E5">
        <w:trPr>
          <w:jc w:val="center"/>
        </w:trPr>
        <w:tc>
          <w:tcPr>
            <w:tcW w:w="835" w:type="pct"/>
            <w:shd w:val="clear" w:color="auto" w:fill="auto"/>
          </w:tcPr>
          <w:p w:rsidR="00EC5D51" w:rsidRPr="003774E5" w:rsidRDefault="00EC5D51" w:rsidP="00EC5D51">
            <w:pPr>
              <w:spacing w:before="120" w:after="120" w:line="240" w:lineRule="auto"/>
              <w:rPr>
                <w:rFonts w:ascii="Times New Roman" w:eastAsia="Calibri" w:hAnsi="Times New Roman"/>
                <w:b/>
              </w:rPr>
            </w:pPr>
            <w:r w:rsidRPr="003774E5">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555" w:type="pct"/>
            <w:shd w:val="clear" w:color="auto" w:fill="auto"/>
          </w:tcPr>
          <w:p w:rsidR="00EC5D51" w:rsidRPr="003774E5" w:rsidRDefault="00EC5D51" w:rsidP="00EC5D51">
            <w:pPr>
              <w:spacing w:before="120" w:after="120" w:line="240" w:lineRule="auto"/>
              <w:rPr>
                <w:rFonts w:ascii="Times New Roman" w:eastAsia="Calibri" w:hAnsi="Times New Roman"/>
              </w:rPr>
            </w:pPr>
            <w:r w:rsidRPr="003774E5">
              <w:rPr>
                <w:rFonts w:ascii="Times New Roman" w:eastAsia="Calibri" w:hAnsi="Times New Roman"/>
              </w:rPr>
              <w:t xml:space="preserve">Съотношение в % от дължината на речните участъци с подходящи  местообитания на вида и с естествено структуриран </w:t>
            </w:r>
            <w:r w:rsidRPr="003774E5">
              <w:rPr>
                <w:rFonts w:ascii="Times New Roman" w:eastAsia="Calibri" w:hAnsi="Times New Roman"/>
              </w:rPr>
              <w:lastRenderedPageBreak/>
              <w:t>субстрат, съотнесен към общата дължина на речните участъци с подходящи местообитания за вида</w:t>
            </w:r>
          </w:p>
        </w:tc>
        <w:tc>
          <w:tcPr>
            <w:tcW w:w="636" w:type="pct"/>
            <w:shd w:val="clear" w:color="auto" w:fill="auto"/>
          </w:tcPr>
          <w:p w:rsidR="00EC5D51" w:rsidRPr="003774E5" w:rsidRDefault="00EC5D51" w:rsidP="00EC5D51">
            <w:pPr>
              <w:spacing w:before="120" w:after="120" w:line="240" w:lineRule="auto"/>
              <w:rPr>
                <w:rFonts w:ascii="Times New Roman" w:eastAsia="Calibri" w:hAnsi="Times New Roman"/>
              </w:rPr>
            </w:pPr>
            <w:r w:rsidRPr="003774E5">
              <w:rPr>
                <w:rFonts w:ascii="Times New Roman" w:eastAsia="Calibri" w:hAnsi="Times New Roman"/>
              </w:rPr>
              <w:lastRenderedPageBreak/>
              <w:t>95% от дължината на речните участъци с подходящи местообитания за вида имат естественоструктуриран субстрат</w:t>
            </w:r>
          </w:p>
        </w:tc>
        <w:tc>
          <w:tcPr>
            <w:tcW w:w="1936" w:type="pct"/>
            <w:shd w:val="clear" w:color="auto" w:fill="auto"/>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Ивичестият бибан е придънен вид. В България актуалното му разпространение е ограничено само в р. Дунав. В тази връзка, поддържането на естествената структура на дънния субстрат в подходящите местообитания на вида е важно за неговото състояние.</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Фактори, водещи до нарушаване на естествената структура на дънния субстрат, са:</w:t>
            </w:r>
          </w:p>
          <w:p w:rsidR="00EC5D51" w:rsidRPr="003774E5" w:rsidRDefault="00EC5D51" w:rsidP="00635999">
            <w:pPr>
              <w:numPr>
                <w:ilvl w:val="0"/>
                <w:numId w:val="15"/>
              </w:numPr>
              <w:spacing w:before="120" w:after="120" w:line="240" w:lineRule="auto"/>
              <w:jc w:val="both"/>
              <w:rPr>
                <w:rFonts w:ascii="Times New Roman" w:eastAsia="Calibri" w:hAnsi="Times New Roman"/>
              </w:rPr>
            </w:pPr>
            <w:r w:rsidRPr="003774E5">
              <w:rPr>
                <w:rFonts w:ascii="Times New Roman" w:eastAsia="Calibri" w:hAnsi="Times New Roman"/>
              </w:rPr>
              <w:t>Отстраняване на чакъл и пясък от коритото на реката;</w:t>
            </w:r>
          </w:p>
          <w:p w:rsidR="00EC5D51" w:rsidRPr="003774E5" w:rsidRDefault="00EC5D51" w:rsidP="00635999">
            <w:pPr>
              <w:numPr>
                <w:ilvl w:val="0"/>
                <w:numId w:val="15"/>
              </w:numPr>
              <w:spacing w:before="120" w:after="120" w:line="240" w:lineRule="auto"/>
              <w:jc w:val="both"/>
              <w:rPr>
                <w:rFonts w:ascii="Times New Roman" w:eastAsia="Calibri" w:hAnsi="Times New Roman"/>
              </w:rPr>
            </w:pPr>
            <w:r w:rsidRPr="003774E5">
              <w:rPr>
                <w:rFonts w:ascii="Times New Roman" w:eastAsia="Calibri" w:hAnsi="Times New Roman"/>
              </w:rPr>
              <w:t xml:space="preserve">Изкопаване на речното корито, водещо до ускоряване на водния поток и </w:t>
            </w:r>
            <w:r w:rsidRPr="003774E5">
              <w:rPr>
                <w:rFonts w:ascii="Times New Roman" w:eastAsia="Calibri" w:hAnsi="Times New Roman"/>
              </w:rPr>
              <w:lastRenderedPageBreak/>
              <w:t>отстраняване на субстрата;</w:t>
            </w:r>
          </w:p>
          <w:p w:rsidR="00EC5D51" w:rsidRPr="003774E5" w:rsidRDefault="00EC5D51" w:rsidP="00635999">
            <w:pPr>
              <w:numPr>
                <w:ilvl w:val="0"/>
                <w:numId w:val="15"/>
              </w:numPr>
              <w:spacing w:before="120" w:after="120" w:line="240" w:lineRule="auto"/>
              <w:jc w:val="both"/>
              <w:rPr>
                <w:rFonts w:ascii="Times New Roman" w:eastAsia="Calibri" w:hAnsi="Times New Roman"/>
              </w:rPr>
            </w:pPr>
            <w:r w:rsidRPr="003774E5">
              <w:rPr>
                <w:rFonts w:ascii="Times New Roman" w:eastAsia="Calibri" w:hAnsi="Times New Roman"/>
              </w:rPr>
              <w:t>др.</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Не е установен значим натиск в зоната по този параметър.</w:t>
            </w:r>
          </w:p>
        </w:tc>
        <w:tc>
          <w:tcPr>
            <w:tcW w:w="1038" w:type="pct"/>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lastRenderedPageBreak/>
              <w:t>Поддържане на 95 % от дължината на речните участъци с подходящи местообитания за вида да са с естествено структуриран субстрат.</w:t>
            </w:r>
          </w:p>
        </w:tc>
      </w:tr>
    </w:tbl>
    <w:p w:rsidR="00EC5D51" w:rsidRPr="00EC5D51" w:rsidRDefault="00EC5D51" w:rsidP="00EC5D51">
      <w:pPr>
        <w:spacing w:before="120" w:after="0" w:line="240" w:lineRule="auto"/>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7. Необходимост от актуали</w:t>
      </w:r>
      <w:r w:rsidR="003774E5">
        <w:rPr>
          <w:rFonts w:ascii="Times New Roman" w:eastAsia="Calibri" w:hAnsi="Times New Roman"/>
          <w:b/>
          <w:sz w:val="24"/>
          <w:szCs w:val="24"/>
        </w:rPr>
        <w:t>зация на СФ на защитената зона</w:t>
      </w:r>
    </w:p>
    <w:p w:rsidR="00051A9F" w:rsidRPr="0034610A" w:rsidRDefault="00051A9F" w:rsidP="00051A9F">
      <w:pPr>
        <w:spacing w:after="120" w:line="240" w:lineRule="auto"/>
        <w:ind w:firstLine="709"/>
        <w:jc w:val="both"/>
        <w:rPr>
          <w:rFonts w:ascii="Times New Roman" w:eastAsia="Calibri" w:hAnsi="Times New Roman"/>
          <w:sz w:val="24"/>
          <w:szCs w:val="24"/>
        </w:rPr>
      </w:pPr>
      <w:r>
        <w:rPr>
          <w:rFonts w:ascii="Times New Roman" w:eastAsia="Calibri" w:hAnsi="Times New Roman"/>
          <w:sz w:val="24"/>
          <w:szCs w:val="24"/>
        </w:rPr>
        <w:t xml:space="preserve">В съответствие с </w:t>
      </w:r>
      <w:r w:rsidRPr="00EC5D51">
        <w:rPr>
          <w:rFonts w:ascii="Times New Roman" w:eastAsia="Calibri" w:hAnsi="Times New Roman"/>
          <w:sz w:val="24"/>
          <w:szCs w:val="24"/>
        </w:rPr>
        <w:t>методиката</w:t>
      </w:r>
      <w:r>
        <w:rPr>
          <w:rFonts w:ascii="Times New Roman" w:eastAsia="Calibri" w:hAnsi="Times New Roman"/>
          <w:sz w:val="24"/>
          <w:szCs w:val="24"/>
        </w:rPr>
        <w:t>, приложима</w:t>
      </w:r>
      <w:r w:rsidRPr="00EC5D51">
        <w:rPr>
          <w:rFonts w:ascii="Times New Roman" w:eastAsia="Calibri" w:hAnsi="Times New Roman"/>
          <w:sz w:val="24"/>
          <w:szCs w:val="24"/>
        </w:rPr>
        <w:t xml:space="preserve"> за </w:t>
      </w:r>
      <w:r>
        <w:rPr>
          <w:rFonts w:ascii="Times New Roman" w:eastAsia="Calibri" w:hAnsi="Times New Roman"/>
          <w:sz w:val="24"/>
          <w:szCs w:val="24"/>
        </w:rPr>
        <w:t>пробонабиране</w:t>
      </w:r>
      <w:r w:rsidRPr="00EC5D51">
        <w:rPr>
          <w:rFonts w:ascii="Times New Roman" w:eastAsia="Calibri" w:hAnsi="Times New Roman"/>
          <w:sz w:val="24"/>
          <w:szCs w:val="24"/>
        </w:rPr>
        <w:t xml:space="preserve"> на </w:t>
      </w:r>
      <w:r>
        <w:rPr>
          <w:rFonts w:ascii="Times New Roman" w:eastAsia="Calibri" w:hAnsi="Times New Roman"/>
          <w:sz w:val="24"/>
          <w:szCs w:val="24"/>
        </w:rPr>
        <w:t>вида</w:t>
      </w:r>
      <w:r w:rsidRPr="00EC5D51">
        <w:rPr>
          <w:rFonts w:ascii="Times New Roman" w:eastAsia="Calibri" w:hAnsi="Times New Roman"/>
          <w:sz w:val="24"/>
          <w:szCs w:val="24"/>
        </w:rPr>
        <w:t>, най-подходящата единица за определянето на състоянието на вида е брой на единица риболовно усилие (</w:t>
      </w:r>
      <w:r w:rsidRPr="00EC5D51">
        <w:rPr>
          <w:rFonts w:ascii="Times New Roman" w:eastAsia="Calibri" w:hAnsi="Times New Roman"/>
          <w:sz w:val="24"/>
          <w:szCs w:val="24"/>
          <w:lang w:val="en-US"/>
        </w:rPr>
        <w:t>CPUE</w:t>
      </w:r>
      <w:r w:rsidRPr="00EC5D51">
        <w:rPr>
          <w:rFonts w:ascii="Times New Roman" w:eastAsia="Calibri" w:hAnsi="Times New Roman"/>
          <w:sz w:val="24"/>
          <w:szCs w:val="24"/>
        </w:rPr>
        <w:t xml:space="preserve">). </w:t>
      </w:r>
      <w:r w:rsidRPr="00AC0D43">
        <w:rPr>
          <w:rFonts w:ascii="Times New Roman" w:eastAsia="Calibri" w:hAnsi="Times New Roman"/>
          <w:sz w:val="24"/>
          <w:szCs w:val="24"/>
        </w:rPr>
        <w:t>Тази единица обаче засега не е приета за оценка на видове риби при докладванията в ЕК. Затова, като се има предвид високата сезонна вариабилност на числеността на вида в зоната и с оглед унифицирането на подхода за внасянето на данни в СФ на този етап като единица за оценка се използва „Площ“ (area) на местообитанията“</w:t>
      </w:r>
      <w:r w:rsidRPr="00EC5D51">
        <w:rPr>
          <w:rFonts w:ascii="Times New Roman" w:eastAsia="Calibri" w:hAnsi="Times New Roman"/>
          <w:sz w:val="24"/>
          <w:szCs w:val="24"/>
        </w:rPr>
        <w:t>, като са актуализирани стойностите на този индикатор</w:t>
      </w:r>
      <w:r w:rsidRPr="0034610A">
        <w:rPr>
          <w:rFonts w:ascii="Times New Roman" w:eastAsia="Calibri" w:hAnsi="Times New Roman"/>
          <w:sz w:val="24"/>
          <w:szCs w:val="24"/>
        </w:rPr>
        <w:t xml:space="preserve">. </w:t>
      </w:r>
      <w:r>
        <w:rPr>
          <w:rFonts w:ascii="Times New Roman" w:eastAsia="Calibri" w:hAnsi="Times New Roman"/>
          <w:sz w:val="24"/>
          <w:szCs w:val="24"/>
        </w:rPr>
        <w:t>Видът е постоянен обитател на зоната, като данните за неговото присъствие са добри. Често се среща в промишлените улови около гр. Силистра. Популацията не се намира в края на ареала, тъй като обитава целия дунавски участък. Нанесени са съответните корекции в СФ.</w:t>
      </w:r>
    </w:p>
    <w:p w:rsidR="00EC5D51" w:rsidRPr="00EC5D51" w:rsidRDefault="00EC5D51" w:rsidP="003774E5">
      <w:pPr>
        <w:spacing w:after="12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08"/>
        <w:gridCol w:w="546"/>
        <w:gridCol w:w="1043"/>
        <w:gridCol w:w="262"/>
        <w:gridCol w:w="836"/>
        <w:gridCol w:w="286"/>
        <w:gridCol w:w="583"/>
        <w:gridCol w:w="718"/>
        <w:gridCol w:w="593"/>
        <w:gridCol w:w="482"/>
        <w:gridCol w:w="1209"/>
        <w:gridCol w:w="737"/>
        <w:gridCol w:w="513"/>
        <w:gridCol w:w="437"/>
        <w:gridCol w:w="899"/>
      </w:tblGrid>
      <w:tr w:rsidR="00EC5D51" w:rsidRPr="00EC5D51" w:rsidTr="00051A9F">
        <w:trPr>
          <w:tblCellSpacing w:w="15" w:type="dxa"/>
        </w:trPr>
        <w:tc>
          <w:tcPr>
            <w:tcW w:w="1554"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Species </w:t>
            </w:r>
          </w:p>
        </w:tc>
        <w:tc>
          <w:tcPr>
            <w:tcW w:w="2033"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Population in the site </w:t>
            </w:r>
          </w:p>
        </w:tc>
        <w:tc>
          <w:tcPr>
            <w:tcW w:w="1349"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Site assessment </w:t>
            </w:r>
          </w:p>
        </w:tc>
      </w:tr>
      <w:tr w:rsidR="00EC5D51" w:rsidRPr="00EC5D51" w:rsidTr="00051A9F">
        <w:trPr>
          <w:tblCellSpacing w:w="15" w:type="dxa"/>
        </w:trPr>
        <w:tc>
          <w:tcPr>
            <w:tcW w:w="145"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G </w:t>
            </w:r>
          </w:p>
        </w:tc>
        <w:tc>
          <w:tcPr>
            <w:tcW w:w="284"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Code </w:t>
            </w:r>
          </w:p>
        </w:tc>
        <w:tc>
          <w:tcPr>
            <w:tcW w:w="558"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 </w:t>
            </w:r>
          </w:p>
        </w:tc>
        <w:tc>
          <w:tcPr>
            <w:tcW w:w="382"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NP </w:t>
            </w:r>
          </w:p>
        </w:tc>
        <w:tc>
          <w:tcPr>
            <w:tcW w:w="141"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T </w:t>
            </w:r>
          </w:p>
        </w:tc>
        <w:tc>
          <w:tcPr>
            <w:tcW w:w="684" w:type="pct"/>
            <w:gridSpan w:val="2"/>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Size </w:t>
            </w:r>
          </w:p>
        </w:tc>
        <w:tc>
          <w:tcPr>
            <w:tcW w:w="31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Unit </w:t>
            </w:r>
          </w:p>
        </w:tc>
        <w:tc>
          <w:tcPr>
            <w:tcW w:w="24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Cat. </w:t>
            </w:r>
          </w:p>
        </w:tc>
        <w:tc>
          <w:tcPr>
            <w:tcW w:w="58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D.qual. </w:t>
            </w:r>
          </w:p>
        </w:tc>
        <w:tc>
          <w:tcPr>
            <w:tcW w:w="38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A|B|C|D </w:t>
            </w:r>
          </w:p>
        </w:tc>
        <w:tc>
          <w:tcPr>
            <w:tcW w:w="944"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 </w:t>
            </w:r>
          </w:p>
        </w:tc>
      </w:tr>
      <w:tr w:rsidR="00EC5D51" w:rsidRPr="00EC5D51" w:rsidTr="00051A9F">
        <w:trPr>
          <w:tblCellSpacing w:w="15" w:type="dxa"/>
        </w:trPr>
        <w:tc>
          <w:tcPr>
            <w:tcW w:w="14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8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55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8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41"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Min</w:t>
            </w:r>
          </w:p>
        </w:tc>
        <w:tc>
          <w:tcPr>
            <w:tcW w:w="36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Max</w:t>
            </w:r>
          </w:p>
        </w:tc>
        <w:tc>
          <w:tcPr>
            <w:tcW w:w="31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4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p>
        </w:tc>
        <w:tc>
          <w:tcPr>
            <w:tcW w:w="58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8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Pop.</w:t>
            </w:r>
          </w:p>
        </w:tc>
        <w:tc>
          <w:tcPr>
            <w:tcW w:w="26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Con.</w:t>
            </w:r>
          </w:p>
        </w:tc>
        <w:tc>
          <w:tcPr>
            <w:tcW w:w="22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Iso.</w:t>
            </w:r>
          </w:p>
        </w:tc>
        <w:tc>
          <w:tcPr>
            <w:tcW w:w="4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Glo.</w:t>
            </w:r>
          </w:p>
        </w:tc>
      </w:tr>
      <w:tr w:rsidR="00051A9F" w:rsidRPr="00EC5D51" w:rsidTr="00051A9F">
        <w:trPr>
          <w:tblCellSpacing w:w="15" w:type="dxa"/>
        </w:trPr>
        <w:tc>
          <w:tcPr>
            <w:tcW w:w="14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EC5D51" w:rsidRDefault="00051A9F"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F</w:t>
            </w:r>
          </w:p>
        </w:tc>
        <w:tc>
          <w:tcPr>
            <w:tcW w:w="28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EC5D51" w:rsidRDefault="00051A9F" w:rsidP="00EC5D51">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sz w:val="16"/>
                <w:szCs w:val="16"/>
              </w:rPr>
              <w:t>1157</w:t>
            </w:r>
          </w:p>
        </w:tc>
        <w:tc>
          <w:tcPr>
            <w:tcW w:w="55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051A9F" w:rsidRDefault="00051A9F" w:rsidP="00EC5D51">
            <w:pPr>
              <w:spacing w:before="120" w:after="0" w:line="259" w:lineRule="auto"/>
              <w:jc w:val="both"/>
              <w:rPr>
                <w:rFonts w:ascii="Times New Roman" w:eastAsia="Calibri" w:hAnsi="Times New Roman"/>
                <w:b/>
                <w:bCs/>
                <w:i/>
                <w:sz w:val="16"/>
                <w:szCs w:val="16"/>
                <w:lang w:val="en-US"/>
              </w:rPr>
            </w:pPr>
            <w:r w:rsidRPr="00051A9F">
              <w:rPr>
                <w:rFonts w:ascii="Times New Roman" w:eastAsia="Calibri" w:hAnsi="Times New Roman"/>
                <w:b/>
                <w:bCs/>
                <w:i/>
                <w:sz w:val="16"/>
                <w:szCs w:val="16"/>
              </w:rPr>
              <w:t xml:space="preserve">Gymnocephalus </w:t>
            </w:r>
            <w:r w:rsidRPr="00051A9F">
              <w:rPr>
                <w:rFonts w:ascii="Times New Roman" w:eastAsia="Calibri" w:hAnsi="Times New Roman"/>
                <w:b/>
                <w:bCs/>
                <w:i/>
                <w:sz w:val="16"/>
                <w:szCs w:val="16"/>
                <w:lang w:val="en-US"/>
              </w:rPr>
              <w:t>schraetzer</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EC5D51" w:rsidRDefault="00051A9F"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EC5D51" w:rsidRDefault="00051A9F"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14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EC5D51" w:rsidRDefault="00051A9F"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p</w:t>
            </w:r>
          </w:p>
        </w:tc>
        <w:tc>
          <w:tcPr>
            <w:tcW w:w="3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EC5D51" w:rsidRDefault="00051A9F" w:rsidP="00051A9F">
            <w:pPr>
              <w:spacing w:before="120" w:after="0" w:line="259" w:lineRule="auto"/>
              <w:jc w:val="both"/>
              <w:rPr>
                <w:rFonts w:ascii="Times New Roman" w:eastAsia="Calibri" w:hAnsi="Times New Roman"/>
                <w:b/>
                <w:bCs/>
                <w:color w:val="FF0000"/>
                <w:sz w:val="16"/>
                <w:szCs w:val="16"/>
              </w:rPr>
            </w:pPr>
            <w:r w:rsidRPr="00EC5D51">
              <w:rPr>
                <w:rFonts w:ascii="Times New Roman" w:eastAsia="Calibri" w:hAnsi="Times New Roman"/>
                <w:b/>
                <w:bCs/>
                <w:sz w:val="16"/>
                <w:szCs w:val="16"/>
              </w:rPr>
              <w:t>680620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EC5D51" w:rsidRDefault="00051A9F" w:rsidP="00051A9F">
            <w:pPr>
              <w:spacing w:before="120" w:after="0" w:line="259" w:lineRule="auto"/>
              <w:jc w:val="both"/>
              <w:rPr>
                <w:rFonts w:ascii="Times New Roman" w:eastAsia="Calibri" w:hAnsi="Times New Roman"/>
                <w:b/>
                <w:bCs/>
                <w:color w:val="FF0000"/>
                <w:sz w:val="16"/>
                <w:szCs w:val="16"/>
              </w:rPr>
            </w:pPr>
            <w:r w:rsidRPr="00EC5D51">
              <w:rPr>
                <w:rFonts w:ascii="Times New Roman" w:eastAsia="Calibri" w:hAnsi="Times New Roman"/>
                <w:b/>
                <w:bCs/>
                <w:sz w:val="16"/>
                <w:szCs w:val="16"/>
              </w:rPr>
              <w:t>680620</w:t>
            </w:r>
          </w:p>
        </w:tc>
        <w:tc>
          <w:tcPr>
            <w:tcW w:w="31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C75FB7" w:rsidRDefault="00051A9F" w:rsidP="00051A9F">
            <w:pPr>
              <w:spacing w:before="120" w:after="0" w:line="259" w:lineRule="auto"/>
              <w:jc w:val="both"/>
              <w:rPr>
                <w:rFonts w:ascii="Times New Roman" w:eastAsia="Calibri" w:hAnsi="Times New Roman"/>
                <w:b/>
                <w:bCs/>
                <w:color w:val="FF0000"/>
                <w:sz w:val="16"/>
                <w:szCs w:val="16"/>
                <w:lang w:val="en-US"/>
              </w:rPr>
            </w:pPr>
            <w:r>
              <w:rPr>
                <w:rFonts w:ascii="Times New Roman" w:eastAsia="Calibri" w:hAnsi="Times New Roman"/>
                <w:b/>
                <w:bCs/>
                <w:sz w:val="16"/>
                <w:szCs w:val="16"/>
                <w:lang w:val="en-US"/>
              </w:rPr>
              <w:t>area</w:t>
            </w:r>
          </w:p>
        </w:tc>
        <w:tc>
          <w:tcPr>
            <w:tcW w:w="24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D75502" w:rsidRDefault="00051A9F" w:rsidP="00051A9F">
            <w:pPr>
              <w:spacing w:before="120" w:after="0" w:line="259" w:lineRule="auto"/>
              <w:jc w:val="both"/>
              <w:rPr>
                <w:rFonts w:ascii="Times New Roman" w:eastAsia="Calibri" w:hAnsi="Times New Roman"/>
                <w:b/>
                <w:bCs/>
                <w:color w:val="FF0000"/>
                <w:sz w:val="16"/>
                <w:szCs w:val="16"/>
                <w:lang w:val="en-US"/>
              </w:rPr>
            </w:pPr>
            <w:r w:rsidRPr="00D75502">
              <w:rPr>
                <w:rFonts w:ascii="Times New Roman" w:eastAsia="Calibri" w:hAnsi="Times New Roman"/>
                <w:b/>
                <w:bCs/>
                <w:color w:val="FF0000"/>
                <w:sz w:val="16"/>
                <w:szCs w:val="16"/>
                <w:lang w:val="en-US"/>
              </w:rPr>
              <w:t>C</w:t>
            </w:r>
          </w:p>
        </w:tc>
        <w:tc>
          <w:tcPr>
            <w:tcW w:w="58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D75502" w:rsidRDefault="00051A9F" w:rsidP="00051A9F">
            <w:pPr>
              <w:spacing w:before="120" w:after="0" w:line="259" w:lineRule="auto"/>
              <w:jc w:val="both"/>
              <w:rPr>
                <w:rFonts w:ascii="Times New Roman" w:eastAsia="Calibri" w:hAnsi="Times New Roman"/>
                <w:b/>
                <w:bCs/>
                <w:color w:val="FF0000"/>
                <w:sz w:val="16"/>
                <w:szCs w:val="16"/>
                <w:lang w:val="en-US"/>
              </w:rPr>
            </w:pPr>
            <w:r w:rsidRPr="00D75502">
              <w:rPr>
                <w:rFonts w:ascii="Times New Roman" w:eastAsia="Calibri" w:hAnsi="Times New Roman"/>
                <w:b/>
                <w:bCs/>
                <w:color w:val="FF0000"/>
                <w:sz w:val="16"/>
                <w:szCs w:val="16"/>
                <w:lang w:val="en-US"/>
              </w:rPr>
              <w:t>G</w:t>
            </w:r>
          </w:p>
        </w:tc>
        <w:tc>
          <w:tcPr>
            <w:tcW w:w="38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5E00F5" w:rsidRDefault="00051A9F" w:rsidP="00051A9F">
            <w:pPr>
              <w:spacing w:before="120" w:after="0" w:line="259" w:lineRule="auto"/>
              <w:jc w:val="both"/>
              <w:rPr>
                <w:rFonts w:ascii="Times New Roman" w:eastAsia="Calibri" w:hAnsi="Times New Roman"/>
                <w:b/>
                <w:bCs/>
                <w:sz w:val="16"/>
                <w:szCs w:val="16"/>
              </w:rPr>
            </w:pPr>
            <w:r w:rsidRPr="005E00F5">
              <w:rPr>
                <w:rFonts w:ascii="Times New Roman" w:eastAsia="Calibri" w:hAnsi="Times New Roman"/>
                <w:b/>
                <w:bCs/>
                <w:sz w:val="16"/>
                <w:szCs w:val="16"/>
              </w:rPr>
              <w:t>С</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EC5D51" w:rsidRDefault="00051A9F" w:rsidP="00051A9F">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A</w:t>
            </w:r>
          </w:p>
        </w:tc>
        <w:tc>
          <w:tcPr>
            <w:tcW w:w="22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D75502" w:rsidRDefault="00051A9F" w:rsidP="00051A9F">
            <w:pPr>
              <w:spacing w:before="120" w:after="0" w:line="259" w:lineRule="auto"/>
              <w:jc w:val="both"/>
              <w:rPr>
                <w:rFonts w:ascii="Times New Roman" w:eastAsia="Calibri" w:hAnsi="Times New Roman"/>
                <w:b/>
                <w:bCs/>
                <w:color w:val="FF0000"/>
                <w:sz w:val="16"/>
                <w:szCs w:val="16"/>
                <w:lang w:val="en-US"/>
              </w:rPr>
            </w:pPr>
            <w:r w:rsidRPr="00D75502">
              <w:rPr>
                <w:rFonts w:ascii="Times New Roman" w:eastAsia="Calibri" w:hAnsi="Times New Roman"/>
                <w:b/>
                <w:bCs/>
                <w:color w:val="FF0000"/>
                <w:sz w:val="16"/>
                <w:szCs w:val="16"/>
                <w:lang w:val="en-US"/>
              </w:rPr>
              <w:t>C</w:t>
            </w:r>
          </w:p>
        </w:tc>
        <w:tc>
          <w:tcPr>
            <w:tcW w:w="4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51A9F" w:rsidRPr="005E00F5" w:rsidRDefault="00051A9F" w:rsidP="00051A9F">
            <w:pPr>
              <w:spacing w:before="120" w:after="0" w:line="259" w:lineRule="auto"/>
              <w:jc w:val="both"/>
              <w:rPr>
                <w:rFonts w:ascii="Times New Roman" w:eastAsia="Calibri" w:hAnsi="Times New Roman"/>
                <w:b/>
                <w:bCs/>
                <w:sz w:val="16"/>
                <w:szCs w:val="16"/>
                <w:lang w:val="en-US"/>
              </w:rPr>
            </w:pPr>
            <w:r w:rsidRPr="005E00F5">
              <w:rPr>
                <w:rFonts w:ascii="Times New Roman" w:eastAsia="Calibri" w:hAnsi="Times New Roman"/>
                <w:b/>
                <w:bCs/>
                <w:sz w:val="16"/>
                <w:szCs w:val="16"/>
              </w:rPr>
              <w:t>В</w:t>
            </w:r>
          </w:p>
        </w:tc>
      </w:tr>
    </w:tbl>
    <w:p w:rsidR="00EC5D51" w:rsidRPr="00EC5D51" w:rsidRDefault="00EC5D51" w:rsidP="00EC5D51">
      <w:pPr>
        <w:spacing w:after="160" w:line="240" w:lineRule="auto"/>
        <w:jc w:val="both"/>
        <w:rPr>
          <w:rFonts w:ascii="Times New Roman" w:eastAsia="Calibri" w:hAnsi="Times New Roman"/>
          <w:sz w:val="24"/>
          <w:szCs w:val="24"/>
        </w:rPr>
      </w:pPr>
    </w:p>
    <w:p w:rsidR="00EC5D51" w:rsidRPr="00EC5D51" w:rsidRDefault="003774E5" w:rsidP="00EC5D51">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8. Цитирана литература</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lastRenderedPageBreak/>
        <w:t>Големански, В. и др. (ред.) 2011. Червена книга на Република България. Том 2. Животни. ИБЕИ - БАН &amp; МОСВ, София. Електронно издание: Том II - Животни (bas.bg)</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Дренски, П. 1951. Рибите в България. Фауна на България II. С., БАН, 270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Информационна система за защитени зони от екологична мрежа НАТУРА 2000.</w:t>
      </w:r>
    </w:p>
    <w:p w:rsidR="00EC5D51" w:rsidRPr="00EC5D51" w:rsidRDefault="00EC5D51" w:rsidP="0001440D">
      <w:pPr>
        <w:spacing w:after="0" w:line="259" w:lineRule="auto"/>
        <w:ind w:left="720" w:hanging="12"/>
        <w:jc w:val="both"/>
        <w:rPr>
          <w:rFonts w:ascii="Times New Roman" w:eastAsia="Calibri" w:hAnsi="Times New Roman"/>
          <w:sz w:val="24"/>
          <w:szCs w:val="24"/>
        </w:rPr>
      </w:pPr>
      <w:r w:rsidRPr="00EC5D51">
        <w:rPr>
          <w:rFonts w:ascii="Times New Roman" w:eastAsia="Calibri" w:hAnsi="Times New Roman"/>
          <w:sz w:val="24"/>
          <w:szCs w:val="24"/>
        </w:rPr>
        <w:t>http://natura2000.moew.government.bg/; http://natura2000.moew.government.bg/Home/Reports?reportType=Fishes</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1972. Ихтиофауна на р. Янтра. – Изв. на Зоолог. инст. с музей, 36: 149–182.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М. Живков. 1995. Рибите в България. С., "Гея-Либрис", 247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Моров, Т. 1931. Сладководните риби в България. С., "Художник", 93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https://ec.europa.eu/environment/nature/natura2000/management/docs/art6/BG_art_6_guide_jun_2019.pdf</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Шишков Г. 1939. Няколко думи за риболова по р. Искър. – Рибарски преглед, 9(8): 4–7.</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Bauer, C. Bobeldy, A., Lamberti G. 2006.  Predicting habitat use and trophic interactions of Eurasian ruffe, round gobies, and zebra mussels in nearshore areas of the Great Lakes. – Biol Invasions,  DOI 10.1007/s10530-006-9067-8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Bern Convention on the Conservation of European Wildlife and Natural Habitats. https://www.coe.int/en/web/bern-convention</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lastRenderedPageBreak/>
        <w:t>CEN - EN 14011, 2003. Water quality - Sampling of fish with electricity. Brussels, 16 p.3–680.</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Froese, R., D. Pauly. Editors. 2021. FishBase. World Wide Web electronic publication. www.fishbase.org, (06/2021): Search FishBase (mnhn.fr)</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IUCN 2021. The IUCN Red List of Threatened Species. Version 2021-2. </w:t>
      </w:r>
      <w:hyperlink r:id="rId127" w:history="1">
        <w:r w:rsidRPr="00EC5D51">
          <w:rPr>
            <w:rFonts w:ascii="Times New Roman" w:eastAsia="Calibri" w:hAnsi="Times New Roman"/>
            <w:color w:val="0563C1"/>
            <w:sz w:val="24"/>
            <w:szCs w:val="24"/>
            <w:u w:val="single"/>
          </w:rPr>
          <w:t>https://www.iucnredlist.org</w:t>
        </w:r>
      </w:hyperlink>
      <w:r w:rsidRPr="00EC5D51">
        <w:rPr>
          <w:rFonts w:ascii="Times New Roman" w:eastAsia="Calibri" w:hAnsi="Times New Roman"/>
          <w:sz w:val="24"/>
          <w:szCs w:val="24"/>
        </w:rPr>
        <w:t>.</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Juza T., Blabolil P., Baran R., Barton B.,  Cech M., Drastık V., Frouzova J., Holubova M., Ketelaars H., Kocvara L., Kubecka J., Muska M. Prchalova M., Rıha M., Sajdlova Z., Smejkal M.,Tuser M., Vasek M., Vejrık L., Vejrıkova I., Wagenvoort A., Zak J., Peterka J. 2018. Collapse of the native ruffe (Gymnocephalus cernua) population in the Biesbosch lakes (the Netherlands) owing to round goby (Neogobius melanostomus) invasion. Biol. Invasions, 20:1523–1535</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Kottelat, M., J. Freyhof, 2007. Handbook of European freshwater fishes. Publications Kottelat, Cornol and Freyhof, Berlin. 646 pp.</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Naseka, A., N. Bogutskaya, P. Banarescu. 1999. Gobio albipinnatus Lukasch, 1933. – In: Banarescu P. (Ed.), The Freshwater Fishes of Europe. Vol. 5 / I. Cyprinidae 2 / I. AULA-Verlag, Wiesbaden, 37–68.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Vassilev, M., L. Pehlivanov. 2005. Checklist of Bulgarian freshwater fishes. – Acta zool. bulg., 57(2): 161–190.Публичен регистър по екологични оценки - </w:t>
      </w:r>
      <w:hyperlink r:id="rId128" w:history="1">
        <w:r w:rsidRPr="00EC5D51">
          <w:rPr>
            <w:rFonts w:ascii="Times New Roman" w:eastAsia="Calibri" w:hAnsi="Times New Roman"/>
            <w:color w:val="0563C1"/>
            <w:sz w:val="24"/>
            <w:szCs w:val="24"/>
            <w:u w:val="single"/>
          </w:rPr>
          <w:t>http://registers.moew.government.bg/eo</w:t>
        </w:r>
      </w:hyperlink>
      <w:r w:rsidRPr="00EC5D51">
        <w:rPr>
          <w:rFonts w:ascii="Times New Roman" w:eastAsia="Calibri" w:hAnsi="Times New Roman"/>
          <w:sz w:val="24"/>
          <w:szCs w:val="24"/>
        </w:rPr>
        <w:t xml:space="preserve"> (Достъп на 27.09.2021)</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Публичен регистър по оценки за въздействие на околната среда </w:t>
      </w:r>
      <w:hyperlink r:id="rId129" w:history="1">
        <w:r w:rsidRPr="00EC5D51">
          <w:rPr>
            <w:rFonts w:ascii="Times New Roman" w:eastAsia="Calibri" w:hAnsi="Times New Roman"/>
            <w:color w:val="0563C1"/>
            <w:sz w:val="24"/>
            <w:szCs w:val="24"/>
            <w:u w:val="single"/>
          </w:rPr>
          <w:t>http://registers.moew.government.bg/ovos/</w:t>
        </w:r>
      </w:hyperlink>
      <w:r w:rsidRPr="00EC5D51">
        <w:rPr>
          <w:rFonts w:ascii="Times New Roman" w:eastAsia="Calibri" w:hAnsi="Times New Roman"/>
          <w:sz w:val="24"/>
          <w:szCs w:val="24"/>
        </w:rPr>
        <w:t xml:space="preserve"> (Достъп на 27.09.2021)</w:t>
      </w:r>
    </w:p>
    <w:p w:rsidR="00EC5D51" w:rsidRPr="00EC5D51" w:rsidRDefault="00EC5D51" w:rsidP="00EC5D51">
      <w:pPr>
        <w:spacing w:after="0" w:line="240"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EC5D51">
        <w:rPr>
          <w:rFonts w:ascii="Times New Roman" w:eastAsia="Calibri" w:hAnsi="Times New Roman"/>
          <w:color w:val="0563C1"/>
          <w:sz w:val="24"/>
          <w:szCs w:val="24"/>
          <w:u w:val="single"/>
        </w:rPr>
        <w:t>https://riew-pleven.eu/</w:t>
      </w:r>
    </w:p>
    <w:p w:rsidR="00EC5D51" w:rsidRPr="00EC5D51" w:rsidRDefault="00DE51FF" w:rsidP="00EC5D51">
      <w:pPr>
        <w:spacing w:after="160" w:line="240" w:lineRule="auto"/>
        <w:jc w:val="both"/>
        <w:rPr>
          <w:rFonts w:ascii="Times New Roman" w:eastAsia="Calibri" w:hAnsi="Times New Roman"/>
          <w:i/>
          <w:sz w:val="24"/>
          <w:szCs w:val="24"/>
        </w:rPr>
      </w:pPr>
      <w:hyperlink r:id="rId130" w:history="1">
        <w:r w:rsidR="00EC5D51" w:rsidRPr="00EC5D51">
          <w:rPr>
            <w:rFonts w:ascii="Times New Roman" w:eastAsia="Calibri" w:hAnsi="Times New Roman"/>
            <w:iCs/>
            <w:color w:val="0563C1"/>
            <w:sz w:val="24"/>
            <w:szCs w:val="24"/>
            <w:u w:val="single"/>
          </w:rPr>
          <w:t>http://eea.government.bg/bg/bio/nsmbr/praktichesko-rakovodstvo-metodiki-za-monitoring-i-otsenka/Podhod_Dunav.pdf</w:t>
        </w:r>
      </w:hyperlink>
    </w:p>
    <w:p w:rsidR="00EC5D51" w:rsidRPr="00EC5D51" w:rsidRDefault="00EC5D51" w:rsidP="00EC5D51">
      <w:pPr>
        <w:spacing w:after="160" w:line="240" w:lineRule="auto"/>
        <w:jc w:val="both"/>
        <w:rPr>
          <w:rFonts w:ascii="Times New Roman" w:eastAsia="Calibri" w:hAnsi="Times New Roman"/>
          <w:sz w:val="24"/>
          <w:szCs w:val="24"/>
        </w:rPr>
      </w:pPr>
      <w:r w:rsidRPr="00EC5D51">
        <w:rPr>
          <w:rFonts w:ascii="Times New Roman" w:eastAsia="Calibri" w:hAnsi="Times New Roman"/>
          <w:i/>
          <w:sz w:val="24"/>
          <w:szCs w:val="24"/>
        </w:rPr>
        <w:t>Автори</w:t>
      </w:r>
      <w:r w:rsidRPr="00EC5D51">
        <w:rPr>
          <w:rFonts w:ascii="Times New Roman" w:eastAsia="Calibri" w:hAnsi="Times New Roman"/>
          <w:sz w:val="24"/>
          <w:szCs w:val="24"/>
        </w:rPr>
        <w:t>:</w:t>
      </w:r>
      <w:r w:rsidRPr="00EC5D51">
        <w:rPr>
          <w:rFonts w:ascii="Times New Roman" w:eastAsia="Calibri" w:hAnsi="Times New Roman"/>
          <w:b/>
          <w:sz w:val="24"/>
          <w:szCs w:val="24"/>
        </w:rPr>
        <w:t xml:space="preserve"> </w:t>
      </w:r>
      <w:r w:rsidRPr="003774E5">
        <w:rPr>
          <w:rFonts w:ascii="Times New Roman" w:eastAsia="Calibri" w:hAnsi="Times New Roman"/>
          <w:iCs/>
          <w:sz w:val="24"/>
          <w:szCs w:val="24"/>
        </w:rPr>
        <w:t>Апостолос Апостолу, Лъч</w:t>
      </w:r>
      <w:r w:rsidR="003774E5" w:rsidRPr="003774E5">
        <w:rPr>
          <w:rFonts w:ascii="Times New Roman" w:eastAsia="Calibri" w:hAnsi="Times New Roman"/>
          <w:iCs/>
          <w:sz w:val="24"/>
          <w:szCs w:val="24"/>
        </w:rPr>
        <w:t>езар Пехливанов, Стефан Казаков</w:t>
      </w:r>
    </w:p>
    <w:p w:rsidR="00EC5D51" w:rsidRDefault="00EC5D51" w:rsidP="0070678B">
      <w:pPr>
        <w:rPr>
          <w:rFonts w:ascii="Times New Roman" w:hAnsi="Times New Roman"/>
          <w:color w:val="1F497D" w:themeColor="text2"/>
          <w:sz w:val="28"/>
          <w:szCs w:val="28"/>
        </w:rPr>
      </w:pPr>
    </w:p>
    <w:p w:rsidR="0070678B" w:rsidRDefault="00107719" w:rsidP="006C17B2">
      <w:pPr>
        <w:outlineLvl w:val="1"/>
        <w:rPr>
          <w:rFonts w:ascii="Times New Roman" w:hAnsi="Times New Roman"/>
          <w:i/>
          <w:color w:val="1F497D" w:themeColor="text2"/>
          <w:sz w:val="28"/>
          <w:szCs w:val="28"/>
        </w:rPr>
      </w:pPr>
      <w:bookmarkStart w:id="55" w:name="_Toc98838550"/>
      <w:r>
        <w:rPr>
          <w:rFonts w:ascii="Times New Roman" w:hAnsi="Times New Roman"/>
          <w:color w:val="1F497D" w:themeColor="text2"/>
          <w:sz w:val="28"/>
          <w:szCs w:val="28"/>
        </w:rPr>
        <w:t xml:space="preserve">Природозащитни цели за </w:t>
      </w:r>
      <w:r w:rsidR="0070678B">
        <w:rPr>
          <w:rFonts w:ascii="Times New Roman" w:hAnsi="Times New Roman"/>
          <w:color w:val="1F497D" w:themeColor="text2"/>
          <w:sz w:val="28"/>
          <w:szCs w:val="28"/>
        </w:rPr>
        <w:t xml:space="preserve">1145 </w:t>
      </w:r>
      <w:r w:rsidR="0070678B" w:rsidRPr="00107719">
        <w:rPr>
          <w:rFonts w:ascii="Times New Roman" w:hAnsi="Times New Roman"/>
          <w:i/>
          <w:color w:val="1F497D" w:themeColor="text2"/>
          <w:sz w:val="28"/>
          <w:szCs w:val="28"/>
        </w:rPr>
        <w:t>Misgurnus fossilis</w:t>
      </w:r>
      <w:bookmarkEnd w:id="55"/>
    </w:p>
    <w:p w:rsidR="00B420C3" w:rsidRPr="00B420C3" w:rsidRDefault="00B420C3" w:rsidP="00B420C3">
      <w:pPr>
        <w:spacing w:after="160" w:line="240" w:lineRule="auto"/>
        <w:jc w:val="both"/>
        <w:rPr>
          <w:rFonts w:ascii="Times New Roman" w:eastAsia="Calibri" w:hAnsi="Times New Roman"/>
          <w:b/>
          <w:bCs/>
          <w:sz w:val="24"/>
          <w:szCs w:val="24"/>
        </w:rPr>
      </w:pPr>
      <w:r w:rsidRPr="00B420C3">
        <w:rPr>
          <w:rFonts w:ascii="Times New Roman" w:eastAsia="Calibri" w:hAnsi="Times New Roman"/>
          <w:b/>
          <w:sz w:val="24"/>
          <w:szCs w:val="24"/>
        </w:rPr>
        <w:t>1. Код и наименование на вид</w:t>
      </w:r>
      <w:r w:rsidRPr="00B420C3">
        <w:rPr>
          <w:rFonts w:ascii="Times New Roman" w:eastAsia="Calibri" w:hAnsi="Times New Roman"/>
          <w:b/>
          <w:sz w:val="24"/>
          <w:szCs w:val="24"/>
          <w:lang w:val="en-GB"/>
        </w:rPr>
        <w:t>a</w:t>
      </w:r>
      <w:r w:rsidRPr="00B420C3">
        <w:rPr>
          <w:rFonts w:ascii="Times New Roman" w:eastAsia="Calibri" w:hAnsi="Times New Roman"/>
          <w:b/>
          <w:sz w:val="24"/>
          <w:szCs w:val="24"/>
          <w:lang w:val="en-US"/>
        </w:rPr>
        <w:t>:</w:t>
      </w:r>
      <w:r w:rsidRPr="00B420C3">
        <w:rPr>
          <w:rFonts w:ascii="Times New Roman" w:eastAsia="Calibri" w:hAnsi="Times New Roman"/>
          <w:b/>
          <w:sz w:val="24"/>
          <w:szCs w:val="24"/>
        </w:rPr>
        <w:t xml:space="preserve"> </w:t>
      </w:r>
      <w:r w:rsidRPr="006C17B2">
        <w:rPr>
          <w:rFonts w:ascii="Times New Roman" w:hAnsi="Times New Roman"/>
          <w:bCs/>
          <w:color w:val="000000"/>
          <w:sz w:val="24"/>
          <w:szCs w:val="24"/>
          <w:lang w:eastAsia="bg-BG"/>
        </w:rPr>
        <w:t xml:space="preserve">1145 </w:t>
      </w:r>
      <w:r w:rsidRPr="006C17B2">
        <w:rPr>
          <w:rFonts w:ascii="Times New Roman" w:hAnsi="Times New Roman"/>
          <w:bCs/>
          <w:i/>
          <w:iCs/>
          <w:color w:val="000000"/>
          <w:sz w:val="24"/>
          <w:szCs w:val="24"/>
          <w:lang w:val="en-US" w:eastAsia="bg-BG"/>
        </w:rPr>
        <w:t>Misgurnus fossilis</w:t>
      </w:r>
      <w:r w:rsidRPr="006C17B2">
        <w:rPr>
          <w:rFonts w:ascii="Times New Roman" w:hAnsi="Times New Roman"/>
          <w:bCs/>
          <w:color w:val="000000"/>
          <w:sz w:val="24"/>
          <w:szCs w:val="24"/>
          <w:lang w:eastAsia="bg-BG"/>
        </w:rPr>
        <w:t xml:space="preserve"> </w:t>
      </w:r>
      <w:r w:rsidRPr="006C17B2">
        <w:rPr>
          <w:rFonts w:ascii="Times New Roman" w:hAnsi="Times New Roman"/>
          <w:color w:val="000000"/>
          <w:sz w:val="24"/>
          <w:szCs w:val="24"/>
          <w:lang w:val="en-US" w:eastAsia="bg-BG"/>
        </w:rPr>
        <w:t>-</w:t>
      </w:r>
      <w:r w:rsidRPr="006C17B2">
        <w:rPr>
          <w:rFonts w:ascii="Times New Roman" w:hAnsi="Times New Roman"/>
          <w:bCs/>
          <w:color w:val="000000"/>
          <w:sz w:val="24"/>
          <w:szCs w:val="24"/>
          <w:lang w:val="en-US" w:eastAsia="bg-BG"/>
        </w:rPr>
        <w:t xml:space="preserve"> </w:t>
      </w:r>
      <w:r w:rsidRPr="006C17B2">
        <w:rPr>
          <w:rFonts w:ascii="Times New Roman" w:hAnsi="Times New Roman"/>
          <w:bCs/>
          <w:color w:val="000000"/>
          <w:sz w:val="24"/>
          <w:szCs w:val="24"/>
          <w:lang w:eastAsia="bg-BG"/>
        </w:rPr>
        <w:t>Виюн</w:t>
      </w:r>
      <w:r w:rsidRPr="00B420C3">
        <w:rPr>
          <w:rFonts w:ascii="Times New Roman" w:hAnsi="Times New Roman"/>
          <w:b/>
          <w:bCs/>
          <w:color w:val="000000"/>
          <w:sz w:val="24"/>
          <w:szCs w:val="24"/>
          <w:lang w:eastAsia="bg-BG"/>
        </w:rPr>
        <w:t xml:space="preserve"> </w:t>
      </w: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2. Кратка характеристика на целевия об</w:t>
      </w:r>
      <w:r w:rsidR="006C17B2">
        <w:rPr>
          <w:rFonts w:ascii="Times New Roman" w:eastAsia="Calibri" w:hAnsi="Times New Roman"/>
          <w:b/>
          <w:sz w:val="24"/>
          <w:szCs w:val="24"/>
        </w:rPr>
        <w:t>ект</w:t>
      </w:r>
    </w:p>
    <w:p w:rsidR="00B420C3" w:rsidRPr="00B420C3" w:rsidRDefault="00B420C3" w:rsidP="006C17B2">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Риба от сем. Щипоци (</w:t>
      </w:r>
      <w:r w:rsidRPr="00B420C3">
        <w:rPr>
          <w:rFonts w:ascii="Times New Roman" w:eastAsia="Calibri" w:hAnsi="Times New Roman"/>
          <w:sz w:val="24"/>
          <w:szCs w:val="24"/>
          <w:lang w:val="en-US"/>
        </w:rPr>
        <w:t>Cobitidae</w:t>
      </w:r>
      <w:r w:rsidRPr="00B420C3">
        <w:rPr>
          <w:rFonts w:ascii="Times New Roman" w:eastAsia="Calibri" w:hAnsi="Times New Roman"/>
          <w:sz w:val="24"/>
          <w:szCs w:val="24"/>
        </w:rPr>
        <w:t xml:space="preserve">). Тялото е издължено, змиевидно. Покрито е със ситни, дълбоко закрепени в кожата люспи. Оцветено е в кафяво, с тъмни и светли надлъжни ивици. Опашната перка е заоблена. Устата е обградена с три чифта мустачки. </w:t>
      </w:r>
    </w:p>
    <w:p w:rsidR="00B420C3" w:rsidRPr="00B420C3" w:rsidRDefault="00B420C3" w:rsidP="006C17B2">
      <w:pPr>
        <w:spacing w:after="0" w:line="240" w:lineRule="auto"/>
        <w:ind w:firstLine="709"/>
        <w:jc w:val="both"/>
        <w:rPr>
          <w:rFonts w:ascii="Times New Roman" w:eastAsia="Calibri" w:hAnsi="Times New Roman"/>
          <w:color w:val="000000"/>
          <w:sz w:val="24"/>
          <w:szCs w:val="24"/>
        </w:rPr>
      </w:pPr>
      <w:r w:rsidRPr="00B420C3">
        <w:rPr>
          <w:rFonts w:ascii="Times New Roman" w:eastAsia="Calibri" w:hAnsi="Times New Roman"/>
          <w:color w:val="000000"/>
          <w:sz w:val="24"/>
          <w:szCs w:val="24"/>
        </w:rPr>
        <w:t xml:space="preserve">Разпространен е в по-голяма част от Европа на север от Алпите, от р. Маас на запад на до Ладожкото езеро изток, в северната част на черноморския басейн до р. Кубан на изток, а също и във водосборите на реките Волга и Урал от басейна на Каспийско море. </w:t>
      </w:r>
    </w:p>
    <w:p w:rsidR="00B420C3" w:rsidRPr="00B420C3" w:rsidRDefault="00B420C3" w:rsidP="006C17B2">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color w:val="000000"/>
          <w:sz w:val="24"/>
          <w:szCs w:val="24"/>
        </w:rPr>
        <w:t>Дънен лимнофилен вид.</w:t>
      </w:r>
      <w:r w:rsidRPr="00B420C3">
        <w:rPr>
          <w:rFonts w:ascii="Times New Roman" w:eastAsia="Calibri" w:hAnsi="Times New Roman"/>
          <w:sz w:val="24"/>
          <w:szCs w:val="24"/>
        </w:rPr>
        <w:t xml:space="preserve"> Обитава стоящи и бавнотечащи води (постоянни реки с бавно течение и постоянни сладководни, и бракични езера и блата) с пясъчно или </w:t>
      </w:r>
      <w:r w:rsidRPr="00B420C3">
        <w:rPr>
          <w:rFonts w:ascii="Times New Roman" w:eastAsia="Calibri" w:hAnsi="Times New Roman"/>
          <w:sz w:val="24"/>
          <w:szCs w:val="24"/>
        </w:rPr>
        <w:lastRenderedPageBreak/>
        <w:t>тинесто дъно, където се заравя през деня и при неблагоприятни условия (суша). Чувствителен е към промени в атмосферното налягане. Нощно активен вид. Храни се с ларви на насекоми и мекотели. Понася ниско съдържание на разтворен кислород във водата и в такива условия може да изплува към повърхносттта на водата и да поема кислород от въздуха. Достига максимална дължина 30 см, но обикновено се срещат индивиди с дължина 15-18 см.</w:t>
      </w:r>
    </w:p>
    <w:p w:rsidR="00B420C3" w:rsidRPr="00B420C3" w:rsidRDefault="00B420C3" w:rsidP="006C17B2">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В България виюнът е съобщен за р. Дунав и прилежащите ѝ блата, както и за долното течение на някои от притоците ѝ – Войнишка, Искър, Вит, Огоста, Осъм, Янтра, Русенски Лом. Има данни, че в миналото се изкачвал значително по-нагоре по течението на реките – в р. Искър е улавян при Роман, а в Янтра, при Бяла. Установен е и в ез. Сребърна, блатото Малък Преславец, в блатата и каналите на влажната зона Калимок-Бръшлен, Шабленското езеро и в бассейна на р. Струма. Рядък вид с намаляваща численост.</w:t>
      </w:r>
      <w:r w:rsidRPr="00B420C3">
        <w:rPr>
          <w:rFonts w:ascii="Times New Roman" w:eastAsia="Calibri" w:hAnsi="Times New Roman"/>
          <w:color w:val="000000"/>
          <w:sz w:val="24"/>
          <w:szCs w:val="24"/>
        </w:rPr>
        <w:t xml:space="preserve">  Понастоящем присъствието му е потвърдено главно в някои крайдунавски блата.</w:t>
      </w:r>
    </w:p>
    <w:p w:rsidR="00B420C3" w:rsidRPr="00B420C3" w:rsidRDefault="00B420C3" w:rsidP="006C17B2">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Х</w:t>
      </w:r>
      <w:r w:rsidRPr="0001440D">
        <w:rPr>
          <w:rFonts w:ascii="Times New Roman" w:eastAsia="Calibri" w:hAnsi="Times New Roman"/>
          <w:i/>
          <w:sz w:val="24"/>
          <w:szCs w:val="24"/>
        </w:rPr>
        <w:t>арактеристики на местообитанието в България</w:t>
      </w:r>
      <w:r w:rsidR="0001440D">
        <w:rPr>
          <w:rFonts w:ascii="Times New Roman" w:eastAsia="Calibri" w:hAnsi="Times New Roman"/>
          <w:sz w:val="24"/>
          <w:szCs w:val="24"/>
        </w:rPr>
        <w:t>.</w:t>
      </w:r>
      <w:r w:rsidRPr="00B420C3">
        <w:rPr>
          <w:rFonts w:ascii="Times New Roman" w:eastAsia="Calibri" w:hAnsi="Times New Roman"/>
          <w:sz w:val="24"/>
          <w:szCs w:val="24"/>
        </w:rPr>
        <w:t xml:space="preserve"> Придънен лимнофилен вид. Среща се в постоянни реки с бавно течение, в езера и блата с пясъчно и тинесто дъно. Понася много ниско съдържание на разтворен кислород във водата. В България местообитанията му са разположени главно във водосбора на р. Дунав.</w:t>
      </w:r>
    </w:p>
    <w:p w:rsidR="00B420C3" w:rsidRPr="00B420C3" w:rsidRDefault="00B420C3" w:rsidP="00B420C3">
      <w:pPr>
        <w:spacing w:before="120" w:after="12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3. Състояние на биогеографско ниво и разпространение в мрежата </w:t>
      </w:r>
    </w:p>
    <w:p w:rsidR="00B420C3" w:rsidRPr="00B420C3" w:rsidRDefault="00B420C3" w:rsidP="006C17B2">
      <w:pPr>
        <w:spacing w:after="0" w:line="240" w:lineRule="auto"/>
        <w:ind w:firstLine="709"/>
        <w:jc w:val="both"/>
        <w:rPr>
          <w:rFonts w:ascii="Times New Roman" w:eastAsia="Calibri" w:hAnsi="Times New Roman"/>
          <w:color w:val="0563C1"/>
          <w:sz w:val="24"/>
          <w:szCs w:val="24"/>
          <w:u w:val="single"/>
        </w:rPr>
      </w:pPr>
      <w:r w:rsidRPr="00B420C3">
        <w:rPr>
          <w:rFonts w:ascii="Times New Roman" w:eastAsia="Calibri" w:hAnsi="Times New Roman"/>
          <w:sz w:val="24"/>
          <w:szCs w:val="24"/>
        </w:rPr>
        <w:t>При двете проучвания предмет на докладване съгласно чл. 17 от Директивата за местообитанията (92/43/ЕИО) видът е оценен в Благопри</w:t>
      </w:r>
      <w:r w:rsidR="006C17B2">
        <w:rPr>
          <w:rFonts w:ascii="Times New Roman" w:eastAsia="Calibri" w:hAnsi="Times New Roman"/>
          <w:sz w:val="24"/>
          <w:szCs w:val="24"/>
        </w:rPr>
        <w:t>ят</w:t>
      </w:r>
      <w:r w:rsidR="0001440D">
        <w:rPr>
          <w:rFonts w:ascii="Times New Roman" w:eastAsia="Calibri" w:hAnsi="Times New Roman"/>
          <w:sz w:val="24"/>
          <w:szCs w:val="24"/>
        </w:rPr>
        <w:t>но</w:t>
      </w:r>
      <w:r w:rsidR="006C17B2">
        <w:rPr>
          <w:rFonts w:ascii="Times New Roman" w:eastAsia="Calibri" w:hAnsi="Times New Roman"/>
          <w:sz w:val="24"/>
          <w:szCs w:val="24"/>
        </w:rPr>
        <w:t xml:space="preserve"> ПС по всички показатели в К</w:t>
      </w:r>
      <w:r w:rsidRPr="00B420C3">
        <w:rPr>
          <w:rFonts w:ascii="Times New Roman" w:eastAsia="Calibri" w:hAnsi="Times New Roman"/>
          <w:sz w:val="24"/>
          <w:szCs w:val="24"/>
        </w:rPr>
        <w:t xml:space="preserve">онтиненталния биогеографски </w:t>
      </w:r>
      <w:r w:rsidR="006C17B2">
        <w:rPr>
          <w:rFonts w:ascii="Times New Roman" w:eastAsia="Calibri" w:hAnsi="Times New Roman"/>
          <w:sz w:val="24"/>
          <w:szCs w:val="24"/>
        </w:rPr>
        <w:t>регион</w:t>
      </w:r>
      <w:r w:rsidRPr="00B420C3">
        <w:rPr>
          <w:rFonts w:ascii="Times New Roman" w:eastAsia="Calibri" w:hAnsi="Times New Roman"/>
          <w:sz w:val="24"/>
          <w:szCs w:val="24"/>
        </w:rPr>
        <w:t xml:space="preserve">. Източник на информацията: </w:t>
      </w:r>
      <w:hyperlink r:id="rId131" w:history="1">
        <w:r w:rsidRPr="00B420C3">
          <w:rPr>
            <w:rFonts w:ascii="Times New Roman" w:eastAsia="Calibri" w:hAnsi="Times New Roman"/>
            <w:color w:val="0563C1"/>
            <w:sz w:val="24"/>
            <w:szCs w:val="24"/>
            <w:u w:val="single"/>
          </w:rPr>
          <w:t>https://nature-art17.eionet.europa.eu/article17/species/report/</w:t>
        </w:r>
      </w:hyperlink>
    </w:p>
    <w:p w:rsidR="00B420C3" w:rsidRPr="00B420C3" w:rsidRDefault="00B420C3" w:rsidP="00B420C3">
      <w:pPr>
        <w:spacing w:after="0" w:line="240" w:lineRule="auto"/>
        <w:jc w:val="both"/>
        <w:rPr>
          <w:rFonts w:ascii="Times New Roman" w:eastAsia="Calibri" w:hAnsi="Times New Roman"/>
          <w:sz w:val="24"/>
          <w:szCs w:val="24"/>
        </w:rPr>
      </w:pPr>
      <w:r w:rsidRPr="00B420C3">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B420C3" w:rsidRPr="00B420C3" w:rsidRDefault="00B420C3" w:rsidP="00B420C3">
      <w:pPr>
        <w:spacing w:after="0" w:line="240" w:lineRule="auto"/>
        <w:jc w:val="both"/>
        <w:rPr>
          <w:rFonts w:ascii="Times New Roman" w:eastAsia="Calibri" w:hAnsi="Times New Roman"/>
          <w:sz w:val="24"/>
          <w:szCs w:val="24"/>
        </w:rPr>
      </w:pPr>
      <w:r w:rsidRPr="00B420C3">
        <w:rPr>
          <w:rFonts w:ascii="Times New Roman" w:eastAsia="Calibri" w:hAnsi="Times New Roman"/>
          <w:sz w:val="24"/>
          <w:szCs w:val="24"/>
        </w:rPr>
        <w:t>1. Пряко въздействащи негативни антропогенни фактори:</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Загуба на местообитания поради пресушаване блата и заблатени райони;</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Натрупване на замърсители в дънните седименти;</w:t>
      </w:r>
    </w:p>
    <w:p w:rsidR="00B420C3" w:rsidRPr="00B420C3" w:rsidRDefault="00B420C3" w:rsidP="00B420C3">
      <w:pPr>
        <w:spacing w:after="0" w:line="240" w:lineRule="auto"/>
        <w:jc w:val="both"/>
        <w:rPr>
          <w:rFonts w:ascii="Times New Roman" w:eastAsia="Calibri" w:hAnsi="Times New Roman"/>
          <w:sz w:val="24"/>
          <w:szCs w:val="24"/>
        </w:rPr>
      </w:pPr>
      <w:r w:rsidRPr="00B420C3">
        <w:rPr>
          <w:rFonts w:ascii="Times New Roman" w:eastAsia="Calibri" w:hAnsi="Times New Roman"/>
          <w:sz w:val="24"/>
          <w:szCs w:val="24"/>
        </w:rPr>
        <w:t xml:space="preserve">2. Непряко въздействащи негативни фактори: </w:t>
      </w:r>
    </w:p>
    <w:p w:rsidR="00B420C3" w:rsidRPr="00B420C3" w:rsidRDefault="00B420C3" w:rsidP="00635999">
      <w:pPr>
        <w:numPr>
          <w:ilvl w:val="0"/>
          <w:numId w:val="14"/>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Развитие на многочислени популации на бентосоядни инвазивни видове риби.</w:t>
      </w:r>
    </w:p>
    <w:p w:rsidR="00B420C3" w:rsidRPr="00B420C3" w:rsidRDefault="00B420C3" w:rsidP="00B420C3">
      <w:pPr>
        <w:spacing w:after="0" w:line="240" w:lineRule="auto"/>
        <w:jc w:val="both"/>
        <w:rPr>
          <w:rFonts w:ascii="Times New Roman" w:eastAsia="Calibri" w:hAnsi="Times New Roman"/>
          <w:sz w:val="24"/>
          <w:szCs w:val="24"/>
        </w:rPr>
      </w:pPr>
      <w:bookmarkStart w:id="56" w:name="_Hlk86047905"/>
    </w:p>
    <w:bookmarkEnd w:id="56"/>
    <w:p w:rsidR="00B420C3" w:rsidRPr="00B420C3" w:rsidRDefault="00B420C3" w:rsidP="00B420C3">
      <w:pPr>
        <w:spacing w:after="0" w:line="240" w:lineRule="auto"/>
        <w:jc w:val="both"/>
        <w:rPr>
          <w:rFonts w:ascii="Times New Roman" w:eastAsia="Calibri" w:hAnsi="Times New Roman"/>
          <w:b/>
          <w:sz w:val="24"/>
          <w:szCs w:val="24"/>
          <w:lang w:val="en-US"/>
        </w:rPr>
      </w:pP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4. Състояние на ниво защитена зона </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B420C3" w:rsidRPr="00B420C3" w:rsidTr="006C17B2">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bookmarkStart w:id="57" w:name="_Hlk85987508"/>
            <w:r w:rsidRPr="00B420C3">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Site assessment </w:t>
            </w:r>
          </w:p>
        </w:tc>
      </w:tr>
      <w:tr w:rsidR="00B420C3" w:rsidRPr="00B420C3" w:rsidTr="006C17B2">
        <w:trPr>
          <w:tblCellSpacing w:w="15" w:type="dxa"/>
        </w:trPr>
        <w:tc>
          <w:tcPr>
            <w:tcW w:w="151"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 </w:t>
            </w:r>
          </w:p>
        </w:tc>
      </w:tr>
      <w:tr w:rsidR="00B420C3" w:rsidRPr="00B420C3" w:rsidTr="006C17B2">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95"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Glo.</w:t>
            </w:r>
          </w:p>
        </w:tc>
      </w:tr>
      <w:tr w:rsidR="00B420C3" w:rsidRPr="00B420C3" w:rsidTr="000C2232">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022F9E" w:rsidP="00B420C3">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sz w:val="16"/>
                <w:szCs w:val="16"/>
              </w:rPr>
              <w:t>1145</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i/>
                <w:sz w:val="16"/>
                <w:szCs w:val="16"/>
                <w:lang w:val="en-US"/>
              </w:rPr>
            </w:pPr>
            <w:r w:rsidRPr="00B420C3">
              <w:rPr>
                <w:rFonts w:ascii="Times New Roman" w:eastAsia="Calibri" w:hAnsi="Times New Roman"/>
                <w:b/>
                <w:bCs/>
                <w:sz w:val="16"/>
                <w:szCs w:val="16"/>
                <w:lang w:val="en-US"/>
              </w:rPr>
              <w:t>M</w:t>
            </w:r>
            <w:r w:rsidRPr="00B420C3">
              <w:rPr>
                <w:rFonts w:eastAsia="Calibri"/>
                <w:b/>
                <w:bCs/>
                <w:sz w:val="16"/>
                <w:szCs w:val="16"/>
              </w:rPr>
              <w:t>i</w:t>
            </w:r>
            <w:r w:rsidRPr="00B420C3">
              <w:rPr>
                <w:rFonts w:eastAsia="Calibri"/>
                <w:b/>
                <w:bCs/>
                <w:sz w:val="16"/>
                <w:szCs w:val="16"/>
                <w:lang w:val="en-US"/>
              </w:rPr>
              <w:t>s</w:t>
            </w:r>
            <w:r w:rsidRPr="00B420C3">
              <w:rPr>
                <w:rFonts w:eastAsia="Calibri"/>
                <w:b/>
                <w:bCs/>
                <w:sz w:val="16"/>
                <w:szCs w:val="16"/>
              </w:rPr>
              <w:t>gurnus fossilis</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GB"/>
              </w:rPr>
            </w:pPr>
            <w:r w:rsidRPr="00B420C3">
              <w:rPr>
                <w:rFonts w:ascii="Times New Roman" w:eastAsia="Calibri" w:hAnsi="Times New Roman"/>
                <w:b/>
                <w:bCs/>
                <w:sz w:val="16"/>
                <w:szCs w:val="16"/>
                <w:lang w:val="en-GB"/>
              </w:rPr>
              <w:t>371278</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GB"/>
              </w:rPr>
            </w:pPr>
            <w:r w:rsidRPr="00B420C3">
              <w:rPr>
                <w:rFonts w:ascii="Times New Roman" w:eastAsia="Calibri" w:hAnsi="Times New Roman"/>
                <w:b/>
                <w:bCs/>
                <w:sz w:val="16"/>
                <w:szCs w:val="16"/>
                <w:lang w:val="en-GB"/>
              </w:rPr>
              <w:t>371278</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Ind.</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C</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G</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А</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GB"/>
              </w:rPr>
            </w:pPr>
            <w:r w:rsidRPr="00B420C3">
              <w:rPr>
                <w:rFonts w:ascii="Times New Roman" w:eastAsia="Calibri" w:hAnsi="Times New Roman"/>
                <w:b/>
                <w:bCs/>
                <w:sz w:val="16"/>
                <w:szCs w:val="16"/>
                <w:lang w:val="en-GB"/>
              </w:rPr>
              <w:t>A</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В</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A</w:t>
            </w:r>
          </w:p>
        </w:tc>
      </w:tr>
      <w:bookmarkEnd w:id="57"/>
    </w:tbl>
    <w:p w:rsidR="00B420C3" w:rsidRPr="00B420C3" w:rsidRDefault="00B420C3" w:rsidP="00B420C3">
      <w:pPr>
        <w:autoSpaceDE w:val="0"/>
        <w:autoSpaceDN w:val="0"/>
        <w:adjustRightInd w:val="0"/>
        <w:spacing w:after="0" w:line="240" w:lineRule="auto"/>
        <w:jc w:val="both"/>
        <w:rPr>
          <w:rFonts w:ascii="Times New Roman" w:eastAsia="Calibri" w:hAnsi="Times New Roman"/>
          <w:b/>
          <w:sz w:val="24"/>
          <w:szCs w:val="24"/>
        </w:rPr>
      </w:pPr>
    </w:p>
    <w:p w:rsidR="00B420C3" w:rsidRPr="00B420C3" w:rsidRDefault="00B420C3" w:rsidP="00B420C3">
      <w:pPr>
        <w:autoSpaceDE w:val="0"/>
        <w:autoSpaceDN w:val="0"/>
        <w:adjustRightInd w:val="0"/>
        <w:spacing w:after="0" w:line="240" w:lineRule="auto"/>
        <w:jc w:val="both"/>
        <w:rPr>
          <w:rFonts w:ascii="Times New Roman" w:eastAsia="Calibri" w:hAnsi="Times New Roman"/>
          <w:bCs/>
          <w:color w:val="000000"/>
          <w:kern w:val="36"/>
          <w:sz w:val="24"/>
          <w:szCs w:val="24"/>
        </w:rPr>
      </w:pPr>
      <w:r w:rsidRPr="00B420C3">
        <w:rPr>
          <w:rFonts w:ascii="Times New Roman" w:eastAsia="Calibri" w:hAnsi="Times New Roman"/>
          <w:b/>
          <w:sz w:val="24"/>
          <w:szCs w:val="24"/>
        </w:rPr>
        <w:t xml:space="preserve">Източник: </w:t>
      </w:r>
    </w:p>
    <w:p w:rsidR="00B420C3" w:rsidRPr="00B420C3" w:rsidRDefault="00DE51FF" w:rsidP="00B420C3">
      <w:pPr>
        <w:spacing w:after="160" w:line="240" w:lineRule="auto"/>
        <w:jc w:val="both"/>
        <w:rPr>
          <w:rFonts w:ascii="Times New Roman" w:eastAsia="Calibri" w:hAnsi="Times New Roman"/>
          <w:sz w:val="24"/>
          <w:szCs w:val="24"/>
        </w:rPr>
      </w:pPr>
      <w:hyperlink r:id="rId132" w:history="1">
        <w:r w:rsidR="00B420C3" w:rsidRPr="00B420C3">
          <w:rPr>
            <w:rFonts w:ascii="Times New Roman" w:eastAsia="Calibri" w:hAnsi="Times New Roman"/>
            <w:color w:val="0563C1"/>
            <w:sz w:val="24"/>
            <w:szCs w:val="24"/>
            <w:u w:val="single"/>
          </w:rPr>
          <w:t>http://natura2000.moew.government.bg/Home/ProtectedSite?code=BG0000334&amp;siteType=HabitatDirective</w:t>
        </w:r>
      </w:hyperlink>
      <w:r w:rsidR="00B420C3" w:rsidRPr="00B420C3">
        <w:rPr>
          <w:rFonts w:ascii="Times New Roman" w:eastAsia="Calibri" w:hAnsi="Times New Roman"/>
          <w:sz w:val="24"/>
          <w:szCs w:val="24"/>
        </w:rPr>
        <w:t>.</w:t>
      </w:r>
    </w:p>
    <w:p w:rsidR="00B420C3" w:rsidRPr="00B420C3" w:rsidRDefault="00B420C3" w:rsidP="006C17B2">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lastRenderedPageBreak/>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B420C3" w:rsidRPr="00B420C3" w:rsidRDefault="00B420C3" w:rsidP="006C17B2">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Качеството на данните за виюна в зоната е оценено като „добро“ (</w:t>
      </w:r>
      <w:r w:rsidRPr="00B420C3">
        <w:rPr>
          <w:rFonts w:ascii="Times New Roman" w:eastAsia="Calibri" w:hAnsi="Times New Roman"/>
          <w:sz w:val="24"/>
          <w:szCs w:val="24"/>
          <w:lang w:val="en-US"/>
        </w:rPr>
        <w:t>G</w:t>
      </w:r>
      <w:r w:rsidRPr="00B420C3">
        <w:rPr>
          <w:rFonts w:ascii="Times New Roman" w:eastAsia="Calibri" w:hAnsi="Times New Roman"/>
          <w:sz w:val="24"/>
          <w:szCs w:val="24"/>
        </w:rPr>
        <w:t>). Популацията е оценена в СФ като брой индивиди (мин-макс) и е оценена с „отлична представителност“ (А). Опазването на вида е оценено с „</w:t>
      </w:r>
      <w:r w:rsidRPr="00B420C3">
        <w:rPr>
          <w:rFonts w:ascii="Times New Roman" w:eastAsia="Calibri" w:hAnsi="Times New Roman"/>
          <w:bCs/>
          <w:color w:val="000000"/>
          <w:kern w:val="36"/>
          <w:sz w:val="24"/>
          <w:szCs w:val="24"/>
        </w:rPr>
        <w:t>А“ (отлично опазване)</w:t>
      </w:r>
      <w:r w:rsidRPr="00B420C3">
        <w:rPr>
          <w:rFonts w:ascii="Times New Roman" w:eastAsia="Calibri" w:hAnsi="Times New Roman"/>
          <w:sz w:val="24"/>
          <w:szCs w:val="24"/>
        </w:rPr>
        <w:t>. Изолираността на популацията е оценен</w:t>
      </w:r>
      <w:r w:rsidR="0001440D">
        <w:rPr>
          <w:rFonts w:ascii="Times New Roman" w:eastAsia="Calibri" w:hAnsi="Times New Roman"/>
          <w:sz w:val="24"/>
          <w:szCs w:val="24"/>
        </w:rPr>
        <w:t>а</w:t>
      </w:r>
      <w:r w:rsidRPr="00B420C3">
        <w:rPr>
          <w:rFonts w:ascii="Times New Roman" w:eastAsia="Calibri" w:hAnsi="Times New Roman"/>
          <w:sz w:val="24"/>
          <w:szCs w:val="24"/>
        </w:rPr>
        <w:t xml:space="preserve"> с „</w:t>
      </w:r>
      <w:r w:rsidRPr="00B420C3">
        <w:rPr>
          <w:rFonts w:ascii="Times New Roman" w:eastAsia="Calibri" w:hAnsi="Times New Roman"/>
          <w:bCs/>
          <w:color w:val="000000"/>
          <w:kern w:val="36"/>
          <w:sz w:val="24"/>
          <w:szCs w:val="24"/>
        </w:rPr>
        <w:t>В“ (неизолирана популация в рамките на разширен ареал на разпространение).</w:t>
      </w:r>
      <w:r w:rsidRPr="00B420C3">
        <w:rPr>
          <w:rFonts w:ascii="Times New Roman" w:eastAsia="Calibri" w:hAnsi="Times New Roman"/>
          <w:sz w:val="24"/>
          <w:szCs w:val="24"/>
        </w:rPr>
        <w:t xml:space="preserve"> Цялостна оценка на стойността на зоната за опазването на вида попада в категорията „</w:t>
      </w:r>
      <w:r w:rsidRPr="00B420C3">
        <w:rPr>
          <w:rFonts w:ascii="Times New Roman" w:eastAsia="Calibri" w:hAnsi="Times New Roman"/>
          <w:bCs/>
          <w:color w:val="000000"/>
          <w:kern w:val="36"/>
          <w:sz w:val="24"/>
          <w:szCs w:val="24"/>
        </w:rPr>
        <w:t>А“ (отлична стойност)</w:t>
      </w:r>
      <w:r w:rsidRPr="00B420C3">
        <w:rPr>
          <w:rFonts w:ascii="Times New Roman" w:eastAsia="Calibri" w:hAnsi="Times New Roman"/>
          <w:sz w:val="24"/>
          <w:szCs w:val="24"/>
        </w:rPr>
        <w:t xml:space="preserve">. </w:t>
      </w:r>
    </w:p>
    <w:p w:rsidR="00B420C3" w:rsidRPr="00B420C3" w:rsidRDefault="00B420C3" w:rsidP="006C17B2">
      <w:pPr>
        <w:spacing w:before="120"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5. </w:t>
      </w:r>
      <w:r w:rsidR="006C17B2">
        <w:rPr>
          <w:rFonts w:ascii="Times New Roman" w:eastAsia="Calibri" w:hAnsi="Times New Roman"/>
          <w:b/>
          <w:sz w:val="24"/>
          <w:szCs w:val="24"/>
        </w:rPr>
        <w:t>Анализ на наличната информация</w:t>
      </w:r>
    </w:p>
    <w:p w:rsidR="00B420C3" w:rsidRPr="00022F9E" w:rsidRDefault="00B420C3"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bCs/>
          <w:color w:val="000000"/>
          <w:kern w:val="36"/>
          <w:sz w:val="24"/>
          <w:szCs w:val="24"/>
        </w:rPr>
        <w:t>Видът</w:t>
      </w:r>
      <w:r w:rsidRPr="00B420C3">
        <w:rPr>
          <w:rFonts w:ascii="Times New Roman" w:eastAsia="Calibri" w:hAnsi="Times New Roman"/>
          <w:sz w:val="24"/>
          <w:szCs w:val="24"/>
        </w:rPr>
        <w:t xml:space="preserve"> е регистриран през 2013 г. в зоната по време на проект "Картиране и определяне на природозащитното състояние на природни местообитания и видове - фаза I" и ПС е оценено като „Благоприятно“ по всички критерии. Респективно, цялостната оценка е „Благоприятно“ ПС според приетата методика за оценяване. В стандартния формуляр е посочена численост на популацията за зоната 371278 инд. В специфичния доклад за вида в зоната установената численост е 560 екз./ха. В зоната видът се среща само в ез. Сребърна. Присъствието на виюн в езерото е потвърдено многократно при наши изследвания през периода 2000 – 2020 г. През този период пробонабирания са извършвани с хрилни мрежи и винтери, тъй като в езерото не е възможно пробонабиране чрез подхода, приет  за вида в НСМБР -  риболов с електрически ток. Съответно, числеността на вида е отчитана като индивиди на единица риболовно усилие (</w:t>
      </w:r>
      <w:r w:rsidRPr="00B420C3">
        <w:rPr>
          <w:rFonts w:ascii="Times New Roman" w:eastAsia="Calibri" w:hAnsi="Times New Roman"/>
          <w:sz w:val="24"/>
          <w:szCs w:val="24"/>
          <w:lang w:val="en-GB"/>
        </w:rPr>
        <w:t>CPUE</w:t>
      </w:r>
      <w:r w:rsidRPr="00B420C3">
        <w:rPr>
          <w:rFonts w:ascii="Times New Roman" w:eastAsia="Calibri" w:hAnsi="Times New Roman"/>
          <w:sz w:val="24"/>
          <w:szCs w:val="24"/>
        </w:rPr>
        <w:t>)</w:t>
      </w:r>
      <w:r w:rsidRPr="00B420C3">
        <w:rPr>
          <w:rFonts w:ascii="Times New Roman" w:eastAsia="Calibri" w:hAnsi="Times New Roman"/>
          <w:sz w:val="24"/>
          <w:szCs w:val="24"/>
          <w:lang w:val="en-GB"/>
        </w:rPr>
        <w:t xml:space="preserve">. </w:t>
      </w:r>
      <w:r w:rsidRPr="00B420C3">
        <w:rPr>
          <w:rFonts w:ascii="Times New Roman" w:eastAsia="Calibri" w:hAnsi="Times New Roman"/>
          <w:sz w:val="24"/>
          <w:szCs w:val="24"/>
        </w:rPr>
        <w:t xml:space="preserve">Установената численост за 20 годишен период варира от 3 до </w:t>
      </w:r>
      <w:r w:rsidRPr="00B420C3">
        <w:rPr>
          <w:rFonts w:ascii="Times New Roman" w:eastAsia="Calibri" w:hAnsi="Times New Roman"/>
          <w:sz w:val="24"/>
          <w:szCs w:val="24"/>
          <w:lang w:val="en-US"/>
        </w:rPr>
        <w:t>8</w:t>
      </w:r>
      <w:r w:rsidRPr="00B420C3">
        <w:rPr>
          <w:rFonts w:ascii="Times New Roman" w:eastAsia="Calibri" w:hAnsi="Times New Roman"/>
          <w:sz w:val="24"/>
          <w:szCs w:val="24"/>
        </w:rPr>
        <w:t xml:space="preserve"> индивида/</w:t>
      </w:r>
      <w:r w:rsidRPr="00B420C3">
        <w:rPr>
          <w:rFonts w:ascii="Times New Roman" w:eastAsia="Calibri" w:hAnsi="Times New Roman"/>
          <w:sz w:val="24"/>
          <w:szCs w:val="24"/>
          <w:lang w:val="en-US"/>
        </w:rPr>
        <w:t xml:space="preserve">CPUE. </w:t>
      </w:r>
      <w:r w:rsidR="00022F9E">
        <w:rPr>
          <w:rFonts w:ascii="Times New Roman" w:eastAsia="Calibri" w:hAnsi="Times New Roman"/>
          <w:sz w:val="24"/>
          <w:szCs w:val="24"/>
        </w:rPr>
        <w:t>Участъкът от р. Дунав в зоната според своите хидроморфологични характеристики не е подходящо местообитание за вида, а само екологичен коридор за разпространение.</w:t>
      </w:r>
    </w:p>
    <w:p w:rsidR="00B420C3" w:rsidRPr="00B420C3" w:rsidRDefault="00B420C3" w:rsidP="006C17B2">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При </w:t>
      </w:r>
      <w:r w:rsidR="00022F9E">
        <w:rPr>
          <w:rFonts w:ascii="Times New Roman" w:eastAsia="Calibri" w:hAnsi="Times New Roman"/>
          <w:sz w:val="24"/>
          <w:szCs w:val="24"/>
        </w:rPr>
        <w:t xml:space="preserve">полевото </w:t>
      </w:r>
      <w:r w:rsidRPr="00B420C3">
        <w:rPr>
          <w:rFonts w:ascii="Times New Roman" w:eastAsia="Calibri" w:hAnsi="Times New Roman"/>
          <w:sz w:val="24"/>
          <w:szCs w:val="24"/>
        </w:rPr>
        <w:t>проучване през 2021 г. е извършено пробонабиране с винтери, които са поставяни в различни участъци на езерото и в канала към р. Дунав, които са недостъпни за пробонабиране с електрически ток. Във всеки участък са поставяни през нощта по 2-4 винтера. При този подход числеността на рибите се определя като</w:t>
      </w:r>
      <w:r w:rsidRPr="00B420C3">
        <w:rPr>
          <w:rFonts w:ascii="Times New Roman" w:eastAsia="Calibri" w:hAnsi="Times New Roman"/>
          <w:sz w:val="24"/>
          <w:szCs w:val="24"/>
          <w:lang w:val="en-US"/>
        </w:rPr>
        <w:t xml:space="preserve"> </w:t>
      </w:r>
      <w:r w:rsidRPr="00B420C3">
        <w:rPr>
          <w:rFonts w:ascii="Times New Roman" w:eastAsia="Calibri" w:hAnsi="Times New Roman"/>
          <w:sz w:val="24"/>
          <w:szCs w:val="24"/>
        </w:rPr>
        <w:t>улов (индивиди) на единица риболовно усилие (</w:t>
      </w:r>
      <w:r w:rsidRPr="00B420C3">
        <w:rPr>
          <w:rFonts w:ascii="Times New Roman" w:eastAsia="Calibri" w:hAnsi="Times New Roman"/>
          <w:sz w:val="24"/>
          <w:szCs w:val="24"/>
          <w:lang w:val="en-US"/>
        </w:rPr>
        <w:t>ind. CPUE</w:t>
      </w:r>
      <w:r w:rsidRPr="00B420C3">
        <w:rPr>
          <w:rFonts w:ascii="Times New Roman" w:eastAsia="Calibri" w:hAnsi="Times New Roman"/>
          <w:sz w:val="24"/>
          <w:szCs w:val="24"/>
        </w:rPr>
        <w:t xml:space="preserve">), като за единица риболовно усилие е приет 1 винтер поставен в работно положение в продължение на 10 часа. При извършеното проучване в изследваните участъци е установена численост 0 - 3 </w:t>
      </w:r>
      <w:r w:rsidRPr="00B420C3">
        <w:rPr>
          <w:rFonts w:ascii="Times New Roman" w:eastAsia="Calibri" w:hAnsi="Times New Roman"/>
          <w:sz w:val="24"/>
          <w:szCs w:val="24"/>
          <w:lang w:val="en-US"/>
        </w:rPr>
        <w:t>ind</w:t>
      </w:r>
      <w:r w:rsidRPr="00B420C3">
        <w:rPr>
          <w:rFonts w:ascii="Times New Roman" w:eastAsia="Calibri" w:hAnsi="Times New Roman"/>
          <w:sz w:val="24"/>
          <w:szCs w:val="24"/>
        </w:rPr>
        <w:t>.</w:t>
      </w:r>
      <w:r w:rsidRPr="00B420C3">
        <w:rPr>
          <w:rFonts w:ascii="Times New Roman" w:eastAsia="Calibri" w:hAnsi="Times New Roman"/>
          <w:sz w:val="24"/>
          <w:szCs w:val="24"/>
          <w:lang w:val="en-US"/>
        </w:rPr>
        <w:t>/CPUE</w:t>
      </w:r>
      <w:r w:rsidRPr="00B420C3">
        <w:rPr>
          <w:rFonts w:ascii="Times New Roman" w:eastAsia="Calibri" w:hAnsi="Times New Roman"/>
          <w:sz w:val="24"/>
          <w:szCs w:val="24"/>
        </w:rPr>
        <w:t xml:space="preserve">, средно 1 </w:t>
      </w:r>
      <w:r w:rsidRPr="00B420C3">
        <w:rPr>
          <w:rFonts w:ascii="Times New Roman" w:eastAsia="Calibri" w:hAnsi="Times New Roman"/>
          <w:sz w:val="24"/>
          <w:szCs w:val="24"/>
          <w:lang w:val="en-US"/>
        </w:rPr>
        <w:t>ind</w:t>
      </w:r>
      <w:r w:rsidRPr="00B420C3">
        <w:rPr>
          <w:rFonts w:ascii="Times New Roman" w:eastAsia="Calibri" w:hAnsi="Times New Roman"/>
          <w:sz w:val="24"/>
          <w:szCs w:val="24"/>
        </w:rPr>
        <w:t>.</w:t>
      </w:r>
      <w:r w:rsidRPr="00B420C3">
        <w:rPr>
          <w:rFonts w:ascii="Times New Roman" w:eastAsia="Calibri" w:hAnsi="Times New Roman"/>
          <w:sz w:val="24"/>
          <w:szCs w:val="24"/>
          <w:lang w:val="en-US"/>
        </w:rPr>
        <w:t>/CPUE</w:t>
      </w:r>
      <w:r w:rsidRPr="00B420C3">
        <w:rPr>
          <w:rFonts w:ascii="Times New Roman" w:eastAsia="Calibri" w:hAnsi="Times New Roman"/>
          <w:sz w:val="24"/>
          <w:szCs w:val="24"/>
        </w:rPr>
        <w:t>.</w:t>
      </w:r>
    </w:p>
    <w:p w:rsidR="00B420C3" w:rsidRPr="00B420C3" w:rsidRDefault="00B420C3" w:rsidP="006C17B2">
      <w:pPr>
        <w:spacing w:after="0" w:line="240" w:lineRule="auto"/>
        <w:ind w:firstLine="709"/>
        <w:jc w:val="both"/>
        <w:rPr>
          <w:rFonts w:ascii="Times New Roman" w:eastAsia="Calibri" w:hAnsi="Times New Roman"/>
          <w:sz w:val="24"/>
          <w:szCs w:val="24"/>
        </w:rPr>
      </w:pPr>
      <w:bookmarkStart w:id="58" w:name="_Hlk88986081"/>
      <w:r w:rsidRPr="006C17B2">
        <w:rPr>
          <w:rFonts w:ascii="Times New Roman" w:eastAsia="Calibri" w:hAnsi="Times New Roman"/>
          <w:bCs/>
          <w:color w:val="000000"/>
          <w:kern w:val="36"/>
          <w:sz w:val="24"/>
          <w:szCs w:val="24"/>
        </w:rPr>
        <w:t>Защитена</w:t>
      </w:r>
      <w:r w:rsidRPr="00B420C3">
        <w:rPr>
          <w:rFonts w:ascii="Times New Roman" w:eastAsia="Calibri" w:hAnsi="Times New Roman"/>
          <w:sz w:val="24"/>
          <w:szCs w:val="24"/>
        </w:rPr>
        <w:t xml:space="preserve"> зона </w:t>
      </w:r>
      <w:r w:rsidRPr="00B420C3">
        <w:rPr>
          <w:rFonts w:ascii="Times New Roman" w:eastAsia="Calibri" w:hAnsi="Times New Roman"/>
          <w:sz w:val="24"/>
          <w:szCs w:val="24"/>
          <w:lang w:val="en-US"/>
        </w:rPr>
        <w:t>BG0000241</w:t>
      </w:r>
      <w:r w:rsidRPr="00B420C3">
        <w:rPr>
          <w:rFonts w:ascii="Times New Roman" w:eastAsia="Calibri" w:hAnsi="Times New Roman"/>
          <w:sz w:val="24"/>
          <w:szCs w:val="24"/>
        </w:rPr>
        <w:t xml:space="preserve"> Сребърна включва едноименния поддържан резерват и ЗМ „Пеликаните“ по ЗЗТ. </w:t>
      </w:r>
      <w:bookmarkEnd w:id="58"/>
      <w:r w:rsidRPr="00B420C3">
        <w:rPr>
          <w:rFonts w:ascii="Times New Roman" w:eastAsia="Calibri" w:hAnsi="Times New Roman"/>
          <w:sz w:val="24"/>
          <w:szCs w:val="24"/>
        </w:rPr>
        <w:t xml:space="preserve">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При изследвания през последните години е установено нарастване на натиска от чужди инвазивни видове риби. След 2013 г. в езерото се наблюдава бързо нарастване на популацията на нов за страната чужд инвазивен вид риба </w:t>
      </w:r>
      <w:r w:rsidRPr="0001440D">
        <w:rPr>
          <w:rFonts w:ascii="Times New Roman" w:eastAsia="Calibri" w:hAnsi="Times New Roman"/>
          <w:i/>
          <w:sz w:val="24"/>
          <w:szCs w:val="24"/>
          <w:lang w:val="en-US"/>
        </w:rPr>
        <w:t>Ameiurus melas</w:t>
      </w:r>
      <w:r w:rsidRPr="00B420C3">
        <w:rPr>
          <w:rFonts w:ascii="Times New Roman" w:eastAsia="Calibri" w:hAnsi="Times New Roman"/>
          <w:sz w:val="24"/>
          <w:szCs w:val="24"/>
          <w:lang w:val="en-US"/>
        </w:rPr>
        <w:t xml:space="preserve">, </w:t>
      </w:r>
      <w:r w:rsidRPr="00B420C3">
        <w:rPr>
          <w:rFonts w:ascii="Times New Roman" w:eastAsia="Calibri" w:hAnsi="Times New Roman"/>
          <w:sz w:val="24"/>
          <w:szCs w:val="24"/>
        </w:rPr>
        <w:t xml:space="preserve">който към момента е основният чужд инвазивен вид в състава на фауната. Този вид е установен и в прилежащите участъци от р. Дунав. Друга идентифицирана заплаха за водната екосистема на ез. Сребърна е влошаването на екологичните условия вследствие нарушения воден режим като резултат от глобалните климатични промени. </w:t>
      </w:r>
      <w:bookmarkStart w:id="59" w:name="_Hlk88936182"/>
      <w:r w:rsidRPr="00B420C3">
        <w:rPr>
          <w:rFonts w:ascii="Times New Roman" w:eastAsia="Calibri" w:hAnsi="Times New Roman"/>
          <w:sz w:val="24"/>
          <w:szCs w:val="24"/>
        </w:rPr>
        <w:t>През 2020 г. при извършване на биологичен мониторинг на ез. Сребърна е установено Умерено екологично състояние (ЕС) по БЕК Риби и Лошо  ЕС по БЕК Фитопланктон и БЕК Макрофити. Влошеното ЕС на езерото през 2020 г. се обяснява с продължително маловодие и ниски водни стоежи.</w:t>
      </w:r>
      <w:bookmarkEnd w:id="59"/>
      <w:r w:rsidRPr="00B420C3">
        <w:rPr>
          <w:rFonts w:ascii="Times New Roman" w:eastAsia="Calibri" w:hAnsi="Times New Roman"/>
          <w:sz w:val="24"/>
          <w:szCs w:val="24"/>
        </w:rPr>
        <w:t xml:space="preserve"> По време на теренните проучвания през 2021 г. тези специфични заплахи бяха потвърдени. Според информацията в СФ, най-значими заплахи, засягащи водните екосистеми в зоната са: подобрен достъп на хора до езерото; еутрофикация, ерозия, </w:t>
      </w:r>
      <w:r w:rsidRPr="00B420C3">
        <w:rPr>
          <w:rFonts w:ascii="Times New Roman" w:eastAsia="Calibri" w:hAnsi="Times New Roman"/>
          <w:sz w:val="24"/>
          <w:szCs w:val="24"/>
        </w:rPr>
        <w:lastRenderedPageBreak/>
        <w:t>урбанизация, любителски риболов, риболов с мрежи (който в езерото е незаконен),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w:t>
      </w:r>
    </w:p>
    <w:p w:rsidR="00B420C3" w:rsidRPr="00B420C3" w:rsidRDefault="00B420C3" w:rsidP="006C17B2">
      <w:pPr>
        <w:spacing w:before="120"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6. Цели за подобряване/поддържане на природозащитн</w:t>
      </w:r>
      <w:r w:rsidR="00022F9E">
        <w:rPr>
          <w:rFonts w:ascii="Times New Roman" w:eastAsia="Calibri" w:hAnsi="Times New Roman"/>
          <w:b/>
          <w:sz w:val="24"/>
          <w:szCs w:val="24"/>
        </w:rPr>
        <w:t>ото състояние на вида в зоната</w:t>
      </w:r>
    </w:p>
    <w:p w:rsidR="00B420C3" w:rsidRPr="00B420C3" w:rsidRDefault="00B420C3" w:rsidP="00B420C3">
      <w:pPr>
        <w:spacing w:before="120" w:after="0" w:line="240" w:lineRule="auto"/>
        <w:jc w:val="both"/>
        <w:rPr>
          <w:rFonts w:ascii="Times New Roman" w:eastAsia="Calibri" w:hAnsi="Times New Roman"/>
          <w:sz w:val="24"/>
          <w:szCs w:val="24"/>
        </w:rPr>
      </w:pPr>
      <w:bookmarkStart w:id="60" w:name="_Hlk88644657"/>
      <w:r w:rsidRPr="00B420C3">
        <w:rPr>
          <w:rFonts w:ascii="Times New Roman" w:eastAsia="Calibri" w:hAnsi="Times New Roman"/>
          <w:sz w:val="24"/>
          <w:szCs w:val="24"/>
        </w:rPr>
        <w:t>Целите са формулирани по показатели, в таблицата по-долу.</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133"/>
        <w:gridCol w:w="1278"/>
        <w:gridCol w:w="3319"/>
        <w:gridCol w:w="1855"/>
      </w:tblGrid>
      <w:tr w:rsidR="00B420C3" w:rsidRPr="00B420C3" w:rsidTr="006C17B2">
        <w:trPr>
          <w:tblHeader/>
          <w:jc w:val="center"/>
        </w:trPr>
        <w:tc>
          <w:tcPr>
            <w:tcW w:w="756" w:type="pct"/>
            <w:shd w:val="clear" w:color="auto" w:fill="DBE5F1" w:themeFill="accent1" w:themeFillTint="33"/>
            <w:vAlign w:val="center"/>
          </w:tcPr>
          <w:bookmarkEnd w:id="60"/>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eastAsia="Calibri" w:hAnsi="Times New Roman"/>
                <w:b/>
                <w:bCs/>
              </w:rPr>
              <w:t>Параметър</w:t>
            </w:r>
          </w:p>
        </w:tc>
        <w:tc>
          <w:tcPr>
            <w:tcW w:w="634"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Мерна единица</w:t>
            </w:r>
          </w:p>
        </w:tc>
        <w:tc>
          <w:tcPr>
            <w:tcW w:w="715"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Целева стойност</w:t>
            </w:r>
          </w:p>
        </w:tc>
        <w:tc>
          <w:tcPr>
            <w:tcW w:w="1857"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eastAsia="Calibri" w:hAnsi="Times New Roman"/>
                <w:b/>
                <w:bCs/>
              </w:rPr>
              <w:t>Специфични цели на опазване за зоната</w:t>
            </w:r>
          </w:p>
        </w:tc>
      </w:tr>
      <w:tr w:rsidR="00B420C3" w:rsidRPr="00B420C3" w:rsidTr="006C17B2">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lang w:val="en-US"/>
              </w:rPr>
            </w:pPr>
            <w:r w:rsidRPr="00B420C3">
              <w:rPr>
                <w:rFonts w:ascii="Times New Roman" w:eastAsia="Calibri" w:hAnsi="Times New Roman"/>
                <w:b/>
              </w:rPr>
              <w:t>Плътност на популацията</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lang w:val="en-US"/>
              </w:rPr>
            </w:pPr>
            <w:r w:rsidRPr="00B420C3">
              <w:rPr>
                <w:rFonts w:ascii="Times New Roman" w:eastAsia="Calibri" w:hAnsi="Times New Roman"/>
                <w:sz w:val="20"/>
                <w:szCs w:val="20"/>
                <w:lang w:val="en-US"/>
              </w:rPr>
              <w:t>ind. CPUE</w:t>
            </w:r>
          </w:p>
        </w:tc>
        <w:tc>
          <w:tcPr>
            <w:tcW w:w="715"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Най-малко</w:t>
            </w:r>
            <w:r w:rsidRPr="00B420C3">
              <w:rPr>
                <w:rFonts w:ascii="Times New Roman" w:eastAsia="Calibri" w:hAnsi="Times New Roman"/>
                <w:lang w:val="en-US"/>
              </w:rPr>
              <w:t xml:space="preserve"> 1</w:t>
            </w:r>
            <w:r w:rsidRPr="00B420C3">
              <w:rPr>
                <w:rFonts w:ascii="Times New Roman" w:eastAsia="Calibri" w:hAnsi="Times New Roman"/>
              </w:rPr>
              <w:t xml:space="preserve">-3 </w:t>
            </w:r>
          </w:p>
        </w:tc>
        <w:tc>
          <w:tcPr>
            <w:tcW w:w="1857" w:type="pct"/>
            <w:shd w:val="clear" w:color="auto" w:fill="auto"/>
          </w:tcPr>
          <w:p w:rsidR="00B420C3" w:rsidRPr="00B420C3" w:rsidRDefault="00022F9E" w:rsidP="00B420C3">
            <w:pPr>
              <w:spacing w:before="120" w:after="120" w:line="240" w:lineRule="auto"/>
              <w:jc w:val="both"/>
              <w:rPr>
                <w:rFonts w:ascii="Times New Roman" w:eastAsia="Calibri" w:hAnsi="Times New Roman"/>
              </w:rPr>
            </w:pPr>
            <w:r>
              <w:rPr>
                <w:rFonts w:ascii="Times New Roman" w:eastAsia="Calibri" w:hAnsi="Times New Roman"/>
              </w:rPr>
              <w:t xml:space="preserve">Стойността по </w:t>
            </w:r>
            <w:r w:rsidR="00B420C3" w:rsidRPr="00B420C3">
              <w:rPr>
                <w:rFonts w:ascii="Times New Roman" w:eastAsia="Calibri" w:hAnsi="Times New Roman"/>
              </w:rPr>
              <w:t>този параметър при пробонабиране със стационарни винтери се определя като брой на уловените екземпляри от вида в един винтер за 10-часова експозиция в работно положение (</w:t>
            </w:r>
            <w:r w:rsidR="00B420C3" w:rsidRPr="00B420C3">
              <w:rPr>
                <w:rFonts w:ascii="Times New Roman" w:eastAsia="Calibri" w:hAnsi="Times New Roman"/>
                <w:sz w:val="20"/>
                <w:szCs w:val="20"/>
                <w:lang w:val="en-US"/>
              </w:rPr>
              <w:t>ind.</w:t>
            </w:r>
            <w:r w:rsidR="00B420C3" w:rsidRPr="00B420C3">
              <w:rPr>
                <w:rFonts w:ascii="Times New Roman" w:eastAsia="Calibri" w:hAnsi="Times New Roman"/>
                <w:sz w:val="20"/>
                <w:szCs w:val="20"/>
              </w:rPr>
              <w:t xml:space="preserve"> </w:t>
            </w:r>
            <w:r w:rsidR="00B420C3" w:rsidRPr="00B420C3">
              <w:rPr>
                <w:rFonts w:ascii="Times New Roman" w:eastAsia="Calibri" w:hAnsi="Times New Roman"/>
                <w:sz w:val="20"/>
                <w:szCs w:val="20"/>
                <w:lang w:val="en-US"/>
              </w:rPr>
              <w:t>CPUE</w:t>
            </w:r>
            <w:r w:rsidR="00B420C3" w:rsidRPr="00B420C3">
              <w:rPr>
                <w:rFonts w:ascii="Times New Roman" w:eastAsia="Calibri" w:hAnsi="Times New Roman"/>
              </w:rPr>
              <w:t>).</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В доклада за вида по проект "Картиране и определяне на природозащитното състояние на природни местообитания и видове - фаза I"  е определена референтна стойност на популационната численост 100-1000 екз./ха. Според наличните данни ПС на вида в зоната мож да бъде определено като „благоприятно“.</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1. Постигане и поддържане на най-малко </w:t>
            </w:r>
            <w:r w:rsidRPr="00B420C3">
              <w:rPr>
                <w:rFonts w:ascii="Times New Roman" w:eastAsia="Calibri" w:hAnsi="Times New Roman"/>
                <w:lang w:val="en-US"/>
              </w:rPr>
              <w:t>1-3 ind. CPUE;</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2. Редуциране и на разпространението на инвазивни видове риби в ЗЗ.</w:t>
            </w:r>
          </w:p>
        </w:tc>
      </w:tr>
      <w:tr w:rsidR="00B420C3" w:rsidRPr="00B420C3" w:rsidTr="006C17B2">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Дължина на речната мрежа, включваща потенциални местообитаниякм за вида</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км</w:t>
            </w:r>
          </w:p>
        </w:tc>
        <w:tc>
          <w:tcPr>
            <w:tcW w:w="715" w:type="pct"/>
            <w:shd w:val="clear" w:color="auto" w:fill="auto"/>
          </w:tcPr>
          <w:p w:rsidR="00B420C3" w:rsidRPr="00B420C3" w:rsidRDefault="00B420C3" w:rsidP="00B420C3">
            <w:pPr>
              <w:spacing w:before="120" w:after="120" w:line="240" w:lineRule="auto"/>
              <w:rPr>
                <w:rFonts w:ascii="Times New Roman" w:eastAsia="Calibri" w:hAnsi="Times New Roman"/>
                <w:shd w:val="clear" w:color="auto" w:fill="FFFFFF"/>
              </w:rPr>
            </w:pPr>
            <w:r w:rsidRPr="00B420C3">
              <w:rPr>
                <w:rFonts w:ascii="Times New Roman" w:eastAsia="Calibri" w:hAnsi="Times New Roman"/>
                <w:shd w:val="clear" w:color="auto" w:fill="FFFFFF"/>
              </w:rPr>
              <w:t>0</w:t>
            </w:r>
          </w:p>
        </w:tc>
        <w:tc>
          <w:tcPr>
            <w:tcW w:w="1857"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Неприложим за вида в зоната, тъй като не се среща в р. Дунав, а само в стоящи води. </w:t>
            </w:r>
          </w:p>
        </w:tc>
        <w:tc>
          <w:tcPr>
            <w:tcW w:w="1038" w:type="pct"/>
          </w:tcPr>
          <w:p w:rsidR="00B420C3" w:rsidRPr="00B420C3" w:rsidRDefault="00B420C3" w:rsidP="00B420C3">
            <w:pPr>
              <w:spacing w:before="120" w:after="120" w:line="240" w:lineRule="auto"/>
              <w:jc w:val="both"/>
              <w:rPr>
                <w:rFonts w:ascii="Times New Roman" w:eastAsia="Calibri" w:hAnsi="Times New Roman"/>
              </w:rPr>
            </w:pPr>
          </w:p>
        </w:tc>
      </w:tr>
      <w:tr w:rsidR="00B420C3" w:rsidRPr="00B420C3" w:rsidTr="006C17B2">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стоящи води, </w:t>
            </w:r>
            <w:r w:rsidRPr="00B420C3">
              <w:rPr>
                <w:rFonts w:ascii="Times New Roman" w:eastAsia="Calibri" w:hAnsi="Times New Roman"/>
                <w:b/>
              </w:rPr>
              <w:lastRenderedPageBreak/>
              <w:t>представляващи потенциално местообитание за вида</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lang w:val="en-US"/>
              </w:rPr>
            </w:pPr>
            <w:r w:rsidRPr="00B420C3">
              <w:rPr>
                <w:rFonts w:ascii="Times New Roman" w:eastAsia="Calibri" w:hAnsi="Times New Roman"/>
                <w:lang w:val="en-US"/>
              </w:rPr>
              <w:lastRenderedPageBreak/>
              <w:t>ha</w:t>
            </w:r>
          </w:p>
        </w:tc>
        <w:tc>
          <w:tcPr>
            <w:tcW w:w="715" w:type="pct"/>
            <w:shd w:val="clear" w:color="auto" w:fill="auto"/>
          </w:tcPr>
          <w:p w:rsidR="00B420C3" w:rsidRPr="00B420C3" w:rsidRDefault="00B420C3" w:rsidP="00B420C3">
            <w:pPr>
              <w:spacing w:before="120" w:after="120" w:line="240" w:lineRule="auto"/>
              <w:rPr>
                <w:rFonts w:ascii="Times New Roman" w:eastAsia="Calibri" w:hAnsi="Times New Roman"/>
                <w:shd w:val="clear" w:color="auto" w:fill="FFFFFF"/>
              </w:rPr>
            </w:pPr>
            <w:r w:rsidRPr="00B420C3">
              <w:rPr>
                <w:rFonts w:ascii="Times New Roman" w:eastAsia="Calibri" w:hAnsi="Times New Roman"/>
                <w:shd w:val="clear" w:color="auto" w:fill="FFFFFF"/>
              </w:rPr>
              <w:t>Най-малко 420</w:t>
            </w:r>
          </w:p>
        </w:tc>
        <w:tc>
          <w:tcPr>
            <w:tcW w:w="1857"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Площта на местообитанията на вида в стоящи води се определя чрез GIS анализ, използващ следните екологични критерии:</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Езеро Сребърна;</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lastRenderedPageBreak/>
              <w:t>Изкуствени водни тела от тип „канали“, които са на практика стоящи води.</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lastRenderedPageBreak/>
              <w:t xml:space="preserve">Поддържане на оптимално водно ниво и залята площ на езерото най-малко 420 </w:t>
            </w:r>
            <w:r w:rsidRPr="00B420C3">
              <w:rPr>
                <w:rFonts w:ascii="Times New Roman" w:eastAsia="Calibri" w:hAnsi="Times New Roman"/>
                <w:lang w:val="en-US"/>
              </w:rPr>
              <w:t>ha</w:t>
            </w:r>
            <w:r w:rsidRPr="00B420C3">
              <w:rPr>
                <w:rFonts w:ascii="Times New Roman" w:eastAsia="Calibri" w:hAnsi="Times New Roman"/>
              </w:rPr>
              <w:t xml:space="preserve">.  </w:t>
            </w:r>
            <w:r w:rsidRPr="00B420C3">
              <w:rPr>
                <w:rFonts w:ascii="Times New Roman" w:eastAsia="Calibri" w:hAnsi="Times New Roman"/>
              </w:rPr>
              <w:lastRenderedPageBreak/>
              <w:t>Предотвратяване на пресъхването на участъци представляващи подходящо местообитание, обитавано от вида.</w:t>
            </w:r>
          </w:p>
        </w:tc>
      </w:tr>
      <w:tr w:rsidR="00B420C3" w:rsidRPr="00B420C3" w:rsidTr="006C17B2">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lastRenderedPageBreak/>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Степен на свързаност на местообитанието на вида </w:t>
            </w:r>
          </w:p>
          <w:p w:rsidR="00B420C3" w:rsidRPr="00B420C3" w:rsidRDefault="00B420C3" w:rsidP="00B420C3">
            <w:pPr>
              <w:spacing w:before="120" w:after="120" w:line="240" w:lineRule="auto"/>
              <w:rPr>
                <w:rFonts w:ascii="Times New Roman" w:eastAsia="Calibri" w:hAnsi="Times New Roman"/>
                <w:b/>
              </w:rPr>
            </w:pPr>
          </w:p>
          <w:p w:rsidR="00B420C3" w:rsidRPr="00B420C3" w:rsidRDefault="00B420C3" w:rsidP="00B420C3">
            <w:pPr>
              <w:spacing w:before="120" w:after="120" w:line="240" w:lineRule="auto"/>
              <w:rPr>
                <w:rFonts w:ascii="Times New Roman" w:eastAsia="Calibri" w:hAnsi="Times New Roman"/>
                <w:b/>
              </w:rPr>
            </w:pP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 xml:space="preserve">5 степенна скала за всяка бариера </w:t>
            </w:r>
          </w:p>
        </w:tc>
        <w:tc>
          <w:tcPr>
            <w:tcW w:w="715"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0</w:t>
            </w:r>
          </w:p>
        </w:tc>
        <w:tc>
          <w:tcPr>
            <w:tcW w:w="1857"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Неприложим за вида в зоната</w:t>
            </w:r>
          </w:p>
        </w:tc>
        <w:tc>
          <w:tcPr>
            <w:tcW w:w="1038" w:type="pct"/>
          </w:tcPr>
          <w:p w:rsidR="00B420C3" w:rsidRPr="00B420C3" w:rsidRDefault="00B420C3" w:rsidP="00B420C3">
            <w:pPr>
              <w:spacing w:before="120" w:after="120" w:line="240" w:lineRule="auto"/>
              <w:jc w:val="both"/>
              <w:rPr>
                <w:rFonts w:ascii="Times New Roman" w:eastAsia="Calibri" w:hAnsi="Times New Roman"/>
              </w:rPr>
            </w:pPr>
          </w:p>
        </w:tc>
      </w:tr>
      <w:tr w:rsidR="00B420C3" w:rsidRPr="00B420C3" w:rsidTr="006C17B2">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Местообитание на вида: Екологично 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 xml:space="preserve">5 степенна скала за екологично състояние съгласно РДВ </w:t>
            </w:r>
          </w:p>
        </w:tc>
        <w:tc>
          <w:tcPr>
            <w:tcW w:w="715" w:type="pct"/>
            <w:shd w:val="clear" w:color="auto" w:fill="auto"/>
          </w:tcPr>
          <w:p w:rsidR="00B420C3" w:rsidRPr="00B420C3" w:rsidRDefault="00B420C3" w:rsidP="00022F9E">
            <w:pPr>
              <w:spacing w:before="120" w:after="120" w:line="240" w:lineRule="auto"/>
              <w:rPr>
                <w:rFonts w:ascii="Times New Roman" w:eastAsia="Calibri" w:hAnsi="Times New Roman"/>
              </w:rPr>
            </w:pPr>
            <w:r w:rsidRPr="00B420C3">
              <w:rPr>
                <w:rFonts w:ascii="Times New Roman" w:eastAsia="Calibri" w:hAnsi="Times New Roman"/>
              </w:rPr>
              <w:t xml:space="preserve">По-висока или равна на </w:t>
            </w:r>
            <w:r w:rsidR="00022F9E">
              <w:rPr>
                <w:rFonts w:ascii="Times New Roman" w:eastAsia="Calibri" w:hAnsi="Times New Roman"/>
              </w:rPr>
              <w:t>3</w:t>
            </w:r>
            <w:r w:rsidRPr="00B420C3">
              <w:rPr>
                <w:rFonts w:ascii="Times New Roman" w:eastAsia="Calibri" w:hAnsi="Times New Roman"/>
              </w:rPr>
              <w:t xml:space="preserve"> – </w:t>
            </w:r>
            <w:r w:rsidR="00022F9E">
              <w:rPr>
                <w:rFonts w:ascii="Times New Roman" w:eastAsia="Calibri" w:hAnsi="Times New Roman"/>
              </w:rPr>
              <w:t>Умерено</w:t>
            </w:r>
            <w:r w:rsidRPr="00B420C3">
              <w:rPr>
                <w:rFonts w:ascii="Times New Roman" w:eastAsia="Calibri" w:hAnsi="Times New Roman"/>
              </w:rPr>
              <w:t xml:space="preserve"> състояние</w:t>
            </w:r>
          </w:p>
        </w:tc>
        <w:tc>
          <w:tcPr>
            <w:tcW w:w="1857" w:type="pct"/>
            <w:shd w:val="clear" w:color="auto" w:fill="auto"/>
          </w:tcPr>
          <w:p w:rsidR="00B420C3" w:rsidRPr="00B420C3" w:rsidRDefault="00B420C3" w:rsidP="00B420C3">
            <w:pPr>
              <w:spacing w:after="0" w:line="240" w:lineRule="auto"/>
              <w:jc w:val="both"/>
              <w:rPr>
                <w:rFonts w:ascii="Times New Roman" w:eastAsia="Calibri" w:hAnsi="Times New Roman"/>
              </w:rPr>
            </w:pPr>
            <w:r w:rsidRPr="00B420C3">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B420C3" w:rsidRPr="00B420C3" w:rsidTr="000C2232">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B420C3" w:rsidRPr="00B420C3" w:rsidRDefault="00B420C3" w:rsidP="00B420C3">
                  <w:pPr>
                    <w:spacing w:after="0" w:line="240" w:lineRule="auto"/>
                    <w:jc w:val="center"/>
                    <w:rPr>
                      <w:rFonts w:ascii="Times New Roman" w:eastAsia="Calibri" w:hAnsi="Times New Roman"/>
                      <w:b/>
                      <w:bCs/>
                      <w:color w:val="000000"/>
                    </w:rPr>
                  </w:pPr>
                  <w:r w:rsidRPr="00B420C3">
                    <w:rPr>
                      <w:rFonts w:ascii="Times New Roman" w:eastAsia="Calibri" w:hAnsi="Times New Roman"/>
                      <w:b/>
                      <w:bCs/>
                      <w:color w:val="000000"/>
                    </w:rPr>
                    <w:t>ЕС/ЕП</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1 - Отлично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2 - Добро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3 - Умерено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4 - Лошо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5 - Много лошо</w:t>
                  </w:r>
                </w:p>
              </w:tc>
            </w:tr>
          </w:tbl>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lastRenderedPageBreak/>
              <w:t>Според данните от биологичния мониторинг на повърхностните води през 2020 г. ЕС на ез. Сребърна е определено като Отлично по БЕК Макрозообентос, Умерено по БЕК Риби и Лошо – по БЕК Фитопланктон и БЕК Макрофити. При разлика в оценките на ЕС на водните тела по БЕК общата оценка съответства на най-лошата, в случая – Лошо ЕС.</w:t>
            </w:r>
          </w:p>
        </w:tc>
        <w:tc>
          <w:tcPr>
            <w:tcW w:w="1038" w:type="pct"/>
          </w:tcPr>
          <w:p w:rsidR="00B420C3" w:rsidRPr="00B420C3" w:rsidRDefault="00B420C3" w:rsidP="00022F9E">
            <w:pPr>
              <w:spacing w:before="120" w:after="120" w:line="240" w:lineRule="auto"/>
              <w:jc w:val="both"/>
              <w:rPr>
                <w:rFonts w:ascii="Times New Roman" w:eastAsia="Calibri" w:hAnsi="Times New Roman"/>
              </w:rPr>
            </w:pPr>
            <w:r w:rsidRPr="00B420C3">
              <w:rPr>
                <w:rFonts w:ascii="Times New Roman" w:eastAsia="Calibri" w:hAnsi="Times New Roman"/>
              </w:rPr>
              <w:lastRenderedPageBreak/>
              <w:t xml:space="preserve">Постигане и поддържане на най-малко  </w:t>
            </w:r>
            <w:r w:rsidR="00022F9E">
              <w:rPr>
                <w:rFonts w:ascii="Times New Roman" w:eastAsia="Calibri" w:hAnsi="Times New Roman"/>
              </w:rPr>
              <w:t>Умерено</w:t>
            </w:r>
            <w:r w:rsidRPr="00B420C3">
              <w:rPr>
                <w:rFonts w:ascii="Times New Roman" w:eastAsia="Calibri" w:hAnsi="Times New Roman"/>
              </w:rPr>
              <w:t xml:space="preserve"> ЕС (стойност  по-висока или равна на </w:t>
            </w:r>
            <w:r w:rsidR="00022F9E">
              <w:rPr>
                <w:rFonts w:ascii="Times New Roman" w:eastAsia="Calibri" w:hAnsi="Times New Roman"/>
              </w:rPr>
              <w:t>3</w:t>
            </w:r>
            <w:r w:rsidRPr="00B420C3">
              <w:rPr>
                <w:rFonts w:ascii="Times New Roman" w:eastAsia="Calibri" w:hAnsi="Times New Roman"/>
              </w:rPr>
              <w:t>) на водното тяло с подходящи местообитания за вида.</w:t>
            </w:r>
          </w:p>
        </w:tc>
      </w:tr>
      <w:tr w:rsidR="00B420C3" w:rsidRPr="00B420C3" w:rsidTr="006C17B2">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Съотношение в % от площта на водните участъци с подходящи  местообитания на вида и с естествено структуриран субстрат, съотнесен към общата площ на участъците с подходящи местообитания за вида</w:t>
            </w:r>
          </w:p>
        </w:tc>
        <w:tc>
          <w:tcPr>
            <w:tcW w:w="715"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95% от площта на водните участъци с подходящи местообитания за вида имат естественоструктуриран субстрат</w:t>
            </w:r>
          </w:p>
        </w:tc>
        <w:tc>
          <w:tcPr>
            <w:tcW w:w="1857"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Виюнът е дънен вид. Поддържането на естествената структура на дънния субстрат (тиня и пясък) в подходящите местообитания на вида е важно за неговото състояние.</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Основният фактор, водещ до нарушаване на естествената структура на дънния субстрат, е разкопаването на дъната за добив на пясък и други инертни материали;</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Не е установен натиск в зоната по този параметър.</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Поддържане на 95% от площта на водните участъци с подходящи местообитания за вида да са с естествено структуриран субстрат.</w:t>
            </w:r>
          </w:p>
        </w:tc>
      </w:tr>
    </w:tbl>
    <w:p w:rsidR="00B420C3" w:rsidRPr="00B420C3" w:rsidRDefault="00B420C3" w:rsidP="00B420C3">
      <w:pPr>
        <w:spacing w:before="120" w:after="0" w:line="240" w:lineRule="auto"/>
        <w:jc w:val="both"/>
        <w:rPr>
          <w:rFonts w:ascii="Times New Roman" w:eastAsia="Calibri" w:hAnsi="Times New Roman"/>
          <w:sz w:val="24"/>
          <w:szCs w:val="24"/>
        </w:rPr>
      </w:pP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7. Необходимост от актуали</w:t>
      </w:r>
      <w:r w:rsidR="006C17B2">
        <w:rPr>
          <w:rFonts w:ascii="Times New Roman" w:eastAsia="Calibri" w:hAnsi="Times New Roman"/>
          <w:b/>
          <w:sz w:val="24"/>
          <w:szCs w:val="24"/>
        </w:rPr>
        <w:t>зация на СФ на защитената зона</w:t>
      </w:r>
    </w:p>
    <w:p w:rsidR="00B420C3" w:rsidRPr="00B420C3" w:rsidRDefault="00022F9E" w:rsidP="006C17B2">
      <w:pPr>
        <w:spacing w:after="160" w:line="240" w:lineRule="auto"/>
        <w:ind w:firstLine="709"/>
        <w:jc w:val="both"/>
        <w:rPr>
          <w:rFonts w:ascii="Times New Roman" w:eastAsia="Calibri" w:hAnsi="Times New Roman"/>
          <w:sz w:val="24"/>
          <w:szCs w:val="24"/>
        </w:rPr>
      </w:pPr>
      <w:bookmarkStart w:id="61" w:name="_Hlk88819693"/>
      <w:r>
        <w:rPr>
          <w:rFonts w:ascii="Times New Roman" w:eastAsia="Calibri" w:hAnsi="Times New Roman"/>
          <w:sz w:val="24"/>
          <w:szCs w:val="24"/>
        </w:rPr>
        <w:t>В съответствие</w:t>
      </w:r>
      <w:r w:rsidRPr="00B420C3">
        <w:rPr>
          <w:rFonts w:ascii="Times New Roman" w:eastAsia="Calibri" w:hAnsi="Times New Roman"/>
          <w:sz w:val="24"/>
          <w:szCs w:val="24"/>
        </w:rPr>
        <w:t xml:space="preserve"> методиката</w:t>
      </w:r>
      <w:r>
        <w:rPr>
          <w:rFonts w:ascii="Times New Roman" w:eastAsia="Calibri" w:hAnsi="Times New Roman"/>
          <w:sz w:val="24"/>
          <w:szCs w:val="24"/>
        </w:rPr>
        <w:t xml:space="preserve">, приложима за пробонабиране </w:t>
      </w:r>
      <w:r w:rsidRPr="00B420C3">
        <w:rPr>
          <w:rFonts w:ascii="Times New Roman" w:eastAsia="Calibri" w:hAnsi="Times New Roman"/>
          <w:sz w:val="24"/>
          <w:szCs w:val="24"/>
        </w:rPr>
        <w:t xml:space="preserve"> на </w:t>
      </w:r>
      <w:r>
        <w:rPr>
          <w:rFonts w:ascii="Times New Roman" w:eastAsia="Calibri" w:hAnsi="Times New Roman"/>
          <w:sz w:val="24"/>
          <w:szCs w:val="24"/>
        </w:rPr>
        <w:t>вида</w:t>
      </w:r>
      <w:r w:rsidRPr="00B420C3">
        <w:rPr>
          <w:rFonts w:ascii="Times New Roman" w:eastAsia="Calibri" w:hAnsi="Times New Roman"/>
          <w:sz w:val="24"/>
          <w:szCs w:val="24"/>
        </w:rPr>
        <w:t xml:space="preserve">,  най-подходящата единица за определянето на състоянието на вида е брой индивиди на </w:t>
      </w:r>
      <w:r w:rsidRPr="00B420C3">
        <w:rPr>
          <w:rFonts w:ascii="Times New Roman" w:eastAsia="Calibri" w:hAnsi="Times New Roman"/>
          <w:sz w:val="24"/>
          <w:szCs w:val="24"/>
        </w:rPr>
        <w:lastRenderedPageBreak/>
        <w:t>хектар или улов на единица риболовно усилие (</w:t>
      </w:r>
      <w:r w:rsidRPr="00B420C3">
        <w:rPr>
          <w:rFonts w:ascii="Times New Roman" w:eastAsia="Calibri" w:hAnsi="Times New Roman"/>
          <w:sz w:val="24"/>
          <w:szCs w:val="24"/>
          <w:lang w:val="en-US"/>
        </w:rPr>
        <w:t>CPUE</w:t>
      </w:r>
      <w:r w:rsidRPr="00B420C3">
        <w:rPr>
          <w:rFonts w:ascii="Times New Roman" w:eastAsia="Calibri" w:hAnsi="Times New Roman"/>
          <w:sz w:val="24"/>
          <w:szCs w:val="24"/>
        </w:rPr>
        <w:t xml:space="preserve">). </w:t>
      </w:r>
      <w:r w:rsidRPr="00AC0D43">
        <w:rPr>
          <w:rFonts w:ascii="Times New Roman" w:eastAsia="Calibri" w:hAnsi="Times New Roman"/>
          <w:sz w:val="24"/>
          <w:szCs w:val="24"/>
        </w:rPr>
        <w:t>Тази единица обаче засега не е приета за оценка на видове риби при докладванията в ЕК. Затова, като се има предвид високата сезонна вариабилност на числеността на вида в зоната и с оглед унифицирането на подхода за внасянето на данни в СФ на този етап като единица за оценка се използва „Площ“ (area) на местообитанията“.</w:t>
      </w:r>
      <w:r>
        <w:rPr>
          <w:rFonts w:ascii="Times New Roman" w:eastAsia="Calibri" w:hAnsi="Times New Roman"/>
          <w:sz w:val="24"/>
          <w:szCs w:val="24"/>
        </w:rPr>
        <w:t xml:space="preserve"> Нанесени са съответни корекции в СФ</w:t>
      </w:r>
      <w:r w:rsidR="0001440D">
        <w:rPr>
          <w:rFonts w:ascii="Times New Roman" w:eastAsia="Calibri" w:hAnsi="Times New Roman"/>
          <w:sz w:val="24"/>
          <w:szCs w:val="24"/>
        </w:rPr>
        <w:t>.</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08"/>
        <w:gridCol w:w="546"/>
        <w:gridCol w:w="1043"/>
        <w:gridCol w:w="262"/>
        <w:gridCol w:w="836"/>
        <w:gridCol w:w="286"/>
        <w:gridCol w:w="583"/>
        <w:gridCol w:w="718"/>
        <w:gridCol w:w="593"/>
        <w:gridCol w:w="482"/>
        <w:gridCol w:w="1209"/>
        <w:gridCol w:w="737"/>
        <w:gridCol w:w="513"/>
        <w:gridCol w:w="437"/>
        <w:gridCol w:w="899"/>
      </w:tblGrid>
      <w:tr w:rsidR="00B420C3" w:rsidRPr="00B420C3" w:rsidTr="00022F9E">
        <w:trPr>
          <w:tblCellSpacing w:w="15" w:type="dxa"/>
        </w:trPr>
        <w:tc>
          <w:tcPr>
            <w:tcW w:w="1554" w:type="pct"/>
            <w:gridSpan w:val="5"/>
            <w:shd w:val="clear" w:color="auto" w:fill="D9D9D9" w:themeFill="background1" w:themeFillShade="D9"/>
            <w:tcMar>
              <w:top w:w="96" w:type="dxa"/>
              <w:left w:w="96" w:type="dxa"/>
              <w:bottom w:w="96" w:type="dxa"/>
              <w:right w:w="96" w:type="dxa"/>
            </w:tcMar>
            <w:vAlign w:val="center"/>
          </w:tcPr>
          <w:bookmarkEnd w:id="61"/>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Species </w:t>
            </w:r>
          </w:p>
        </w:tc>
        <w:tc>
          <w:tcPr>
            <w:tcW w:w="2033" w:type="pct"/>
            <w:gridSpan w:val="6"/>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Population in the site </w:t>
            </w:r>
          </w:p>
        </w:tc>
        <w:tc>
          <w:tcPr>
            <w:tcW w:w="1349" w:type="pct"/>
            <w:gridSpan w:val="4"/>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Site assessment </w:t>
            </w:r>
          </w:p>
        </w:tc>
      </w:tr>
      <w:tr w:rsidR="00B420C3" w:rsidRPr="00B420C3" w:rsidTr="00022F9E">
        <w:trPr>
          <w:tblCellSpacing w:w="15" w:type="dxa"/>
        </w:trPr>
        <w:tc>
          <w:tcPr>
            <w:tcW w:w="145"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G </w:t>
            </w:r>
          </w:p>
        </w:tc>
        <w:tc>
          <w:tcPr>
            <w:tcW w:w="284"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Code </w:t>
            </w:r>
          </w:p>
        </w:tc>
        <w:tc>
          <w:tcPr>
            <w:tcW w:w="558"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 </w:t>
            </w:r>
          </w:p>
        </w:tc>
        <w:tc>
          <w:tcPr>
            <w:tcW w:w="382"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NP </w:t>
            </w:r>
          </w:p>
        </w:tc>
        <w:tc>
          <w:tcPr>
            <w:tcW w:w="141"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T </w:t>
            </w:r>
          </w:p>
        </w:tc>
        <w:tc>
          <w:tcPr>
            <w:tcW w:w="684" w:type="pct"/>
            <w:gridSpan w:val="2"/>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Size </w:t>
            </w:r>
          </w:p>
        </w:tc>
        <w:tc>
          <w:tcPr>
            <w:tcW w:w="31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Unit </w:t>
            </w:r>
          </w:p>
        </w:tc>
        <w:tc>
          <w:tcPr>
            <w:tcW w:w="24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Cat. </w:t>
            </w:r>
          </w:p>
        </w:tc>
        <w:tc>
          <w:tcPr>
            <w:tcW w:w="58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D.qual. </w:t>
            </w:r>
          </w:p>
        </w:tc>
        <w:tc>
          <w:tcPr>
            <w:tcW w:w="38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A|B|C|D </w:t>
            </w:r>
          </w:p>
        </w:tc>
        <w:tc>
          <w:tcPr>
            <w:tcW w:w="944" w:type="pct"/>
            <w:gridSpan w:val="3"/>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 </w:t>
            </w:r>
          </w:p>
        </w:tc>
      </w:tr>
      <w:tr w:rsidR="00B420C3" w:rsidRPr="00B420C3" w:rsidTr="00022F9E">
        <w:trPr>
          <w:tblCellSpacing w:w="15" w:type="dxa"/>
        </w:trPr>
        <w:tc>
          <w:tcPr>
            <w:tcW w:w="145"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84"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55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382"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41"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305"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Min</w:t>
            </w:r>
          </w:p>
        </w:tc>
        <w:tc>
          <w:tcPr>
            <w:tcW w:w="36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Max</w:t>
            </w:r>
          </w:p>
        </w:tc>
        <w:tc>
          <w:tcPr>
            <w:tcW w:w="31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4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p>
        </w:tc>
        <w:tc>
          <w:tcPr>
            <w:tcW w:w="58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38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Pop.</w:t>
            </w:r>
          </w:p>
        </w:tc>
        <w:tc>
          <w:tcPr>
            <w:tcW w:w="26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Con.</w:t>
            </w:r>
          </w:p>
        </w:tc>
        <w:tc>
          <w:tcPr>
            <w:tcW w:w="224"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Iso.</w:t>
            </w:r>
          </w:p>
        </w:tc>
        <w:tc>
          <w:tcPr>
            <w:tcW w:w="42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Glo.</w:t>
            </w:r>
          </w:p>
        </w:tc>
      </w:tr>
      <w:tr w:rsidR="00022F9E" w:rsidRPr="00B420C3" w:rsidTr="00022F9E">
        <w:trPr>
          <w:tblCellSpacing w:w="15" w:type="dxa"/>
        </w:trPr>
        <w:tc>
          <w:tcPr>
            <w:tcW w:w="14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22F9E" w:rsidRPr="00B420C3" w:rsidRDefault="00022F9E"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F</w:t>
            </w:r>
          </w:p>
        </w:tc>
        <w:tc>
          <w:tcPr>
            <w:tcW w:w="28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22F9E" w:rsidRPr="00B420C3" w:rsidRDefault="00022F9E" w:rsidP="00B420C3">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sz w:val="16"/>
                <w:szCs w:val="16"/>
              </w:rPr>
              <w:t>1145</w:t>
            </w:r>
          </w:p>
        </w:tc>
        <w:tc>
          <w:tcPr>
            <w:tcW w:w="55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22F9E" w:rsidRPr="00B420C3" w:rsidRDefault="00022F9E" w:rsidP="00B420C3">
            <w:pPr>
              <w:spacing w:before="120" w:after="0" w:line="259" w:lineRule="auto"/>
              <w:jc w:val="both"/>
              <w:rPr>
                <w:rFonts w:ascii="Times New Roman" w:eastAsia="Calibri" w:hAnsi="Times New Roman"/>
                <w:b/>
                <w:bCs/>
                <w:i/>
                <w:sz w:val="16"/>
                <w:szCs w:val="16"/>
                <w:lang w:val="en-US"/>
              </w:rPr>
            </w:pPr>
            <w:r w:rsidRPr="00B420C3">
              <w:rPr>
                <w:rFonts w:ascii="Times New Roman" w:eastAsia="Calibri" w:hAnsi="Times New Roman"/>
                <w:b/>
                <w:bCs/>
                <w:sz w:val="16"/>
                <w:szCs w:val="16"/>
                <w:lang w:val="en-US"/>
              </w:rPr>
              <w:t>M</w:t>
            </w:r>
            <w:r w:rsidRPr="00B420C3">
              <w:rPr>
                <w:rFonts w:eastAsia="Calibri"/>
                <w:b/>
                <w:bCs/>
                <w:sz w:val="16"/>
                <w:szCs w:val="16"/>
              </w:rPr>
              <w:t>i</w:t>
            </w:r>
            <w:r w:rsidRPr="00B420C3">
              <w:rPr>
                <w:rFonts w:eastAsia="Calibri"/>
                <w:b/>
                <w:bCs/>
                <w:sz w:val="16"/>
                <w:szCs w:val="16"/>
                <w:lang w:val="en-US"/>
              </w:rPr>
              <w:t>s</w:t>
            </w:r>
            <w:r w:rsidRPr="00B420C3">
              <w:rPr>
                <w:rFonts w:eastAsia="Calibri"/>
                <w:b/>
                <w:bCs/>
                <w:sz w:val="16"/>
                <w:szCs w:val="16"/>
              </w:rPr>
              <w:t>gurnus fossilis</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22F9E" w:rsidRPr="00B420C3" w:rsidRDefault="00022F9E"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 </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22F9E" w:rsidRPr="00B420C3" w:rsidRDefault="00022F9E"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 </w:t>
            </w:r>
          </w:p>
        </w:tc>
        <w:tc>
          <w:tcPr>
            <w:tcW w:w="14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22F9E" w:rsidRPr="00B420C3" w:rsidRDefault="00022F9E"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p</w:t>
            </w:r>
          </w:p>
        </w:tc>
        <w:tc>
          <w:tcPr>
            <w:tcW w:w="3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bottom"/>
          </w:tcPr>
          <w:p w:rsidR="00022F9E" w:rsidRPr="001A28A5" w:rsidRDefault="00022F9E" w:rsidP="00B0609D">
            <w:pPr>
              <w:spacing w:before="120" w:after="0" w:line="259" w:lineRule="auto"/>
              <w:jc w:val="both"/>
              <w:rPr>
                <w:rFonts w:ascii="Times New Roman" w:eastAsia="Calibri" w:hAnsi="Times New Roman"/>
                <w:b/>
                <w:bCs/>
                <w:color w:val="FF0000"/>
                <w:sz w:val="16"/>
                <w:szCs w:val="16"/>
              </w:rPr>
            </w:pPr>
            <w:r w:rsidRPr="001A28A5">
              <w:rPr>
                <w:rFonts w:ascii="Times New Roman" w:hAnsi="Times New Roman"/>
                <w:b/>
                <w:bCs/>
                <w:color w:val="FF0000"/>
                <w:sz w:val="16"/>
                <w:szCs w:val="16"/>
              </w:rPr>
              <w:t>4200000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bottom"/>
          </w:tcPr>
          <w:p w:rsidR="00022F9E" w:rsidRPr="001A28A5" w:rsidRDefault="00022F9E" w:rsidP="00B0609D">
            <w:pPr>
              <w:spacing w:before="120" w:after="0" w:line="259" w:lineRule="auto"/>
              <w:jc w:val="both"/>
              <w:rPr>
                <w:rFonts w:ascii="Times New Roman" w:eastAsia="Calibri" w:hAnsi="Times New Roman"/>
                <w:b/>
                <w:bCs/>
                <w:color w:val="FF0000"/>
                <w:sz w:val="16"/>
                <w:szCs w:val="16"/>
              </w:rPr>
            </w:pPr>
            <w:r w:rsidRPr="001A28A5">
              <w:rPr>
                <w:rFonts w:ascii="Times New Roman" w:hAnsi="Times New Roman"/>
                <w:b/>
                <w:bCs/>
                <w:color w:val="FF0000"/>
                <w:sz w:val="16"/>
                <w:szCs w:val="16"/>
              </w:rPr>
              <w:t>4200000</w:t>
            </w:r>
          </w:p>
        </w:tc>
        <w:tc>
          <w:tcPr>
            <w:tcW w:w="31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22F9E" w:rsidRPr="001A28A5" w:rsidRDefault="00022F9E" w:rsidP="00B0609D">
            <w:pPr>
              <w:spacing w:before="120" w:after="0" w:line="259" w:lineRule="auto"/>
              <w:jc w:val="both"/>
              <w:rPr>
                <w:rFonts w:ascii="Times New Roman" w:eastAsia="Calibri" w:hAnsi="Times New Roman"/>
                <w:b/>
                <w:bCs/>
                <w:color w:val="FF0000"/>
                <w:sz w:val="16"/>
                <w:szCs w:val="16"/>
                <w:lang w:val="en-US"/>
              </w:rPr>
            </w:pPr>
            <w:r w:rsidRPr="001A28A5">
              <w:rPr>
                <w:rFonts w:ascii="Times New Roman" w:eastAsia="Calibri" w:hAnsi="Times New Roman"/>
                <w:b/>
                <w:bCs/>
                <w:color w:val="FF0000"/>
                <w:sz w:val="16"/>
                <w:szCs w:val="16"/>
              </w:rPr>
              <w:t>а</w:t>
            </w:r>
            <w:r w:rsidRPr="001A28A5">
              <w:rPr>
                <w:rFonts w:ascii="Times New Roman" w:eastAsia="Calibri" w:hAnsi="Times New Roman"/>
                <w:b/>
                <w:bCs/>
                <w:color w:val="FF0000"/>
                <w:sz w:val="16"/>
                <w:szCs w:val="16"/>
                <w:lang w:val="en-US"/>
              </w:rPr>
              <w:t xml:space="preserve">rea </w:t>
            </w:r>
          </w:p>
        </w:tc>
        <w:tc>
          <w:tcPr>
            <w:tcW w:w="24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22F9E" w:rsidRPr="00B420C3" w:rsidRDefault="00022F9E" w:rsidP="00B0609D">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C</w:t>
            </w:r>
          </w:p>
        </w:tc>
        <w:tc>
          <w:tcPr>
            <w:tcW w:w="58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22F9E" w:rsidRPr="00B420C3" w:rsidRDefault="00022F9E" w:rsidP="00B0609D">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G</w:t>
            </w:r>
          </w:p>
        </w:tc>
        <w:tc>
          <w:tcPr>
            <w:tcW w:w="38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22F9E" w:rsidRPr="001A28A5" w:rsidRDefault="00022F9E" w:rsidP="00B0609D">
            <w:pPr>
              <w:spacing w:before="120" w:after="0" w:line="259" w:lineRule="auto"/>
              <w:jc w:val="both"/>
              <w:rPr>
                <w:rFonts w:ascii="Times New Roman" w:eastAsia="Calibri" w:hAnsi="Times New Roman"/>
                <w:b/>
                <w:bCs/>
                <w:sz w:val="16"/>
                <w:szCs w:val="16"/>
              </w:rPr>
            </w:pPr>
            <w:r w:rsidRPr="001A28A5">
              <w:rPr>
                <w:rFonts w:ascii="Times New Roman" w:eastAsia="Calibri" w:hAnsi="Times New Roman"/>
                <w:b/>
                <w:bCs/>
                <w:sz w:val="16"/>
                <w:szCs w:val="16"/>
              </w:rPr>
              <w:t>А</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22F9E" w:rsidRPr="00B420C3" w:rsidRDefault="00022F9E" w:rsidP="00B0609D">
            <w:pPr>
              <w:spacing w:before="120" w:after="0" w:line="259" w:lineRule="auto"/>
              <w:jc w:val="both"/>
              <w:rPr>
                <w:rFonts w:ascii="Times New Roman" w:eastAsia="Calibri" w:hAnsi="Times New Roman"/>
                <w:b/>
                <w:bCs/>
                <w:sz w:val="16"/>
                <w:szCs w:val="16"/>
                <w:lang w:val="en-GB"/>
              </w:rPr>
            </w:pPr>
            <w:r w:rsidRPr="00B420C3">
              <w:rPr>
                <w:rFonts w:ascii="Times New Roman" w:eastAsia="Calibri" w:hAnsi="Times New Roman"/>
                <w:b/>
                <w:bCs/>
                <w:sz w:val="16"/>
                <w:szCs w:val="16"/>
                <w:lang w:val="en-GB"/>
              </w:rPr>
              <w:t>A</w:t>
            </w:r>
          </w:p>
        </w:tc>
        <w:tc>
          <w:tcPr>
            <w:tcW w:w="22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22F9E" w:rsidRPr="006532AD" w:rsidRDefault="00022F9E" w:rsidP="00B0609D">
            <w:pPr>
              <w:spacing w:before="120" w:after="0" w:line="259" w:lineRule="auto"/>
              <w:jc w:val="both"/>
              <w:rPr>
                <w:rFonts w:ascii="Times New Roman" w:eastAsia="Calibri" w:hAnsi="Times New Roman"/>
                <w:b/>
                <w:bCs/>
                <w:sz w:val="16"/>
                <w:szCs w:val="16"/>
              </w:rPr>
            </w:pPr>
            <w:r>
              <w:rPr>
                <w:rFonts w:ascii="Times New Roman" w:eastAsia="Calibri" w:hAnsi="Times New Roman"/>
                <w:b/>
                <w:bCs/>
                <w:sz w:val="16"/>
                <w:szCs w:val="16"/>
              </w:rPr>
              <w:t>В</w:t>
            </w:r>
          </w:p>
        </w:tc>
        <w:tc>
          <w:tcPr>
            <w:tcW w:w="4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022F9E" w:rsidRPr="00B420C3" w:rsidRDefault="00022F9E" w:rsidP="00B0609D">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A</w:t>
            </w:r>
          </w:p>
        </w:tc>
      </w:tr>
    </w:tbl>
    <w:p w:rsidR="00B420C3" w:rsidRPr="00B420C3" w:rsidRDefault="00B420C3" w:rsidP="00B420C3">
      <w:pPr>
        <w:spacing w:after="160" w:line="240" w:lineRule="auto"/>
        <w:jc w:val="both"/>
        <w:rPr>
          <w:rFonts w:ascii="Times New Roman" w:eastAsia="Calibri" w:hAnsi="Times New Roman"/>
          <w:sz w:val="24"/>
          <w:szCs w:val="24"/>
        </w:rPr>
      </w:pPr>
    </w:p>
    <w:p w:rsidR="00B420C3" w:rsidRPr="00B420C3" w:rsidRDefault="006C17B2" w:rsidP="00B420C3">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8. Цитирана литература</w:t>
      </w:r>
    </w:p>
    <w:p w:rsidR="00B420C3" w:rsidRPr="00B420C3" w:rsidRDefault="00B420C3" w:rsidP="00B420C3">
      <w:pPr>
        <w:spacing w:after="0" w:line="259" w:lineRule="auto"/>
        <w:ind w:left="720" w:hanging="720"/>
        <w:jc w:val="both"/>
        <w:rPr>
          <w:rFonts w:ascii="Times New Roman" w:eastAsia="Calibri" w:hAnsi="Times New Roman"/>
          <w:sz w:val="24"/>
          <w:szCs w:val="24"/>
        </w:rPr>
      </w:pPr>
      <w:bookmarkStart w:id="62" w:name="_Hlk86048291"/>
      <w:bookmarkStart w:id="63" w:name="_Hlk86048101"/>
      <w:r w:rsidRPr="00B420C3">
        <w:rPr>
          <w:rFonts w:ascii="Times New Roman" w:eastAsia="Calibri" w:hAnsi="Times New Roman"/>
          <w:sz w:val="24"/>
          <w:szCs w:val="24"/>
        </w:rPr>
        <w:t>Големански, В. и др. (ред.) 2011. Червена книга на Република България. Том 2. Животни. ИБЕИ - БАН &amp; МОСВ, София. Електронно издание: Том II - Животни (bas.bg)</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Дренски, П. 1951. Рибите в България. Фауна на България II. С., БАН, 270 с.</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Информационна система за защитени зони от екологична мрежа НАТУРА 2000.</w:t>
      </w:r>
    </w:p>
    <w:p w:rsidR="00B420C3" w:rsidRPr="00B420C3" w:rsidRDefault="00B420C3" w:rsidP="0001440D">
      <w:pPr>
        <w:spacing w:after="0" w:line="259" w:lineRule="auto"/>
        <w:ind w:left="720" w:hanging="12"/>
        <w:jc w:val="both"/>
        <w:rPr>
          <w:rFonts w:ascii="Times New Roman" w:eastAsia="Calibri" w:hAnsi="Times New Roman"/>
          <w:sz w:val="24"/>
          <w:szCs w:val="24"/>
        </w:rPr>
      </w:pPr>
      <w:r w:rsidRPr="00B420C3">
        <w:rPr>
          <w:rFonts w:ascii="Times New Roman" w:eastAsia="Calibri" w:hAnsi="Times New Roman"/>
          <w:sz w:val="24"/>
          <w:szCs w:val="24"/>
        </w:rPr>
        <w:t>http://natura2000.moew.government.bg/; http://natura2000.moew.government.bg/Home/Reports?reportType=Fishes</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Карапеткова, М. 1972. Ихтиофауна на р. Янтра. – Изв. на Зоолог. инст. с музей, 36: 149–182.</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Карапеткова, М., М. Живков. 1995. Рибите в България. С., "Гея-Либрис", 247 с.</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lastRenderedPageBreak/>
        <w:t>Моров, Т. 1931. Сладководните риби в България. С., "Художник", 93 с.</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https://ec.europa.eu/environment/nature/natura2000/management/docs/art6/BG_art_6_guide_jun_2019.pdf</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Шишков Г. 1939. Няколко думи за риболова по р. Искър. – Рибарски преглед, 9(8): 4–7.</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Bauer, C. Bobeldy, A., Lamberti G. 2006.  Predicting habitat use and trophic interactions of Eurasian ruffe, round gobies, and zebra mussels in nearshore areas of the Great Lakes. – Biol Invasions,  DOI 10.1007/s10530-006-9067-8</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Bern Convention on the Conservation of European Wildlife and Natural Habitats. https://www.coe.int/en/web/bern-convention</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CEN - EN 14011, 2003. Water quality - Sampling of fish with electricity. Brussels, 16 p.3–680.</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Froese, R., D. Pauly. Editors. 2021. FishBase. World Wide Web electronic publication. www.fishbase.org, (06/2021): Search FishBase (mnhn.fr)</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 xml:space="preserve">IUCN 2021. The IUCN Red List of Threatened Species. Version 2021-2. </w:t>
      </w:r>
      <w:hyperlink r:id="rId133" w:history="1">
        <w:r w:rsidRPr="00B420C3">
          <w:rPr>
            <w:rFonts w:ascii="Times New Roman" w:eastAsia="Calibri" w:hAnsi="Times New Roman"/>
            <w:color w:val="0563C1"/>
            <w:sz w:val="24"/>
            <w:szCs w:val="24"/>
            <w:u w:val="single"/>
          </w:rPr>
          <w:t>https://www.iucnredlist.org</w:t>
        </w:r>
      </w:hyperlink>
      <w:r w:rsidRPr="00B420C3">
        <w:rPr>
          <w:rFonts w:ascii="Times New Roman" w:eastAsia="Calibri" w:hAnsi="Times New Roman"/>
          <w:sz w:val="24"/>
          <w:szCs w:val="24"/>
        </w:rPr>
        <w:t>.</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Kottelat, M., J. Freyhof, 2007. Handbook of European freshwater fishes. Publications Kottelat, Cornol and Freyhof, Berlin. 646 pp.</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 xml:space="preserve">Vassilev, M., L. Pehlivanov. 2005. Checklist of Bulgarian freshwater fishes. – Acta zool. bulg., 57(2): 161–190.Публичен регистър по екологични оценки - </w:t>
      </w:r>
      <w:hyperlink r:id="rId134" w:history="1">
        <w:r w:rsidRPr="00B420C3">
          <w:rPr>
            <w:rFonts w:ascii="Times New Roman" w:eastAsia="Calibri" w:hAnsi="Times New Roman"/>
            <w:color w:val="0563C1"/>
            <w:sz w:val="24"/>
            <w:szCs w:val="24"/>
            <w:u w:val="single"/>
          </w:rPr>
          <w:t>http://registers.moew.government.bg/eo</w:t>
        </w:r>
      </w:hyperlink>
      <w:r w:rsidRPr="00B420C3">
        <w:rPr>
          <w:rFonts w:ascii="Times New Roman" w:eastAsia="Calibri" w:hAnsi="Times New Roman"/>
          <w:sz w:val="24"/>
          <w:szCs w:val="24"/>
        </w:rPr>
        <w:t xml:space="preserve"> (Достъп на 27.09.2021)</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 xml:space="preserve">Публичен регистър по оценки за въздействие на околната среда </w:t>
      </w:r>
      <w:hyperlink r:id="rId135" w:history="1">
        <w:r w:rsidRPr="00B420C3">
          <w:rPr>
            <w:rFonts w:ascii="Times New Roman" w:eastAsia="Calibri" w:hAnsi="Times New Roman"/>
            <w:color w:val="0563C1"/>
            <w:sz w:val="24"/>
            <w:szCs w:val="24"/>
            <w:u w:val="single"/>
          </w:rPr>
          <w:t>http://registers.moew.government.bg/ovos/</w:t>
        </w:r>
      </w:hyperlink>
      <w:r w:rsidRPr="00B420C3">
        <w:rPr>
          <w:rFonts w:ascii="Times New Roman" w:eastAsia="Calibri" w:hAnsi="Times New Roman"/>
          <w:sz w:val="24"/>
          <w:szCs w:val="24"/>
        </w:rPr>
        <w:t xml:space="preserve"> (Достъп на 27.09.2021)</w:t>
      </w:r>
    </w:p>
    <w:p w:rsidR="00B420C3" w:rsidRPr="00B420C3" w:rsidRDefault="00B420C3" w:rsidP="00B420C3">
      <w:pPr>
        <w:spacing w:after="0" w:line="240"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B420C3">
        <w:rPr>
          <w:rFonts w:ascii="Times New Roman" w:eastAsia="Calibri" w:hAnsi="Times New Roman"/>
          <w:color w:val="0563C1"/>
          <w:sz w:val="24"/>
          <w:szCs w:val="24"/>
          <w:u w:val="single"/>
        </w:rPr>
        <w:t>https://riew-pleven.eu/</w:t>
      </w:r>
    </w:p>
    <w:p w:rsidR="00B420C3" w:rsidRPr="00B420C3" w:rsidRDefault="00DE51FF" w:rsidP="00B420C3">
      <w:pPr>
        <w:spacing w:after="160" w:line="240" w:lineRule="auto"/>
        <w:jc w:val="both"/>
        <w:rPr>
          <w:rFonts w:ascii="Times New Roman" w:eastAsia="Calibri" w:hAnsi="Times New Roman"/>
          <w:iCs/>
          <w:color w:val="0563C1"/>
          <w:sz w:val="24"/>
          <w:szCs w:val="24"/>
          <w:u w:val="single"/>
        </w:rPr>
      </w:pPr>
      <w:hyperlink r:id="rId136" w:history="1">
        <w:r w:rsidR="00B420C3" w:rsidRPr="00B420C3">
          <w:rPr>
            <w:rFonts w:ascii="Times New Roman" w:eastAsia="Calibri" w:hAnsi="Times New Roman"/>
            <w:iCs/>
            <w:color w:val="0563C1"/>
            <w:sz w:val="24"/>
            <w:szCs w:val="24"/>
            <w:u w:val="single"/>
          </w:rPr>
          <w:t>http://eea.government.bg/bg/bio/nsmbr/praktichesko-rakovodstvo-metodiki-za-monitoring-i-otsenka/Podhod_</w:t>
        </w:r>
        <w:r w:rsidR="00B420C3" w:rsidRPr="00B420C3">
          <w:rPr>
            <w:rFonts w:ascii="Times New Roman" w:eastAsia="Calibri" w:hAnsi="Times New Roman"/>
            <w:iCs/>
            <w:color w:val="0563C1"/>
            <w:sz w:val="24"/>
            <w:szCs w:val="24"/>
            <w:u w:val="single"/>
            <w:lang w:val="en-US"/>
          </w:rPr>
          <w:t>Misgurnus</w:t>
        </w:r>
        <w:r w:rsidR="00B420C3" w:rsidRPr="00B420C3">
          <w:rPr>
            <w:rFonts w:ascii="Times New Roman" w:eastAsia="Calibri" w:hAnsi="Times New Roman"/>
            <w:iCs/>
            <w:color w:val="0563C1"/>
            <w:sz w:val="24"/>
            <w:szCs w:val="24"/>
            <w:u w:val="single"/>
          </w:rPr>
          <w:t>.pdf</w:t>
        </w:r>
      </w:hyperlink>
      <w:bookmarkEnd w:id="62"/>
    </w:p>
    <w:p w:rsidR="00B420C3" w:rsidRPr="00B420C3" w:rsidRDefault="00B420C3" w:rsidP="00B420C3">
      <w:pPr>
        <w:spacing w:after="160" w:line="240" w:lineRule="auto"/>
        <w:jc w:val="both"/>
        <w:rPr>
          <w:rFonts w:ascii="Times New Roman" w:eastAsia="Calibri" w:hAnsi="Times New Roman"/>
          <w:iCs/>
          <w:color w:val="0563C1"/>
          <w:sz w:val="24"/>
          <w:szCs w:val="24"/>
          <w:u w:val="single"/>
          <w:lang w:val="en-US"/>
        </w:rPr>
      </w:pPr>
      <w:r w:rsidRPr="00B420C3">
        <w:rPr>
          <w:rFonts w:eastAsia="Calibri"/>
        </w:rPr>
        <w:t>(</w:t>
      </w:r>
      <w:hyperlink r:id="rId137" w:history="1">
        <w:r w:rsidRPr="00B420C3">
          <w:rPr>
            <w:rFonts w:ascii="Times New Roman" w:eastAsia="Calibri" w:hAnsi="Times New Roman"/>
            <w:color w:val="0563C1"/>
            <w:u w:val="single"/>
          </w:rPr>
          <w:t>http://www.bd-dunav.org/search/?keyword=%D0%BF%D1%83%D1%80%D0%B1+2016-2021&amp;search</w:t>
        </w:r>
      </w:hyperlink>
      <w:r w:rsidRPr="00B420C3">
        <w:rPr>
          <w:rFonts w:ascii="Times New Roman" w:eastAsia="Calibri" w:hAnsi="Times New Roman"/>
        </w:rPr>
        <w:t>)</w:t>
      </w:r>
      <w:r w:rsidRPr="00B420C3">
        <w:rPr>
          <w:rFonts w:ascii="Times New Roman" w:eastAsia="Calibri" w:hAnsi="Times New Roman"/>
          <w:lang w:val="en-US"/>
        </w:rPr>
        <w:t xml:space="preserve"> </w:t>
      </w:r>
    </w:p>
    <w:bookmarkEnd w:id="63"/>
    <w:p w:rsidR="00B420C3" w:rsidRPr="00B420C3" w:rsidRDefault="00B420C3" w:rsidP="00B420C3">
      <w:pPr>
        <w:spacing w:after="160" w:line="240" w:lineRule="auto"/>
        <w:jc w:val="both"/>
        <w:rPr>
          <w:rFonts w:ascii="Times New Roman" w:eastAsia="Calibri" w:hAnsi="Times New Roman"/>
          <w:sz w:val="24"/>
          <w:szCs w:val="24"/>
        </w:rPr>
      </w:pPr>
      <w:r w:rsidRPr="00B420C3">
        <w:rPr>
          <w:rFonts w:ascii="Times New Roman" w:eastAsia="Calibri" w:hAnsi="Times New Roman"/>
          <w:i/>
          <w:sz w:val="24"/>
          <w:szCs w:val="24"/>
        </w:rPr>
        <w:t>Автори</w:t>
      </w:r>
      <w:r w:rsidRPr="00B420C3">
        <w:rPr>
          <w:rFonts w:ascii="Times New Roman" w:eastAsia="Calibri" w:hAnsi="Times New Roman"/>
          <w:sz w:val="24"/>
          <w:szCs w:val="24"/>
        </w:rPr>
        <w:t>:</w:t>
      </w:r>
      <w:r w:rsidRPr="00B420C3">
        <w:rPr>
          <w:rFonts w:ascii="Times New Roman" w:eastAsia="Calibri" w:hAnsi="Times New Roman"/>
          <w:b/>
          <w:sz w:val="24"/>
          <w:szCs w:val="24"/>
        </w:rPr>
        <w:t xml:space="preserve"> </w:t>
      </w:r>
      <w:r w:rsidRPr="006C17B2">
        <w:rPr>
          <w:rFonts w:ascii="Times New Roman" w:eastAsia="Calibri" w:hAnsi="Times New Roman"/>
          <w:iCs/>
          <w:sz w:val="24"/>
          <w:szCs w:val="24"/>
        </w:rPr>
        <w:t>Апостолос Апостолу, Лъчезар Пехливанов, Стефан Казако</w:t>
      </w:r>
      <w:r w:rsidR="006C17B2" w:rsidRPr="006C17B2">
        <w:rPr>
          <w:rFonts w:ascii="Times New Roman" w:eastAsia="Calibri" w:hAnsi="Times New Roman"/>
          <w:iCs/>
          <w:sz w:val="24"/>
          <w:szCs w:val="24"/>
        </w:rPr>
        <w:t>в</w:t>
      </w:r>
    </w:p>
    <w:p w:rsidR="00B420C3" w:rsidRDefault="00B420C3" w:rsidP="0070678B">
      <w:pPr>
        <w:rPr>
          <w:rFonts w:ascii="Times New Roman" w:hAnsi="Times New Roman"/>
          <w:color w:val="1F497D" w:themeColor="text2"/>
          <w:sz w:val="28"/>
          <w:szCs w:val="28"/>
        </w:rPr>
      </w:pPr>
    </w:p>
    <w:p w:rsidR="0070678B" w:rsidRDefault="00107719" w:rsidP="006C17B2">
      <w:pPr>
        <w:outlineLvl w:val="1"/>
        <w:rPr>
          <w:rFonts w:ascii="Times New Roman" w:hAnsi="Times New Roman"/>
          <w:i/>
          <w:color w:val="1F497D" w:themeColor="text2"/>
          <w:sz w:val="28"/>
          <w:szCs w:val="28"/>
        </w:rPr>
      </w:pPr>
      <w:bookmarkStart w:id="64" w:name="_Toc98838551"/>
      <w:r>
        <w:rPr>
          <w:rFonts w:ascii="Times New Roman" w:hAnsi="Times New Roman"/>
          <w:color w:val="1F497D" w:themeColor="text2"/>
          <w:sz w:val="28"/>
          <w:szCs w:val="28"/>
        </w:rPr>
        <w:t xml:space="preserve">Природозащитни цели за </w:t>
      </w:r>
      <w:r w:rsidR="0070678B">
        <w:rPr>
          <w:rFonts w:ascii="Times New Roman" w:hAnsi="Times New Roman"/>
          <w:color w:val="1F497D" w:themeColor="text2"/>
          <w:sz w:val="28"/>
          <w:szCs w:val="28"/>
        </w:rPr>
        <w:t xml:space="preserve">2522 </w:t>
      </w:r>
      <w:r w:rsidR="0070678B" w:rsidRPr="00107719">
        <w:rPr>
          <w:rFonts w:ascii="Times New Roman" w:hAnsi="Times New Roman"/>
          <w:i/>
          <w:color w:val="1F497D" w:themeColor="text2"/>
          <w:sz w:val="28"/>
          <w:szCs w:val="28"/>
        </w:rPr>
        <w:t>Pelecus cultratus</w:t>
      </w:r>
      <w:bookmarkEnd w:id="64"/>
    </w:p>
    <w:p w:rsidR="003D617F" w:rsidRPr="003D617F" w:rsidRDefault="003D617F" w:rsidP="003D617F">
      <w:pPr>
        <w:spacing w:after="160" w:line="240" w:lineRule="auto"/>
        <w:jc w:val="both"/>
        <w:rPr>
          <w:rFonts w:ascii="Times New Roman" w:eastAsia="Calibri" w:hAnsi="Times New Roman"/>
          <w:b/>
          <w:bCs/>
          <w:sz w:val="24"/>
          <w:szCs w:val="24"/>
        </w:rPr>
      </w:pPr>
      <w:r w:rsidRPr="003D617F">
        <w:rPr>
          <w:rFonts w:ascii="Times New Roman" w:eastAsia="Calibri" w:hAnsi="Times New Roman"/>
          <w:b/>
          <w:sz w:val="24"/>
          <w:szCs w:val="24"/>
        </w:rPr>
        <w:lastRenderedPageBreak/>
        <w:t xml:space="preserve">1. Код и наименование на вида: </w:t>
      </w:r>
      <w:r w:rsidRPr="006C17B2">
        <w:rPr>
          <w:rFonts w:ascii="Times New Roman" w:hAnsi="Times New Roman"/>
          <w:bCs/>
          <w:color w:val="000000"/>
          <w:sz w:val="24"/>
          <w:szCs w:val="24"/>
          <w:lang w:eastAsia="bg-BG"/>
        </w:rPr>
        <w:t xml:space="preserve">2522 </w:t>
      </w:r>
      <w:r w:rsidR="006C17B2" w:rsidRPr="006C17B2">
        <w:rPr>
          <w:rFonts w:ascii="Times New Roman" w:hAnsi="Times New Roman"/>
          <w:bCs/>
          <w:i/>
          <w:color w:val="000000"/>
          <w:sz w:val="24"/>
          <w:szCs w:val="24"/>
          <w:lang w:val="en-US" w:eastAsia="bg-BG"/>
        </w:rPr>
        <w:t>Pelecus</w:t>
      </w:r>
      <w:r w:rsidR="006C17B2" w:rsidRPr="006C17B2">
        <w:rPr>
          <w:rFonts w:ascii="Times New Roman" w:hAnsi="Times New Roman"/>
          <w:bCs/>
          <w:i/>
          <w:color w:val="000000"/>
          <w:sz w:val="24"/>
          <w:szCs w:val="24"/>
          <w:lang w:eastAsia="bg-BG"/>
        </w:rPr>
        <w:t xml:space="preserve"> </w:t>
      </w:r>
      <w:r w:rsidR="006C17B2" w:rsidRPr="006C17B2">
        <w:rPr>
          <w:rFonts w:ascii="Times New Roman" w:hAnsi="Times New Roman"/>
          <w:bCs/>
          <w:i/>
          <w:color w:val="000000"/>
          <w:sz w:val="24"/>
          <w:szCs w:val="24"/>
          <w:lang w:val="en-US" w:eastAsia="bg-BG"/>
        </w:rPr>
        <w:t>cultratus</w:t>
      </w:r>
      <w:r w:rsidR="006C17B2" w:rsidRPr="006C17B2">
        <w:rPr>
          <w:rFonts w:ascii="Times New Roman" w:hAnsi="Times New Roman"/>
          <w:bCs/>
          <w:i/>
          <w:color w:val="000000"/>
          <w:sz w:val="24"/>
          <w:szCs w:val="24"/>
          <w:lang w:eastAsia="bg-BG"/>
        </w:rPr>
        <w:t xml:space="preserve"> </w:t>
      </w:r>
      <w:r w:rsidR="006C17B2" w:rsidRPr="006C17B2">
        <w:rPr>
          <w:rFonts w:ascii="Times New Roman" w:hAnsi="Times New Roman"/>
          <w:bCs/>
          <w:color w:val="000000"/>
          <w:sz w:val="24"/>
          <w:szCs w:val="24"/>
          <w:lang w:eastAsia="bg-BG"/>
        </w:rPr>
        <w:t>- Сабица</w:t>
      </w:r>
      <w:r w:rsidR="006C17B2">
        <w:rPr>
          <w:rFonts w:ascii="Times New Roman" w:hAnsi="Times New Roman"/>
          <w:b/>
          <w:bCs/>
          <w:color w:val="000000"/>
          <w:sz w:val="24"/>
          <w:szCs w:val="24"/>
          <w:lang w:eastAsia="bg-BG"/>
        </w:rPr>
        <w:t xml:space="preserve"> </w:t>
      </w: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2. Кратка </w:t>
      </w:r>
      <w:r w:rsidR="006C17B2">
        <w:rPr>
          <w:rFonts w:ascii="Times New Roman" w:eastAsia="Calibri" w:hAnsi="Times New Roman"/>
          <w:b/>
          <w:sz w:val="24"/>
          <w:szCs w:val="24"/>
        </w:rPr>
        <w:t>характеристика на целевия обект</w:t>
      </w:r>
    </w:p>
    <w:p w:rsidR="003D617F" w:rsidRPr="003D617F" w:rsidRDefault="003D617F" w:rsidP="006C17B2">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Сабицата се отличава от другите шаранови риби по: тялото е издължено, странично сплеснато, с кил по коремната страна и по-високо в предната половина. Страничната линия е зигзагообразна. Гръдните перки са големи, продълговати, устата е горна. Сабицата е полупроходен, пелагичен, мигриращ пасажен вид. Съзрява  полово на 3-5 години при 200-300 мм стандартна дължина на тялото. Размножаването е през април-май при температури на водата над 12 градуса. Яйцата са полупелагични и се носят по течението, излюпват се след 3-4 дни. Новоизлюпените рибки мигрират към делтата през първото лято. Плодовитостта на женските е между 2600 и 94 000 хайверни зърна. Малките се хранят със зоопланктон, но бързо преминават на насекоми – ларви или възрастни, а от втората година - и на дребни риби. Бърз плувец, често при хранене, изскача над водата. Достига максимална дължина до 60 cm и маса – до 2 kg. Продължителността на живот е до 11 години. В миналото е установен в р. Дунав и прилежащите блата, както и в притоците й Искър (до с. Долни Луковит) и Янтра (до с. Полско Косово). По-късно е потвърден отново за р. Дунав (от Видин до Силистра), р. Искър (рядко и главно в устието) и р. Янтра (на 3 km от устието). Сега се среща в р. Дунав, като количеството на уловa му e еднo от най-ниските в сравнение с останалите дунавски видове. Река Дунав е на границата на ареала на вида.</w:t>
      </w:r>
    </w:p>
    <w:p w:rsidR="003D617F" w:rsidRPr="003D617F" w:rsidRDefault="003D617F" w:rsidP="006C17B2">
      <w:pPr>
        <w:spacing w:after="0" w:line="240" w:lineRule="auto"/>
        <w:ind w:firstLine="709"/>
        <w:jc w:val="both"/>
        <w:rPr>
          <w:rFonts w:ascii="Times New Roman" w:eastAsia="Calibri" w:hAnsi="Times New Roman"/>
          <w:sz w:val="24"/>
          <w:szCs w:val="24"/>
        </w:rPr>
      </w:pPr>
      <w:r w:rsidRPr="0001440D">
        <w:rPr>
          <w:rFonts w:ascii="Times New Roman" w:eastAsia="Calibri" w:hAnsi="Times New Roman"/>
          <w:i/>
          <w:sz w:val="24"/>
          <w:szCs w:val="24"/>
        </w:rPr>
        <w:t>Характеристики на местообитанието в България</w:t>
      </w:r>
      <w:r w:rsidR="0001440D">
        <w:rPr>
          <w:rFonts w:ascii="Times New Roman" w:eastAsia="Calibri" w:hAnsi="Times New Roman"/>
          <w:i/>
          <w:sz w:val="24"/>
          <w:szCs w:val="24"/>
        </w:rPr>
        <w:t>.</w:t>
      </w:r>
      <w:r w:rsidRPr="003D617F">
        <w:rPr>
          <w:rFonts w:ascii="Times New Roman" w:eastAsia="Calibri" w:hAnsi="Times New Roman"/>
          <w:sz w:val="24"/>
          <w:szCs w:val="24"/>
        </w:rPr>
        <w:t xml:space="preserve"> Видът се характеризира с дисперсно разпространение по протежение на р. Дунав и долните течения на неговите големи притоци.</w:t>
      </w:r>
    </w:p>
    <w:p w:rsidR="003D617F" w:rsidRPr="003D617F" w:rsidRDefault="003D617F" w:rsidP="006C17B2">
      <w:pPr>
        <w:spacing w:before="120"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3. Състояние на биогеографско ниво и разпространение в мрежата </w:t>
      </w:r>
    </w:p>
    <w:p w:rsidR="003D617F" w:rsidRPr="003D617F" w:rsidRDefault="003D617F" w:rsidP="006C17B2">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Съгласно доклада по чл. 17 от Директивата за местообитанията, през 2019 г. (за периода 2013 г. - 2018 г.), видът има благоприя</w:t>
      </w:r>
      <w:r w:rsidR="006C17B2">
        <w:rPr>
          <w:rFonts w:ascii="Times New Roman" w:eastAsia="Calibri" w:hAnsi="Times New Roman"/>
          <w:sz w:val="24"/>
          <w:szCs w:val="24"/>
        </w:rPr>
        <w:t>тно природозащитно състояние в К</w:t>
      </w:r>
      <w:r w:rsidRPr="003D617F">
        <w:rPr>
          <w:rFonts w:ascii="Times New Roman" w:eastAsia="Calibri" w:hAnsi="Times New Roman"/>
          <w:sz w:val="24"/>
          <w:szCs w:val="24"/>
        </w:rPr>
        <w:t xml:space="preserve">онтиненталния биогеографски </w:t>
      </w:r>
      <w:r w:rsidR="006C17B2">
        <w:rPr>
          <w:rFonts w:ascii="Times New Roman" w:eastAsia="Calibri" w:hAnsi="Times New Roman"/>
          <w:sz w:val="24"/>
          <w:szCs w:val="24"/>
        </w:rPr>
        <w:t>регион</w:t>
      </w:r>
      <w:r w:rsidRPr="003D617F">
        <w:rPr>
          <w:rFonts w:ascii="Times New Roman" w:eastAsia="Calibri" w:hAnsi="Times New Roman"/>
          <w:sz w:val="24"/>
          <w:szCs w:val="24"/>
        </w:rPr>
        <w:t xml:space="preserve">. Оценката от доклада от 2013 г. (за периода 2007 г. – 2012 г.) е благоприятна само за параметъра популация, което определя общата оценка като неблагоприятна (U1). </w:t>
      </w:r>
    </w:p>
    <w:p w:rsidR="003D617F" w:rsidRPr="003D617F" w:rsidRDefault="00DE51FF" w:rsidP="003D617F">
      <w:pPr>
        <w:spacing w:after="160" w:line="240" w:lineRule="auto"/>
        <w:jc w:val="both"/>
        <w:rPr>
          <w:rFonts w:ascii="Times New Roman" w:eastAsia="Calibri" w:hAnsi="Times New Roman"/>
          <w:color w:val="0563C1"/>
          <w:sz w:val="24"/>
          <w:szCs w:val="24"/>
          <w:u w:val="single"/>
        </w:rPr>
      </w:pPr>
      <w:hyperlink r:id="rId138" w:history="1">
        <w:r w:rsidR="003D617F" w:rsidRPr="003D617F">
          <w:rPr>
            <w:rFonts w:ascii="Times New Roman" w:eastAsia="Calibri" w:hAnsi="Times New Roman"/>
            <w:color w:val="0563C1"/>
            <w:sz w:val="24"/>
            <w:szCs w:val="24"/>
            <w:u w:val="single"/>
          </w:rPr>
          <w:t>https://nature-art17.eionet.europa.eu/article17/species/report/</w:t>
        </w:r>
      </w:hyperlink>
    </w:p>
    <w:p w:rsidR="003D617F" w:rsidRPr="003D617F" w:rsidRDefault="003D617F" w:rsidP="003D617F">
      <w:pPr>
        <w:spacing w:after="0" w:line="240" w:lineRule="auto"/>
        <w:jc w:val="both"/>
        <w:rPr>
          <w:rFonts w:ascii="Times New Roman" w:eastAsia="Calibri" w:hAnsi="Times New Roman"/>
          <w:sz w:val="24"/>
          <w:szCs w:val="24"/>
        </w:rPr>
      </w:pPr>
      <w:r w:rsidRPr="003D617F">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3D617F" w:rsidRPr="003D617F" w:rsidRDefault="003D617F" w:rsidP="003D617F">
      <w:pPr>
        <w:spacing w:after="0" w:line="240" w:lineRule="auto"/>
        <w:jc w:val="both"/>
        <w:rPr>
          <w:rFonts w:ascii="Times New Roman" w:eastAsia="Calibri" w:hAnsi="Times New Roman"/>
          <w:sz w:val="24"/>
          <w:szCs w:val="24"/>
        </w:rPr>
      </w:pPr>
      <w:r w:rsidRPr="003D617F">
        <w:rPr>
          <w:rFonts w:ascii="Times New Roman" w:eastAsia="Calibri" w:hAnsi="Times New Roman"/>
          <w:sz w:val="24"/>
          <w:szCs w:val="24"/>
        </w:rPr>
        <w:t>Пряко въздействащи негативни антропогенни фактори.</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 xml:space="preserve">Улавяне в риболовни уреди, целенасочен промишлен, любителски и нерегламентиран (бракониерски) риболов. </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Разрушаване на местообитанията и прекъсване на биокоридорите: добив на инертни материали, корекции на реки, преграждане на речните корита;</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 xml:space="preserve">Замърсяване на водите. </w:t>
      </w:r>
    </w:p>
    <w:p w:rsidR="003D617F" w:rsidRPr="003D617F" w:rsidRDefault="003D617F" w:rsidP="003D617F">
      <w:pPr>
        <w:spacing w:after="0" w:line="240" w:lineRule="auto"/>
        <w:jc w:val="both"/>
        <w:rPr>
          <w:rFonts w:ascii="Times New Roman" w:eastAsia="Calibri" w:hAnsi="Times New Roman"/>
          <w:b/>
          <w:sz w:val="24"/>
          <w:szCs w:val="24"/>
          <w:lang w:val="en-US"/>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4. Състояние на ниво защитена зона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33"/>
        <w:gridCol w:w="588"/>
        <w:gridCol w:w="1129"/>
        <w:gridCol w:w="262"/>
        <w:gridCol w:w="661"/>
        <w:gridCol w:w="308"/>
        <w:gridCol w:w="631"/>
        <w:gridCol w:w="714"/>
        <w:gridCol w:w="532"/>
        <w:gridCol w:w="519"/>
        <w:gridCol w:w="1065"/>
        <w:gridCol w:w="796"/>
        <w:gridCol w:w="553"/>
        <w:gridCol w:w="471"/>
        <w:gridCol w:w="782"/>
      </w:tblGrid>
      <w:tr w:rsidR="003D617F" w:rsidRPr="003D617F" w:rsidTr="006C17B2">
        <w:trPr>
          <w:tblCellSpacing w:w="15" w:type="dxa"/>
        </w:trPr>
        <w:tc>
          <w:tcPr>
            <w:tcW w:w="1563"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1999"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74"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6C17B2">
        <w:trPr>
          <w:tblCellSpacing w:w="15" w:type="dxa"/>
        </w:trPr>
        <w:tc>
          <w:tcPr>
            <w:tcW w:w="160"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G </w:t>
            </w:r>
          </w:p>
        </w:tc>
        <w:tc>
          <w:tcPr>
            <w:tcW w:w="311"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612"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29"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286"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55"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716"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27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7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51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42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6C17B2">
        <w:trPr>
          <w:tblCellSpacing w:w="15" w:type="dxa"/>
        </w:trPr>
        <w:tc>
          <w:tcPr>
            <w:tcW w:w="16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1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61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2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8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5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3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27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7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51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42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29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Con.</w:t>
            </w:r>
          </w:p>
        </w:tc>
        <w:tc>
          <w:tcPr>
            <w:tcW w:w="24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Iso.</w:t>
            </w:r>
          </w:p>
        </w:tc>
        <w:tc>
          <w:tcPr>
            <w:tcW w:w="36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Glo.</w:t>
            </w:r>
          </w:p>
        </w:tc>
      </w:tr>
      <w:tr w:rsidR="003D617F" w:rsidRPr="003D617F" w:rsidTr="003D617F">
        <w:trPr>
          <w:tblCellSpacing w:w="15" w:type="dxa"/>
        </w:trPr>
        <w:tc>
          <w:tcPr>
            <w:tcW w:w="16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lastRenderedPageBreak/>
              <w:t>F</w:t>
            </w:r>
          </w:p>
        </w:tc>
        <w:tc>
          <w:tcPr>
            <w:tcW w:w="31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2522</w:t>
            </w:r>
          </w:p>
        </w:tc>
        <w:tc>
          <w:tcPr>
            <w:tcW w:w="61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i/>
                <w:sz w:val="16"/>
                <w:szCs w:val="16"/>
                <w:lang w:val="en-US"/>
              </w:rPr>
              <w:t>Pelecus cultratus</w:t>
            </w:r>
          </w:p>
        </w:tc>
        <w:tc>
          <w:tcPr>
            <w:tcW w:w="12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p>
        </w:tc>
        <w:tc>
          <w:tcPr>
            <w:tcW w:w="28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p>
        </w:tc>
        <w:tc>
          <w:tcPr>
            <w:tcW w:w="15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Р</w:t>
            </w:r>
          </w:p>
        </w:tc>
        <w:tc>
          <w:tcPr>
            <w:tcW w:w="33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700000</w:t>
            </w:r>
          </w:p>
        </w:tc>
        <w:tc>
          <w:tcPr>
            <w:tcW w:w="36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700000</w:t>
            </w:r>
          </w:p>
        </w:tc>
        <w:tc>
          <w:tcPr>
            <w:tcW w:w="27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area</w:t>
            </w:r>
          </w:p>
        </w:tc>
        <w:tc>
          <w:tcPr>
            <w:tcW w:w="27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P</w:t>
            </w:r>
          </w:p>
        </w:tc>
        <w:tc>
          <w:tcPr>
            <w:tcW w:w="51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P</w:t>
            </w:r>
          </w:p>
        </w:tc>
        <w:tc>
          <w:tcPr>
            <w:tcW w:w="42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C</w:t>
            </w:r>
          </w:p>
        </w:tc>
        <w:tc>
          <w:tcPr>
            <w:tcW w:w="29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A</w:t>
            </w:r>
          </w:p>
        </w:tc>
        <w:tc>
          <w:tcPr>
            <w:tcW w:w="24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B</w:t>
            </w:r>
          </w:p>
        </w:tc>
        <w:tc>
          <w:tcPr>
            <w:tcW w:w="36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A</w:t>
            </w:r>
          </w:p>
        </w:tc>
      </w:tr>
    </w:tbl>
    <w:p w:rsidR="003D617F" w:rsidRPr="003D617F" w:rsidRDefault="003D617F" w:rsidP="003D617F">
      <w:pPr>
        <w:autoSpaceDE w:val="0"/>
        <w:autoSpaceDN w:val="0"/>
        <w:adjustRightInd w:val="0"/>
        <w:spacing w:after="0" w:line="240" w:lineRule="auto"/>
        <w:jc w:val="both"/>
        <w:rPr>
          <w:rFonts w:ascii="Times New Roman" w:eastAsia="Calibri" w:hAnsi="Times New Roman"/>
          <w:bCs/>
          <w:color w:val="000000"/>
          <w:kern w:val="36"/>
          <w:sz w:val="24"/>
          <w:szCs w:val="24"/>
        </w:rPr>
      </w:pPr>
      <w:r w:rsidRPr="003D617F">
        <w:rPr>
          <w:rFonts w:ascii="Times New Roman" w:eastAsia="Calibri" w:hAnsi="Times New Roman"/>
          <w:b/>
          <w:sz w:val="24"/>
          <w:szCs w:val="24"/>
        </w:rPr>
        <w:t xml:space="preserve">Източник: </w:t>
      </w:r>
    </w:p>
    <w:p w:rsidR="003D617F" w:rsidRPr="003D617F" w:rsidRDefault="00DE51FF" w:rsidP="003D617F">
      <w:pPr>
        <w:spacing w:after="160" w:line="240" w:lineRule="auto"/>
        <w:jc w:val="both"/>
        <w:rPr>
          <w:rFonts w:ascii="Times New Roman" w:eastAsia="Calibri" w:hAnsi="Times New Roman"/>
          <w:sz w:val="24"/>
        </w:rPr>
      </w:pPr>
      <w:hyperlink r:id="rId139" w:history="1">
        <w:r w:rsidR="003D617F" w:rsidRPr="003D617F">
          <w:rPr>
            <w:rFonts w:ascii="Times New Roman" w:eastAsia="Calibri" w:hAnsi="Times New Roman"/>
            <w:color w:val="0563C1"/>
            <w:sz w:val="24"/>
            <w:u w:val="single"/>
          </w:rPr>
          <w:t>http://natura2000.moew.government.bg/PublicDownloads/Auto/PS_SCI/BG0000530/BG0000530_PS_16.pdf</w:t>
        </w:r>
      </w:hyperlink>
    </w:p>
    <w:p w:rsidR="003D617F" w:rsidRPr="003D617F" w:rsidRDefault="003D617F" w:rsidP="006C17B2">
      <w:pPr>
        <w:spacing w:after="0" w:line="240" w:lineRule="auto"/>
        <w:ind w:firstLine="709"/>
        <w:jc w:val="both"/>
        <w:rPr>
          <w:rFonts w:eastAsia="Calibri"/>
        </w:rPr>
      </w:pPr>
      <w:r w:rsidRPr="003D617F">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3D617F" w:rsidRPr="003D617F" w:rsidRDefault="003D617F" w:rsidP="006C17B2">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Качеството на данните за вида е оценено като „лошо“ (</w:t>
      </w:r>
      <w:r w:rsidRPr="003D617F">
        <w:rPr>
          <w:rFonts w:ascii="Times New Roman" w:eastAsia="Calibri" w:hAnsi="Times New Roman"/>
          <w:sz w:val="24"/>
          <w:szCs w:val="24"/>
          <w:lang w:val="en-GB"/>
        </w:rPr>
        <w:t>G</w:t>
      </w:r>
      <w:r w:rsidRPr="003D617F">
        <w:rPr>
          <w:rFonts w:ascii="Times New Roman" w:eastAsia="Calibri" w:hAnsi="Times New Roman"/>
          <w:sz w:val="24"/>
          <w:szCs w:val="24"/>
        </w:rPr>
        <w:t>). Като популационна единица е използвана площта на местообитанията (мин-макс). Опазването на вида е оценено с „</w:t>
      </w:r>
      <w:r w:rsidRPr="003D617F">
        <w:rPr>
          <w:rFonts w:ascii="Times New Roman" w:eastAsia="Calibri" w:hAnsi="Times New Roman"/>
          <w:bCs/>
          <w:color w:val="000000"/>
          <w:kern w:val="36"/>
          <w:sz w:val="24"/>
          <w:szCs w:val="24"/>
        </w:rPr>
        <w:t>А“ (Отлично опазване)</w:t>
      </w:r>
      <w:r w:rsidRPr="003D617F">
        <w:rPr>
          <w:rFonts w:ascii="Times New Roman" w:eastAsia="Calibri" w:hAnsi="Times New Roman"/>
          <w:sz w:val="24"/>
          <w:szCs w:val="24"/>
        </w:rPr>
        <w:t>. Степента на изолация на популацията е оценен</w:t>
      </w:r>
      <w:r w:rsidR="0001440D">
        <w:rPr>
          <w:rFonts w:ascii="Times New Roman" w:eastAsia="Calibri" w:hAnsi="Times New Roman"/>
          <w:sz w:val="24"/>
          <w:szCs w:val="24"/>
        </w:rPr>
        <w:t>а</w:t>
      </w:r>
      <w:r w:rsidRPr="003D617F">
        <w:rPr>
          <w:rFonts w:ascii="Times New Roman" w:eastAsia="Calibri" w:hAnsi="Times New Roman"/>
          <w:sz w:val="24"/>
          <w:szCs w:val="24"/>
        </w:rPr>
        <w:t xml:space="preserve"> с „В“</w:t>
      </w:r>
      <w:r w:rsidRPr="003D617F">
        <w:rPr>
          <w:rFonts w:ascii="Times New Roman" w:eastAsia="Calibri" w:hAnsi="Times New Roman"/>
          <w:bCs/>
          <w:color w:val="000000"/>
          <w:kern w:val="36"/>
          <w:sz w:val="24"/>
          <w:szCs w:val="24"/>
        </w:rPr>
        <w:t xml:space="preserve"> (не изолирана популация, но на границите на ареала на разпространение).</w:t>
      </w:r>
      <w:r w:rsidRPr="003D617F">
        <w:rPr>
          <w:rFonts w:ascii="Times New Roman" w:eastAsia="Calibri" w:hAnsi="Times New Roman"/>
          <w:sz w:val="24"/>
          <w:szCs w:val="24"/>
        </w:rPr>
        <w:t xml:space="preserve"> Цялостна оценка на стойността на зоната за опазването на вида попада в категорията „А“</w:t>
      </w:r>
      <w:r w:rsidRPr="003D617F">
        <w:rPr>
          <w:rFonts w:ascii="Times New Roman" w:eastAsia="Calibri" w:hAnsi="Times New Roman"/>
          <w:bCs/>
          <w:color w:val="000000"/>
          <w:kern w:val="36"/>
          <w:sz w:val="24"/>
          <w:szCs w:val="24"/>
        </w:rPr>
        <w:t xml:space="preserve"> (отлична стойност)</w:t>
      </w:r>
      <w:r w:rsidRPr="003D617F">
        <w:rPr>
          <w:rFonts w:ascii="Times New Roman" w:eastAsia="Calibri" w:hAnsi="Times New Roman"/>
          <w:sz w:val="24"/>
          <w:szCs w:val="24"/>
        </w:rPr>
        <w:t>. Значимостта на зоната, както и всички защитени зони от мрежата Натура 2000 по поречието на Долен Дунав, за опазването на сабицата, се определя преди всичко от тяхното гранично положение в ареала на вида.</w:t>
      </w:r>
    </w:p>
    <w:p w:rsidR="003D617F" w:rsidRPr="003D617F" w:rsidRDefault="003D617F" w:rsidP="006C17B2">
      <w:pPr>
        <w:spacing w:before="120"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5.</w:t>
      </w:r>
      <w:r w:rsidR="006C17B2">
        <w:rPr>
          <w:rFonts w:ascii="Times New Roman" w:eastAsia="Calibri" w:hAnsi="Times New Roman"/>
          <w:b/>
          <w:sz w:val="24"/>
          <w:szCs w:val="24"/>
        </w:rPr>
        <w:t xml:space="preserve"> Анализ на наличната информация</w:t>
      </w:r>
    </w:p>
    <w:p w:rsidR="003D617F" w:rsidRPr="003D617F" w:rsidRDefault="003D617F" w:rsidP="006C17B2">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Видът не е регистриран през 2013 г. в зоната по време на проект "Картиране и определяне на природозащитното състояние на природни местообитания и видове - фаза I", поради което по критерий „Популация в зоната“ е .категоризиран в „неблагоприятно -незадоволително“ ПС. Стойностите на всички останали критерии са в границите на „Благоприятно“ ПС, но цялостната оценка е „неблагоприятно-незадоволително“ ПС, съгласно възприетия подход за оценка. В стандартния формуляр като индикатор за популацията е посочена площ на местообитанията (700000 мин.-макс.). В зоната местообитания на вида има само в р. Дунав.</w:t>
      </w:r>
    </w:p>
    <w:p w:rsidR="003D617F" w:rsidRPr="003D617F" w:rsidRDefault="003D617F" w:rsidP="006C17B2">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Участъкът от река Дунав в зоната, според своите хидроморфологични характеристики представлява подходящо местообитание за вида и ефективен екокоридор за връзка с останалите части на популацията, тъй като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въпреки, че стойностите на параметъра „Сапробност“ (ББИ) вероятно са индикатор за наличието на акумулиран натиск от по-горните участъци на р. Дунав. По данни от международното научно изследване </w:t>
      </w:r>
      <w:r w:rsidRPr="003D617F">
        <w:rPr>
          <w:rFonts w:ascii="Times New Roman" w:eastAsia="Calibri" w:hAnsi="Times New Roman"/>
          <w:sz w:val="24"/>
          <w:szCs w:val="24"/>
          <w:lang w:val="en-US"/>
        </w:rPr>
        <w:t>“JDS 4”</w:t>
      </w:r>
      <w:r w:rsidRPr="003D617F">
        <w:rPr>
          <w:rFonts w:ascii="Times New Roman" w:eastAsia="Calibri" w:hAnsi="Times New Roman"/>
          <w:sz w:val="24"/>
          <w:szCs w:val="24"/>
        </w:rPr>
        <w:t xml:space="preserve">, през 2019 </w:t>
      </w:r>
      <w:r w:rsidR="00022F9E">
        <w:rPr>
          <w:rFonts w:ascii="Times New Roman" w:eastAsia="Calibri" w:hAnsi="Times New Roman"/>
          <w:sz w:val="24"/>
          <w:szCs w:val="24"/>
        </w:rPr>
        <w:t xml:space="preserve">г. </w:t>
      </w:r>
      <w:r w:rsidRPr="003D617F">
        <w:rPr>
          <w:rFonts w:ascii="Times New Roman" w:eastAsia="Calibri" w:hAnsi="Times New Roman"/>
          <w:sz w:val="24"/>
          <w:szCs w:val="24"/>
        </w:rPr>
        <w:t>на най-близкия мониторингов пункт на р. Дунав при с. Ветрен е определен като Добър екологичен потенциал по БЕК Риби, БЕК Макрозообентос и БЕК Макрофити.</w:t>
      </w:r>
    </w:p>
    <w:p w:rsidR="00022F9E" w:rsidRPr="00A6473B" w:rsidRDefault="00022F9E" w:rsidP="00022F9E">
      <w:pPr>
        <w:spacing w:after="0" w:line="240" w:lineRule="auto"/>
        <w:ind w:firstLine="709"/>
        <w:jc w:val="both"/>
        <w:rPr>
          <w:rFonts w:ascii="Times New Roman" w:eastAsia="Calibri" w:hAnsi="Times New Roman"/>
          <w:sz w:val="24"/>
          <w:szCs w:val="24"/>
        </w:rPr>
      </w:pPr>
      <w:r w:rsidRPr="00A6473B">
        <w:rPr>
          <w:rFonts w:ascii="Times New Roman" w:eastAsia="Calibri" w:hAnsi="Times New Roman"/>
          <w:sz w:val="24"/>
          <w:szCs w:val="24"/>
        </w:rPr>
        <w:t>При полевото проучване през 2021 г. по време на проекта за определяне на целите за опазване на вида в защитената зона съгласно утвърдената методика за мониторинг на риби в р. Дунав</w:t>
      </w:r>
      <w:r>
        <w:rPr>
          <w:rFonts w:ascii="Times New Roman" w:eastAsia="Calibri" w:hAnsi="Times New Roman"/>
          <w:sz w:val="24"/>
          <w:szCs w:val="24"/>
        </w:rPr>
        <w:t xml:space="preserve">, </w:t>
      </w:r>
      <w:bookmarkStart w:id="65" w:name="_Hlk96439803"/>
      <w:r w:rsidRPr="003959C3">
        <w:rPr>
          <w:rFonts w:ascii="Times New Roman" w:eastAsia="Calibri" w:hAnsi="Times New Roman"/>
          <w:sz w:val="24"/>
          <w:szCs w:val="24"/>
        </w:rPr>
        <w:t>приета в Националната система за мониторинг на биологичното разнообразие</w:t>
      </w:r>
      <w:r w:rsidRPr="003959C3">
        <w:rPr>
          <w:rFonts w:eastAsia="Calibri"/>
        </w:rPr>
        <w:t xml:space="preserve"> (</w:t>
      </w:r>
      <w:hyperlink r:id="rId140" w:history="1">
        <w:r w:rsidRPr="003959C3">
          <w:rPr>
            <w:rFonts w:ascii="Times New Roman" w:eastAsia="Calibri" w:hAnsi="Times New Roman"/>
            <w:color w:val="0000FF"/>
            <w:sz w:val="24"/>
            <w:szCs w:val="24"/>
            <w:u w:val="single"/>
          </w:rPr>
          <w:t>http://eea.government.bg/bg/bio/nsmbr/praktichesko-rakovodstvo-metodiki-za-monitoring-i-otsenka/ribi</w:t>
        </w:r>
      </w:hyperlink>
      <w:r w:rsidRPr="003959C3">
        <w:rPr>
          <w:rFonts w:ascii="Times New Roman" w:eastAsia="Calibri" w:hAnsi="Times New Roman"/>
          <w:sz w:val="24"/>
          <w:szCs w:val="24"/>
        </w:rPr>
        <w:t>)</w:t>
      </w:r>
      <w:bookmarkEnd w:id="65"/>
      <w:r w:rsidRPr="00A6473B">
        <w:rPr>
          <w:rFonts w:ascii="Times New Roman" w:eastAsia="Calibri" w:hAnsi="Times New Roman"/>
          <w:sz w:val="24"/>
          <w:szCs w:val="24"/>
        </w:rPr>
        <w:t>. Според дължината на подходящи</w:t>
      </w:r>
      <w:r>
        <w:rPr>
          <w:rFonts w:ascii="Times New Roman" w:eastAsia="Calibri" w:hAnsi="Times New Roman"/>
          <w:sz w:val="24"/>
          <w:szCs w:val="24"/>
        </w:rPr>
        <w:t>те</w:t>
      </w:r>
      <w:r w:rsidRPr="00A6473B">
        <w:rPr>
          <w:rFonts w:ascii="Times New Roman" w:eastAsia="Calibri" w:hAnsi="Times New Roman"/>
          <w:sz w:val="24"/>
          <w:szCs w:val="24"/>
        </w:rPr>
        <w:t xml:space="preserve"> речни участъци в зоната са избрани за пробонабиране 3 трансекта, които да покриват представителни хабитати на вида, и които позволяват адекватна оценка на популацията в зоната. Изполвани са два метода за пробонабиране, с цел оптимални резултати: гриб и електроулов. </w:t>
      </w:r>
    </w:p>
    <w:p w:rsidR="00022F9E" w:rsidRPr="003D617F" w:rsidRDefault="00022F9E" w:rsidP="00022F9E">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 изследваните участъци видът не е регистриран.</w:t>
      </w:r>
    </w:p>
    <w:p w:rsidR="003D617F" w:rsidRPr="003D617F" w:rsidRDefault="003D617F" w:rsidP="006C17B2">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Защитена зона </w:t>
      </w:r>
      <w:r w:rsidRPr="003D617F">
        <w:rPr>
          <w:rFonts w:ascii="Times New Roman" w:eastAsia="Calibri" w:hAnsi="Times New Roman"/>
          <w:sz w:val="24"/>
          <w:szCs w:val="24"/>
          <w:lang w:val="en-US"/>
        </w:rPr>
        <w:t>BG0000241</w:t>
      </w:r>
      <w:r w:rsidRPr="003D617F">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w:t>
      </w:r>
      <w:r w:rsidRPr="003D617F">
        <w:rPr>
          <w:rFonts w:ascii="Times New Roman" w:eastAsia="Calibri" w:hAnsi="Times New Roman"/>
          <w:sz w:val="24"/>
          <w:szCs w:val="24"/>
        </w:rPr>
        <w:lastRenderedPageBreak/>
        <w:t xml:space="preserve">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w:t>
      </w:r>
      <w:r w:rsidR="00022F9E">
        <w:rPr>
          <w:rFonts w:ascii="Times New Roman" w:eastAsia="Calibri" w:hAnsi="Times New Roman"/>
          <w:sz w:val="24"/>
          <w:szCs w:val="24"/>
        </w:rPr>
        <w:t>незаконен</w:t>
      </w:r>
      <w:r w:rsidRPr="003D617F">
        <w:rPr>
          <w:rFonts w:ascii="Times New Roman" w:eastAsia="Calibri" w:hAnsi="Times New Roman"/>
          <w:sz w:val="24"/>
          <w:szCs w:val="24"/>
        </w:rPr>
        <w:t>),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3D617F" w:rsidRPr="003D617F" w:rsidRDefault="003D617F" w:rsidP="006C17B2">
      <w:pPr>
        <w:spacing w:before="120"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6. Цели за подобряване/поддържане на природозащит</w:t>
      </w:r>
      <w:r w:rsidR="00022F9E">
        <w:rPr>
          <w:rFonts w:ascii="Times New Roman" w:eastAsia="Calibri" w:hAnsi="Times New Roman"/>
          <w:b/>
          <w:sz w:val="24"/>
          <w:szCs w:val="24"/>
        </w:rPr>
        <w:t>ното състояние на вида в зоната</w:t>
      </w:r>
    </w:p>
    <w:p w:rsidR="003D617F" w:rsidRPr="003D617F" w:rsidRDefault="003D617F" w:rsidP="003D617F">
      <w:pPr>
        <w:spacing w:before="120" w:after="0" w:line="240" w:lineRule="auto"/>
        <w:jc w:val="both"/>
        <w:rPr>
          <w:rFonts w:ascii="Times New Roman" w:eastAsia="Calibri" w:hAnsi="Times New Roman"/>
          <w:sz w:val="24"/>
          <w:szCs w:val="24"/>
        </w:rPr>
      </w:pPr>
      <w:r w:rsidRPr="003D617F">
        <w:rPr>
          <w:rFonts w:ascii="Times New Roman" w:eastAsia="Calibri" w:hAnsi="Times New Roman"/>
          <w:sz w:val="24"/>
          <w:szCs w:val="24"/>
        </w:rPr>
        <w:t>Целите са формулирани по показатели, в таблицата по-долу.</w:t>
      </w:r>
    </w:p>
    <w:p w:rsidR="003D617F" w:rsidRPr="003D617F" w:rsidRDefault="003D617F" w:rsidP="003D617F">
      <w:pPr>
        <w:spacing w:before="120" w:after="0" w:line="240" w:lineRule="auto"/>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1137"/>
        <w:gridCol w:w="1135"/>
        <w:gridCol w:w="3460"/>
        <w:gridCol w:w="1854"/>
      </w:tblGrid>
      <w:tr w:rsidR="003D617F" w:rsidRPr="003D617F" w:rsidTr="00022F9E">
        <w:trPr>
          <w:tblHeader/>
          <w:jc w:val="center"/>
        </w:trPr>
        <w:tc>
          <w:tcPr>
            <w:tcW w:w="75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t>Параметър</w:t>
            </w:r>
          </w:p>
        </w:tc>
        <w:tc>
          <w:tcPr>
            <w:tcW w:w="63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Мерна единица</w:t>
            </w:r>
          </w:p>
        </w:tc>
        <w:tc>
          <w:tcPr>
            <w:tcW w:w="635"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Целева стойност</w:t>
            </w:r>
          </w:p>
        </w:tc>
        <w:tc>
          <w:tcPr>
            <w:tcW w:w="193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 xml:space="preserve">Допълнителна информация </w:t>
            </w:r>
          </w:p>
        </w:tc>
        <w:tc>
          <w:tcPr>
            <w:tcW w:w="1037"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t>Специфични цели на опазване за зоната</w:t>
            </w:r>
          </w:p>
        </w:tc>
      </w:tr>
      <w:tr w:rsidR="00022F9E" w:rsidRPr="003D617F" w:rsidTr="00022F9E">
        <w:trPr>
          <w:jc w:val="center"/>
        </w:trPr>
        <w:tc>
          <w:tcPr>
            <w:tcW w:w="756" w:type="pct"/>
            <w:shd w:val="clear" w:color="auto" w:fill="auto"/>
          </w:tcPr>
          <w:p w:rsidR="00022F9E" w:rsidRPr="003D617F" w:rsidRDefault="00022F9E" w:rsidP="003D617F">
            <w:pPr>
              <w:spacing w:before="120" w:after="120" w:line="240" w:lineRule="auto"/>
              <w:rPr>
                <w:rFonts w:ascii="Times New Roman" w:eastAsia="Calibri" w:hAnsi="Times New Roman"/>
                <w:b/>
                <w:lang w:val="en-US"/>
              </w:rPr>
            </w:pPr>
            <w:r w:rsidRPr="003D617F">
              <w:rPr>
                <w:rFonts w:ascii="Times New Roman" w:eastAsia="Calibri" w:hAnsi="Times New Roman"/>
                <w:b/>
              </w:rPr>
              <w:t>Плътност на популацията</w:t>
            </w:r>
          </w:p>
        </w:tc>
        <w:tc>
          <w:tcPr>
            <w:tcW w:w="636" w:type="pct"/>
            <w:shd w:val="clear" w:color="auto" w:fill="auto"/>
          </w:tcPr>
          <w:p w:rsidR="00022F9E" w:rsidRPr="00436AD4" w:rsidRDefault="00022F9E" w:rsidP="00B0609D">
            <w:pPr>
              <w:spacing w:before="120" w:after="120" w:line="240" w:lineRule="auto"/>
              <w:rPr>
                <w:rFonts w:ascii="Times New Roman" w:eastAsia="Calibri" w:hAnsi="Times New Roman"/>
              </w:rPr>
            </w:pPr>
            <w:r w:rsidRPr="00563261">
              <w:rPr>
                <w:rFonts w:ascii="Times New Roman" w:eastAsia="Calibri" w:hAnsi="Times New Roman"/>
              </w:rPr>
              <w:t>Брой индивиди</w:t>
            </w:r>
            <w:r w:rsidRPr="00C21F11">
              <w:rPr>
                <w:rFonts w:ascii="Times New Roman" w:eastAsia="Calibri" w:hAnsi="Times New Roman"/>
                <w:lang w:val="en-GB"/>
              </w:rPr>
              <w:t xml:space="preserve"> ind</w:t>
            </w:r>
            <w:r w:rsidRPr="00C21F11">
              <w:rPr>
                <w:rFonts w:ascii="Times New Roman" w:eastAsia="Calibri" w:hAnsi="Times New Roman"/>
              </w:rPr>
              <w:t xml:space="preserve">./ </w:t>
            </w:r>
            <w:r w:rsidRPr="00C21F11">
              <w:rPr>
                <w:rFonts w:ascii="Times New Roman" w:eastAsia="Calibri" w:hAnsi="Times New Roman"/>
                <w:lang w:val="en-US"/>
              </w:rPr>
              <w:t>ha</w:t>
            </w:r>
          </w:p>
        </w:tc>
        <w:tc>
          <w:tcPr>
            <w:tcW w:w="635" w:type="pct"/>
            <w:shd w:val="clear" w:color="auto" w:fill="auto"/>
          </w:tcPr>
          <w:p w:rsidR="00022F9E" w:rsidRPr="003D617F" w:rsidRDefault="00022F9E" w:rsidP="00B0609D">
            <w:pPr>
              <w:spacing w:before="120" w:after="120" w:line="240" w:lineRule="auto"/>
              <w:rPr>
                <w:rFonts w:ascii="Times New Roman" w:eastAsia="Calibri" w:hAnsi="Times New Roman"/>
              </w:rPr>
            </w:pPr>
            <w:r w:rsidRPr="00563261">
              <w:rPr>
                <w:rFonts w:ascii="Times New Roman" w:eastAsia="Calibri" w:hAnsi="Times New Roman"/>
              </w:rPr>
              <w:t>Най-малко</w:t>
            </w:r>
            <w:r w:rsidRPr="00563261">
              <w:rPr>
                <w:rFonts w:ascii="Times New Roman" w:eastAsia="Calibri" w:hAnsi="Times New Roman"/>
                <w:lang w:val="en-US"/>
              </w:rPr>
              <w:t xml:space="preserve"> </w:t>
            </w:r>
            <w:r w:rsidRPr="00563261">
              <w:rPr>
                <w:rFonts w:ascii="Times New Roman" w:eastAsia="Calibri" w:hAnsi="Times New Roman"/>
              </w:rPr>
              <w:t xml:space="preserve">20 </w:t>
            </w:r>
          </w:p>
        </w:tc>
        <w:tc>
          <w:tcPr>
            <w:tcW w:w="1936" w:type="pct"/>
            <w:shd w:val="clear" w:color="auto" w:fill="auto"/>
          </w:tcPr>
          <w:p w:rsidR="00022F9E" w:rsidRPr="00A6473B" w:rsidRDefault="00022F9E" w:rsidP="00B0609D">
            <w:pPr>
              <w:spacing w:before="120" w:after="120" w:line="240" w:lineRule="auto"/>
              <w:jc w:val="both"/>
              <w:rPr>
                <w:rFonts w:ascii="Times New Roman" w:eastAsia="Calibri" w:hAnsi="Times New Roman"/>
              </w:rPr>
            </w:pPr>
            <w:r w:rsidRPr="00A6473B">
              <w:rPr>
                <w:rFonts w:ascii="Times New Roman" w:eastAsia="Calibri" w:hAnsi="Times New Roman"/>
              </w:rPr>
              <w:t>Стойността по  този параметър се определя на базата на риболовни усилия: броят на уловените екземпляри от вида на трансект, чиято площ се изчислява в м</w:t>
            </w:r>
            <w:r w:rsidRPr="00A6473B">
              <w:rPr>
                <w:rFonts w:ascii="Times New Roman" w:eastAsia="Calibri" w:hAnsi="Times New Roman"/>
                <w:vertAlign w:val="superscript"/>
              </w:rPr>
              <w:t>2</w:t>
            </w:r>
            <w:r w:rsidRPr="00A6473B">
              <w:rPr>
                <w:rFonts w:ascii="Times New Roman" w:eastAsia="Calibri" w:hAnsi="Times New Roman"/>
              </w:rPr>
              <w:t xml:space="preserve">. След това броят на уловените екземпляри се преизчислява на един хектар. </w:t>
            </w:r>
          </w:p>
          <w:p w:rsidR="00022F9E" w:rsidRPr="003D617F" w:rsidRDefault="00022F9E" w:rsidP="00B0609D">
            <w:pPr>
              <w:spacing w:before="120" w:after="120" w:line="240" w:lineRule="auto"/>
              <w:jc w:val="both"/>
              <w:rPr>
                <w:rFonts w:ascii="Times New Roman" w:eastAsia="Calibri" w:hAnsi="Times New Roman"/>
              </w:rPr>
            </w:pPr>
            <w:r w:rsidRPr="003D617F">
              <w:rPr>
                <w:rFonts w:ascii="Times New Roman" w:eastAsia="Calibri" w:hAnsi="Times New Roman"/>
              </w:rPr>
              <w:t>Според наличните данни (проект "Картиране и определяне на природозащитното състояние на природни местообитания и видове - фаза I".) е определена минимална референтна численост на вида 20 екз./ха. През 2021 г. е проведено ново теренно проучване за вида в 2 пункта на участъка от р. Дунав в зоната и не е регистриран. Поради тази причина като минимална целева стойност на популацията се приема стойност, приблизително съответстваща на  установената по време на проект "Картиране и определяне на природозащитното състояние на природни местообитания и видове - фаза I".</w:t>
            </w:r>
          </w:p>
          <w:p w:rsidR="00022F9E" w:rsidRPr="003D617F" w:rsidRDefault="00022F9E" w:rsidP="00B0609D">
            <w:pPr>
              <w:spacing w:before="120" w:after="120" w:line="240" w:lineRule="auto"/>
              <w:jc w:val="both"/>
              <w:rPr>
                <w:rFonts w:ascii="Times New Roman" w:eastAsia="Calibri" w:hAnsi="Times New Roman"/>
              </w:rPr>
            </w:pPr>
            <w:r w:rsidRPr="003D617F">
              <w:rPr>
                <w:rFonts w:ascii="Times New Roman" w:eastAsia="Calibri" w:hAnsi="Times New Roman"/>
              </w:rPr>
              <w:t xml:space="preserve">По отношение на натиска, този конкретен речен участък в рамките на защитената зона може да се счита за хомогенен. </w:t>
            </w:r>
          </w:p>
          <w:p w:rsidR="00022F9E" w:rsidRPr="003D617F" w:rsidRDefault="00022F9E" w:rsidP="00B0609D">
            <w:pPr>
              <w:spacing w:before="120" w:after="120" w:line="240" w:lineRule="auto"/>
              <w:jc w:val="both"/>
              <w:rPr>
                <w:rFonts w:ascii="Times New Roman" w:eastAsia="Calibri" w:hAnsi="Times New Roman"/>
              </w:rPr>
            </w:pPr>
            <w:r w:rsidRPr="003D617F">
              <w:rPr>
                <w:rFonts w:ascii="Times New Roman" w:eastAsia="Calibri" w:hAnsi="Times New Roman"/>
              </w:rPr>
              <w:t xml:space="preserve">От друга страна, кумулативния натиск с източници на произход </w:t>
            </w:r>
            <w:r w:rsidRPr="003D617F">
              <w:rPr>
                <w:rFonts w:ascii="Times New Roman" w:eastAsia="Calibri" w:hAnsi="Times New Roman"/>
              </w:rPr>
              <w:lastRenderedPageBreak/>
              <w:t>извън зоната може да бъде значим.</w:t>
            </w:r>
          </w:p>
          <w:p w:rsidR="00022F9E" w:rsidRPr="003D617F" w:rsidRDefault="00022F9E" w:rsidP="00B0609D">
            <w:pPr>
              <w:spacing w:before="120" w:after="120" w:line="240" w:lineRule="auto"/>
              <w:jc w:val="both"/>
              <w:rPr>
                <w:rFonts w:ascii="Times New Roman" w:eastAsia="Calibri" w:hAnsi="Times New Roman"/>
              </w:rPr>
            </w:pPr>
            <w:r w:rsidRPr="003D617F">
              <w:rPr>
                <w:rFonts w:ascii="Times New Roman" w:eastAsia="Calibri" w:hAnsi="Times New Roman"/>
              </w:rPr>
              <w:t xml:space="preserve">Съгласно методиката за оценка на състоянието на риби  в НСМБР референтните стойности за плътността на популацията на този вид не са определени. В този контекст, въз основа на средните стойности на установената плътност на популацията, състоянието на вида в зоната по този показател </w:t>
            </w:r>
            <w:r>
              <w:rPr>
                <w:rFonts w:ascii="Times New Roman" w:eastAsia="Calibri" w:hAnsi="Times New Roman"/>
              </w:rPr>
              <w:t>не</w:t>
            </w:r>
            <w:r w:rsidRPr="003D617F">
              <w:rPr>
                <w:rFonts w:ascii="Times New Roman" w:eastAsia="Calibri" w:hAnsi="Times New Roman"/>
              </w:rPr>
              <w:t xml:space="preserve"> </w:t>
            </w:r>
            <w:r>
              <w:rPr>
                <w:rFonts w:ascii="Times New Roman" w:eastAsia="Calibri" w:hAnsi="Times New Roman"/>
              </w:rPr>
              <w:t>може да бъде определено, поради липса на достатъчно данни</w:t>
            </w:r>
            <w:r w:rsidRPr="003D617F">
              <w:rPr>
                <w:rFonts w:ascii="Times New Roman" w:eastAsia="Calibri" w:hAnsi="Times New Roman"/>
              </w:rPr>
              <w:t>.</w:t>
            </w:r>
          </w:p>
        </w:tc>
        <w:tc>
          <w:tcPr>
            <w:tcW w:w="1037" w:type="pct"/>
          </w:tcPr>
          <w:p w:rsidR="00022F9E" w:rsidRPr="006F56A1" w:rsidRDefault="00022F9E" w:rsidP="00B0609D">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Под</w:t>
            </w:r>
            <w:r>
              <w:rPr>
                <w:rFonts w:ascii="Times New Roman" w:eastAsia="Calibri" w:hAnsi="Times New Roman"/>
              </w:rPr>
              <w:t>държане</w:t>
            </w:r>
            <w:r w:rsidRPr="003D617F">
              <w:rPr>
                <w:rFonts w:ascii="Times New Roman" w:eastAsia="Calibri" w:hAnsi="Times New Roman"/>
              </w:rPr>
              <w:t xml:space="preserve"> на плътността на популацията най-малко </w:t>
            </w:r>
            <w:r>
              <w:rPr>
                <w:rFonts w:ascii="Times New Roman" w:eastAsia="Calibri" w:hAnsi="Times New Roman"/>
              </w:rPr>
              <w:t>20</w:t>
            </w:r>
            <w:r w:rsidRPr="003D617F">
              <w:rPr>
                <w:rFonts w:ascii="Times New Roman" w:eastAsia="Calibri" w:hAnsi="Times New Roman"/>
              </w:rPr>
              <w:t xml:space="preserve"> </w:t>
            </w:r>
            <w:r w:rsidRPr="003D617F">
              <w:rPr>
                <w:rFonts w:ascii="Times New Roman" w:eastAsia="Calibri" w:hAnsi="Times New Roman"/>
                <w:lang w:val="en-GB"/>
              </w:rPr>
              <w:t>ind</w:t>
            </w:r>
            <w:r w:rsidRPr="003D617F">
              <w:rPr>
                <w:rFonts w:ascii="Times New Roman" w:eastAsia="Calibri" w:hAnsi="Times New Roman"/>
              </w:rPr>
              <w:t>.</w:t>
            </w:r>
            <w:r>
              <w:rPr>
                <w:rFonts w:ascii="Times New Roman" w:eastAsia="Calibri" w:hAnsi="Times New Roman"/>
              </w:rPr>
              <w:t>/</w:t>
            </w:r>
            <w:r w:rsidRPr="003D617F">
              <w:rPr>
                <w:rFonts w:ascii="Times New Roman" w:eastAsia="Calibri" w:hAnsi="Times New Roman"/>
              </w:rPr>
              <w:t xml:space="preserve"> </w:t>
            </w:r>
            <w:r w:rsidRPr="00C21F11">
              <w:rPr>
                <w:rFonts w:ascii="Times New Roman" w:eastAsia="Calibri" w:hAnsi="Times New Roman"/>
                <w:lang w:val="en-US"/>
              </w:rPr>
              <w:t>ha</w:t>
            </w:r>
            <w:r>
              <w:rPr>
                <w:rFonts w:ascii="Times New Roman" w:eastAsia="Calibri" w:hAnsi="Times New Roman"/>
              </w:rPr>
              <w:t>, след като се изясни статуса на вида в зоната с по-задълбочени изследвания.</w:t>
            </w:r>
          </w:p>
        </w:tc>
      </w:tr>
      <w:tr w:rsidR="003D617F" w:rsidRPr="003D617F" w:rsidTr="00022F9E">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 xml:space="preserve">Местообитание на вида: </w:t>
            </w:r>
          </w:p>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Дължина на речната мрежа, представляваща потенциално местообитание за вида</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км</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shd w:val="clear" w:color="auto" w:fill="FFFFFF"/>
              </w:rPr>
              <w:t>Най-малко 3 км</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Дължината на речния участък в зоната се определя чрез GIS анализ, използващ следните екологични критерии:</w:t>
            </w:r>
          </w:p>
          <w:p w:rsidR="003D617F" w:rsidRPr="003D617F" w:rsidRDefault="003D617F" w:rsidP="00635999">
            <w:pPr>
              <w:numPr>
                <w:ilvl w:val="0"/>
                <w:numId w:val="11"/>
              </w:numPr>
              <w:spacing w:before="120" w:after="120" w:line="240" w:lineRule="auto"/>
              <w:jc w:val="both"/>
              <w:rPr>
                <w:rFonts w:ascii="Times New Roman" w:eastAsia="Calibri" w:hAnsi="Times New Roman"/>
              </w:rPr>
            </w:pPr>
            <w:r w:rsidRPr="003D617F">
              <w:rPr>
                <w:rFonts w:ascii="Times New Roman" w:eastAsia="Calibri" w:hAnsi="Times New Roman"/>
              </w:rPr>
              <w:t>Река Дунав;</w:t>
            </w:r>
          </w:p>
          <w:p w:rsidR="003D617F" w:rsidRPr="003D617F" w:rsidRDefault="003D617F" w:rsidP="00635999">
            <w:pPr>
              <w:numPr>
                <w:ilvl w:val="0"/>
                <w:numId w:val="11"/>
              </w:numPr>
              <w:spacing w:before="120" w:after="120" w:line="240" w:lineRule="auto"/>
              <w:jc w:val="both"/>
              <w:rPr>
                <w:rFonts w:ascii="Times New Roman" w:eastAsia="Calibri" w:hAnsi="Times New Roman"/>
              </w:rPr>
            </w:pPr>
            <w:r w:rsidRPr="003D617F">
              <w:rPr>
                <w:rFonts w:ascii="Times New Roman" w:eastAsia="Calibri" w:hAnsi="Times New Roman"/>
              </w:rPr>
              <w:t>Изключени са всички стоящи водни тела в зоната.</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На базата на този анализ е установено, че 3 км в защитената зона отговарят на посочените критерии. Според наличните данни за вида, той е разпространен дифузно в зоната.</w:t>
            </w:r>
          </w:p>
        </w:tc>
        <w:tc>
          <w:tcPr>
            <w:tcW w:w="1037"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Поддържане на речната мрежа, представляваща подходящо местообитание, обитавано от вида, най-малко 3 км. </w:t>
            </w:r>
          </w:p>
          <w:p w:rsidR="003D617F" w:rsidRPr="003D617F" w:rsidRDefault="003D617F" w:rsidP="003D617F">
            <w:pPr>
              <w:spacing w:before="120" w:after="120" w:line="240" w:lineRule="auto"/>
              <w:jc w:val="both"/>
              <w:rPr>
                <w:rFonts w:ascii="Times New Roman" w:eastAsia="Calibri" w:hAnsi="Times New Roman"/>
              </w:rPr>
            </w:pPr>
          </w:p>
          <w:p w:rsidR="003D617F" w:rsidRPr="003D617F" w:rsidRDefault="003D617F" w:rsidP="003D617F">
            <w:pPr>
              <w:spacing w:before="120" w:after="120" w:line="240" w:lineRule="auto"/>
              <w:jc w:val="both"/>
              <w:rPr>
                <w:rFonts w:ascii="Times New Roman" w:eastAsia="Calibri" w:hAnsi="Times New Roman"/>
              </w:rPr>
            </w:pPr>
          </w:p>
        </w:tc>
      </w:tr>
      <w:tr w:rsidR="003D617F" w:rsidRPr="003D617F" w:rsidTr="00022F9E">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 xml:space="preserve">Местообитание на вида: </w:t>
            </w:r>
          </w:p>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 xml:space="preserve">Степен на свързаност на местообитанието на вида </w:t>
            </w:r>
          </w:p>
          <w:p w:rsidR="003D617F" w:rsidRPr="003D617F" w:rsidRDefault="003D617F" w:rsidP="003D617F">
            <w:pPr>
              <w:spacing w:before="120" w:after="120" w:line="240" w:lineRule="auto"/>
              <w:rPr>
                <w:rFonts w:ascii="Times New Roman" w:eastAsia="Calibri" w:hAnsi="Times New Roman"/>
                <w:b/>
              </w:rPr>
            </w:pPr>
          </w:p>
          <w:p w:rsidR="003D617F" w:rsidRPr="003D617F" w:rsidRDefault="003D617F" w:rsidP="003D617F">
            <w:pPr>
              <w:spacing w:before="120" w:after="120" w:line="240" w:lineRule="auto"/>
              <w:rPr>
                <w:rFonts w:ascii="Times New Roman" w:eastAsia="Calibri" w:hAnsi="Times New Roman"/>
                <w:b/>
              </w:rPr>
            </w:pP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 xml:space="preserve">5 степенна скала за всяка бариера </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lang w:val="en-US"/>
              </w:rPr>
            </w:pPr>
            <w:r w:rsidRPr="003D617F">
              <w:rPr>
                <w:rFonts w:ascii="Times New Roman" w:eastAsia="Calibri" w:hAnsi="Times New Roman"/>
              </w:rPr>
              <w:t>Степен</w:t>
            </w:r>
            <w:r w:rsidRPr="003D617F">
              <w:rPr>
                <w:rFonts w:ascii="Times New Roman" w:eastAsia="Calibri" w:hAnsi="Times New Roman"/>
                <w:lang w:val="en-US"/>
              </w:rPr>
              <w:t xml:space="preserve"> 1</w:t>
            </w:r>
          </w:p>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за всяка бариера</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w:t>
            </w:r>
            <w:r w:rsidRPr="003D617F">
              <w:rPr>
                <w:rFonts w:ascii="Times New Roman" w:eastAsia="Calibri" w:hAnsi="Times New Roman"/>
              </w:rPr>
              <w:lastRenderedPageBreak/>
              <w:t xml:space="preserve">на повърхностни води за 2011 г. във връзка с оценка на хидроморфологичното състояние на повърхностните водни тела”.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На базата на информацията в ПУБР 2016-2021 г. и пробонабирането през 2021г.,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7"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 xml:space="preserve">Поддържане на свързаност на местообитанието на вида от Степен 1 за всяка бариера в речния участък. </w:t>
            </w:r>
          </w:p>
        </w:tc>
      </w:tr>
      <w:tr w:rsidR="003D617F" w:rsidRPr="003D617F" w:rsidTr="00022F9E">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Местообитание на вида: Екологично 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w:t>
            </w:r>
            <w:r w:rsidRPr="003D617F">
              <w:rPr>
                <w:rFonts w:ascii="Times New Roman" w:eastAsia="Calibri" w:hAnsi="Times New Roman"/>
                <w:b/>
              </w:rPr>
              <w:lastRenderedPageBreak/>
              <w:t xml:space="preserve">и) </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lastRenderedPageBreak/>
              <w:t xml:space="preserve">5 степенна скала за екологично състояние съгласно РДВ </w:t>
            </w:r>
          </w:p>
        </w:tc>
        <w:tc>
          <w:tcPr>
            <w:tcW w:w="635" w:type="pct"/>
            <w:shd w:val="clear" w:color="auto" w:fill="auto"/>
          </w:tcPr>
          <w:p w:rsidR="003D617F" w:rsidRPr="003D617F" w:rsidRDefault="003D617F" w:rsidP="00022F9E">
            <w:pPr>
              <w:spacing w:before="120" w:after="120" w:line="240" w:lineRule="auto"/>
              <w:rPr>
                <w:rFonts w:ascii="Times New Roman" w:eastAsia="Calibri" w:hAnsi="Times New Roman"/>
              </w:rPr>
            </w:pPr>
            <w:r w:rsidRPr="003D617F">
              <w:rPr>
                <w:rFonts w:ascii="Times New Roman" w:eastAsia="Calibri" w:hAnsi="Times New Roman"/>
              </w:rPr>
              <w:t xml:space="preserve">По-висока или равна на 2 – </w:t>
            </w:r>
            <w:r w:rsidR="00022F9E">
              <w:rPr>
                <w:rFonts w:ascii="Times New Roman" w:eastAsia="Calibri" w:hAnsi="Times New Roman"/>
              </w:rPr>
              <w:t>Добър потенциал</w:t>
            </w:r>
          </w:p>
        </w:tc>
        <w:tc>
          <w:tcPr>
            <w:tcW w:w="1936" w:type="pct"/>
            <w:shd w:val="clear" w:color="auto" w:fill="auto"/>
          </w:tcPr>
          <w:p w:rsidR="003D617F" w:rsidRPr="003D617F" w:rsidRDefault="003D617F" w:rsidP="003D617F">
            <w:pPr>
              <w:spacing w:after="0" w:line="240" w:lineRule="auto"/>
              <w:jc w:val="both"/>
              <w:rPr>
                <w:rFonts w:ascii="Times New Roman" w:eastAsia="Calibri" w:hAnsi="Times New Roman"/>
              </w:rPr>
            </w:pPr>
            <w:r w:rsidRPr="003D617F">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3D617F" w:rsidRPr="003D617F" w:rsidTr="003D617F">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3D617F" w:rsidRPr="003D617F" w:rsidRDefault="003D617F" w:rsidP="003D617F">
                  <w:pPr>
                    <w:spacing w:after="0" w:line="240" w:lineRule="auto"/>
                    <w:jc w:val="center"/>
                    <w:rPr>
                      <w:rFonts w:ascii="Times New Roman" w:eastAsia="Calibri" w:hAnsi="Times New Roman"/>
                      <w:b/>
                      <w:bCs/>
                      <w:color w:val="000000"/>
                    </w:rPr>
                  </w:pPr>
                  <w:r w:rsidRPr="003D617F">
                    <w:rPr>
                      <w:rFonts w:ascii="Times New Roman" w:eastAsia="Calibri" w:hAnsi="Times New Roman"/>
                      <w:b/>
                      <w:bCs/>
                      <w:color w:val="000000"/>
                    </w:rPr>
                    <w:t>Екологично състояние</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1 - Отлично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2 - Добро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3 - Умерено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4 - Лошо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lastRenderedPageBreak/>
                    <w:t>5 - Много лошо</w:t>
                  </w:r>
                </w:p>
              </w:tc>
            </w:tr>
          </w:tbl>
          <w:p w:rsidR="003D617F" w:rsidRPr="003D617F" w:rsidRDefault="00022F9E" w:rsidP="003D617F">
            <w:pPr>
              <w:spacing w:before="120" w:after="120" w:line="240" w:lineRule="auto"/>
              <w:jc w:val="both"/>
              <w:rPr>
                <w:rFonts w:ascii="Times New Roman" w:eastAsia="Calibri" w:hAnsi="Times New Roman"/>
              </w:rPr>
            </w:pPr>
            <w:r w:rsidRPr="003959C3">
              <w:rPr>
                <w:rFonts w:ascii="Times New Roman" w:eastAsia="Calibri" w:hAnsi="Times New Roman"/>
              </w:rPr>
              <w:t>Съгласно ПУРБ 2016-2021 г. целият български участък от р. Дунав представлява силно модифицирано водно тяло, с код (</w:t>
            </w:r>
            <w:hyperlink r:id="rId141" w:history="1">
              <w:r w:rsidRPr="003959C3">
                <w:rPr>
                  <w:rFonts w:ascii="Times New Roman" w:eastAsia="Calibri" w:hAnsi="Times New Roman"/>
                  <w:color w:val="0000FF"/>
                  <w:u w:val="single"/>
                </w:rPr>
                <w:t>http://www.bd-dunav.org/uploads/content/files/upravlenie-na-vodite/PURB-2016-2021-final/Razdel-1/prilojenia_R1/Pril_1244.pdf</w:t>
              </w:r>
            </w:hyperlink>
            <w:r w:rsidRPr="003959C3">
              <w:rPr>
                <w:rFonts w:ascii="Times New Roman" w:eastAsia="Calibri" w:hAnsi="Times New Roman"/>
              </w:rPr>
              <w:t>).Екологичният потенциал на р. Дунав е оценен като Умерен, (3),  (</w:t>
            </w:r>
            <w:hyperlink r:id="rId142" w:history="1">
              <w:r w:rsidRPr="003959C3">
                <w:rPr>
                  <w:rFonts w:ascii="Times New Roman" w:eastAsia="Calibri" w:hAnsi="Times New Roman"/>
                  <w:color w:val="0000FF"/>
                  <w:u w:val="single"/>
                </w:rPr>
                <w:t>https://www.eea.europa.eu/data-and-maps/explore-interactive-maps/water-framework-directive-quality-elements?utm_source=EEASubscriptions&amp;utm_medium=RSSFeeds&amp;utm_campaign=Generic</w:t>
              </w:r>
            </w:hyperlink>
            <w:r w:rsidR="003D617F" w:rsidRPr="003D617F">
              <w:rPr>
                <w:rFonts w:ascii="Times New Roman" w:eastAsia="Calibri" w:hAnsi="Times New Roman"/>
              </w:rPr>
              <w:t>).</w:t>
            </w:r>
          </w:p>
        </w:tc>
        <w:tc>
          <w:tcPr>
            <w:tcW w:w="1037"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 xml:space="preserve">Постигане и поддържане на екологичния потенциал на участъка от р. Дунав в границата на зоната на стойност от по-висока или равна на 2 – Добър </w:t>
            </w:r>
            <w:r w:rsidR="00022F9E">
              <w:rPr>
                <w:rFonts w:ascii="Times New Roman" w:eastAsia="Calibri" w:hAnsi="Times New Roman"/>
              </w:rPr>
              <w:t>потенциал</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Междинна цел:</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3D617F" w:rsidRPr="003D617F" w:rsidTr="00022F9E">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Съотношение в % от дължината на речните участъци с подходящи  местообитания на вида и с естествено структуриран субстрат, съотнесен към общата дължина на речните участъци с подходящи местооби</w:t>
            </w:r>
            <w:r w:rsidRPr="003D617F">
              <w:rPr>
                <w:rFonts w:ascii="Times New Roman" w:eastAsia="Calibri" w:hAnsi="Times New Roman"/>
              </w:rPr>
              <w:lastRenderedPageBreak/>
              <w:t>тания за вида</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Пелагичен реофилен вид. Възрастните обитават долните течения на реките и устията. Те се приддържат на стада в средата на реките с течение. В България целият участък на р. Дунав и долните течения на големите му притоци. В тази връзка, поддържането на естествената структура на дънния субстрат в подходящите местообитания на вида е важно за неговото състояние.</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В ЗЗ </w:t>
            </w:r>
            <w:r w:rsidRPr="003D617F">
              <w:rPr>
                <w:rFonts w:ascii="Times New Roman" w:eastAsia="Calibri" w:hAnsi="Times New Roman"/>
                <w:lang w:val="en-US"/>
              </w:rPr>
              <w:t>BG0000377</w:t>
            </w:r>
            <w:r w:rsidRPr="003D617F">
              <w:rPr>
                <w:rFonts w:ascii="Times New Roman" w:eastAsia="Calibri" w:hAnsi="Times New Roman"/>
              </w:rPr>
              <w:t xml:space="preserve"> този параметър не е от значение за вида.</w:t>
            </w:r>
          </w:p>
          <w:p w:rsidR="003D617F" w:rsidRPr="003D617F" w:rsidRDefault="003D617F" w:rsidP="003D617F">
            <w:pPr>
              <w:spacing w:before="120" w:after="120" w:line="240" w:lineRule="auto"/>
              <w:jc w:val="both"/>
              <w:rPr>
                <w:rFonts w:ascii="Times New Roman" w:eastAsia="Calibri" w:hAnsi="Times New Roman"/>
              </w:rPr>
            </w:pPr>
          </w:p>
        </w:tc>
        <w:tc>
          <w:tcPr>
            <w:tcW w:w="1037" w:type="pct"/>
          </w:tcPr>
          <w:p w:rsidR="003D617F" w:rsidRPr="003D617F" w:rsidRDefault="003D617F" w:rsidP="003D617F">
            <w:pPr>
              <w:spacing w:before="120" w:after="120" w:line="240" w:lineRule="auto"/>
              <w:jc w:val="both"/>
              <w:rPr>
                <w:rFonts w:ascii="Times New Roman" w:eastAsia="Calibri" w:hAnsi="Times New Roman"/>
              </w:rPr>
            </w:pPr>
          </w:p>
        </w:tc>
      </w:tr>
    </w:tbl>
    <w:p w:rsidR="003D617F" w:rsidRPr="003D617F" w:rsidRDefault="003D617F" w:rsidP="003D617F">
      <w:pPr>
        <w:spacing w:after="160" w:line="240" w:lineRule="auto"/>
        <w:jc w:val="both"/>
        <w:rPr>
          <w:rFonts w:ascii="Times New Roman" w:eastAsia="Calibri" w:hAnsi="Times New Roman"/>
          <w:b/>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lang w:val="en-US"/>
        </w:rPr>
        <w:t>7</w:t>
      </w:r>
      <w:r w:rsidRPr="003D617F">
        <w:rPr>
          <w:rFonts w:ascii="Times New Roman" w:eastAsia="Calibri" w:hAnsi="Times New Roman"/>
          <w:b/>
          <w:sz w:val="24"/>
          <w:szCs w:val="24"/>
        </w:rPr>
        <w:t>. Необходимост от актуали</w:t>
      </w:r>
      <w:r w:rsidR="006C17B2">
        <w:rPr>
          <w:rFonts w:ascii="Times New Roman" w:eastAsia="Calibri" w:hAnsi="Times New Roman"/>
          <w:b/>
          <w:sz w:val="24"/>
          <w:szCs w:val="24"/>
        </w:rPr>
        <w:t>зация на СФ на защитената зона</w:t>
      </w:r>
    </w:p>
    <w:p w:rsidR="00022F9E" w:rsidRPr="002C3C4F" w:rsidRDefault="00022F9E" w:rsidP="00022F9E">
      <w:pPr>
        <w:spacing w:after="120" w:line="240" w:lineRule="auto"/>
        <w:ind w:firstLine="709"/>
        <w:jc w:val="both"/>
        <w:rPr>
          <w:rFonts w:ascii="Times New Roman" w:eastAsia="Calibri" w:hAnsi="Times New Roman"/>
          <w:sz w:val="24"/>
          <w:szCs w:val="24"/>
        </w:rPr>
      </w:pPr>
      <w:r>
        <w:rPr>
          <w:rFonts w:ascii="Times New Roman" w:eastAsia="Calibri" w:hAnsi="Times New Roman"/>
          <w:sz w:val="24"/>
          <w:szCs w:val="24"/>
        </w:rPr>
        <w:t>В съответствие с утвърдената</w:t>
      </w:r>
      <w:r w:rsidRPr="003D617F">
        <w:rPr>
          <w:rFonts w:ascii="Times New Roman" w:eastAsia="Calibri" w:hAnsi="Times New Roman"/>
          <w:sz w:val="24"/>
          <w:szCs w:val="24"/>
        </w:rPr>
        <w:t xml:space="preserve"> методика за мониторинг на </w:t>
      </w:r>
      <w:r>
        <w:rPr>
          <w:rFonts w:ascii="Times New Roman" w:eastAsia="Calibri" w:hAnsi="Times New Roman"/>
          <w:sz w:val="24"/>
          <w:szCs w:val="24"/>
        </w:rPr>
        <w:t>вида,</w:t>
      </w:r>
      <w:r w:rsidRPr="003D617F">
        <w:rPr>
          <w:rFonts w:ascii="Times New Roman" w:eastAsia="Calibri" w:hAnsi="Times New Roman"/>
          <w:sz w:val="24"/>
          <w:szCs w:val="24"/>
        </w:rPr>
        <w:t xml:space="preserve"> най-подходящата популационна единица за определянето на състоянието на вида е индивиди на </w:t>
      </w:r>
      <w:r>
        <w:rPr>
          <w:rFonts w:ascii="Times New Roman" w:eastAsia="Calibri" w:hAnsi="Times New Roman"/>
          <w:sz w:val="24"/>
          <w:szCs w:val="24"/>
        </w:rPr>
        <w:t>хектар</w:t>
      </w:r>
      <w:r w:rsidRPr="003D617F">
        <w:rPr>
          <w:rFonts w:ascii="Times New Roman" w:eastAsia="Calibri" w:hAnsi="Times New Roman"/>
          <w:sz w:val="24"/>
          <w:szCs w:val="24"/>
        </w:rPr>
        <w:t xml:space="preserve">. </w:t>
      </w:r>
      <w:r w:rsidRPr="00AC0D43">
        <w:rPr>
          <w:rFonts w:ascii="Times New Roman" w:eastAsia="Calibri" w:hAnsi="Times New Roman"/>
          <w:sz w:val="24"/>
          <w:szCs w:val="24"/>
        </w:rPr>
        <w:t>Тази единица обаче засега не е приета за оценка на видове риби при докладванията в ЕК. Затова, като се има предвид високата сезонна вариабилност на числеността на вида в зоната и с оглед унифицирането на подхода за внасянето на данни в СФ на този етап като единица за оценка се използва „Площ“ (area) на местообитанията“.</w:t>
      </w:r>
      <w:r w:rsidRPr="002C3C4F">
        <w:rPr>
          <w:rFonts w:ascii="Times New Roman" w:eastAsia="Calibri" w:hAnsi="Times New Roman"/>
          <w:sz w:val="24"/>
          <w:szCs w:val="24"/>
        </w:rPr>
        <w:t xml:space="preserve"> </w:t>
      </w:r>
      <w:r>
        <w:rPr>
          <w:rFonts w:ascii="Times New Roman" w:eastAsia="Calibri" w:hAnsi="Times New Roman"/>
          <w:sz w:val="24"/>
          <w:szCs w:val="24"/>
        </w:rPr>
        <w:t>В</w:t>
      </w:r>
      <w:r w:rsidRPr="002C3C4F">
        <w:rPr>
          <w:rFonts w:ascii="Times New Roman" w:eastAsia="Calibri" w:hAnsi="Times New Roman"/>
          <w:sz w:val="24"/>
          <w:szCs w:val="24"/>
        </w:rPr>
        <w:t>идът е оценен като наличен, но на база на оскъдна информация. Зоната има важно значение като екологичен коридор. Няма данни за съществен натиск, който да влияе отрицателно на популацията в зоната.</w:t>
      </w:r>
      <w:r>
        <w:rPr>
          <w:rFonts w:ascii="Times New Roman" w:eastAsia="Calibri" w:hAnsi="Times New Roman"/>
          <w:sz w:val="24"/>
          <w:szCs w:val="24"/>
        </w:rPr>
        <w:t xml:space="preserve"> На този етап не са необходими промени в СФ.</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31"/>
        <w:gridCol w:w="587"/>
        <w:gridCol w:w="1131"/>
        <w:gridCol w:w="262"/>
        <w:gridCol w:w="659"/>
        <w:gridCol w:w="310"/>
        <w:gridCol w:w="631"/>
        <w:gridCol w:w="716"/>
        <w:gridCol w:w="532"/>
        <w:gridCol w:w="519"/>
        <w:gridCol w:w="1064"/>
        <w:gridCol w:w="796"/>
        <w:gridCol w:w="553"/>
        <w:gridCol w:w="471"/>
        <w:gridCol w:w="782"/>
      </w:tblGrid>
      <w:tr w:rsidR="003D617F" w:rsidRPr="003D617F" w:rsidTr="00022F9E">
        <w:trPr>
          <w:tblCellSpacing w:w="15" w:type="dxa"/>
        </w:trPr>
        <w:tc>
          <w:tcPr>
            <w:tcW w:w="1562"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2000"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74"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022F9E">
        <w:trPr>
          <w:tblCellSpacing w:w="15" w:type="dxa"/>
        </w:trPr>
        <w:tc>
          <w:tcPr>
            <w:tcW w:w="160"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G </w:t>
            </w:r>
          </w:p>
        </w:tc>
        <w:tc>
          <w:tcPr>
            <w:tcW w:w="310"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61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29"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286"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56"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717"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27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7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51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42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022F9E">
        <w:trPr>
          <w:tblCellSpacing w:w="15" w:type="dxa"/>
        </w:trPr>
        <w:tc>
          <w:tcPr>
            <w:tcW w:w="16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1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61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2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8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5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3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27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7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51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42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29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Con.</w:t>
            </w:r>
          </w:p>
        </w:tc>
        <w:tc>
          <w:tcPr>
            <w:tcW w:w="24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Iso.</w:t>
            </w:r>
          </w:p>
        </w:tc>
        <w:tc>
          <w:tcPr>
            <w:tcW w:w="36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Glo.</w:t>
            </w:r>
          </w:p>
        </w:tc>
      </w:tr>
      <w:tr w:rsidR="00022F9E" w:rsidRPr="003D617F" w:rsidTr="00022F9E">
        <w:trPr>
          <w:tblCellSpacing w:w="15" w:type="dxa"/>
        </w:trPr>
        <w:tc>
          <w:tcPr>
            <w:tcW w:w="16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22F9E" w:rsidRPr="003D617F" w:rsidRDefault="00022F9E"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F</w:t>
            </w:r>
          </w:p>
        </w:tc>
        <w:tc>
          <w:tcPr>
            <w:tcW w:w="31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22F9E" w:rsidRPr="003D617F" w:rsidRDefault="00022F9E"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2522</w:t>
            </w:r>
          </w:p>
        </w:tc>
        <w:tc>
          <w:tcPr>
            <w:tcW w:w="61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22F9E" w:rsidRPr="003D617F" w:rsidRDefault="00022F9E"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i/>
                <w:sz w:val="16"/>
                <w:szCs w:val="16"/>
                <w:lang w:val="en-US"/>
              </w:rPr>
              <w:t>Pelecus cultratus</w:t>
            </w:r>
          </w:p>
        </w:tc>
        <w:tc>
          <w:tcPr>
            <w:tcW w:w="12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22F9E" w:rsidRPr="003D617F" w:rsidRDefault="00022F9E" w:rsidP="003D617F">
            <w:pPr>
              <w:spacing w:before="120" w:after="0" w:line="259" w:lineRule="auto"/>
              <w:jc w:val="both"/>
              <w:rPr>
                <w:rFonts w:ascii="Times New Roman" w:eastAsia="Calibri" w:hAnsi="Times New Roman"/>
                <w:b/>
                <w:bCs/>
                <w:sz w:val="16"/>
                <w:szCs w:val="16"/>
                <w:lang w:val="en-US"/>
              </w:rPr>
            </w:pPr>
          </w:p>
        </w:tc>
        <w:tc>
          <w:tcPr>
            <w:tcW w:w="28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22F9E" w:rsidRPr="003D617F" w:rsidRDefault="00022F9E" w:rsidP="003D617F">
            <w:pPr>
              <w:spacing w:before="120" w:after="0" w:line="259" w:lineRule="auto"/>
              <w:jc w:val="both"/>
              <w:rPr>
                <w:rFonts w:ascii="Times New Roman" w:eastAsia="Calibri" w:hAnsi="Times New Roman"/>
                <w:b/>
                <w:bCs/>
                <w:sz w:val="16"/>
                <w:szCs w:val="16"/>
                <w:lang w:val="en-US"/>
              </w:rPr>
            </w:pPr>
          </w:p>
        </w:tc>
        <w:tc>
          <w:tcPr>
            <w:tcW w:w="15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22F9E" w:rsidRPr="003D617F" w:rsidRDefault="00022F9E"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Р</w:t>
            </w:r>
          </w:p>
        </w:tc>
        <w:tc>
          <w:tcPr>
            <w:tcW w:w="33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22F9E" w:rsidRPr="003D617F" w:rsidRDefault="00022F9E" w:rsidP="00B0609D">
            <w:pPr>
              <w:spacing w:before="120" w:after="0" w:line="259" w:lineRule="auto"/>
              <w:jc w:val="both"/>
              <w:rPr>
                <w:rFonts w:ascii="Times New Roman" w:eastAsia="Calibri" w:hAnsi="Times New Roman"/>
                <w:b/>
                <w:bCs/>
                <w:color w:val="FF0000"/>
                <w:sz w:val="16"/>
                <w:szCs w:val="16"/>
              </w:rPr>
            </w:pPr>
            <w:r w:rsidRPr="003D617F">
              <w:rPr>
                <w:rFonts w:ascii="Times New Roman" w:eastAsia="Calibri" w:hAnsi="Times New Roman"/>
                <w:b/>
                <w:bCs/>
                <w:sz w:val="16"/>
                <w:szCs w:val="16"/>
              </w:rPr>
              <w:t>700000</w:t>
            </w:r>
          </w:p>
        </w:tc>
        <w:tc>
          <w:tcPr>
            <w:tcW w:w="36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22F9E" w:rsidRPr="003D617F" w:rsidRDefault="00022F9E" w:rsidP="00B0609D">
            <w:pPr>
              <w:spacing w:before="120" w:after="0" w:line="259" w:lineRule="auto"/>
              <w:jc w:val="both"/>
              <w:rPr>
                <w:rFonts w:ascii="Times New Roman" w:eastAsia="Calibri" w:hAnsi="Times New Roman"/>
                <w:b/>
                <w:bCs/>
                <w:color w:val="FF0000"/>
                <w:sz w:val="16"/>
                <w:szCs w:val="16"/>
              </w:rPr>
            </w:pPr>
            <w:r w:rsidRPr="003D617F">
              <w:rPr>
                <w:rFonts w:ascii="Times New Roman" w:eastAsia="Calibri" w:hAnsi="Times New Roman"/>
                <w:b/>
                <w:bCs/>
                <w:sz w:val="16"/>
                <w:szCs w:val="16"/>
              </w:rPr>
              <w:t>700000</w:t>
            </w:r>
          </w:p>
        </w:tc>
        <w:tc>
          <w:tcPr>
            <w:tcW w:w="27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22F9E" w:rsidRPr="003D617F" w:rsidRDefault="00022F9E" w:rsidP="00B0609D">
            <w:pPr>
              <w:spacing w:before="120" w:after="0" w:line="259" w:lineRule="auto"/>
              <w:jc w:val="both"/>
              <w:rPr>
                <w:rFonts w:ascii="Times New Roman" w:eastAsia="Calibri" w:hAnsi="Times New Roman"/>
                <w:b/>
                <w:bCs/>
                <w:color w:val="FF0000"/>
                <w:sz w:val="16"/>
                <w:szCs w:val="16"/>
                <w:lang w:val="en-US"/>
              </w:rPr>
            </w:pPr>
            <w:r w:rsidRPr="003D617F">
              <w:rPr>
                <w:rFonts w:ascii="Times New Roman" w:eastAsia="Calibri" w:hAnsi="Times New Roman"/>
                <w:b/>
                <w:bCs/>
                <w:sz w:val="16"/>
                <w:szCs w:val="16"/>
                <w:lang w:val="en-US"/>
              </w:rPr>
              <w:t>area</w:t>
            </w:r>
          </w:p>
        </w:tc>
        <w:tc>
          <w:tcPr>
            <w:tcW w:w="27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22F9E" w:rsidRPr="003D617F" w:rsidRDefault="00022F9E" w:rsidP="00B0609D">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Р</w:t>
            </w:r>
          </w:p>
        </w:tc>
        <w:tc>
          <w:tcPr>
            <w:tcW w:w="51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22F9E" w:rsidRPr="003D617F" w:rsidRDefault="00022F9E" w:rsidP="00B0609D">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Р</w:t>
            </w:r>
          </w:p>
        </w:tc>
        <w:tc>
          <w:tcPr>
            <w:tcW w:w="42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22F9E" w:rsidRPr="003D617F" w:rsidRDefault="00022F9E" w:rsidP="00B0609D">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С</w:t>
            </w:r>
          </w:p>
        </w:tc>
        <w:tc>
          <w:tcPr>
            <w:tcW w:w="29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22F9E" w:rsidRPr="003D617F" w:rsidRDefault="00022F9E" w:rsidP="00B0609D">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А</w:t>
            </w:r>
          </w:p>
        </w:tc>
        <w:tc>
          <w:tcPr>
            <w:tcW w:w="24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22F9E" w:rsidRPr="003D617F" w:rsidRDefault="00022F9E" w:rsidP="00B0609D">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B</w:t>
            </w:r>
          </w:p>
        </w:tc>
        <w:tc>
          <w:tcPr>
            <w:tcW w:w="36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022F9E" w:rsidRPr="003D617F" w:rsidRDefault="00022F9E" w:rsidP="00B0609D">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А</w:t>
            </w:r>
          </w:p>
        </w:tc>
      </w:tr>
    </w:tbl>
    <w:p w:rsidR="003D617F" w:rsidRPr="003D617F" w:rsidRDefault="003D617F" w:rsidP="003D617F">
      <w:pPr>
        <w:spacing w:after="16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lang w:val="en-US"/>
        </w:rPr>
        <w:t>8</w:t>
      </w:r>
      <w:r w:rsidR="006C17B2">
        <w:rPr>
          <w:rFonts w:ascii="Times New Roman" w:eastAsia="Calibri" w:hAnsi="Times New Roman"/>
          <w:b/>
          <w:sz w:val="24"/>
          <w:szCs w:val="24"/>
        </w:rPr>
        <w:t>. Цитирана литература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Булгурков, К. 1958. Хидроложки особености на резервата езерото Сребърна и състав на рибната му фауна. – Изв. на Зоолог. инст., 7: 251–268.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Големански, </w:t>
      </w:r>
      <w:r w:rsidR="006C17B2">
        <w:rPr>
          <w:rFonts w:ascii="Times New Roman" w:eastAsia="Calibri" w:hAnsi="Times New Roman"/>
          <w:sz w:val="24"/>
          <w:szCs w:val="24"/>
        </w:rPr>
        <w:t>В</w:t>
      </w:r>
      <w:r w:rsidRPr="003D617F">
        <w:rPr>
          <w:rFonts w:ascii="Times New Roman" w:eastAsia="Calibri" w:hAnsi="Times New Roman"/>
          <w:sz w:val="24"/>
          <w:szCs w:val="24"/>
        </w:rPr>
        <w:t>. и др. (ред.) 2011. Червена книга на Република България. Том 2. Животни. ИБЕИ - БАН &amp; МОСВ, София. Електронно издание: Том II - Животни (bas.bg)</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1951. Рибите в България. Фауна на България II. С., БАН, 270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Информационна система за защитени зони от екологична мрежа НАТУРА 2000.</w:t>
      </w:r>
    </w:p>
    <w:p w:rsidR="003D617F" w:rsidRPr="003D617F" w:rsidRDefault="003D617F" w:rsidP="0001440D">
      <w:pPr>
        <w:spacing w:after="0" w:line="259" w:lineRule="auto"/>
        <w:ind w:left="720" w:hanging="12"/>
        <w:jc w:val="both"/>
        <w:rPr>
          <w:rFonts w:ascii="Times New Roman" w:eastAsia="Calibri" w:hAnsi="Times New Roman"/>
          <w:sz w:val="24"/>
          <w:szCs w:val="24"/>
        </w:rPr>
      </w:pPr>
      <w:r w:rsidRPr="003D617F">
        <w:rPr>
          <w:rFonts w:ascii="Times New Roman" w:eastAsia="Calibri" w:hAnsi="Times New Roman"/>
          <w:sz w:val="24"/>
          <w:szCs w:val="24"/>
        </w:rPr>
        <w:lastRenderedPageBreak/>
        <w:t>http://natura2000.moew.government.bg/; http://natura2000.moew.government.bg/Home/Reports?reportType=Fishes</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1972. Ихтиофауна на р. Янтра. – Изв. на Зоолог. инст. с музей, 36: 149–182.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М. Живков. 1995. Рибите в България. С., "Гея-Либрис", 247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Моров, Т. 1931. Сладководните риби в България. С., "Художник", 93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Сивков, Я., Ж. Манолов. 1978. Морфологична характеристика на сабицата Pelecus cultratus (Linne) от р. Дунав. – Известия на Народния музей – Варна, 14(29): 224–229.</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https://ec.europa.eu/environment/nature/natura2000/management/docs/art6/BG_art_6_guide_jun_2019.pdf</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Шишков, Г. 1937. Върху нашенските видове от род Gobio Cuvier. – Год. СУ Физико-матем. фак., 33(3): 227–289.</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Шишков Г. 1939. Няколко думи за риболова по р. Искър. – Рибарски преглед, 9(8): 4–7.</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CEN - EN 14011, 2003. Water quality - Sampling of fish with electricity. Brussels, 16 p.3–680.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Froese, R., D. Pauly. Editors. 2021. FishBase. World Wide Web electronic publication. www.fishbase.org, (06/2021): Search FishBase (mnhn.fr)</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IUCN 2021. The IUCN Red List of Threatened Species. Version 2021-2. https://www.iucnredlist.org.</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Kottelat, M., J. Freyhof, 2007. Handbook of European freshwater fishes. Publications Kottelat, Cornol and Freyhof, Berlin. 646 pp.</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3D617F" w:rsidRPr="003D617F" w:rsidRDefault="003D617F" w:rsidP="003D617F">
      <w:pPr>
        <w:spacing w:after="0" w:line="259" w:lineRule="auto"/>
        <w:ind w:left="720" w:hanging="720"/>
        <w:jc w:val="both"/>
        <w:rPr>
          <w:rFonts w:ascii="Times New Roman" w:eastAsia="Calibri" w:hAnsi="Times New Roman"/>
          <w:sz w:val="24"/>
          <w:szCs w:val="24"/>
          <w:lang w:val="en-US"/>
        </w:rPr>
      </w:pPr>
      <w:r w:rsidRPr="003D617F">
        <w:rPr>
          <w:rFonts w:ascii="Times New Roman" w:eastAsia="Calibri" w:hAnsi="Times New Roman"/>
          <w:sz w:val="24"/>
          <w:szCs w:val="24"/>
        </w:rPr>
        <w:t>Vassilev, M., L. Pehlivanov. 2005. Checklist of Bulgarian freshwater fishes. – Acta zool. bulg., 57(2): 161–190.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Публичен регистър по екологични оценки - </w:t>
      </w:r>
      <w:hyperlink r:id="rId143" w:history="1">
        <w:r w:rsidRPr="003D617F">
          <w:rPr>
            <w:rFonts w:ascii="Times New Roman" w:eastAsia="Calibri" w:hAnsi="Times New Roman"/>
            <w:color w:val="0563C1"/>
            <w:sz w:val="24"/>
            <w:szCs w:val="24"/>
            <w:u w:val="single"/>
          </w:rPr>
          <w:t>http://registers.moew.government.bg/eo</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lastRenderedPageBreak/>
        <w:t xml:space="preserve">Публичен регистър по оценки за въздействие на околната среда </w:t>
      </w:r>
      <w:hyperlink r:id="rId144" w:history="1">
        <w:r w:rsidRPr="003D617F">
          <w:rPr>
            <w:rFonts w:ascii="Times New Roman" w:eastAsia="Calibri" w:hAnsi="Times New Roman"/>
            <w:color w:val="0563C1"/>
            <w:sz w:val="24"/>
            <w:szCs w:val="24"/>
            <w:u w:val="single"/>
          </w:rPr>
          <w:t>http://registers.moew.government.bg/ovos/</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40"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3D617F">
        <w:rPr>
          <w:rFonts w:ascii="Times New Roman" w:eastAsia="Calibri" w:hAnsi="Times New Roman"/>
          <w:color w:val="0563C1"/>
          <w:sz w:val="24"/>
          <w:szCs w:val="24"/>
          <w:u w:val="single"/>
        </w:rPr>
        <w:t>https://riew-pleven.eu/</w:t>
      </w:r>
    </w:p>
    <w:p w:rsidR="003D617F" w:rsidRPr="003D617F" w:rsidRDefault="003D617F" w:rsidP="003D617F">
      <w:pPr>
        <w:spacing w:after="160" w:line="240" w:lineRule="auto"/>
        <w:jc w:val="both"/>
        <w:rPr>
          <w:rFonts w:ascii="Times New Roman" w:eastAsia="Calibri" w:hAnsi="Times New Roman"/>
          <w:i/>
          <w:sz w:val="24"/>
          <w:szCs w:val="24"/>
        </w:rPr>
      </w:pPr>
    </w:p>
    <w:p w:rsidR="003D617F" w:rsidRPr="003D617F" w:rsidRDefault="003D617F" w:rsidP="003D617F">
      <w:pPr>
        <w:spacing w:after="160" w:line="240" w:lineRule="auto"/>
        <w:jc w:val="both"/>
        <w:rPr>
          <w:rFonts w:ascii="Times New Roman" w:eastAsia="Calibri" w:hAnsi="Times New Roman"/>
          <w:sz w:val="24"/>
          <w:szCs w:val="24"/>
        </w:rPr>
      </w:pPr>
      <w:r w:rsidRPr="003D617F">
        <w:rPr>
          <w:rFonts w:ascii="Times New Roman" w:eastAsia="Calibri" w:hAnsi="Times New Roman"/>
          <w:i/>
          <w:sz w:val="24"/>
          <w:szCs w:val="24"/>
        </w:rPr>
        <w:t>Автори</w:t>
      </w:r>
      <w:r w:rsidRPr="003D617F">
        <w:rPr>
          <w:rFonts w:ascii="Times New Roman" w:eastAsia="Calibri" w:hAnsi="Times New Roman"/>
          <w:sz w:val="24"/>
          <w:szCs w:val="24"/>
        </w:rPr>
        <w:t>:</w:t>
      </w:r>
      <w:r w:rsidRPr="003D617F">
        <w:rPr>
          <w:rFonts w:ascii="Times New Roman" w:eastAsia="Calibri" w:hAnsi="Times New Roman"/>
          <w:b/>
          <w:sz w:val="24"/>
          <w:szCs w:val="24"/>
        </w:rPr>
        <w:t xml:space="preserve"> </w:t>
      </w:r>
      <w:r w:rsidRPr="003D617F">
        <w:rPr>
          <w:rFonts w:ascii="Times New Roman" w:eastAsia="Calibri" w:hAnsi="Times New Roman"/>
          <w:sz w:val="24"/>
          <w:szCs w:val="24"/>
        </w:rPr>
        <w:t>Апостолос Апостолу, Лъче</w:t>
      </w:r>
      <w:r w:rsidR="006C17B2">
        <w:rPr>
          <w:rFonts w:ascii="Times New Roman" w:eastAsia="Calibri" w:hAnsi="Times New Roman"/>
          <w:sz w:val="24"/>
          <w:szCs w:val="24"/>
        </w:rPr>
        <w:t>зар Пехливанов, Стефан Казаков</w:t>
      </w:r>
    </w:p>
    <w:p w:rsidR="003D617F" w:rsidRDefault="003D617F" w:rsidP="0070678B">
      <w:pPr>
        <w:rPr>
          <w:rFonts w:ascii="Times New Roman" w:hAnsi="Times New Roman"/>
          <w:color w:val="1F497D" w:themeColor="text2"/>
          <w:sz w:val="28"/>
          <w:szCs w:val="28"/>
        </w:rPr>
      </w:pPr>
    </w:p>
    <w:p w:rsidR="0070678B" w:rsidRDefault="00107719" w:rsidP="006C17B2">
      <w:pPr>
        <w:outlineLvl w:val="1"/>
        <w:rPr>
          <w:rFonts w:ascii="Times New Roman" w:hAnsi="Times New Roman"/>
          <w:i/>
          <w:color w:val="1F497D" w:themeColor="text2"/>
          <w:sz w:val="28"/>
          <w:szCs w:val="28"/>
        </w:rPr>
      </w:pPr>
      <w:bookmarkStart w:id="66" w:name="_Toc98838552"/>
      <w:r>
        <w:rPr>
          <w:rFonts w:ascii="Times New Roman" w:hAnsi="Times New Roman"/>
          <w:color w:val="1F497D" w:themeColor="text2"/>
          <w:sz w:val="28"/>
          <w:szCs w:val="28"/>
        </w:rPr>
        <w:t xml:space="preserve">Природозащитни цели за </w:t>
      </w:r>
      <w:r w:rsidR="0070678B">
        <w:rPr>
          <w:rFonts w:ascii="Times New Roman" w:hAnsi="Times New Roman"/>
          <w:color w:val="1F497D" w:themeColor="text2"/>
          <w:sz w:val="28"/>
          <w:szCs w:val="28"/>
        </w:rPr>
        <w:t xml:space="preserve">5339 </w:t>
      </w:r>
      <w:r w:rsidR="0070678B" w:rsidRPr="00107719">
        <w:rPr>
          <w:rFonts w:ascii="Times New Roman" w:hAnsi="Times New Roman"/>
          <w:i/>
          <w:color w:val="1F497D" w:themeColor="text2"/>
          <w:sz w:val="28"/>
          <w:szCs w:val="28"/>
        </w:rPr>
        <w:t>Rhodeus amarus</w:t>
      </w:r>
      <w:bookmarkEnd w:id="66"/>
    </w:p>
    <w:p w:rsidR="006C17B2" w:rsidRPr="006C17B2" w:rsidRDefault="006C17B2" w:rsidP="006C17B2">
      <w:pPr>
        <w:spacing w:after="160" w:line="240" w:lineRule="auto"/>
        <w:jc w:val="both"/>
        <w:rPr>
          <w:rFonts w:ascii="Times New Roman" w:eastAsia="Calibri" w:hAnsi="Times New Roman"/>
          <w:b/>
          <w:bCs/>
          <w:sz w:val="24"/>
          <w:szCs w:val="24"/>
        </w:rPr>
      </w:pPr>
      <w:r w:rsidRPr="006C17B2">
        <w:rPr>
          <w:rFonts w:ascii="Times New Roman" w:eastAsia="Calibri" w:hAnsi="Times New Roman"/>
          <w:b/>
          <w:sz w:val="24"/>
          <w:szCs w:val="24"/>
        </w:rPr>
        <w:t>1. Код и наименование на вид</w:t>
      </w:r>
      <w:r w:rsidRPr="006C17B2">
        <w:rPr>
          <w:rFonts w:ascii="Times New Roman" w:eastAsia="Calibri" w:hAnsi="Times New Roman"/>
          <w:b/>
          <w:sz w:val="24"/>
          <w:szCs w:val="24"/>
          <w:lang w:val="en-US"/>
        </w:rPr>
        <w:t>a:</w:t>
      </w:r>
      <w:r w:rsidRPr="006C17B2">
        <w:rPr>
          <w:rFonts w:ascii="Times New Roman" w:eastAsia="Calibri" w:hAnsi="Times New Roman"/>
          <w:b/>
          <w:sz w:val="24"/>
          <w:szCs w:val="24"/>
        </w:rPr>
        <w:t xml:space="preserve"> </w:t>
      </w:r>
      <w:r w:rsidRPr="006C17B2">
        <w:rPr>
          <w:rFonts w:ascii="Times New Roman" w:hAnsi="Times New Roman"/>
          <w:bCs/>
          <w:color w:val="000000"/>
          <w:sz w:val="24"/>
          <w:szCs w:val="24"/>
          <w:lang w:eastAsia="bg-BG"/>
        </w:rPr>
        <w:t xml:space="preserve">5339 </w:t>
      </w:r>
      <w:bookmarkStart w:id="67" w:name="_Hlk88850094"/>
      <w:r w:rsidRPr="006C17B2">
        <w:rPr>
          <w:rFonts w:ascii="Times New Roman" w:hAnsi="Times New Roman"/>
          <w:bCs/>
          <w:i/>
          <w:color w:val="000000"/>
          <w:sz w:val="24"/>
          <w:szCs w:val="24"/>
          <w:lang w:val="en-US" w:eastAsia="bg-BG"/>
        </w:rPr>
        <w:t>Rhodeus</w:t>
      </w:r>
      <w:r w:rsidRPr="006C17B2">
        <w:rPr>
          <w:rFonts w:ascii="Times New Roman" w:hAnsi="Times New Roman"/>
          <w:bCs/>
          <w:i/>
          <w:color w:val="000000"/>
          <w:sz w:val="24"/>
          <w:szCs w:val="24"/>
          <w:lang w:eastAsia="bg-BG"/>
        </w:rPr>
        <w:t xml:space="preserve"> </w:t>
      </w:r>
      <w:r w:rsidRPr="006C17B2">
        <w:rPr>
          <w:rFonts w:ascii="Times New Roman" w:hAnsi="Times New Roman"/>
          <w:bCs/>
          <w:i/>
          <w:color w:val="000000"/>
          <w:sz w:val="24"/>
          <w:szCs w:val="24"/>
          <w:lang w:val="en-US" w:eastAsia="bg-BG"/>
        </w:rPr>
        <w:t>amarus</w:t>
      </w:r>
      <w:bookmarkEnd w:id="67"/>
      <w:r w:rsidRPr="006C17B2">
        <w:rPr>
          <w:rFonts w:ascii="Times New Roman" w:hAnsi="Times New Roman"/>
          <w:bCs/>
          <w:color w:val="000000"/>
          <w:sz w:val="24"/>
          <w:szCs w:val="24"/>
          <w:lang w:val="en-US" w:eastAsia="bg-BG"/>
        </w:rPr>
        <w:t xml:space="preserve"> </w:t>
      </w:r>
      <w:r>
        <w:rPr>
          <w:rFonts w:ascii="Times New Roman" w:hAnsi="Times New Roman"/>
          <w:bCs/>
          <w:color w:val="000000"/>
          <w:sz w:val="24"/>
          <w:szCs w:val="24"/>
          <w:lang w:eastAsia="bg-BG"/>
        </w:rPr>
        <w:t xml:space="preserve">- </w:t>
      </w:r>
      <w:r w:rsidRPr="006C17B2">
        <w:rPr>
          <w:rFonts w:ascii="Times New Roman" w:hAnsi="Times New Roman"/>
          <w:bCs/>
          <w:color w:val="000000"/>
          <w:sz w:val="24"/>
          <w:szCs w:val="24"/>
          <w:lang w:val="en-US" w:eastAsia="bg-BG"/>
        </w:rPr>
        <w:t>E</w:t>
      </w:r>
      <w:r w:rsidRPr="006C17B2">
        <w:rPr>
          <w:rFonts w:ascii="Times New Roman" w:hAnsi="Times New Roman"/>
          <w:bCs/>
          <w:color w:val="000000"/>
          <w:sz w:val="24"/>
          <w:szCs w:val="24"/>
          <w:lang w:eastAsia="bg-BG"/>
        </w:rPr>
        <w:t>вропейска горчивка</w:t>
      </w:r>
    </w:p>
    <w:p w:rsidR="006C17B2" w:rsidRPr="006C17B2" w:rsidRDefault="006C17B2" w:rsidP="006C17B2">
      <w:pPr>
        <w:spacing w:after="160" w:line="240" w:lineRule="auto"/>
        <w:jc w:val="both"/>
        <w:rPr>
          <w:rFonts w:ascii="Times New Roman" w:eastAsia="Calibri" w:hAnsi="Times New Roman"/>
          <w:b/>
          <w:sz w:val="24"/>
          <w:szCs w:val="24"/>
        </w:rPr>
      </w:pPr>
      <w:r w:rsidRPr="006C17B2">
        <w:rPr>
          <w:rFonts w:ascii="Times New Roman" w:eastAsia="Calibri" w:hAnsi="Times New Roman"/>
          <w:b/>
          <w:sz w:val="24"/>
          <w:szCs w:val="24"/>
        </w:rPr>
        <w:t>2. Кратка х</w:t>
      </w:r>
      <w:r>
        <w:rPr>
          <w:rFonts w:ascii="Times New Roman" w:eastAsia="Calibri" w:hAnsi="Times New Roman"/>
          <w:b/>
          <w:sz w:val="24"/>
          <w:szCs w:val="24"/>
        </w:rPr>
        <w:t>арактеристика на целевия обект</w:t>
      </w:r>
    </w:p>
    <w:p w:rsidR="006C17B2" w:rsidRPr="006C17B2" w:rsidRDefault="0001440D" w:rsidP="006C17B2">
      <w:pPr>
        <w:spacing w:after="0" w:line="240" w:lineRule="auto"/>
        <w:ind w:firstLine="709"/>
        <w:jc w:val="both"/>
        <w:rPr>
          <w:rFonts w:ascii="Times New Roman" w:eastAsia="Calibri" w:hAnsi="Times New Roman"/>
          <w:sz w:val="24"/>
          <w:szCs w:val="24"/>
        </w:rPr>
      </w:pPr>
      <w:r>
        <w:rPr>
          <w:rFonts w:ascii="Times New Roman" w:eastAsia="Calibri" w:hAnsi="Times New Roman"/>
          <w:sz w:val="24"/>
          <w:szCs w:val="24"/>
        </w:rPr>
        <w:t>Ш</w:t>
      </w:r>
      <w:r w:rsidR="006C17B2" w:rsidRPr="006C17B2">
        <w:rPr>
          <w:rFonts w:ascii="Times New Roman" w:eastAsia="Calibri" w:hAnsi="Times New Roman"/>
          <w:sz w:val="24"/>
          <w:szCs w:val="24"/>
        </w:rPr>
        <w:t xml:space="preserve">аранова риба, с малки размери – до 7-8 см, тялото е странично сплеснато. Има синя ивица от страни на тялото. Страничната линия е непълна. През размножителния период мъжките придобиват червено-виолетова окраска, а при женските в аналната област се появява яйцеполагало (тръбичка). Максимално отчетената възраст е 5 години, а полова зрялост се достига след една година. Размножаването се предизвиква с повишаване на температурата на водата, с праг на хвърляне на хайвера между 10 и 15°C. Горчивката е яйцеснасящ вид, с дълъг репродуктивен сезон. Женската полага яйца в хрилните кухини на мекотели от род </w:t>
      </w:r>
      <w:r w:rsidR="006C17B2" w:rsidRPr="0001440D">
        <w:rPr>
          <w:rFonts w:ascii="Times New Roman" w:eastAsia="Calibri" w:hAnsi="Times New Roman"/>
          <w:i/>
          <w:sz w:val="24"/>
          <w:szCs w:val="24"/>
        </w:rPr>
        <w:t>Unio</w:t>
      </w:r>
      <w:r w:rsidR="006C17B2" w:rsidRPr="006C17B2">
        <w:rPr>
          <w:rFonts w:ascii="Times New Roman" w:eastAsia="Calibri" w:hAnsi="Times New Roman"/>
          <w:sz w:val="24"/>
          <w:szCs w:val="24"/>
        </w:rPr>
        <w:t xml:space="preserve"> и </w:t>
      </w:r>
      <w:r w:rsidR="006C17B2" w:rsidRPr="0001440D">
        <w:rPr>
          <w:rFonts w:ascii="Times New Roman" w:eastAsia="Calibri" w:hAnsi="Times New Roman"/>
          <w:i/>
          <w:sz w:val="24"/>
          <w:szCs w:val="24"/>
        </w:rPr>
        <w:t>Anodonta</w:t>
      </w:r>
      <w:r w:rsidR="006C17B2" w:rsidRPr="006C17B2">
        <w:rPr>
          <w:rFonts w:ascii="Times New Roman" w:eastAsia="Calibri" w:hAnsi="Times New Roman"/>
          <w:sz w:val="24"/>
          <w:szCs w:val="24"/>
        </w:rPr>
        <w:t xml:space="preserve">. По време на размножителния период мъжките защитават територии около сладководните миди, където женските снасят от едно до шест яйца по време на всяко яйцеполагане. Абсолютната женска плодовитост зависи от размера на женската и обикновено достига 80-300 яйца на сезон. Яйцата се излюпват в рамките на 24 - 36 часа, последвани от 3-4-седмичен ларвен стадий, който също се развива в мидната кухина. Ларвите напускат кухината на мидите, когато достигнат дължина около 10 мм и навлизат в плитки райони с богата растителност, които използват до късната есен. </w:t>
      </w:r>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 xml:space="preserve">Видът е разпространен в Централна и Източна Европа и Северна Мала Азия; басейните на Северно и Южно Балтийско море, Черно море, западно и южно Каспийско море и Егейско море (от р. Марица до притоците на р. Струма); Средиземноморски басейн, само в северната Рона (Франция) и притоците на р. Дрин (Албания, Черна гора, Сев. Македония). </w:t>
      </w:r>
      <w:r w:rsidR="00022F9E">
        <w:rPr>
          <w:rFonts w:ascii="Times New Roman" w:eastAsia="Calibri" w:hAnsi="Times New Roman"/>
          <w:sz w:val="24"/>
          <w:szCs w:val="24"/>
        </w:rPr>
        <w:t>Многочислен е и с нарастващо обилие</w:t>
      </w:r>
      <w:r w:rsidRPr="006C17B2">
        <w:rPr>
          <w:rFonts w:ascii="Times New Roman" w:eastAsia="Calibri" w:hAnsi="Times New Roman"/>
          <w:sz w:val="24"/>
          <w:szCs w:val="24"/>
        </w:rPr>
        <w:t xml:space="preserve"> в по-голямата част от ареала си, но локално застрашен от замърсяване на водата, нарушаване на местообитанията и наличие на хищни риби. В България видът е широко разпространен и често срещан в по-голямата част от страната. Обитава както стоящ</w:t>
      </w:r>
      <w:r w:rsidR="00022F9E">
        <w:rPr>
          <w:rFonts w:ascii="Times New Roman" w:eastAsia="Calibri" w:hAnsi="Times New Roman"/>
          <w:sz w:val="24"/>
          <w:szCs w:val="24"/>
        </w:rPr>
        <w:t>и</w:t>
      </w:r>
      <w:r w:rsidRPr="006C17B2">
        <w:rPr>
          <w:rFonts w:ascii="Times New Roman" w:eastAsia="Calibri" w:hAnsi="Times New Roman"/>
          <w:sz w:val="24"/>
          <w:szCs w:val="24"/>
        </w:rPr>
        <w:t>, така и течащ</w:t>
      </w:r>
      <w:r w:rsidR="00022F9E">
        <w:rPr>
          <w:rFonts w:ascii="Times New Roman" w:eastAsia="Calibri" w:hAnsi="Times New Roman"/>
          <w:sz w:val="24"/>
          <w:szCs w:val="24"/>
        </w:rPr>
        <w:t>и</w:t>
      </w:r>
      <w:r w:rsidRPr="006C17B2">
        <w:rPr>
          <w:rFonts w:ascii="Times New Roman" w:eastAsia="Calibri" w:hAnsi="Times New Roman"/>
          <w:sz w:val="24"/>
          <w:szCs w:val="24"/>
        </w:rPr>
        <w:t xml:space="preserve"> вод</w:t>
      </w:r>
      <w:r w:rsidR="00022F9E">
        <w:rPr>
          <w:rFonts w:ascii="Times New Roman" w:eastAsia="Calibri" w:hAnsi="Times New Roman"/>
          <w:sz w:val="24"/>
          <w:szCs w:val="24"/>
        </w:rPr>
        <w:t>и</w:t>
      </w:r>
      <w:r w:rsidRPr="006C17B2">
        <w:rPr>
          <w:rFonts w:ascii="Times New Roman" w:eastAsia="Calibri" w:hAnsi="Times New Roman"/>
          <w:sz w:val="24"/>
          <w:szCs w:val="24"/>
        </w:rPr>
        <w:t xml:space="preserve">. Среща се в средното и долното течение на повечето реки, вкл. в р. Дунав и в повечето от реките, вливащи се в Черно и Егейско море. Също така обитава и повечето язовири в страната, както и някои микроязовири. Храни се предимно с растения и в по-малка степен с червеи, ракообразни и ларви на насекоми. Продължителността на живота е до 5 години, но повечето индивиди не оцеляват годината на първото си размножаване и размерът на популацията варира значително през годините. </w:t>
      </w:r>
    </w:p>
    <w:p w:rsidR="006C17B2" w:rsidRPr="006C17B2" w:rsidRDefault="006C17B2" w:rsidP="006C17B2">
      <w:pPr>
        <w:spacing w:after="0" w:line="240" w:lineRule="auto"/>
        <w:ind w:firstLine="709"/>
        <w:jc w:val="both"/>
        <w:rPr>
          <w:rFonts w:ascii="Times New Roman" w:eastAsia="Calibri" w:hAnsi="Times New Roman"/>
          <w:sz w:val="24"/>
          <w:szCs w:val="24"/>
        </w:rPr>
      </w:pPr>
      <w:r w:rsidRPr="0001440D">
        <w:rPr>
          <w:rFonts w:ascii="Times New Roman" w:eastAsia="Calibri" w:hAnsi="Times New Roman"/>
          <w:i/>
          <w:sz w:val="24"/>
          <w:szCs w:val="24"/>
        </w:rPr>
        <w:t>Характеристики на местообитанието в България</w:t>
      </w:r>
      <w:r w:rsidR="0001440D">
        <w:rPr>
          <w:rFonts w:ascii="Times New Roman" w:eastAsia="Calibri" w:hAnsi="Times New Roman"/>
          <w:sz w:val="24"/>
          <w:szCs w:val="24"/>
        </w:rPr>
        <w:t>.</w:t>
      </w:r>
      <w:r w:rsidRPr="006C17B2">
        <w:rPr>
          <w:rFonts w:ascii="Times New Roman" w:eastAsia="Calibri" w:hAnsi="Times New Roman"/>
          <w:sz w:val="24"/>
          <w:szCs w:val="24"/>
        </w:rPr>
        <w:t xml:space="preserve"> </w:t>
      </w:r>
      <w:r w:rsidR="00022F9E">
        <w:rPr>
          <w:rFonts w:ascii="Times New Roman" w:eastAsia="Calibri" w:hAnsi="Times New Roman"/>
          <w:sz w:val="24"/>
          <w:szCs w:val="24"/>
        </w:rPr>
        <w:t>Най-м</w:t>
      </w:r>
      <w:r w:rsidR="0001440D">
        <w:rPr>
          <w:rFonts w:ascii="Times New Roman" w:eastAsia="Calibri" w:hAnsi="Times New Roman"/>
          <w:sz w:val="24"/>
          <w:szCs w:val="24"/>
        </w:rPr>
        <w:t xml:space="preserve">ногочислен </w:t>
      </w:r>
      <w:r w:rsidR="00022F9E">
        <w:rPr>
          <w:rFonts w:ascii="Times New Roman" w:eastAsia="Calibri" w:hAnsi="Times New Roman"/>
          <w:sz w:val="24"/>
          <w:szCs w:val="24"/>
        </w:rPr>
        <w:t>е</w:t>
      </w:r>
      <w:r w:rsidR="0001440D">
        <w:rPr>
          <w:rFonts w:ascii="Times New Roman" w:eastAsia="Calibri" w:hAnsi="Times New Roman"/>
          <w:sz w:val="24"/>
          <w:szCs w:val="24"/>
        </w:rPr>
        <w:t xml:space="preserve"> </w:t>
      </w:r>
      <w:r w:rsidRPr="006C17B2">
        <w:rPr>
          <w:rFonts w:ascii="Times New Roman" w:eastAsia="Calibri" w:hAnsi="Times New Roman"/>
          <w:sz w:val="24"/>
          <w:szCs w:val="24"/>
        </w:rPr>
        <w:t>в спокойн</w:t>
      </w:r>
      <w:r w:rsidR="0001440D">
        <w:rPr>
          <w:rFonts w:ascii="Times New Roman" w:eastAsia="Calibri" w:hAnsi="Times New Roman"/>
          <w:sz w:val="24"/>
          <w:szCs w:val="24"/>
        </w:rPr>
        <w:t>и</w:t>
      </w:r>
      <w:r w:rsidRPr="006C17B2">
        <w:rPr>
          <w:rFonts w:ascii="Times New Roman" w:eastAsia="Calibri" w:hAnsi="Times New Roman"/>
          <w:sz w:val="24"/>
          <w:szCs w:val="24"/>
        </w:rPr>
        <w:t xml:space="preserve"> или бавно течащ</w:t>
      </w:r>
      <w:r w:rsidR="0001440D">
        <w:rPr>
          <w:rFonts w:ascii="Times New Roman" w:eastAsia="Calibri" w:hAnsi="Times New Roman"/>
          <w:sz w:val="24"/>
          <w:szCs w:val="24"/>
        </w:rPr>
        <w:t>и</w:t>
      </w:r>
      <w:r w:rsidRPr="006C17B2">
        <w:rPr>
          <w:rFonts w:ascii="Times New Roman" w:eastAsia="Calibri" w:hAnsi="Times New Roman"/>
          <w:sz w:val="24"/>
          <w:szCs w:val="24"/>
        </w:rPr>
        <w:t xml:space="preserve"> вод</w:t>
      </w:r>
      <w:r w:rsidR="0001440D">
        <w:rPr>
          <w:rFonts w:ascii="Times New Roman" w:eastAsia="Calibri" w:hAnsi="Times New Roman"/>
          <w:sz w:val="24"/>
          <w:szCs w:val="24"/>
        </w:rPr>
        <w:t>и</w:t>
      </w:r>
      <w:r w:rsidRPr="006C17B2">
        <w:rPr>
          <w:rFonts w:ascii="Times New Roman" w:eastAsia="Calibri" w:hAnsi="Times New Roman"/>
          <w:sz w:val="24"/>
          <w:szCs w:val="24"/>
        </w:rPr>
        <w:t xml:space="preserve"> с гъста водна растителност и дъно със субстрат от пясък и тиня. Наличието на сладководни миди е от жизнено важно значение за размножаването на вида. От тази гледна точка, при определяне на местообитанието на </w:t>
      </w:r>
      <w:r w:rsidRPr="0001440D">
        <w:rPr>
          <w:rFonts w:ascii="Times New Roman" w:eastAsia="Calibri" w:hAnsi="Times New Roman"/>
          <w:i/>
          <w:sz w:val="24"/>
          <w:szCs w:val="24"/>
        </w:rPr>
        <w:t>Rhodeus amarus</w:t>
      </w:r>
      <w:r w:rsidRPr="006C17B2">
        <w:rPr>
          <w:rFonts w:ascii="Times New Roman" w:eastAsia="Calibri" w:hAnsi="Times New Roman"/>
          <w:sz w:val="24"/>
          <w:szCs w:val="24"/>
        </w:rPr>
        <w:t xml:space="preserve">, следва да бъдат отчитани екологичните изисквания на мидите от род </w:t>
      </w:r>
      <w:r w:rsidRPr="0001440D">
        <w:rPr>
          <w:rFonts w:ascii="Times New Roman" w:eastAsia="Calibri" w:hAnsi="Times New Roman"/>
          <w:i/>
          <w:sz w:val="24"/>
          <w:szCs w:val="24"/>
        </w:rPr>
        <w:lastRenderedPageBreak/>
        <w:t>Unio</w:t>
      </w:r>
      <w:r w:rsidRPr="006C17B2">
        <w:rPr>
          <w:rFonts w:ascii="Times New Roman" w:eastAsia="Calibri" w:hAnsi="Times New Roman"/>
          <w:sz w:val="24"/>
          <w:szCs w:val="24"/>
        </w:rPr>
        <w:t xml:space="preserve"> и </w:t>
      </w:r>
      <w:r w:rsidRPr="0001440D">
        <w:rPr>
          <w:rFonts w:ascii="Times New Roman" w:eastAsia="Calibri" w:hAnsi="Times New Roman"/>
          <w:i/>
          <w:sz w:val="24"/>
          <w:szCs w:val="24"/>
        </w:rPr>
        <w:t>Anodonta</w:t>
      </w:r>
      <w:r w:rsidRPr="006C17B2">
        <w:rPr>
          <w:rFonts w:ascii="Times New Roman" w:eastAsia="Calibri" w:hAnsi="Times New Roman"/>
          <w:sz w:val="24"/>
          <w:szCs w:val="24"/>
        </w:rPr>
        <w:t xml:space="preserve">. Един от основните фактори, свързани с намаляването на </w:t>
      </w:r>
      <w:r w:rsidRPr="0001440D">
        <w:rPr>
          <w:rFonts w:ascii="Times New Roman" w:eastAsia="Calibri" w:hAnsi="Times New Roman"/>
          <w:i/>
          <w:sz w:val="24"/>
          <w:szCs w:val="24"/>
        </w:rPr>
        <w:t>Unio crassus</w:t>
      </w:r>
      <w:r w:rsidRPr="006C17B2">
        <w:rPr>
          <w:rFonts w:ascii="Times New Roman" w:eastAsia="Calibri" w:hAnsi="Times New Roman"/>
          <w:sz w:val="24"/>
          <w:szCs w:val="24"/>
        </w:rPr>
        <w:t>, е повишеното съдържание на нитратен азот, причинено от еутрофикация. Популациите от миди са добре представени при концентрации на NO3-N под 2 мг/л.</w:t>
      </w:r>
    </w:p>
    <w:p w:rsidR="006C17B2" w:rsidRPr="006C17B2" w:rsidRDefault="006C17B2" w:rsidP="006C17B2">
      <w:pPr>
        <w:spacing w:before="120" w:after="160" w:line="240" w:lineRule="auto"/>
        <w:jc w:val="both"/>
        <w:rPr>
          <w:rFonts w:ascii="Times New Roman" w:eastAsia="Calibri" w:hAnsi="Times New Roman"/>
          <w:b/>
          <w:sz w:val="24"/>
          <w:szCs w:val="24"/>
        </w:rPr>
      </w:pPr>
      <w:r w:rsidRPr="006C17B2">
        <w:rPr>
          <w:rFonts w:ascii="Times New Roman" w:eastAsia="Calibri" w:hAnsi="Times New Roman"/>
          <w:b/>
          <w:sz w:val="24"/>
          <w:szCs w:val="24"/>
        </w:rPr>
        <w:t xml:space="preserve">3. Състояние на биогеографско ниво и разпространение в мрежата </w:t>
      </w:r>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Съгласно докладването по чл. 17 от Директивата за местообитанията през 2019 г. (за периода 2013-2018 г.), видът има благоприятно природозащитно състояние на Континенталния биогеографски регион. Оценката съвпада с тази от предишното докладване през 2013 г. (за периода 2007 -2012 г.). Не са известни натиск и заплахи за вида. Въпреки че е умерено толерантен вид, като пряко зависим от сладководните миди за своето размножаване, следва техните популационни тенденции.</w:t>
      </w:r>
    </w:p>
    <w:p w:rsidR="006C17B2" w:rsidRPr="006C17B2" w:rsidRDefault="006C17B2" w:rsidP="006C17B2">
      <w:pPr>
        <w:spacing w:after="160" w:line="240" w:lineRule="auto"/>
        <w:jc w:val="both"/>
        <w:rPr>
          <w:rFonts w:ascii="Times New Roman" w:eastAsia="Calibri" w:hAnsi="Times New Roman"/>
          <w:color w:val="0563C1"/>
          <w:sz w:val="24"/>
          <w:szCs w:val="24"/>
          <w:u w:val="single"/>
        </w:rPr>
      </w:pPr>
      <w:r w:rsidRPr="006C17B2">
        <w:rPr>
          <w:rFonts w:ascii="Times New Roman" w:eastAsia="Calibri" w:hAnsi="Times New Roman"/>
          <w:sz w:val="24"/>
          <w:szCs w:val="24"/>
        </w:rPr>
        <w:t xml:space="preserve"> </w:t>
      </w:r>
      <w:hyperlink r:id="rId145" w:history="1">
        <w:r w:rsidRPr="006C17B2">
          <w:rPr>
            <w:rFonts w:ascii="Times New Roman" w:eastAsia="Calibri" w:hAnsi="Times New Roman"/>
            <w:color w:val="0563C1"/>
            <w:sz w:val="24"/>
            <w:szCs w:val="24"/>
            <w:u w:val="single"/>
          </w:rPr>
          <w:t>https://nature-art17.eionet.europa.eu/article17/species/report/</w:t>
        </w:r>
      </w:hyperlink>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6C17B2" w:rsidRPr="006C17B2" w:rsidRDefault="006C17B2" w:rsidP="006C17B2">
      <w:pPr>
        <w:spacing w:after="0" w:line="240" w:lineRule="auto"/>
        <w:jc w:val="both"/>
        <w:rPr>
          <w:rFonts w:ascii="Times New Roman" w:eastAsia="Calibri" w:hAnsi="Times New Roman"/>
          <w:sz w:val="24"/>
          <w:szCs w:val="24"/>
        </w:rPr>
      </w:pPr>
      <w:r w:rsidRPr="006C17B2">
        <w:rPr>
          <w:rFonts w:ascii="Times New Roman" w:eastAsia="Calibri" w:hAnsi="Times New Roman"/>
          <w:sz w:val="24"/>
          <w:szCs w:val="24"/>
        </w:rPr>
        <w:t>Пряко въздействащи негативни антропогенни фактори.</w:t>
      </w:r>
    </w:p>
    <w:p w:rsidR="006C17B2" w:rsidRPr="006C17B2" w:rsidRDefault="006C17B2" w:rsidP="00635999">
      <w:pPr>
        <w:numPr>
          <w:ilvl w:val="0"/>
          <w:numId w:val="10"/>
        </w:numPr>
        <w:spacing w:after="0" w:line="240" w:lineRule="auto"/>
        <w:contextualSpacing/>
        <w:jc w:val="both"/>
        <w:rPr>
          <w:rFonts w:ascii="Times New Roman" w:eastAsia="Calibri" w:hAnsi="Times New Roman"/>
          <w:sz w:val="24"/>
          <w:szCs w:val="24"/>
        </w:rPr>
      </w:pPr>
      <w:r w:rsidRPr="006C17B2">
        <w:rPr>
          <w:rFonts w:ascii="Times New Roman" w:eastAsia="Calibri" w:hAnsi="Times New Roman"/>
          <w:sz w:val="24"/>
          <w:szCs w:val="24"/>
        </w:rPr>
        <w:t xml:space="preserve">Улавяне в риболовни мрежени уреди и физическо унищожаване с нерегламентиран (бракониерски) риболов. </w:t>
      </w:r>
    </w:p>
    <w:p w:rsidR="006C17B2" w:rsidRPr="006C17B2" w:rsidRDefault="006C17B2" w:rsidP="00635999">
      <w:pPr>
        <w:numPr>
          <w:ilvl w:val="0"/>
          <w:numId w:val="10"/>
        </w:numPr>
        <w:spacing w:after="0" w:line="240" w:lineRule="auto"/>
        <w:contextualSpacing/>
        <w:jc w:val="both"/>
        <w:rPr>
          <w:rFonts w:ascii="Times New Roman" w:eastAsia="Calibri" w:hAnsi="Times New Roman"/>
          <w:sz w:val="24"/>
          <w:szCs w:val="24"/>
        </w:rPr>
      </w:pPr>
      <w:r w:rsidRPr="006C17B2">
        <w:rPr>
          <w:rFonts w:ascii="Times New Roman" w:eastAsia="Calibri" w:hAnsi="Times New Roman"/>
          <w:sz w:val="24"/>
          <w:szCs w:val="24"/>
        </w:rPr>
        <w:t>Разрушаване на местообитанията и прекъсване на биокоридорите: добив на инертни материали, корекции на реки, преграждане на реките.</w:t>
      </w:r>
    </w:p>
    <w:p w:rsidR="006C17B2" w:rsidRPr="006C17B2" w:rsidRDefault="006C17B2" w:rsidP="00635999">
      <w:pPr>
        <w:numPr>
          <w:ilvl w:val="0"/>
          <w:numId w:val="10"/>
        </w:numPr>
        <w:spacing w:after="0" w:line="240" w:lineRule="auto"/>
        <w:contextualSpacing/>
        <w:jc w:val="both"/>
        <w:rPr>
          <w:rFonts w:ascii="Times New Roman" w:eastAsia="Calibri" w:hAnsi="Times New Roman"/>
          <w:sz w:val="24"/>
          <w:szCs w:val="24"/>
        </w:rPr>
      </w:pPr>
      <w:r w:rsidRPr="006C17B2">
        <w:rPr>
          <w:rFonts w:ascii="Times New Roman" w:eastAsia="Calibri" w:hAnsi="Times New Roman"/>
          <w:sz w:val="24"/>
          <w:szCs w:val="24"/>
        </w:rPr>
        <w:t xml:space="preserve">Замърсяване на водите. </w:t>
      </w:r>
    </w:p>
    <w:p w:rsidR="006C17B2" w:rsidRPr="006C17B2" w:rsidRDefault="006C17B2" w:rsidP="006C17B2">
      <w:pPr>
        <w:spacing w:after="0" w:line="240" w:lineRule="auto"/>
        <w:jc w:val="both"/>
        <w:rPr>
          <w:rFonts w:ascii="Times New Roman" w:eastAsia="Calibri" w:hAnsi="Times New Roman"/>
          <w:b/>
          <w:sz w:val="24"/>
          <w:szCs w:val="24"/>
          <w:lang w:val="en-US"/>
        </w:rPr>
      </w:pPr>
    </w:p>
    <w:p w:rsidR="006C17B2" w:rsidRPr="006C17B2" w:rsidRDefault="006C17B2" w:rsidP="006C17B2">
      <w:pPr>
        <w:spacing w:after="160" w:line="240" w:lineRule="auto"/>
        <w:jc w:val="both"/>
        <w:rPr>
          <w:rFonts w:ascii="Times New Roman" w:eastAsia="Calibri" w:hAnsi="Times New Roman"/>
          <w:b/>
          <w:sz w:val="24"/>
          <w:szCs w:val="24"/>
        </w:rPr>
      </w:pPr>
      <w:r w:rsidRPr="006C17B2">
        <w:rPr>
          <w:rFonts w:ascii="Times New Roman" w:eastAsia="Calibri" w:hAnsi="Times New Roman"/>
          <w:b/>
          <w:sz w:val="24"/>
          <w:szCs w:val="24"/>
        </w:rPr>
        <w:t xml:space="preserve">4. Състояние на ниво защитена зона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06"/>
        <w:gridCol w:w="543"/>
        <w:gridCol w:w="1041"/>
        <w:gridCol w:w="262"/>
        <w:gridCol w:w="837"/>
        <w:gridCol w:w="286"/>
        <w:gridCol w:w="584"/>
        <w:gridCol w:w="718"/>
        <w:gridCol w:w="491"/>
        <w:gridCol w:w="480"/>
        <w:gridCol w:w="1211"/>
        <w:gridCol w:w="737"/>
        <w:gridCol w:w="514"/>
        <w:gridCol w:w="438"/>
        <w:gridCol w:w="896"/>
      </w:tblGrid>
      <w:tr w:rsidR="006C17B2" w:rsidRPr="006C17B2" w:rsidTr="006C17B2">
        <w:trPr>
          <w:tblCellSpacing w:w="15" w:type="dxa"/>
        </w:trPr>
        <w:tc>
          <w:tcPr>
            <w:tcW w:w="1571" w:type="pct"/>
            <w:gridSpan w:val="5"/>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Species </w:t>
            </w:r>
          </w:p>
        </w:tc>
        <w:tc>
          <w:tcPr>
            <w:tcW w:w="2000" w:type="pct"/>
            <w:gridSpan w:val="6"/>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Population in the site </w:t>
            </w:r>
          </w:p>
        </w:tc>
        <w:tc>
          <w:tcPr>
            <w:tcW w:w="1364" w:type="pct"/>
            <w:gridSpan w:val="4"/>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Site assessment </w:t>
            </w:r>
          </w:p>
        </w:tc>
      </w:tr>
      <w:tr w:rsidR="006C17B2" w:rsidRPr="006C17B2" w:rsidTr="006C17B2">
        <w:trPr>
          <w:tblCellSpacing w:w="15" w:type="dxa"/>
        </w:trPr>
        <w:tc>
          <w:tcPr>
            <w:tcW w:w="146"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G </w:t>
            </w:r>
          </w:p>
        </w:tc>
        <w:tc>
          <w:tcPr>
            <w:tcW w:w="286"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Code </w:t>
            </w:r>
          </w:p>
        </w:tc>
        <w:tc>
          <w:tcPr>
            <w:tcW w:w="564"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Scientific Name </w:t>
            </w:r>
          </w:p>
        </w:tc>
        <w:tc>
          <w:tcPr>
            <w:tcW w:w="125"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 </w:t>
            </w:r>
          </w:p>
        </w:tc>
        <w:tc>
          <w:tcPr>
            <w:tcW w:w="386"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NP </w:t>
            </w:r>
          </w:p>
        </w:tc>
        <w:tc>
          <w:tcPr>
            <w:tcW w:w="143"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T </w:t>
            </w:r>
          </w:p>
        </w:tc>
        <w:tc>
          <w:tcPr>
            <w:tcW w:w="692" w:type="pct"/>
            <w:gridSpan w:val="2"/>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Size </w:t>
            </w:r>
          </w:p>
        </w:tc>
        <w:tc>
          <w:tcPr>
            <w:tcW w:w="257"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Unit </w:t>
            </w:r>
          </w:p>
        </w:tc>
        <w:tc>
          <w:tcPr>
            <w:tcW w:w="251"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Cat. </w:t>
            </w:r>
          </w:p>
        </w:tc>
        <w:tc>
          <w:tcPr>
            <w:tcW w:w="595"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D.qual. </w:t>
            </w:r>
          </w:p>
        </w:tc>
        <w:tc>
          <w:tcPr>
            <w:tcW w:w="394"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A|B|C|D </w:t>
            </w:r>
          </w:p>
        </w:tc>
        <w:tc>
          <w:tcPr>
            <w:tcW w:w="955" w:type="pct"/>
            <w:gridSpan w:val="3"/>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A|B|C </w:t>
            </w:r>
          </w:p>
        </w:tc>
      </w:tr>
      <w:tr w:rsidR="006C17B2" w:rsidRPr="006C17B2" w:rsidTr="006C17B2">
        <w:trPr>
          <w:tblCellSpacing w:w="15" w:type="dxa"/>
        </w:trPr>
        <w:tc>
          <w:tcPr>
            <w:tcW w:w="146"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286"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564"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125"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386"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143"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309"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Min</w:t>
            </w:r>
          </w:p>
        </w:tc>
        <w:tc>
          <w:tcPr>
            <w:tcW w:w="367"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Max</w:t>
            </w:r>
          </w:p>
        </w:tc>
        <w:tc>
          <w:tcPr>
            <w:tcW w:w="257"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251"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p>
        </w:tc>
        <w:tc>
          <w:tcPr>
            <w:tcW w:w="595"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394"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Pop.</w:t>
            </w:r>
          </w:p>
        </w:tc>
        <w:tc>
          <w:tcPr>
            <w:tcW w:w="269"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Con.</w:t>
            </w:r>
          </w:p>
        </w:tc>
        <w:tc>
          <w:tcPr>
            <w:tcW w:w="227"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Iso.</w:t>
            </w:r>
          </w:p>
        </w:tc>
        <w:tc>
          <w:tcPr>
            <w:tcW w:w="426"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Glo.</w:t>
            </w:r>
          </w:p>
        </w:tc>
      </w:tr>
      <w:tr w:rsidR="006C17B2" w:rsidRPr="006C17B2" w:rsidTr="006C17B2">
        <w:trPr>
          <w:tblCellSpacing w:w="15" w:type="dxa"/>
        </w:trPr>
        <w:tc>
          <w:tcPr>
            <w:tcW w:w="14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lang w:val="en-US"/>
              </w:rPr>
            </w:pPr>
            <w:r w:rsidRPr="006C17B2">
              <w:rPr>
                <w:rFonts w:ascii="Times New Roman" w:eastAsia="Calibri" w:hAnsi="Times New Roman"/>
                <w:b/>
                <w:bCs/>
                <w:sz w:val="16"/>
                <w:szCs w:val="16"/>
                <w:lang w:val="en-US"/>
              </w:rPr>
              <w:t>F</w:t>
            </w:r>
          </w:p>
        </w:tc>
        <w:tc>
          <w:tcPr>
            <w:tcW w:w="28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lang w:val="en-US"/>
              </w:rPr>
            </w:pPr>
            <w:r w:rsidRPr="006C17B2">
              <w:rPr>
                <w:rFonts w:ascii="Times New Roman" w:eastAsia="Calibri" w:hAnsi="Times New Roman"/>
                <w:b/>
                <w:bCs/>
                <w:sz w:val="16"/>
                <w:szCs w:val="16"/>
                <w:lang w:val="en-US"/>
              </w:rPr>
              <w:t>53</w:t>
            </w:r>
            <w:r w:rsidRPr="006C17B2">
              <w:rPr>
                <w:rFonts w:ascii="Times New Roman" w:eastAsia="Calibri" w:hAnsi="Times New Roman"/>
                <w:b/>
                <w:bCs/>
                <w:sz w:val="16"/>
                <w:szCs w:val="16"/>
              </w:rPr>
              <w:t>3</w:t>
            </w:r>
            <w:r w:rsidRPr="006C17B2">
              <w:rPr>
                <w:rFonts w:ascii="Times New Roman" w:eastAsia="Calibri" w:hAnsi="Times New Roman"/>
                <w:b/>
                <w:bCs/>
                <w:sz w:val="16"/>
                <w:szCs w:val="16"/>
                <w:lang w:val="en-US"/>
              </w:rPr>
              <w:t>9</w:t>
            </w:r>
          </w:p>
        </w:tc>
        <w:tc>
          <w:tcPr>
            <w:tcW w:w="56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i/>
                <w:sz w:val="16"/>
                <w:szCs w:val="16"/>
                <w:lang w:val="en-US"/>
              </w:rPr>
            </w:pPr>
            <w:r w:rsidRPr="006C17B2">
              <w:rPr>
                <w:rFonts w:ascii="Times New Roman" w:eastAsia="Calibri" w:hAnsi="Times New Roman"/>
                <w:b/>
                <w:bCs/>
                <w:i/>
                <w:sz w:val="16"/>
                <w:szCs w:val="16"/>
                <w:lang w:val="en-US"/>
              </w:rPr>
              <w:t>Rhodeus amarus</w:t>
            </w:r>
          </w:p>
        </w:tc>
        <w:tc>
          <w:tcPr>
            <w:tcW w:w="12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lang w:val="en-US"/>
              </w:rPr>
            </w:pPr>
          </w:p>
        </w:tc>
        <w:tc>
          <w:tcPr>
            <w:tcW w:w="38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lang w:val="en-US"/>
              </w:rPr>
            </w:pPr>
          </w:p>
        </w:tc>
        <w:tc>
          <w:tcPr>
            <w:tcW w:w="14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eastAsia="bg-BG"/>
              </w:rPr>
            </w:pPr>
            <w:r w:rsidRPr="006C17B2">
              <w:rPr>
                <w:rFonts w:ascii="Times New Roman" w:hAnsi="Times New Roman"/>
                <w:color w:val="000000"/>
                <w:sz w:val="20"/>
                <w:szCs w:val="20"/>
                <w:lang w:eastAsia="bg-BG"/>
              </w:rPr>
              <w:t>P</w:t>
            </w:r>
          </w:p>
        </w:tc>
        <w:tc>
          <w:tcPr>
            <w:tcW w:w="30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jc w:val="right"/>
              <w:rPr>
                <w:rFonts w:ascii="Times New Roman" w:hAnsi="Times New Roman"/>
                <w:color w:val="000000"/>
                <w:sz w:val="20"/>
                <w:szCs w:val="20"/>
                <w:lang w:val="en-US" w:eastAsia="bg-BG"/>
              </w:rPr>
            </w:pPr>
            <w:r w:rsidRPr="006C17B2">
              <w:rPr>
                <w:rFonts w:ascii="Times New Roman" w:hAnsi="Times New Roman"/>
                <w:color w:val="000000"/>
                <w:sz w:val="20"/>
                <w:szCs w:val="20"/>
                <w:lang w:val="en-US" w:eastAsia="bg-BG"/>
              </w:rPr>
              <w:t>40240</w:t>
            </w:r>
          </w:p>
        </w:tc>
        <w:tc>
          <w:tcPr>
            <w:tcW w:w="3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jc w:val="right"/>
              <w:rPr>
                <w:rFonts w:ascii="Times New Roman" w:hAnsi="Times New Roman"/>
                <w:color w:val="000000"/>
                <w:sz w:val="20"/>
                <w:szCs w:val="20"/>
                <w:lang w:val="en-US" w:eastAsia="bg-BG"/>
              </w:rPr>
            </w:pPr>
            <w:r w:rsidRPr="006C17B2">
              <w:rPr>
                <w:rFonts w:ascii="Times New Roman" w:hAnsi="Times New Roman"/>
                <w:color w:val="000000"/>
                <w:sz w:val="20"/>
                <w:szCs w:val="20"/>
                <w:lang w:val="en-US" w:eastAsia="bg-BG"/>
              </w:rPr>
              <w:t>40240</w:t>
            </w:r>
          </w:p>
        </w:tc>
        <w:tc>
          <w:tcPr>
            <w:tcW w:w="25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val="en-US" w:eastAsia="bg-BG"/>
              </w:rPr>
            </w:pPr>
            <w:r w:rsidRPr="006C17B2">
              <w:rPr>
                <w:rFonts w:ascii="Times New Roman" w:hAnsi="Times New Roman"/>
                <w:color w:val="000000"/>
                <w:sz w:val="20"/>
                <w:szCs w:val="20"/>
                <w:lang w:val="en-US" w:eastAsia="bg-BG"/>
              </w:rPr>
              <w:t>i</w:t>
            </w:r>
          </w:p>
        </w:tc>
        <w:tc>
          <w:tcPr>
            <w:tcW w:w="25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val="en-US" w:eastAsia="bg-BG"/>
              </w:rPr>
            </w:pPr>
            <w:r w:rsidRPr="006C17B2">
              <w:rPr>
                <w:rFonts w:ascii="Times New Roman" w:hAnsi="Times New Roman"/>
                <w:color w:val="000000"/>
                <w:sz w:val="20"/>
                <w:szCs w:val="20"/>
                <w:lang w:val="en-US" w:eastAsia="bg-BG"/>
              </w:rPr>
              <w:t>V</w:t>
            </w:r>
          </w:p>
        </w:tc>
        <w:tc>
          <w:tcPr>
            <w:tcW w:w="59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val="en-US" w:eastAsia="bg-BG"/>
              </w:rPr>
            </w:pPr>
            <w:r w:rsidRPr="006C17B2">
              <w:rPr>
                <w:rFonts w:ascii="Times New Roman" w:hAnsi="Times New Roman"/>
                <w:color w:val="000000"/>
                <w:sz w:val="20"/>
                <w:szCs w:val="20"/>
                <w:lang w:val="en-US" w:eastAsia="bg-BG"/>
              </w:rPr>
              <w:t>G</w:t>
            </w:r>
          </w:p>
        </w:tc>
        <w:tc>
          <w:tcPr>
            <w:tcW w:w="39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eastAsia="bg-BG"/>
              </w:rPr>
            </w:pPr>
            <w:r w:rsidRPr="006C17B2">
              <w:rPr>
                <w:rFonts w:ascii="Times New Roman" w:hAnsi="Times New Roman"/>
                <w:color w:val="000000"/>
                <w:sz w:val="20"/>
                <w:szCs w:val="20"/>
                <w:lang w:eastAsia="bg-BG"/>
              </w:rPr>
              <w:t>C</w:t>
            </w:r>
          </w:p>
        </w:tc>
        <w:tc>
          <w:tcPr>
            <w:tcW w:w="26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val="en-US" w:eastAsia="bg-BG"/>
              </w:rPr>
            </w:pPr>
            <w:r w:rsidRPr="006C17B2">
              <w:rPr>
                <w:rFonts w:ascii="Times New Roman" w:hAnsi="Times New Roman"/>
                <w:color w:val="000000"/>
                <w:sz w:val="20"/>
                <w:szCs w:val="20"/>
                <w:lang w:val="en-US" w:eastAsia="bg-BG"/>
              </w:rPr>
              <w:t>C</w:t>
            </w:r>
          </w:p>
        </w:tc>
        <w:tc>
          <w:tcPr>
            <w:tcW w:w="22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eastAsia="bg-BG"/>
              </w:rPr>
            </w:pPr>
            <w:r w:rsidRPr="006C17B2">
              <w:rPr>
                <w:rFonts w:ascii="Times New Roman" w:hAnsi="Times New Roman"/>
                <w:color w:val="000000"/>
                <w:sz w:val="20"/>
                <w:szCs w:val="20"/>
                <w:lang w:eastAsia="bg-BG"/>
              </w:rPr>
              <w:t>C</w:t>
            </w:r>
          </w:p>
        </w:tc>
        <w:tc>
          <w:tcPr>
            <w:tcW w:w="42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val="en-US" w:eastAsia="bg-BG"/>
              </w:rPr>
            </w:pPr>
            <w:r w:rsidRPr="006C17B2">
              <w:rPr>
                <w:rFonts w:ascii="Times New Roman" w:hAnsi="Times New Roman"/>
                <w:color w:val="000000"/>
                <w:sz w:val="20"/>
                <w:szCs w:val="20"/>
                <w:lang w:val="en-US" w:eastAsia="bg-BG"/>
              </w:rPr>
              <w:t>C</w:t>
            </w:r>
          </w:p>
        </w:tc>
      </w:tr>
    </w:tbl>
    <w:p w:rsidR="006C17B2" w:rsidRPr="006C17B2" w:rsidRDefault="006C17B2" w:rsidP="006C17B2">
      <w:pPr>
        <w:autoSpaceDE w:val="0"/>
        <w:autoSpaceDN w:val="0"/>
        <w:adjustRightInd w:val="0"/>
        <w:spacing w:after="0" w:line="240" w:lineRule="auto"/>
        <w:jc w:val="both"/>
        <w:rPr>
          <w:rFonts w:ascii="Times New Roman" w:eastAsia="Calibri" w:hAnsi="Times New Roman"/>
          <w:b/>
          <w:sz w:val="24"/>
          <w:szCs w:val="24"/>
        </w:rPr>
      </w:pPr>
    </w:p>
    <w:p w:rsidR="006C17B2" w:rsidRPr="006C17B2" w:rsidRDefault="006C17B2" w:rsidP="006C17B2">
      <w:pPr>
        <w:autoSpaceDE w:val="0"/>
        <w:autoSpaceDN w:val="0"/>
        <w:adjustRightInd w:val="0"/>
        <w:spacing w:after="0" w:line="240" w:lineRule="auto"/>
        <w:jc w:val="both"/>
        <w:rPr>
          <w:rFonts w:ascii="Times New Roman" w:eastAsia="Calibri" w:hAnsi="Times New Roman"/>
          <w:bCs/>
          <w:color w:val="000000"/>
          <w:kern w:val="36"/>
          <w:sz w:val="24"/>
          <w:szCs w:val="24"/>
        </w:rPr>
      </w:pPr>
      <w:r w:rsidRPr="006C17B2">
        <w:rPr>
          <w:rFonts w:ascii="Times New Roman" w:eastAsia="Calibri" w:hAnsi="Times New Roman"/>
          <w:b/>
          <w:sz w:val="24"/>
          <w:szCs w:val="24"/>
        </w:rPr>
        <w:t xml:space="preserve">Източник: </w:t>
      </w:r>
    </w:p>
    <w:p w:rsidR="006C17B2" w:rsidRPr="006C17B2" w:rsidRDefault="00DE51FF" w:rsidP="006C17B2">
      <w:pPr>
        <w:spacing w:after="160" w:line="240" w:lineRule="auto"/>
        <w:jc w:val="both"/>
        <w:rPr>
          <w:rFonts w:eastAsia="Calibri"/>
        </w:rPr>
      </w:pPr>
      <w:hyperlink r:id="rId146" w:history="1">
        <w:r w:rsidR="006C17B2" w:rsidRPr="006C17B2">
          <w:rPr>
            <w:rFonts w:eastAsia="Calibri"/>
            <w:color w:val="0563C1"/>
            <w:u w:val="single"/>
          </w:rPr>
          <w:t>http://natura2000.moew.government.bg/PublicDownloads/Auto/PS_SCI/BG0000530/BG0000530_PS_16.pdf</w:t>
        </w:r>
      </w:hyperlink>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Качеството на данните за вида е оценено като „добро“ (</w:t>
      </w:r>
      <w:r w:rsidRPr="006C17B2">
        <w:rPr>
          <w:rFonts w:ascii="Times New Roman" w:eastAsia="Calibri" w:hAnsi="Times New Roman"/>
          <w:sz w:val="24"/>
          <w:szCs w:val="24"/>
          <w:lang w:val="en-US"/>
        </w:rPr>
        <w:t>G</w:t>
      </w:r>
      <w:r w:rsidRPr="006C17B2">
        <w:rPr>
          <w:rFonts w:ascii="Times New Roman" w:eastAsia="Calibri" w:hAnsi="Times New Roman"/>
          <w:sz w:val="24"/>
          <w:szCs w:val="24"/>
        </w:rPr>
        <w:t>). Като популационна единица е използван брой индивиди в зоната. Видът е определен като много рядък в зоната. Опазването на вида е оценено с „</w:t>
      </w:r>
      <w:r w:rsidRPr="006C17B2">
        <w:rPr>
          <w:rFonts w:ascii="Times New Roman" w:eastAsia="Calibri" w:hAnsi="Times New Roman"/>
          <w:bCs/>
          <w:color w:val="000000"/>
          <w:kern w:val="36"/>
          <w:sz w:val="24"/>
          <w:szCs w:val="24"/>
        </w:rPr>
        <w:t>С“ (добро опазване)</w:t>
      </w:r>
      <w:r w:rsidRPr="006C17B2">
        <w:rPr>
          <w:rFonts w:ascii="Times New Roman" w:eastAsia="Calibri" w:hAnsi="Times New Roman"/>
          <w:sz w:val="24"/>
          <w:szCs w:val="24"/>
        </w:rPr>
        <w:t>. Изолираността на популацията е оценена с „С“</w:t>
      </w:r>
      <w:r w:rsidRPr="006C17B2">
        <w:rPr>
          <w:rFonts w:ascii="Times New Roman" w:eastAsia="Calibri" w:hAnsi="Times New Roman"/>
          <w:bCs/>
          <w:color w:val="000000"/>
          <w:kern w:val="36"/>
          <w:sz w:val="24"/>
          <w:szCs w:val="24"/>
        </w:rPr>
        <w:t xml:space="preserve"> (не изолирана популация в рамките на разширен ареал).</w:t>
      </w:r>
      <w:r w:rsidRPr="006C17B2">
        <w:rPr>
          <w:rFonts w:ascii="Times New Roman" w:eastAsia="Calibri" w:hAnsi="Times New Roman"/>
          <w:sz w:val="24"/>
          <w:szCs w:val="24"/>
        </w:rPr>
        <w:t xml:space="preserve"> Цялостна оценка на стойността на зоната за опазването на вида попада в категорията „С“</w:t>
      </w:r>
      <w:r w:rsidRPr="006C17B2">
        <w:rPr>
          <w:rFonts w:ascii="Times New Roman" w:eastAsia="Calibri" w:hAnsi="Times New Roman"/>
          <w:bCs/>
          <w:color w:val="000000"/>
          <w:kern w:val="36"/>
          <w:sz w:val="24"/>
          <w:szCs w:val="24"/>
        </w:rPr>
        <w:t xml:space="preserve"> (значима стойност)</w:t>
      </w:r>
      <w:r w:rsidRPr="006C17B2">
        <w:rPr>
          <w:rFonts w:ascii="Times New Roman" w:eastAsia="Calibri" w:hAnsi="Times New Roman"/>
          <w:sz w:val="24"/>
          <w:szCs w:val="24"/>
        </w:rPr>
        <w:t xml:space="preserve">. </w:t>
      </w:r>
    </w:p>
    <w:p w:rsidR="006C17B2" w:rsidRPr="006C17B2" w:rsidRDefault="006C17B2" w:rsidP="006C17B2">
      <w:pPr>
        <w:spacing w:before="120" w:after="160" w:line="240" w:lineRule="auto"/>
        <w:jc w:val="both"/>
        <w:rPr>
          <w:rFonts w:ascii="Times New Roman" w:eastAsia="Calibri" w:hAnsi="Times New Roman"/>
          <w:b/>
          <w:sz w:val="24"/>
          <w:szCs w:val="24"/>
        </w:rPr>
      </w:pPr>
      <w:r w:rsidRPr="006C17B2">
        <w:rPr>
          <w:rFonts w:ascii="Times New Roman" w:eastAsia="Calibri" w:hAnsi="Times New Roman"/>
          <w:b/>
          <w:sz w:val="24"/>
          <w:szCs w:val="24"/>
        </w:rPr>
        <w:t>5.</w:t>
      </w:r>
      <w:r>
        <w:rPr>
          <w:rFonts w:ascii="Times New Roman" w:eastAsia="Calibri" w:hAnsi="Times New Roman"/>
          <w:b/>
          <w:sz w:val="24"/>
          <w:szCs w:val="24"/>
        </w:rPr>
        <w:t xml:space="preserve"> Анализ на наличната информация</w:t>
      </w:r>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 xml:space="preserve">Видът е регистриран през 2013 г. в зоната по време на проект "Картиране и определяне на природозащитното състояние на природни местообитания и видове - </w:t>
      </w:r>
      <w:r w:rsidRPr="006C17B2">
        <w:rPr>
          <w:rFonts w:ascii="Times New Roman" w:eastAsia="Calibri" w:hAnsi="Times New Roman"/>
          <w:sz w:val="24"/>
          <w:szCs w:val="24"/>
        </w:rPr>
        <w:lastRenderedPageBreak/>
        <w:t xml:space="preserve">фаза I", но по критерий „Популация в зоната“ ПС е определено като „Неблагоприятно-незадоволително“, поради много ниските стойности на числеността и биомасата. По всички други критерии ПС е определено като „Благоприятно“, но общата оценка е „Неблагоприятно-незадоволително“ ПС съгласно приетия подход за оценка. В стандартния формуляр е  популацията представена с обща численост 130098 40420 екз. </w:t>
      </w:r>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 xml:space="preserve">В зоната местообитания на вида има само в р. Дунав. При изследвания на ез. Сребърна са регистрирани единични индивиди в канала, свързващ езерото с р. Дунав, но присъствието им там очевидно е случайно и не може да се формира популация, поради отсъствие на сладководни миди от р. </w:t>
      </w:r>
      <w:r w:rsidRPr="00DA2071">
        <w:rPr>
          <w:rFonts w:ascii="Times New Roman" w:eastAsia="Calibri" w:hAnsi="Times New Roman"/>
          <w:i/>
          <w:sz w:val="24"/>
          <w:szCs w:val="24"/>
          <w:lang w:val="en-US"/>
        </w:rPr>
        <w:t>Unio</w:t>
      </w:r>
      <w:r w:rsidRPr="006C17B2">
        <w:rPr>
          <w:rFonts w:ascii="Times New Roman" w:eastAsia="Calibri" w:hAnsi="Times New Roman"/>
          <w:sz w:val="24"/>
          <w:szCs w:val="24"/>
          <w:lang w:val="en-US"/>
        </w:rPr>
        <w:t xml:space="preserve"> </w:t>
      </w:r>
      <w:r w:rsidRPr="006C17B2">
        <w:rPr>
          <w:rFonts w:ascii="Times New Roman" w:eastAsia="Calibri" w:hAnsi="Times New Roman"/>
          <w:sz w:val="24"/>
          <w:szCs w:val="24"/>
        </w:rPr>
        <w:t xml:space="preserve">или </w:t>
      </w:r>
      <w:r w:rsidRPr="00DA2071">
        <w:rPr>
          <w:rFonts w:ascii="Times New Roman" w:eastAsia="Calibri" w:hAnsi="Times New Roman"/>
          <w:i/>
          <w:sz w:val="24"/>
          <w:szCs w:val="24"/>
          <w:lang w:val="en-US"/>
        </w:rPr>
        <w:t>Anodonta</w:t>
      </w:r>
      <w:r w:rsidRPr="006C17B2">
        <w:rPr>
          <w:rFonts w:ascii="Times New Roman" w:eastAsia="Calibri" w:hAnsi="Times New Roman"/>
          <w:sz w:val="24"/>
          <w:szCs w:val="24"/>
        </w:rPr>
        <w:t xml:space="preserve">, което е задължително за възпроизводството на вида. Целият участък от река Дунав в зоната, според своите хидроморфологични характеристики представлява подходящо местообитание за вида и ефективен екокоридор за връзка с останалите части на популацията, тъй като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По данни от международното научно изследване </w:t>
      </w:r>
      <w:r w:rsidRPr="006C17B2">
        <w:rPr>
          <w:rFonts w:ascii="Times New Roman" w:eastAsia="Calibri" w:hAnsi="Times New Roman"/>
          <w:sz w:val="24"/>
          <w:szCs w:val="24"/>
          <w:lang w:val="en-US"/>
        </w:rPr>
        <w:t>“JDS 4”</w:t>
      </w:r>
      <w:r w:rsidRPr="006C17B2">
        <w:rPr>
          <w:rFonts w:ascii="Times New Roman" w:eastAsia="Calibri" w:hAnsi="Times New Roman"/>
          <w:sz w:val="24"/>
          <w:szCs w:val="24"/>
        </w:rPr>
        <w:t xml:space="preserve">, през 2019 </w:t>
      </w:r>
      <w:r w:rsidR="00DA2071">
        <w:rPr>
          <w:rFonts w:ascii="Times New Roman" w:eastAsia="Calibri" w:hAnsi="Times New Roman"/>
          <w:sz w:val="24"/>
          <w:szCs w:val="24"/>
        </w:rPr>
        <w:t xml:space="preserve">г. </w:t>
      </w:r>
      <w:r w:rsidRPr="006C17B2">
        <w:rPr>
          <w:rFonts w:ascii="Times New Roman" w:eastAsia="Calibri" w:hAnsi="Times New Roman"/>
          <w:sz w:val="24"/>
          <w:szCs w:val="24"/>
        </w:rPr>
        <w:t xml:space="preserve">на най-близкия мониторингов пункт на р. Дунав при с. Ветрен е определен </w:t>
      </w:r>
      <w:r w:rsidR="00DA2071">
        <w:rPr>
          <w:rFonts w:ascii="Times New Roman" w:eastAsia="Calibri" w:hAnsi="Times New Roman"/>
          <w:sz w:val="24"/>
          <w:szCs w:val="24"/>
        </w:rPr>
        <w:t>„</w:t>
      </w:r>
      <w:r w:rsidRPr="006C17B2">
        <w:rPr>
          <w:rFonts w:ascii="Times New Roman" w:eastAsia="Calibri" w:hAnsi="Times New Roman"/>
          <w:sz w:val="24"/>
          <w:szCs w:val="24"/>
        </w:rPr>
        <w:t>Добър екологичен потенциал</w:t>
      </w:r>
      <w:r w:rsidR="00DA2071">
        <w:rPr>
          <w:rFonts w:ascii="Times New Roman" w:eastAsia="Calibri" w:hAnsi="Times New Roman"/>
          <w:sz w:val="24"/>
          <w:szCs w:val="24"/>
        </w:rPr>
        <w:t>“</w:t>
      </w:r>
      <w:r w:rsidRPr="006C17B2">
        <w:rPr>
          <w:rFonts w:ascii="Times New Roman" w:eastAsia="Calibri" w:hAnsi="Times New Roman"/>
          <w:sz w:val="24"/>
          <w:szCs w:val="24"/>
        </w:rPr>
        <w:t xml:space="preserve"> по БЕК Риби, БЕК Макрозообентос и БЕК Макрофити.</w:t>
      </w:r>
    </w:p>
    <w:p w:rsidR="006C17B2" w:rsidRPr="006C17B2" w:rsidRDefault="006C17B2" w:rsidP="006C17B2">
      <w:pPr>
        <w:spacing w:after="0" w:line="240" w:lineRule="auto"/>
        <w:ind w:firstLine="709"/>
        <w:jc w:val="both"/>
        <w:rPr>
          <w:rFonts w:ascii="Times New Roman" w:eastAsia="Calibri" w:hAnsi="Times New Roman"/>
          <w:sz w:val="24"/>
          <w:szCs w:val="24"/>
        </w:rPr>
      </w:pPr>
      <w:bookmarkStart w:id="68" w:name="_Hlk88854646"/>
      <w:r w:rsidRPr="006C17B2">
        <w:rPr>
          <w:rFonts w:ascii="Times New Roman" w:eastAsia="Calibri" w:hAnsi="Times New Roman"/>
          <w:sz w:val="24"/>
          <w:szCs w:val="24"/>
        </w:rPr>
        <w:t xml:space="preserve">Полевото проучване </w:t>
      </w:r>
      <w:r w:rsidR="00DA2071">
        <w:rPr>
          <w:rFonts w:ascii="Times New Roman" w:eastAsia="Calibri" w:hAnsi="Times New Roman"/>
          <w:sz w:val="24"/>
          <w:szCs w:val="24"/>
        </w:rPr>
        <w:t xml:space="preserve">през 2021 г. </w:t>
      </w:r>
      <w:r w:rsidRPr="006C17B2">
        <w:rPr>
          <w:rFonts w:ascii="Times New Roman" w:eastAsia="Calibri" w:hAnsi="Times New Roman"/>
          <w:sz w:val="24"/>
          <w:szCs w:val="24"/>
        </w:rPr>
        <w:t xml:space="preserve">по време на проекта за определяне на целите за опазване на вида в защитената зона е извършено в съответствие с утвърдените методики за мониторинг на риби в р. Дунав: </w:t>
      </w:r>
      <w:bookmarkStart w:id="69" w:name="_Hlk88861521"/>
      <w:r w:rsidRPr="006C17B2">
        <w:rPr>
          <w:rFonts w:ascii="Times New Roman" w:eastAsia="Calibri" w:hAnsi="Times New Roman"/>
          <w:sz w:val="24"/>
          <w:szCs w:val="24"/>
        </w:rPr>
        <w:t>подход за мониторинг на дребни дънни видове риби (</w:t>
      </w:r>
      <w:hyperlink r:id="rId147" w:history="1">
        <w:r w:rsidRPr="006C17B2">
          <w:rPr>
            <w:rFonts w:ascii="Times New Roman" w:eastAsia="Calibri" w:hAnsi="Times New Roman"/>
            <w:color w:val="0563C1"/>
            <w:sz w:val="24"/>
            <w:szCs w:val="24"/>
            <w:u w:val="single"/>
          </w:rPr>
          <w:t>http://eea.government.bg/bg/bio/nsmbr/praktichesko-rakovodstvo-metodiki-za-monitoring-i-otsenka/Podhod_Dunav_demersal_fish.pdf</w:t>
        </w:r>
      </w:hyperlink>
      <w:r w:rsidRPr="006C17B2">
        <w:rPr>
          <w:rFonts w:ascii="Times New Roman" w:eastAsia="Calibri" w:hAnsi="Times New Roman"/>
          <w:sz w:val="24"/>
          <w:szCs w:val="24"/>
        </w:rPr>
        <w:t>) – с ръчен гриб и допълнителен подход за мониторинг на видове риби в р. Дунав (</w:t>
      </w:r>
      <w:hyperlink r:id="rId148" w:history="1">
        <w:r w:rsidRPr="006C17B2">
          <w:rPr>
            <w:rFonts w:ascii="Times New Roman" w:eastAsia="Calibri" w:hAnsi="Times New Roman"/>
            <w:color w:val="0563C1"/>
            <w:sz w:val="24"/>
            <w:szCs w:val="24"/>
            <w:u w:val="single"/>
          </w:rPr>
          <w:t>http://eea.government.bg/bg/bio/nsmbr/praktichesko-rakovodstvo-metodiki-za-monitoring-i-otsenka/Podhod_Dunav_electrofishing.pdf</w:t>
        </w:r>
      </w:hyperlink>
      <w:r w:rsidRPr="006C17B2">
        <w:rPr>
          <w:rFonts w:ascii="Times New Roman" w:eastAsia="Calibri" w:hAnsi="Times New Roman"/>
          <w:sz w:val="24"/>
          <w:szCs w:val="24"/>
        </w:rPr>
        <w:t xml:space="preserve">) – чрез риболов с електрически ток. В участъка от р. Дунав в зоната са избрани за пробонабиране 2 пункта, които да покриват представителни хабитати на вида, и които позволяват адекватна оценка на популацията в зоната. На всеки пункт пробонабирането е извършено на 3-5 трансекта с дължина по 30-50 м и ширина в зависимост от релефа на дъното. На различните пунктове числеността на вида варира от </w:t>
      </w:r>
      <w:r w:rsidRPr="006C17B2">
        <w:rPr>
          <w:rFonts w:ascii="Times New Roman" w:eastAsia="Calibri" w:hAnsi="Times New Roman"/>
          <w:sz w:val="24"/>
          <w:szCs w:val="24"/>
          <w:lang w:val="en-US"/>
        </w:rPr>
        <w:t>5</w:t>
      </w:r>
      <w:r w:rsidRPr="006C17B2">
        <w:rPr>
          <w:rFonts w:ascii="Times New Roman" w:eastAsia="Calibri" w:hAnsi="Times New Roman"/>
          <w:sz w:val="24"/>
          <w:szCs w:val="24"/>
        </w:rPr>
        <w:t>2 до 280 екз./ха</w:t>
      </w:r>
      <w:bookmarkEnd w:id="68"/>
      <w:r w:rsidRPr="006C17B2">
        <w:rPr>
          <w:rFonts w:ascii="Times New Roman" w:eastAsia="Calibri" w:hAnsi="Times New Roman"/>
          <w:sz w:val="24"/>
          <w:szCs w:val="24"/>
        </w:rPr>
        <w:t>.</w:t>
      </w:r>
      <w:bookmarkEnd w:id="69"/>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 xml:space="preserve">Защитена зона </w:t>
      </w:r>
      <w:r w:rsidRPr="006C17B2">
        <w:rPr>
          <w:rFonts w:ascii="Times New Roman" w:eastAsia="Calibri" w:hAnsi="Times New Roman"/>
          <w:sz w:val="24"/>
          <w:szCs w:val="24"/>
          <w:lang w:val="en-US"/>
        </w:rPr>
        <w:t>BG0000241</w:t>
      </w:r>
      <w:r w:rsidRPr="006C17B2">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незаконен),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6C17B2" w:rsidRPr="006C17B2" w:rsidRDefault="006C17B2" w:rsidP="006C17B2">
      <w:pPr>
        <w:spacing w:before="120" w:after="160" w:line="240" w:lineRule="auto"/>
        <w:jc w:val="both"/>
        <w:rPr>
          <w:rFonts w:ascii="Times New Roman" w:eastAsia="Calibri" w:hAnsi="Times New Roman"/>
          <w:b/>
          <w:sz w:val="24"/>
          <w:szCs w:val="24"/>
        </w:rPr>
      </w:pPr>
      <w:r w:rsidRPr="006C17B2">
        <w:rPr>
          <w:rFonts w:ascii="Times New Roman" w:eastAsia="Calibri" w:hAnsi="Times New Roman"/>
          <w:b/>
          <w:sz w:val="24"/>
          <w:szCs w:val="24"/>
        </w:rPr>
        <w:t xml:space="preserve">6. Цели за подобряване/поддържане на природозащитното състояние на </w:t>
      </w:r>
      <w:r>
        <w:rPr>
          <w:rFonts w:ascii="Times New Roman" w:eastAsia="Calibri" w:hAnsi="Times New Roman"/>
          <w:b/>
          <w:sz w:val="24"/>
          <w:szCs w:val="24"/>
        </w:rPr>
        <w:t>в</w:t>
      </w:r>
      <w:r w:rsidR="003C4277">
        <w:rPr>
          <w:rFonts w:ascii="Times New Roman" w:eastAsia="Calibri" w:hAnsi="Times New Roman"/>
          <w:b/>
          <w:sz w:val="24"/>
          <w:szCs w:val="24"/>
        </w:rPr>
        <w:t>ида в зоната</w:t>
      </w:r>
    </w:p>
    <w:p w:rsidR="006C17B2" w:rsidRPr="006C17B2" w:rsidRDefault="006C17B2" w:rsidP="006C17B2">
      <w:pPr>
        <w:spacing w:before="120" w:after="0" w:line="240" w:lineRule="auto"/>
        <w:jc w:val="both"/>
        <w:rPr>
          <w:rFonts w:ascii="Times New Roman" w:eastAsia="Calibri" w:hAnsi="Times New Roman"/>
          <w:sz w:val="24"/>
          <w:szCs w:val="24"/>
        </w:rPr>
      </w:pPr>
      <w:r w:rsidRPr="006C17B2">
        <w:rPr>
          <w:rFonts w:ascii="Times New Roman" w:eastAsia="Calibri" w:hAnsi="Times New Roman"/>
          <w:sz w:val="24"/>
          <w:szCs w:val="24"/>
        </w:rPr>
        <w:t>Целите са формулирани по показатели, в таблицата по-долу.</w:t>
      </w:r>
    </w:p>
    <w:p w:rsidR="006C17B2" w:rsidRPr="006C17B2" w:rsidRDefault="006C17B2" w:rsidP="006C17B2">
      <w:pPr>
        <w:spacing w:before="120" w:after="0" w:line="240" w:lineRule="auto"/>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1137"/>
        <w:gridCol w:w="1135"/>
        <w:gridCol w:w="3460"/>
        <w:gridCol w:w="1854"/>
      </w:tblGrid>
      <w:tr w:rsidR="006C17B2" w:rsidRPr="006C17B2" w:rsidTr="006C17B2">
        <w:trPr>
          <w:tblHeader/>
          <w:jc w:val="center"/>
        </w:trPr>
        <w:tc>
          <w:tcPr>
            <w:tcW w:w="756" w:type="pct"/>
            <w:shd w:val="clear" w:color="auto" w:fill="DBE5F1" w:themeFill="accent1" w:themeFillTint="33"/>
            <w:vAlign w:val="center"/>
          </w:tcPr>
          <w:p w:rsidR="006C17B2" w:rsidRPr="006C17B2" w:rsidRDefault="006C17B2" w:rsidP="006C17B2">
            <w:pPr>
              <w:widowControl w:val="0"/>
              <w:spacing w:before="120" w:after="120" w:line="240" w:lineRule="auto"/>
              <w:jc w:val="center"/>
              <w:rPr>
                <w:rFonts w:ascii="Times New Roman" w:eastAsia="Calibri" w:hAnsi="Times New Roman"/>
                <w:b/>
                <w:bCs/>
              </w:rPr>
            </w:pPr>
            <w:r w:rsidRPr="006C17B2">
              <w:rPr>
                <w:rFonts w:ascii="Times New Roman" w:eastAsia="Calibri" w:hAnsi="Times New Roman"/>
                <w:b/>
                <w:bCs/>
              </w:rPr>
              <w:lastRenderedPageBreak/>
              <w:t>Параметър</w:t>
            </w:r>
          </w:p>
        </w:tc>
        <w:tc>
          <w:tcPr>
            <w:tcW w:w="636" w:type="pct"/>
            <w:shd w:val="clear" w:color="auto" w:fill="DBE5F1" w:themeFill="accent1" w:themeFillTint="33"/>
            <w:vAlign w:val="center"/>
          </w:tcPr>
          <w:p w:rsidR="006C17B2" w:rsidRPr="006C17B2" w:rsidRDefault="006C17B2" w:rsidP="006C17B2">
            <w:pPr>
              <w:widowControl w:val="0"/>
              <w:spacing w:before="120" w:after="120" w:line="240" w:lineRule="auto"/>
              <w:jc w:val="center"/>
              <w:rPr>
                <w:rFonts w:ascii="Times New Roman" w:eastAsia="Calibri" w:hAnsi="Times New Roman"/>
                <w:b/>
                <w:bCs/>
              </w:rPr>
            </w:pPr>
            <w:r w:rsidRPr="006C17B2">
              <w:rPr>
                <w:rFonts w:ascii="Times New Roman" w:hAnsi="Times New Roman"/>
                <w:b/>
                <w:bCs/>
              </w:rPr>
              <w:t>Мерна единица</w:t>
            </w:r>
          </w:p>
        </w:tc>
        <w:tc>
          <w:tcPr>
            <w:tcW w:w="635" w:type="pct"/>
            <w:shd w:val="clear" w:color="auto" w:fill="DBE5F1" w:themeFill="accent1" w:themeFillTint="33"/>
            <w:vAlign w:val="center"/>
          </w:tcPr>
          <w:p w:rsidR="006C17B2" w:rsidRPr="006C17B2" w:rsidRDefault="006C17B2" w:rsidP="006C17B2">
            <w:pPr>
              <w:widowControl w:val="0"/>
              <w:spacing w:before="120" w:after="120" w:line="240" w:lineRule="auto"/>
              <w:jc w:val="center"/>
              <w:rPr>
                <w:rFonts w:ascii="Times New Roman" w:eastAsia="Calibri" w:hAnsi="Times New Roman"/>
                <w:b/>
                <w:bCs/>
              </w:rPr>
            </w:pPr>
            <w:r w:rsidRPr="006C17B2">
              <w:rPr>
                <w:rFonts w:ascii="Times New Roman" w:hAnsi="Times New Roman"/>
                <w:b/>
                <w:bCs/>
              </w:rPr>
              <w:t>Целева стойност</w:t>
            </w:r>
          </w:p>
        </w:tc>
        <w:tc>
          <w:tcPr>
            <w:tcW w:w="1936" w:type="pct"/>
            <w:shd w:val="clear" w:color="auto" w:fill="DBE5F1" w:themeFill="accent1" w:themeFillTint="33"/>
            <w:vAlign w:val="center"/>
          </w:tcPr>
          <w:p w:rsidR="006C17B2" w:rsidRPr="006C17B2" w:rsidRDefault="006C17B2" w:rsidP="006C17B2">
            <w:pPr>
              <w:widowControl w:val="0"/>
              <w:spacing w:before="120" w:after="120" w:line="240" w:lineRule="auto"/>
              <w:jc w:val="center"/>
              <w:rPr>
                <w:rFonts w:ascii="Times New Roman" w:eastAsia="Calibri" w:hAnsi="Times New Roman"/>
                <w:b/>
                <w:bCs/>
              </w:rPr>
            </w:pPr>
            <w:r w:rsidRPr="006C17B2">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6C17B2" w:rsidRPr="006C17B2" w:rsidRDefault="006C17B2" w:rsidP="006C17B2">
            <w:pPr>
              <w:widowControl w:val="0"/>
              <w:spacing w:before="120" w:after="120" w:line="240" w:lineRule="auto"/>
              <w:jc w:val="center"/>
              <w:rPr>
                <w:rFonts w:ascii="Times New Roman" w:eastAsia="Calibri" w:hAnsi="Times New Roman"/>
                <w:b/>
                <w:bCs/>
              </w:rPr>
            </w:pPr>
            <w:r w:rsidRPr="006C17B2">
              <w:rPr>
                <w:rFonts w:ascii="Times New Roman" w:eastAsia="Calibri" w:hAnsi="Times New Roman"/>
                <w:b/>
                <w:bCs/>
              </w:rPr>
              <w:t>Специфични цели на опазване за зоната</w:t>
            </w:r>
          </w:p>
        </w:tc>
      </w:tr>
      <w:tr w:rsidR="006C17B2" w:rsidRPr="006C17B2" w:rsidTr="006C17B2">
        <w:trPr>
          <w:jc w:val="center"/>
        </w:trPr>
        <w:tc>
          <w:tcPr>
            <w:tcW w:w="756" w:type="pct"/>
            <w:shd w:val="clear" w:color="auto" w:fill="auto"/>
          </w:tcPr>
          <w:p w:rsidR="006C17B2" w:rsidRPr="006C17B2" w:rsidRDefault="006C17B2" w:rsidP="006C17B2">
            <w:pPr>
              <w:spacing w:before="120" w:after="120" w:line="240" w:lineRule="auto"/>
              <w:rPr>
                <w:rFonts w:ascii="Times New Roman" w:eastAsia="Calibri" w:hAnsi="Times New Roman"/>
                <w:b/>
                <w:lang w:val="en-US"/>
              </w:rPr>
            </w:pPr>
            <w:r w:rsidRPr="006C17B2">
              <w:rPr>
                <w:rFonts w:ascii="Times New Roman" w:eastAsia="Calibri" w:hAnsi="Times New Roman"/>
                <w:b/>
              </w:rPr>
              <w:t>Плътност на популацията</w:t>
            </w:r>
          </w:p>
        </w:tc>
        <w:tc>
          <w:tcPr>
            <w:tcW w:w="636" w:type="pct"/>
            <w:shd w:val="clear" w:color="auto" w:fill="auto"/>
          </w:tcPr>
          <w:p w:rsidR="006C17B2" w:rsidRPr="006C17B2" w:rsidRDefault="006C17B2" w:rsidP="006C17B2">
            <w:pPr>
              <w:spacing w:before="120" w:after="120" w:line="240" w:lineRule="auto"/>
              <w:rPr>
                <w:rFonts w:ascii="Times New Roman" w:eastAsia="Calibri" w:hAnsi="Times New Roman"/>
                <w:lang w:val="en-US"/>
              </w:rPr>
            </w:pPr>
            <w:r w:rsidRPr="006C17B2">
              <w:rPr>
                <w:rFonts w:ascii="Times New Roman" w:eastAsia="Calibri" w:hAnsi="Times New Roman"/>
              </w:rPr>
              <w:t>Брой индивиди/</w:t>
            </w:r>
            <w:r w:rsidRPr="006C17B2">
              <w:rPr>
                <w:rFonts w:ascii="Times New Roman" w:eastAsia="Calibri" w:hAnsi="Times New Roman"/>
                <w:lang w:val="en-US"/>
              </w:rPr>
              <w:t>ha</w:t>
            </w:r>
          </w:p>
        </w:tc>
        <w:tc>
          <w:tcPr>
            <w:tcW w:w="635" w:type="pct"/>
            <w:shd w:val="clear" w:color="auto" w:fill="auto"/>
          </w:tcPr>
          <w:p w:rsidR="006C17B2" w:rsidRPr="00DA2071" w:rsidRDefault="006C17B2" w:rsidP="006C17B2">
            <w:pPr>
              <w:spacing w:before="120" w:after="120" w:line="240" w:lineRule="auto"/>
              <w:rPr>
                <w:rFonts w:ascii="Times New Roman" w:eastAsia="Calibri" w:hAnsi="Times New Roman"/>
              </w:rPr>
            </w:pPr>
            <w:r w:rsidRPr="006C17B2">
              <w:rPr>
                <w:rFonts w:ascii="Times New Roman" w:eastAsia="Calibri" w:hAnsi="Times New Roman"/>
              </w:rPr>
              <w:t>Най-малко</w:t>
            </w:r>
            <w:r w:rsidRPr="006C17B2">
              <w:rPr>
                <w:rFonts w:ascii="Times New Roman" w:eastAsia="Calibri" w:hAnsi="Times New Roman"/>
                <w:lang w:val="en-US"/>
              </w:rPr>
              <w:t xml:space="preserve"> </w:t>
            </w:r>
            <w:r w:rsidR="00DA2071">
              <w:rPr>
                <w:rFonts w:ascii="Times New Roman" w:eastAsia="Calibri" w:hAnsi="Times New Roman"/>
              </w:rPr>
              <w:t>500</w:t>
            </w:r>
          </w:p>
        </w:tc>
        <w:tc>
          <w:tcPr>
            <w:tcW w:w="1936" w:type="pct"/>
            <w:shd w:val="clear" w:color="auto" w:fill="auto"/>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Стойността по този параметър се определя на базата на броя на уловените екземпляри от вида на трансект, чиято площ се изчислява в м</w:t>
            </w:r>
            <w:r w:rsidRPr="006C17B2">
              <w:rPr>
                <w:rFonts w:ascii="Times New Roman" w:eastAsia="Calibri" w:hAnsi="Times New Roman"/>
                <w:vertAlign w:val="superscript"/>
              </w:rPr>
              <w:t>2</w:t>
            </w:r>
            <w:r w:rsidRPr="006C17B2">
              <w:rPr>
                <w:rFonts w:ascii="Times New Roman" w:eastAsia="Calibri" w:hAnsi="Times New Roman"/>
              </w:rPr>
              <w:t xml:space="preserve">. След това броят на уловените екземпляри се преизчислява на един хектар. </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 xml:space="preserve">Според наличните данни (проект "Картиране и определяне на природозащитното състояние на природни местообитания и видове - фаза I".) средната стойност на числеността на вида в зоната не е определена. През 2021 г. е проведено ново теренно проучване за вида в 2 точки на зоната и е определена популационна плътност </w:t>
            </w:r>
            <w:r w:rsidRPr="006C17B2">
              <w:rPr>
                <w:rFonts w:ascii="Times New Roman" w:eastAsia="Calibri" w:hAnsi="Times New Roman"/>
                <w:lang w:val="en-US"/>
              </w:rPr>
              <w:t>5</w:t>
            </w:r>
            <w:r w:rsidRPr="006C17B2">
              <w:rPr>
                <w:rFonts w:ascii="Times New Roman" w:eastAsia="Calibri" w:hAnsi="Times New Roman"/>
              </w:rPr>
              <w:t>2-280 инд/ха. Като минимална целева стойност на популацията се приема минималната референтна стойност, определена в проекта "Картиране и определяне на природозащитното състояние на природни местообитания и видове - фаза I".</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 xml:space="preserve">По отношение на натиска, този конкретен речен участък в рамките на защитената зона може да се счита за хомогенен. </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От друга страна, кумулативния натиск с източници на произход извън зоната може да бъде значим.</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Съгласно методиката за оценка на състоянието на риби  в НСМБР референтните стойности за плътността на популацията на този вид не са установени. Въз основа на средните стойности на установената плътност на популацията, състоянието на вида по този показател е „неблагоприятно-незадоволително“.</w:t>
            </w:r>
          </w:p>
        </w:tc>
        <w:tc>
          <w:tcPr>
            <w:tcW w:w="1038" w:type="pct"/>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 xml:space="preserve">Поддържане на плътността на популацията най-малко на 500 инд./ха. </w:t>
            </w:r>
          </w:p>
        </w:tc>
      </w:tr>
      <w:tr w:rsidR="006C17B2" w:rsidRPr="006C17B2" w:rsidTr="006C17B2">
        <w:trPr>
          <w:jc w:val="center"/>
        </w:trPr>
        <w:tc>
          <w:tcPr>
            <w:tcW w:w="756" w:type="pct"/>
            <w:shd w:val="clear" w:color="auto" w:fill="auto"/>
          </w:tcPr>
          <w:p w:rsidR="006C17B2" w:rsidRPr="006C17B2" w:rsidRDefault="006C17B2" w:rsidP="006C17B2">
            <w:pPr>
              <w:spacing w:before="120" w:after="120" w:line="240" w:lineRule="auto"/>
              <w:rPr>
                <w:rFonts w:ascii="Times New Roman" w:eastAsia="Calibri" w:hAnsi="Times New Roman"/>
                <w:b/>
              </w:rPr>
            </w:pPr>
            <w:r w:rsidRPr="006C17B2">
              <w:rPr>
                <w:rFonts w:ascii="Times New Roman" w:eastAsia="Calibri" w:hAnsi="Times New Roman"/>
                <w:b/>
              </w:rPr>
              <w:t>Местообит</w:t>
            </w:r>
            <w:r w:rsidRPr="006C17B2">
              <w:rPr>
                <w:rFonts w:ascii="Times New Roman" w:eastAsia="Calibri" w:hAnsi="Times New Roman"/>
                <w:b/>
              </w:rPr>
              <w:lastRenderedPageBreak/>
              <w:t xml:space="preserve">ание на вида: </w:t>
            </w:r>
          </w:p>
          <w:p w:rsidR="006C17B2" w:rsidRPr="006C17B2" w:rsidRDefault="006C17B2" w:rsidP="006C17B2">
            <w:pPr>
              <w:spacing w:before="120" w:after="120" w:line="240" w:lineRule="auto"/>
              <w:rPr>
                <w:rFonts w:ascii="Times New Roman" w:eastAsia="Calibri" w:hAnsi="Times New Roman"/>
                <w:b/>
              </w:rPr>
            </w:pPr>
            <w:r w:rsidRPr="006C17B2">
              <w:rPr>
                <w:rFonts w:ascii="Times New Roman" w:eastAsia="Calibri" w:hAnsi="Times New Roman"/>
                <w:b/>
              </w:rPr>
              <w:t>Дължина на речната мрежа, представляваща потенциално местообитание за вида</w:t>
            </w:r>
          </w:p>
        </w:tc>
        <w:tc>
          <w:tcPr>
            <w:tcW w:w="636" w:type="pct"/>
            <w:shd w:val="clear" w:color="auto" w:fill="auto"/>
          </w:tcPr>
          <w:p w:rsidR="006C17B2" w:rsidRPr="006C17B2" w:rsidRDefault="006C17B2" w:rsidP="006C17B2">
            <w:pPr>
              <w:spacing w:before="120" w:after="120" w:line="240" w:lineRule="auto"/>
              <w:rPr>
                <w:rFonts w:ascii="Times New Roman" w:eastAsia="Calibri" w:hAnsi="Times New Roman"/>
              </w:rPr>
            </w:pPr>
            <w:r w:rsidRPr="006C17B2">
              <w:rPr>
                <w:rFonts w:ascii="Times New Roman" w:eastAsia="Calibri" w:hAnsi="Times New Roman"/>
              </w:rPr>
              <w:lastRenderedPageBreak/>
              <w:t>км</w:t>
            </w:r>
          </w:p>
        </w:tc>
        <w:tc>
          <w:tcPr>
            <w:tcW w:w="635" w:type="pct"/>
            <w:shd w:val="clear" w:color="auto" w:fill="auto"/>
          </w:tcPr>
          <w:p w:rsidR="006C17B2" w:rsidRPr="006C17B2" w:rsidRDefault="006C17B2" w:rsidP="006C17B2">
            <w:pPr>
              <w:spacing w:before="120" w:after="120" w:line="240" w:lineRule="auto"/>
              <w:rPr>
                <w:rFonts w:ascii="Times New Roman" w:eastAsia="Calibri" w:hAnsi="Times New Roman"/>
              </w:rPr>
            </w:pPr>
            <w:r w:rsidRPr="006C17B2">
              <w:rPr>
                <w:rFonts w:ascii="Times New Roman" w:eastAsia="Calibri" w:hAnsi="Times New Roman"/>
                <w:shd w:val="clear" w:color="auto" w:fill="FFFFFF"/>
              </w:rPr>
              <w:t>Най-</w:t>
            </w:r>
            <w:r w:rsidRPr="006C17B2">
              <w:rPr>
                <w:rFonts w:ascii="Times New Roman" w:eastAsia="Calibri" w:hAnsi="Times New Roman"/>
                <w:shd w:val="clear" w:color="auto" w:fill="FFFFFF"/>
              </w:rPr>
              <w:lastRenderedPageBreak/>
              <w:t>малко 3 км</w:t>
            </w:r>
          </w:p>
        </w:tc>
        <w:tc>
          <w:tcPr>
            <w:tcW w:w="1936" w:type="pct"/>
            <w:shd w:val="clear" w:color="auto" w:fill="auto"/>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lastRenderedPageBreak/>
              <w:t xml:space="preserve">Дължината на речния участък се </w:t>
            </w:r>
            <w:r w:rsidRPr="006C17B2">
              <w:rPr>
                <w:rFonts w:ascii="Times New Roman" w:eastAsia="Calibri" w:hAnsi="Times New Roman"/>
              </w:rPr>
              <w:lastRenderedPageBreak/>
              <w:t>определя чрез GIS анализ, използващ следните екологични критерии:</w:t>
            </w:r>
          </w:p>
          <w:p w:rsidR="006C17B2" w:rsidRPr="006C17B2" w:rsidRDefault="006C17B2" w:rsidP="00635999">
            <w:pPr>
              <w:numPr>
                <w:ilvl w:val="0"/>
                <w:numId w:val="11"/>
              </w:numPr>
              <w:spacing w:before="120" w:after="120" w:line="240" w:lineRule="auto"/>
              <w:jc w:val="both"/>
              <w:rPr>
                <w:rFonts w:ascii="Times New Roman" w:eastAsia="Calibri" w:hAnsi="Times New Roman"/>
              </w:rPr>
            </w:pPr>
            <w:r w:rsidRPr="006C17B2">
              <w:rPr>
                <w:rFonts w:ascii="Times New Roman" w:eastAsia="Calibri" w:hAnsi="Times New Roman"/>
              </w:rPr>
              <w:t>Река Дунав.</w:t>
            </w:r>
          </w:p>
          <w:p w:rsidR="006C17B2" w:rsidRPr="006C17B2" w:rsidRDefault="006C17B2" w:rsidP="00635999">
            <w:pPr>
              <w:numPr>
                <w:ilvl w:val="0"/>
                <w:numId w:val="11"/>
              </w:numPr>
              <w:spacing w:before="120" w:after="120" w:line="240" w:lineRule="auto"/>
              <w:jc w:val="both"/>
              <w:rPr>
                <w:rFonts w:ascii="Times New Roman" w:eastAsia="Calibri" w:hAnsi="Times New Roman"/>
              </w:rPr>
            </w:pPr>
            <w:r w:rsidRPr="006C17B2">
              <w:rPr>
                <w:rFonts w:ascii="Times New Roman" w:eastAsia="Calibri" w:hAnsi="Times New Roman"/>
              </w:rPr>
              <w:t>Изключени са всички стоящи водни тела в зоната.</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На базата на този анализ е установено, че 3 км в защитената зона отговарят на посочените критерии. Според наличните данни за вида, той се среща мозайчно в зоната.</w:t>
            </w:r>
          </w:p>
        </w:tc>
        <w:tc>
          <w:tcPr>
            <w:tcW w:w="1038" w:type="pct"/>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lastRenderedPageBreak/>
              <w:t xml:space="preserve">Поддържане на </w:t>
            </w:r>
            <w:r w:rsidRPr="006C17B2">
              <w:rPr>
                <w:rFonts w:ascii="Times New Roman" w:eastAsia="Calibri" w:hAnsi="Times New Roman"/>
              </w:rPr>
              <w:lastRenderedPageBreak/>
              <w:t xml:space="preserve">дължината на речната мрежа, представляваща подходящо местообитание, обитавано от вида, най-малко 3 км. </w:t>
            </w:r>
          </w:p>
          <w:p w:rsidR="006C17B2" w:rsidRPr="006C17B2" w:rsidRDefault="006C17B2" w:rsidP="006C17B2">
            <w:pPr>
              <w:spacing w:before="120" w:after="120" w:line="240" w:lineRule="auto"/>
              <w:jc w:val="both"/>
              <w:rPr>
                <w:rFonts w:ascii="Times New Roman" w:eastAsia="Calibri" w:hAnsi="Times New Roman"/>
              </w:rPr>
            </w:pPr>
          </w:p>
          <w:p w:rsidR="006C17B2" w:rsidRPr="006C17B2" w:rsidRDefault="006C17B2" w:rsidP="006C17B2">
            <w:pPr>
              <w:spacing w:before="120" w:after="120" w:line="240" w:lineRule="auto"/>
              <w:jc w:val="both"/>
              <w:rPr>
                <w:rFonts w:ascii="Times New Roman" w:eastAsia="Calibri" w:hAnsi="Times New Roman"/>
              </w:rPr>
            </w:pPr>
          </w:p>
        </w:tc>
      </w:tr>
      <w:tr w:rsidR="006C17B2" w:rsidRPr="006C17B2" w:rsidTr="006C17B2">
        <w:trPr>
          <w:jc w:val="center"/>
        </w:trPr>
        <w:tc>
          <w:tcPr>
            <w:tcW w:w="756" w:type="pct"/>
            <w:shd w:val="clear" w:color="auto" w:fill="auto"/>
          </w:tcPr>
          <w:p w:rsidR="006C17B2" w:rsidRPr="006C17B2" w:rsidRDefault="006C17B2" w:rsidP="006C17B2">
            <w:pPr>
              <w:spacing w:before="120" w:after="120" w:line="240" w:lineRule="auto"/>
              <w:rPr>
                <w:rFonts w:ascii="Times New Roman" w:eastAsia="Calibri" w:hAnsi="Times New Roman"/>
                <w:b/>
              </w:rPr>
            </w:pPr>
            <w:r w:rsidRPr="006C17B2">
              <w:rPr>
                <w:rFonts w:ascii="Times New Roman" w:eastAsia="Calibri" w:hAnsi="Times New Roman"/>
                <w:b/>
              </w:rPr>
              <w:lastRenderedPageBreak/>
              <w:t xml:space="preserve">Местообитание на вида: </w:t>
            </w:r>
          </w:p>
          <w:p w:rsidR="006C17B2" w:rsidRPr="006C17B2" w:rsidRDefault="006C17B2" w:rsidP="006C17B2">
            <w:pPr>
              <w:spacing w:before="120" w:after="120" w:line="240" w:lineRule="auto"/>
              <w:rPr>
                <w:rFonts w:ascii="Times New Roman" w:eastAsia="Calibri" w:hAnsi="Times New Roman"/>
                <w:b/>
              </w:rPr>
            </w:pPr>
            <w:r w:rsidRPr="006C17B2">
              <w:rPr>
                <w:rFonts w:ascii="Times New Roman" w:eastAsia="Calibri" w:hAnsi="Times New Roman"/>
                <w:b/>
              </w:rPr>
              <w:t xml:space="preserve">Степен на свързаност на местообитанието на вида </w:t>
            </w:r>
          </w:p>
          <w:p w:rsidR="006C17B2" w:rsidRPr="006C17B2" w:rsidRDefault="006C17B2" w:rsidP="006C17B2">
            <w:pPr>
              <w:spacing w:before="120" w:after="120" w:line="240" w:lineRule="auto"/>
              <w:rPr>
                <w:rFonts w:ascii="Times New Roman" w:eastAsia="Calibri" w:hAnsi="Times New Roman"/>
                <w:b/>
              </w:rPr>
            </w:pPr>
          </w:p>
          <w:p w:rsidR="006C17B2" w:rsidRPr="006C17B2" w:rsidRDefault="006C17B2" w:rsidP="006C17B2">
            <w:pPr>
              <w:spacing w:before="120" w:after="120" w:line="240" w:lineRule="auto"/>
              <w:rPr>
                <w:rFonts w:ascii="Times New Roman" w:eastAsia="Calibri" w:hAnsi="Times New Roman"/>
                <w:b/>
              </w:rPr>
            </w:pPr>
          </w:p>
        </w:tc>
        <w:tc>
          <w:tcPr>
            <w:tcW w:w="636" w:type="pct"/>
            <w:shd w:val="clear" w:color="auto" w:fill="auto"/>
          </w:tcPr>
          <w:p w:rsidR="006C17B2" w:rsidRPr="006C17B2" w:rsidRDefault="006C17B2" w:rsidP="006C17B2">
            <w:pPr>
              <w:spacing w:before="120" w:after="120" w:line="240" w:lineRule="auto"/>
              <w:rPr>
                <w:rFonts w:ascii="Times New Roman" w:eastAsia="Calibri" w:hAnsi="Times New Roman"/>
              </w:rPr>
            </w:pPr>
            <w:r w:rsidRPr="006C17B2">
              <w:rPr>
                <w:rFonts w:ascii="Times New Roman" w:eastAsia="Calibri" w:hAnsi="Times New Roman"/>
              </w:rPr>
              <w:t xml:space="preserve">5 степенна скала за всяка бариера </w:t>
            </w:r>
          </w:p>
        </w:tc>
        <w:tc>
          <w:tcPr>
            <w:tcW w:w="635" w:type="pct"/>
            <w:shd w:val="clear" w:color="auto" w:fill="auto"/>
          </w:tcPr>
          <w:p w:rsidR="006C17B2" w:rsidRPr="006C17B2" w:rsidRDefault="006C17B2" w:rsidP="006C17B2">
            <w:pPr>
              <w:spacing w:before="120" w:after="120" w:line="240" w:lineRule="auto"/>
              <w:rPr>
                <w:rFonts w:ascii="Times New Roman" w:eastAsia="Calibri" w:hAnsi="Times New Roman"/>
                <w:lang w:val="en-US"/>
              </w:rPr>
            </w:pPr>
            <w:r w:rsidRPr="006C17B2">
              <w:rPr>
                <w:rFonts w:ascii="Times New Roman" w:eastAsia="Calibri" w:hAnsi="Times New Roman"/>
              </w:rPr>
              <w:t>Степен</w:t>
            </w:r>
            <w:r w:rsidRPr="006C17B2">
              <w:rPr>
                <w:rFonts w:ascii="Times New Roman" w:eastAsia="Calibri" w:hAnsi="Times New Roman"/>
                <w:lang w:val="en-US"/>
              </w:rPr>
              <w:t xml:space="preserve"> 1</w:t>
            </w:r>
          </w:p>
          <w:p w:rsidR="006C17B2" w:rsidRPr="006C17B2" w:rsidRDefault="006C17B2" w:rsidP="006C17B2">
            <w:pPr>
              <w:spacing w:before="120" w:after="120" w:line="240" w:lineRule="auto"/>
              <w:rPr>
                <w:rFonts w:ascii="Times New Roman" w:eastAsia="Calibri" w:hAnsi="Times New Roman"/>
              </w:rPr>
            </w:pPr>
            <w:r w:rsidRPr="006C17B2">
              <w:rPr>
                <w:rFonts w:ascii="Times New Roman" w:eastAsia="Calibri" w:hAnsi="Times New Roman"/>
              </w:rPr>
              <w:t>за всяка бариера</w:t>
            </w:r>
          </w:p>
        </w:tc>
        <w:tc>
          <w:tcPr>
            <w:tcW w:w="1936" w:type="pct"/>
            <w:shd w:val="clear" w:color="auto" w:fill="auto"/>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 xml:space="preserve">На базата на информацията в ПУБР 2016-2021 г. и пробонабирането през 2021г., може да се направи изводът, че натискът от изграждане на миграционни бариери за речните участъци, представляващи </w:t>
            </w:r>
            <w:r w:rsidRPr="006C17B2">
              <w:rPr>
                <w:rFonts w:ascii="Times New Roman" w:eastAsia="Calibri" w:hAnsi="Times New Roman"/>
              </w:rPr>
              <w:lastRenderedPageBreak/>
              <w:t>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lastRenderedPageBreak/>
              <w:t xml:space="preserve">Поддържане на свързаност на местообитанието на вида от Степен 1 за всяка бариера в речния участък. </w:t>
            </w:r>
          </w:p>
        </w:tc>
      </w:tr>
      <w:tr w:rsidR="006C17B2" w:rsidRPr="006C17B2" w:rsidTr="006C17B2">
        <w:trPr>
          <w:jc w:val="center"/>
        </w:trPr>
        <w:tc>
          <w:tcPr>
            <w:tcW w:w="756" w:type="pct"/>
            <w:shd w:val="clear" w:color="auto" w:fill="auto"/>
          </w:tcPr>
          <w:p w:rsidR="006C17B2" w:rsidRPr="006C17B2" w:rsidRDefault="006C17B2" w:rsidP="006C17B2">
            <w:pPr>
              <w:spacing w:before="120" w:after="120" w:line="240" w:lineRule="auto"/>
              <w:rPr>
                <w:rFonts w:ascii="Times New Roman" w:eastAsia="Calibri" w:hAnsi="Times New Roman"/>
                <w:b/>
              </w:rPr>
            </w:pPr>
            <w:r w:rsidRPr="006C17B2">
              <w:rPr>
                <w:rFonts w:ascii="Times New Roman" w:eastAsia="Calibri" w:hAnsi="Times New Roman"/>
                <w:b/>
              </w:rPr>
              <w:lastRenderedPageBreak/>
              <w:t xml:space="preserve">Местообитание на вида: Екологично 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636" w:type="pct"/>
            <w:shd w:val="clear" w:color="auto" w:fill="auto"/>
          </w:tcPr>
          <w:p w:rsidR="006C17B2" w:rsidRPr="006C17B2" w:rsidRDefault="006C17B2" w:rsidP="006C17B2">
            <w:pPr>
              <w:spacing w:before="120" w:after="120" w:line="240" w:lineRule="auto"/>
              <w:rPr>
                <w:rFonts w:ascii="Times New Roman" w:eastAsia="Calibri" w:hAnsi="Times New Roman"/>
              </w:rPr>
            </w:pPr>
            <w:r w:rsidRPr="006C17B2">
              <w:rPr>
                <w:rFonts w:ascii="Times New Roman" w:eastAsia="Calibri" w:hAnsi="Times New Roman"/>
              </w:rPr>
              <w:t xml:space="preserve">5 степенна скала за екологично състояние съгласно РДВ </w:t>
            </w:r>
          </w:p>
        </w:tc>
        <w:tc>
          <w:tcPr>
            <w:tcW w:w="635" w:type="pct"/>
            <w:shd w:val="clear" w:color="auto" w:fill="auto"/>
          </w:tcPr>
          <w:p w:rsidR="006C17B2" w:rsidRPr="006C17B2" w:rsidRDefault="006C17B2" w:rsidP="00DA2071">
            <w:pPr>
              <w:spacing w:before="120" w:after="120" w:line="240" w:lineRule="auto"/>
              <w:rPr>
                <w:rFonts w:ascii="Times New Roman" w:eastAsia="Calibri" w:hAnsi="Times New Roman"/>
              </w:rPr>
            </w:pPr>
            <w:r w:rsidRPr="006C17B2">
              <w:rPr>
                <w:rFonts w:ascii="Times New Roman" w:eastAsia="Calibri" w:hAnsi="Times New Roman"/>
              </w:rPr>
              <w:t xml:space="preserve">По-висока или равна на 2 – </w:t>
            </w:r>
            <w:r w:rsidR="00DA2071">
              <w:rPr>
                <w:rFonts w:ascii="Times New Roman" w:eastAsia="Calibri" w:hAnsi="Times New Roman"/>
              </w:rPr>
              <w:t>Добър потенциал</w:t>
            </w:r>
          </w:p>
        </w:tc>
        <w:tc>
          <w:tcPr>
            <w:tcW w:w="1936" w:type="pct"/>
            <w:shd w:val="clear" w:color="auto" w:fill="auto"/>
          </w:tcPr>
          <w:p w:rsidR="006C17B2" w:rsidRPr="006C17B2" w:rsidRDefault="006C17B2" w:rsidP="006C17B2">
            <w:pPr>
              <w:spacing w:after="0" w:line="240" w:lineRule="auto"/>
              <w:jc w:val="both"/>
              <w:rPr>
                <w:rFonts w:ascii="Times New Roman" w:eastAsia="Calibri" w:hAnsi="Times New Roman"/>
              </w:rPr>
            </w:pPr>
            <w:r w:rsidRPr="006C17B2">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6C17B2" w:rsidRPr="006C17B2" w:rsidTr="006C17B2">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6C17B2" w:rsidRPr="006C17B2" w:rsidRDefault="006C17B2" w:rsidP="006C17B2">
                  <w:pPr>
                    <w:spacing w:after="0" w:line="240" w:lineRule="auto"/>
                    <w:jc w:val="center"/>
                    <w:rPr>
                      <w:rFonts w:ascii="Times New Roman" w:eastAsia="Calibri" w:hAnsi="Times New Roman"/>
                      <w:b/>
                      <w:bCs/>
                      <w:color w:val="000000"/>
                    </w:rPr>
                  </w:pPr>
                  <w:r w:rsidRPr="006C17B2">
                    <w:rPr>
                      <w:rFonts w:ascii="Times New Roman" w:eastAsia="Calibri" w:hAnsi="Times New Roman"/>
                      <w:b/>
                      <w:bCs/>
                      <w:color w:val="000000"/>
                    </w:rPr>
                    <w:t>ЕС/ЕП</w:t>
                  </w:r>
                </w:p>
              </w:tc>
            </w:tr>
            <w:tr w:rsidR="006C17B2" w:rsidRPr="006C17B2" w:rsidTr="006C17B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6C17B2" w:rsidRPr="006C17B2" w:rsidRDefault="006C17B2" w:rsidP="006C17B2">
                  <w:pPr>
                    <w:spacing w:after="0" w:line="240" w:lineRule="auto"/>
                    <w:jc w:val="center"/>
                    <w:rPr>
                      <w:rFonts w:ascii="Times New Roman" w:eastAsia="Calibri" w:hAnsi="Times New Roman"/>
                      <w:color w:val="000000"/>
                    </w:rPr>
                  </w:pPr>
                  <w:r w:rsidRPr="006C17B2">
                    <w:rPr>
                      <w:rFonts w:ascii="Times New Roman" w:eastAsia="Calibri" w:hAnsi="Times New Roman"/>
                      <w:color w:val="000000"/>
                    </w:rPr>
                    <w:t>1 - Отлично</w:t>
                  </w:r>
                </w:p>
              </w:tc>
            </w:tr>
            <w:tr w:rsidR="006C17B2" w:rsidRPr="006C17B2" w:rsidTr="006C17B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6C17B2" w:rsidRPr="006C17B2" w:rsidRDefault="006C17B2" w:rsidP="006C17B2">
                  <w:pPr>
                    <w:spacing w:after="0" w:line="240" w:lineRule="auto"/>
                    <w:jc w:val="center"/>
                    <w:rPr>
                      <w:rFonts w:ascii="Times New Roman" w:eastAsia="Calibri" w:hAnsi="Times New Roman"/>
                      <w:color w:val="000000"/>
                    </w:rPr>
                  </w:pPr>
                  <w:r w:rsidRPr="006C17B2">
                    <w:rPr>
                      <w:rFonts w:ascii="Times New Roman" w:eastAsia="Calibri" w:hAnsi="Times New Roman"/>
                      <w:color w:val="000000"/>
                    </w:rPr>
                    <w:t>2 - Добро</w:t>
                  </w:r>
                </w:p>
              </w:tc>
            </w:tr>
            <w:tr w:rsidR="006C17B2" w:rsidRPr="006C17B2" w:rsidTr="006C17B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C17B2" w:rsidRPr="006C17B2" w:rsidRDefault="006C17B2" w:rsidP="006C17B2">
                  <w:pPr>
                    <w:spacing w:after="0" w:line="240" w:lineRule="auto"/>
                    <w:jc w:val="center"/>
                    <w:rPr>
                      <w:rFonts w:ascii="Times New Roman" w:eastAsia="Calibri" w:hAnsi="Times New Roman"/>
                      <w:color w:val="000000"/>
                    </w:rPr>
                  </w:pPr>
                  <w:r w:rsidRPr="006C17B2">
                    <w:rPr>
                      <w:rFonts w:ascii="Times New Roman" w:eastAsia="Calibri" w:hAnsi="Times New Roman"/>
                      <w:color w:val="000000"/>
                    </w:rPr>
                    <w:t>3 - Умерено</w:t>
                  </w:r>
                </w:p>
              </w:tc>
            </w:tr>
            <w:tr w:rsidR="006C17B2" w:rsidRPr="006C17B2" w:rsidTr="006C17B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C17B2" w:rsidRPr="006C17B2" w:rsidRDefault="006C17B2" w:rsidP="006C17B2">
                  <w:pPr>
                    <w:spacing w:after="0" w:line="240" w:lineRule="auto"/>
                    <w:jc w:val="center"/>
                    <w:rPr>
                      <w:rFonts w:ascii="Times New Roman" w:eastAsia="Calibri" w:hAnsi="Times New Roman"/>
                      <w:color w:val="000000"/>
                    </w:rPr>
                  </w:pPr>
                  <w:r w:rsidRPr="006C17B2">
                    <w:rPr>
                      <w:rFonts w:ascii="Times New Roman" w:eastAsia="Calibri" w:hAnsi="Times New Roman"/>
                      <w:color w:val="000000"/>
                    </w:rPr>
                    <w:t>4 - Лошо</w:t>
                  </w:r>
                </w:p>
              </w:tc>
            </w:tr>
            <w:tr w:rsidR="006C17B2" w:rsidRPr="006C17B2" w:rsidTr="006C17B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6C17B2" w:rsidRPr="006C17B2" w:rsidRDefault="006C17B2" w:rsidP="006C17B2">
                  <w:pPr>
                    <w:spacing w:after="0" w:line="240" w:lineRule="auto"/>
                    <w:jc w:val="center"/>
                    <w:rPr>
                      <w:rFonts w:ascii="Times New Roman" w:eastAsia="Calibri" w:hAnsi="Times New Roman"/>
                      <w:color w:val="000000"/>
                    </w:rPr>
                  </w:pPr>
                  <w:r w:rsidRPr="006C17B2">
                    <w:rPr>
                      <w:rFonts w:ascii="Times New Roman" w:eastAsia="Calibri" w:hAnsi="Times New Roman"/>
                      <w:color w:val="000000"/>
                    </w:rPr>
                    <w:t>5 - Много лошо</w:t>
                  </w:r>
                </w:p>
              </w:tc>
            </w:tr>
          </w:tbl>
          <w:p w:rsidR="006C17B2" w:rsidRPr="006C17B2" w:rsidRDefault="00DA2071" w:rsidP="006C17B2">
            <w:pPr>
              <w:spacing w:before="120" w:after="120" w:line="240" w:lineRule="auto"/>
              <w:jc w:val="both"/>
              <w:rPr>
                <w:rFonts w:ascii="Times New Roman" w:eastAsia="Calibri" w:hAnsi="Times New Roman"/>
              </w:rPr>
            </w:pPr>
            <w:r w:rsidRPr="008F4290">
              <w:rPr>
                <w:rFonts w:ascii="Times New Roman" w:eastAsia="Calibri" w:hAnsi="Times New Roman"/>
              </w:rPr>
              <w:t>Съгласно ПУРБ 2016-2021 г. целият български участък от р. Дунав представлява силно модифицирано водно тяло, с код (</w:t>
            </w:r>
            <w:hyperlink r:id="rId149" w:history="1">
              <w:r w:rsidRPr="008F4290">
                <w:rPr>
                  <w:rFonts w:ascii="Times New Roman" w:eastAsia="Calibri" w:hAnsi="Times New Roman"/>
                  <w:color w:val="0000FF"/>
                  <w:u w:val="single"/>
                </w:rPr>
                <w:t>http://www.bd-dunav.org/uploads/content/files/upravlenie-na-vodite/PURB-2016-2021-final/Razdel-1/prilojenia_R1/Pril_1244.pdf</w:t>
              </w:r>
            </w:hyperlink>
            <w:r w:rsidRPr="008F4290">
              <w:rPr>
                <w:rFonts w:ascii="Times New Roman" w:eastAsia="Calibri" w:hAnsi="Times New Roman"/>
              </w:rPr>
              <w:t>).Екологичният потенциал на р. Дунав е оценен като Умерен, (3),  (</w:t>
            </w:r>
            <w:hyperlink r:id="rId150" w:history="1">
              <w:r w:rsidRPr="008F4290">
                <w:rPr>
                  <w:rFonts w:ascii="Times New Roman" w:eastAsia="Calibri" w:hAnsi="Times New Roman"/>
                  <w:color w:val="0000FF"/>
                  <w:u w:val="single"/>
                </w:rPr>
                <w:t>https://www.eea.europa.eu/data-and-maps/explore-interactive-maps/water-framework-directive-</w:t>
              </w:r>
              <w:r w:rsidRPr="008F4290">
                <w:rPr>
                  <w:rFonts w:ascii="Times New Roman" w:eastAsia="Calibri" w:hAnsi="Times New Roman"/>
                  <w:color w:val="0000FF"/>
                  <w:u w:val="single"/>
                </w:rPr>
                <w:lastRenderedPageBreak/>
                <w:t>quality-elements?utm_source=EEASubscriptions&amp;utm_medium=RSSFeeds&amp;utm_campaign=Generic</w:t>
              </w:r>
            </w:hyperlink>
            <w:r w:rsidRPr="008F4290">
              <w:rPr>
                <w:rFonts w:ascii="Times New Roman" w:eastAsia="Calibri" w:hAnsi="Times New Roman"/>
              </w:rPr>
              <w:t>)</w:t>
            </w:r>
            <w:r w:rsidR="006C17B2" w:rsidRPr="006C17B2">
              <w:rPr>
                <w:rFonts w:ascii="Times New Roman" w:eastAsia="Calibri" w:hAnsi="Times New Roman"/>
              </w:rPr>
              <w:t>.</w:t>
            </w:r>
          </w:p>
        </w:tc>
        <w:tc>
          <w:tcPr>
            <w:tcW w:w="1038" w:type="pct"/>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lastRenderedPageBreak/>
              <w:t xml:space="preserve">Постигане и поддържане на екологичния потенциал на участъка от р. Дунав в границата на зоната на стойност от по-висока или равна на 2 – </w:t>
            </w:r>
            <w:r w:rsidR="00DA2071">
              <w:rPr>
                <w:rFonts w:ascii="Times New Roman" w:eastAsia="Calibri" w:hAnsi="Times New Roman"/>
              </w:rPr>
              <w:t xml:space="preserve">Добро ЕС/ </w:t>
            </w:r>
            <w:r w:rsidR="00DA2071" w:rsidRPr="006C17B2">
              <w:rPr>
                <w:rFonts w:ascii="Times New Roman" w:eastAsia="Calibri" w:hAnsi="Times New Roman"/>
              </w:rPr>
              <w:t>Добър ЕП</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Междинна цел:</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6C17B2" w:rsidRPr="006C17B2" w:rsidTr="006C17B2">
        <w:trPr>
          <w:jc w:val="center"/>
        </w:trPr>
        <w:tc>
          <w:tcPr>
            <w:tcW w:w="756" w:type="pct"/>
            <w:shd w:val="clear" w:color="auto" w:fill="auto"/>
          </w:tcPr>
          <w:p w:rsidR="006C17B2" w:rsidRPr="006C17B2" w:rsidRDefault="006C17B2" w:rsidP="006C17B2">
            <w:pPr>
              <w:spacing w:before="120" w:after="120" w:line="240" w:lineRule="auto"/>
              <w:rPr>
                <w:rFonts w:ascii="Times New Roman" w:eastAsia="Calibri" w:hAnsi="Times New Roman"/>
                <w:b/>
              </w:rPr>
            </w:pPr>
            <w:r w:rsidRPr="006C17B2">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6" w:type="pct"/>
            <w:shd w:val="clear" w:color="auto" w:fill="auto"/>
          </w:tcPr>
          <w:p w:rsidR="006C17B2" w:rsidRPr="006C17B2" w:rsidRDefault="006C17B2" w:rsidP="006C17B2">
            <w:pPr>
              <w:spacing w:before="120" w:after="120" w:line="240" w:lineRule="auto"/>
              <w:rPr>
                <w:rFonts w:ascii="Times New Roman" w:eastAsia="Calibri" w:hAnsi="Times New Roman"/>
              </w:rPr>
            </w:pPr>
            <w:r w:rsidRPr="006C17B2">
              <w:rPr>
                <w:rFonts w:ascii="Times New Roman" w:eastAsia="Calibri" w:hAnsi="Times New Roman"/>
              </w:rPr>
              <w:t>Съотношение в % от дължината на речните участъци с подходящи  местообитания на вида и с естествено структуриран субстрат, съотнесен към общата дължина на речните участъци с подходящи местообитания за вида</w:t>
            </w:r>
          </w:p>
        </w:tc>
        <w:tc>
          <w:tcPr>
            <w:tcW w:w="635" w:type="pct"/>
            <w:shd w:val="clear" w:color="auto" w:fill="auto"/>
          </w:tcPr>
          <w:p w:rsidR="006C17B2" w:rsidRPr="006C17B2" w:rsidRDefault="006C17B2" w:rsidP="006C17B2">
            <w:pPr>
              <w:spacing w:before="120" w:after="120" w:line="240" w:lineRule="auto"/>
              <w:rPr>
                <w:rFonts w:ascii="Times New Roman" w:eastAsia="Calibri" w:hAnsi="Times New Roman"/>
              </w:rPr>
            </w:pPr>
            <w:r w:rsidRPr="006C17B2">
              <w:rPr>
                <w:rFonts w:ascii="Times New Roman" w:eastAsia="Calibri" w:hAnsi="Times New Roman"/>
              </w:rPr>
              <w:t>95% от дължината на речните участъци с подходящи местообитания за вида имат естественоструктуриран субстрат</w:t>
            </w:r>
          </w:p>
        </w:tc>
        <w:tc>
          <w:tcPr>
            <w:tcW w:w="1936" w:type="pct"/>
            <w:shd w:val="clear" w:color="auto" w:fill="auto"/>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Среща се обикновено в спокойна или бавно течаща вода с гъста водна растителност и дъно със субстрат от пясък и тиня, който е подходящ и за речните миди. Фактори, водещи до нарушаване на естествената структура на дънния субстрат, са:</w:t>
            </w:r>
          </w:p>
          <w:p w:rsidR="006C17B2" w:rsidRPr="006C17B2" w:rsidRDefault="006C17B2" w:rsidP="00635999">
            <w:pPr>
              <w:numPr>
                <w:ilvl w:val="0"/>
                <w:numId w:val="15"/>
              </w:numPr>
              <w:spacing w:before="120" w:after="120" w:line="240" w:lineRule="auto"/>
              <w:jc w:val="both"/>
              <w:rPr>
                <w:rFonts w:ascii="Times New Roman" w:eastAsia="Calibri" w:hAnsi="Times New Roman"/>
              </w:rPr>
            </w:pPr>
            <w:r w:rsidRPr="006C17B2">
              <w:rPr>
                <w:rFonts w:ascii="Times New Roman" w:eastAsia="Calibri" w:hAnsi="Times New Roman"/>
              </w:rPr>
              <w:t>Отстраняване на чакъл и пясък от коритото на реката;</w:t>
            </w:r>
          </w:p>
          <w:p w:rsidR="006C17B2" w:rsidRPr="006C17B2" w:rsidRDefault="006C17B2" w:rsidP="00635999">
            <w:pPr>
              <w:numPr>
                <w:ilvl w:val="0"/>
                <w:numId w:val="15"/>
              </w:numPr>
              <w:spacing w:before="120" w:after="120" w:line="240" w:lineRule="auto"/>
              <w:jc w:val="both"/>
              <w:rPr>
                <w:rFonts w:ascii="Times New Roman" w:eastAsia="Calibri" w:hAnsi="Times New Roman"/>
              </w:rPr>
            </w:pPr>
            <w:r w:rsidRPr="006C17B2">
              <w:rPr>
                <w:rFonts w:ascii="Times New Roman" w:eastAsia="Calibri" w:hAnsi="Times New Roman"/>
              </w:rPr>
              <w:t>Изкопаване на речното корито, водещо до ускоряване на водния поток и отстраняване на субстрата;</w:t>
            </w:r>
          </w:p>
          <w:p w:rsidR="006C17B2" w:rsidRPr="006C17B2" w:rsidRDefault="006C17B2" w:rsidP="00635999">
            <w:pPr>
              <w:numPr>
                <w:ilvl w:val="0"/>
                <w:numId w:val="15"/>
              </w:numPr>
              <w:spacing w:before="120" w:after="120" w:line="240" w:lineRule="auto"/>
              <w:jc w:val="both"/>
              <w:rPr>
                <w:rFonts w:ascii="Times New Roman" w:eastAsia="Calibri" w:hAnsi="Times New Roman"/>
              </w:rPr>
            </w:pPr>
            <w:r w:rsidRPr="006C17B2">
              <w:rPr>
                <w:rFonts w:ascii="Times New Roman" w:eastAsia="Calibri" w:hAnsi="Times New Roman"/>
              </w:rPr>
              <w:t>Изграждане на хидротехнически съоръжения, водещи до забавяне на водния поток и задържане на утайки.</w:t>
            </w:r>
          </w:p>
          <w:p w:rsidR="006C17B2" w:rsidRPr="006C17B2" w:rsidRDefault="006C17B2" w:rsidP="00635999">
            <w:pPr>
              <w:numPr>
                <w:ilvl w:val="0"/>
                <w:numId w:val="15"/>
              </w:numPr>
              <w:spacing w:before="120" w:after="120" w:line="240" w:lineRule="auto"/>
              <w:jc w:val="both"/>
              <w:rPr>
                <w:rFonts w:ascii="Times New Roman" w:eastAsia="Calibri" w:hAnsi="Times New Roman"/>
              </w:rPr>
            </w:pPr>
            <w:r w:rsidRPr="006C17B2">
              <w:rPr>
                <w:rFonts w:ascii="Times New Roman" w:eastAsia="Calibri" w:hAnsi="Times New Roman"/>
              </w:rPr>
              <w:t>др.</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Не е установен натиск в зоната по този параметър</w:t>
            </w:r>
          </w:p>
        </w:tc>
        <w:tc>
          <w:tcPr>
            <w:tcW w:w="1038" w:type="pct"/>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Поддържане на 95 % от дължината на речните участъци с подходящи местообитания за вида да са с естествено структуриран субстрат.</w:t>
            </w:r>
          </w:p>
        </w:tc>
      </w:tr>
    </w:tbl>
    <w:p w:rsidR="006C17B2" w:rsidRPr="006C17B2" w:rsidRDefault="006C17B2" w:rsidP="006C17B2">
      <w:pPr>
        <w:spacing w:after="160" w:line="240" w:lineRule="auto"/>
        <w:jc w:val="both"/>
        <w:rPr>
          <w:rFonts w:ascii="Times New Roman" w:eastAsia="Calibri" w:hAnsi="Times New Roman"/>
          <w:b/>
          <w:sz w:val="24"/>
          <w:szCs w:val="24"/>
        </w:rPr>
      </w:pPr>
    </w:p>
    <w:p w:rsidR="006C17B2" w:rsidRPr="006C17B2" w:rsidRDefault="006C17B2" w:rsidP="006C17B2">
      <w:pPr>
        <w:spacing w:after="160" w:line="240" w:lineRule="auto"/>
        <w:jc w:val="both"/>
        <w:rPr>
          <w:rFonts w:ascii="Times New Roman" w:eastAsia="Calibri" w:hAnsi="Times New Roman"/>
          <w:b/>
          <w:sz w:val="24"/>
          <w:szCs w:val="24"/>
        </w:rPr>
      </w:pPr>
      <w:r w:rsidRPr="006C17B2">
        <w:rPr>
          <w:rFonts w:ascii="Times New Roman" w:eastAsia="Calibri" w:hAnsi="Times New Roman"/>
          <w:b/>
          <w:sz w:val="24"/>
          <w:szCs w:val="24"/>
        </w:rPr>
        <w:t>8. Необходимост от актуали</w:t>
      </w:r>
      <w:r>
        <w:rPr>
          <w:rFonts w:ascii="Times New Roman" w:eastAsia="Calibri" w:hAnsi="Times New Roman"/>
          <w:b/>
          <w:sz w:val="24"/>
          <w:szCs w:val="24"/>
        </w:rPr>
        <w:t>зация на СФ на защитената зона</w:t>
      </w:r>
    </w:p>
    <w:p w:rsidR="006C17B2" w:rsidRPr="006C17B2" w:rsidRDefault="00DA2071" w:rsidP="006C17B2">
      <w:pPr>
        <w:spacing w:after="160" w:line="240" w:lineRule="auto"/>
        <w:ind w:firstLine="709"/>
        <w:jc w:val="both"/>
        <w:rPr>
          <w:rFonts w:ascii="Times New Roman" w:eastAsia="Calibri" w:hAnsi="Times New Roman"/>
          <w:sz w:val="24"/>
          <w:szCs w:val="24"/>
        </w:rPr>
      </w:pPr>
      <w:r>
        <w:rPr>
          <w:rFonts w:ascii="Times New Roman" w:eastAsia="Calibri" w:hAnsi="Times New Roman"/>
          <w:sz w:val="24"/>
          <w:szCs w:val="24"/>
        </w:rPr>
        <w:t>В съответствие с утвърдените</w:t>
      </w:r>
      <w:r w:rsidRPr="006C17B2">
        <w:rPr>
          <w:rFonts w:ascii="Times New Roman" w:eastAsia="Calibri" w:hAnsi="Times New Roman"/>
          <w:sz w:val="24"/>
          <w:szCs w:val="24"/>
        </w:rPr>
        <w:t xml:space="preserve"> методик</w:t>
      </w:r>
      <w:r>
        <w:rPr>
          <w:rFonts w:ascii="Times New Roman" w:eastAsia="Calibri" w:hAnsi="Times New Roman"/>
          <w:sz w:val="24"/>
          <w:szCs w:val="24"/>
        </w:rPr>
        <w:t>и</w:t>
      </w:r>
      <w:r w:rsidRPr="006C17B2">
        <w:rPr>
          <w:rFonts w:ascii="Times New Roman" w:eastAsia="Calibri" w:hAnsi="Times New Roman"/>
          <w:sz w:val="24"/>
          <w:szCs w:val="24"/>
        </w:rPr>
        <w:t xml:space="preserve"> за мониторинг на </w:t>
      </w:r>
      <w:r>
        <w:rPr>
          <w:rFonts w:ascii="Times New Roman" w:eastAsia="Calibri" w:hAnsi="Times New Roman"/>
          <w:sz w:val="24"/>
          <w:szCs w:val="24"/>
        </w:rPr>
        <w:t>вида</w:t>
      </w:r>
      <w:r w:rsidRPr="006C17B2">
        <w:rPr>
          <w:rFonts w:ascii="Times New Roman" w:eastAsia="Calibri" w:hAnsi="Times New Roman"/>
          <w:sz w:val="24"/>
          <w:szCs w:val="24"/>
        </w:rPr>
        <w:t xml:space="preserve">, най-подходящата популационна единица за определянето на състоянието на вида е индивиди на хектар. </w:t>
      </w:r>
      <w:r w:rsidRPr="00AC0D43">
        <w:rPr>
          <w:rFonts w:ascii="Times New Roman" w:eastAsia="Calibri" w:hAnsi="Times New Roman"/>
          <w:sz w:val="24"/>
          <w:szCs w:val="24"/>
        </w:rPr>
        <w:t>Тази единица обаче засега не е приета за оценка на видове риби при докладванията в ЕК. Затова, като се има предвид високата сезонна вариабилност на числеността на вида в зоната и с оглед унифицирането на подхода за внасянето на данни в СФ на този етап като единица за оценка се използва „Площ“ (area) на местообитанията“</w:t>
      </w:r>
      <w:r w:rsidRPr="006C17B2">
        <w:rPr>
          <w:rFonts w:ascii="Times New Roman" w:eastAsia="Calibri" w:hAnsi="Times New Roman"/>
          <w:sz w:val="24"/>
          <w:szCs w:val="24"/>
        </w:rPr>
        <w:t xml:space="preserve">, като е уточнена площта на участъка от р. Дунав </w:t>
      </w:r>
      <w:r>
        <w:rPr>
          <w:rFonts w:ascii="Times New Roman" w:eastAsia="Calibri" w:hAnsi="Times New Roman"/>
          <w:sz w:val="24"/>
          <w:szCs w:val="24"/>
        </w:rPr>
        <w:t xml:space="preserve">и ез. Сребърна </w:t>
      </w:r>
      <w:r w:rsidRPr="006C17B2">
        <w:rPr>
          <w:rFonts w:ascii="Times New Roman" w:eastAsia="Calibri" w:hAnsi="Times New Roman"/>
          <w:sz w:val="24"/>
          <w:szCs w:val="24"/>
        </w:rPr>
        <w:t>в зоната:</w:t>
      </w:r>
      <w:r>
        <w:rPr>
          <w:rFonts w:ascii="Times New Roman" w:eastAsia="Calibri" w:hAnsi="Times New Roman"/>
          <w:sz w:val="24"/>
          <w:szCs w:val="24"/>
        </w:rPr>
        <w:t xml:space="preserve"> видът се среща, макар и рядко, в нея. Нанесени са съответни промени в СФ.</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277"/>
        <w:gridCol w:w="425"/>
        <w:gridCol w:w="815"/>
        <w:gridCol w:w="262"/>
        <w:gridCol w:w="868"/>
        <w:gridCol w:w="360"/>
        <w:gridCol w:w="664"/>
        <w:gridCol w:w="805"/>
        <w:gridCol w:w="479"/>
        <w:gridCol w:w="547"/>
        <w:gridCol w:w="1323"/>
        <w:gridCol w:w="580"/>
        <w:gridCol w:w="407"/>
        <w:gridCol w:w="348"/>
        <w:gridCol w:w="1184"/>
      </w:tblGrid>
      <w:tr w:rsidR="006C17B2" w:rsidRPr="006C17B2" w:rsidTr="00DA2071">
        <w:trPr>
          <w:tblCellSpacing w:w="15" w:type="dxa"/>
        </w:trPr>
        <w:tc>
          <w:tcPr>
            <w:tcW w:w="1375" w:type="pct"/>
            <w:gridSpan w:val="5"/>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lastRenderedPageBreak/>
              <w:t xml:space="preserve">Species </w:t>
            </w:r>
          </w:p>
        </w:tc>
        <w:tc>
          <w:tcPr>
            <w:tcW w:w="2231" w:type="pct"/>
            <w:gridSpan w:val="6"/>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Population in the site </w:t>
            </w:r>
          </w:p>
        </w:tc>
        <w:tc>
          <w:tcPr>
            <w:tcW w:w="1330" w:type="pct"/>
            <w:gridSpan w:val="4"/>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Site assessment </w:t>
            </w:r>
          </w:p>
        </w:tc>
      </w:tr>
      <w:tr w:rsidR="00DA2071" w:rsidRPr="006C17B2" w:rsidTr="00DA2071">
        <w:trPr>
          <w:tblCellSpacing w:w="15" w:type="dxa"/>
        </w:trPr>
        <w:tc>
          <w:tcPr>
            <w:tcW w:w="124"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G </w:t>
            </w:r>
          </w:p>
        </w:tc>
        <w:tc>
          <w:tcPr>
            <w:tcW w:w="221"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Code </w:t>
            </w:r>
          </w:p>
        </w:tc>
        <w:tc>
          <w:tcPr>
            <w:tcW w:w="438"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Scientific Name </w:t>
            </w:r>
          </w:p>
        </w:tc>
        <w:tc>
          <w:tcPr>
            <w:tcW w:w="124"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 </w:t>
            </w:r>
          </w:p>
        </w:tc>
        <w:tc>
          <w:tcPr>
            <w:tcW w:w="403"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NP </w:t>
            </w:r>
          </w:p>
        </w:tc>
        <w:tc>
          <w:tcPr>
            <w:tcW w:w="185"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T </w:t>
            </w:r>
          </w:p>
        </w:tc>
        <w:tc>
          <w:tcPr>
            <w:tcW w:w="786" w:type="pct"/>
            <w:gridSpan w:val="2"/>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Size </w:t>
            </w:r>
          </w:p>
        </w:tc>
        <w:tc>
          <w:tcPr>
            <w:tcW w:w="251"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Unit </w:t>
            </w:r>
          </w:p>
        </w:tc>
        <w:tc>
          <w:tcPr>
            <w:tcW w:w="288"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Cat. </w:t>
            </w:r>
          </w:p>
        </w:tc>
        <w:tc>
          <w:tcPr>
            <w:tcW w:w="657"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D.qual. </w:t>
            </w:r>
          </w:p>
        </w:tc>
        <w:tc>
          <w:tcPr>
            <w:tcW w:w="307"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A|B|C|D </w:t>
            </w:r>
          </w:p>
        </w:tc>
        <w:tc>
          <w:tcPr>
            <w:tcW w:w="1008" w:type="pct"/>
            <w:gridSpan w:val="3"/>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A|B|C </w:t>
            </w:r>
          </w:p>
        </w:tc>
      </w:tr>
      <w:tr w:rsidR="00DA2071" w:rsidRPr="006C17B2" w:rsidTr="00DA2071">
        <w:trPr>
          <w:tblCellSpacing w:w="15" w:type="dxa"/>
        </w:trPr>
        <w:tc>
          <w:tcPr>
            <w:tcW w:w="124"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221"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438"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124"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403"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185"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354"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Min</w:t>
            </w:r>
          </w:p>
        </w:tc>
        <w:tc>
          <w:tcPr>
            <w:tcW w:w="416"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Max</w:t>
            </w:r>
          </w:p>
        </w:tc>
        <w:tc>
          <w:tcPr>
            <w:tcW w:w="251"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288"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p>
        </w:tc>
        <w:tc>
          <w:tcPr>
            <w:tcW w:w="657"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307"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Pop.</w:t>
            </w:r>
          </w:p>
        </w:tc>
        <w:tc>
          <w:tcPr>
            <w:tcW w:w="210"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Con.</w:t>
            </w:r>
          </w:p>
        </w:tc>
        <w:tc>
          <w:tcPr>
            <w:tcW w:w="178"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Iso.</w:t>
            </w:r>
          </w:p>
        </w:tc>
        <w:tc>
          <w:tcPr>
            <w:tcW w:w="588"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Glo.</w:t>
            </w:r>
          </w:p>
        </w:tc>
      </w:tr>
      <w:tr w:rsidR="00DA2071" w:rsidRPr="006C17B2" w:rsidTr="00DA2071">
        <w:trPr>
          <w:tblCellSpacing w:w="15" w:type="dxa"/>
        </w:trPr>
        <w:tc>
          <w:tcPr>
            <w:tcW w:w="12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DA2071" w:rsidRPr="006C17B2" w:rsidRDefault="00DA2071" w:rsidP="006C17B2">
            <w:pPr>
              <w:spacing w:before="120" w:after="0" w:line="259" w:lineRule="auto"/>
              <w:jc w:val="both"/>
              <w:rPr>
                <w:rFonts w:ascii="Times New Roman" w:eastAsia="Calibri" w:hAnsi="Times New Roman"/>
                <w:b/>
                <w:bCs/>
                <w:sz w:val="16"/>
                <w:szCs w:val="16"/>
                <w:lang w:val="en-US"/>
              </w:rPr>
            </w:pPr>
            <w:r w:rsidRPr="006C17B2">
              <w:rPr>
                <w:rFonts w:ascii="Times New Roman" w:eastAsia="Calibri" w:hAnsi="Times New Roman"/>
                <w:b/>
                <w:bCs/>
                <w:sz w:val="16"/>
                <w:szCs w:val="16"/>
                <w:lang w:val="en-US"/>
              </w:rPr>
              <w:t>F</w:t>
            </w:r>
          </w:p>
        </w:tc>
        <w:tc>
          <w:tcPr>
            <w:tcW w:w="22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DA2071" w:rsidRPr="006C17B2" w:rsidRDefault="00DA2071" w:rsidP="006C17B2">
            <w:pPr>
              <w:spacing w:before="120" w:after="0" w:line="259" w:lineRule="auto"/>
              <w:jc w:val="both"/>
              <w:rPr>
                <w:rFonts w:ascii="Times New Roman" w:eastAsia="Calibri" w:hAnsi="Times New Roman"/>
                <w:b/>
                <w:bCs/>
                <w:sz w:val="16"/>
                <w:szCs w:val="16"/>
                <w:lang w:val="en-US"/>
              </w:rPr>
            </w:pPr>
            <w:r w:rsidRPr="006C17B2">
              <w:rPr>
                <w:rFonts w:ascii="Times New Roman" w:eastAsia="Calibri" w:hAnsi="Times New Roman"/>
                <w:b/>
                <w:bCs/>
                <w:sz w:val="16"/>
                <w:szCs w:val="16"/>
                <w:lang w:val="en-US"/>
              </w:rPr>
              <w:t>53</w:t>
            </w:r>
            <w:r w:rsidRPr="006C17B2">
              <w:rPr>
                <w:rFonts w:ascii="Times New Roman" w:eastAsia="Calibri" w:hAnsi="Times New Roman"/>
                <w:b/>
                <w:bCs/>
                <w:sz w:val="16"/>
                <w:szCs w:val="16"/>
              </w:rPr>
              <w:t>3</w:t>
            </w:r>
            <w:r w:rsidRPr="006C17B2">
              <w:rPr>
                <w:rFonts w:ascii="Times New Roman" w:eastAsia="Calibri" w:hAnsi="Times New Roman"/>
                <w:b/>
                <w:bCs/>
                <w:sz w:val="16"/>
                <w:szCs w:val="16"/>
                <w:lang w:val="en-US"/>
              </w:rPr>
              <w:t>9</w:t>
            </w:r>
          </w:p>
        </w:tc>
        <w:tc>
          <w:tcPr>
            <w:tcW w:w="43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DA2071" w:rsidRPr="006C17B2" w:rsidRDefault="00DA2071" w:rsidP="006C17B2">
            <w:pPr>
              <w:spacing w:before="120" w:after="0" w:line="259" w:lineRule="auto"/>
              <w:jc w:val="both"/>
              <w:rPr>
                <w:rFonts w:ascii="Times New Roman" w:eastAsia="Calibri" w:hAnsi="Times New Roman"/>
                <w:b/>
                <w:bCs/>
                <w:i/>
                <w:sz w:val="16"/>
                <w:szCs w:val="16"/>
                <w:lang w:val="en-US"/>
              </w:rPr>
            </w:pPr>
            <w:r w:rsidRPr="006C17B2">
              <w:rPr>
                <w:rFonts w:ascii="Times New Roman" w:eastAsia="Calibri" w:hAnsi="Times New Roman"/>
                <w:b/>
                <w:bCs/>
                <w:i/>
                <w:sz w:val="16"/>
                <w:szCs w:val="16"/>
                <w:lang w:val="en-US"/>
              </w:rPr>
              <w:t>Rhodeus amarus</w:t>
            </w:r>
          </w:p>
        </w:tc>
        <w:tc>
          <w:tcPr>
            <w:tcW w:w="12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DA2071" w:rsidRPr="006C17B2" w:rsidRDefault="00DA2071" w:rsidP="006C17B2">
            <w:pPr>
              <w:spacing w:before="120" w:after="0" w:line="259" w:lineRule="auto"/>
              <w:jc w:val="both"/>
              <w:rPr>
                <w:rFonts w:ascii="Times New Roman" w:eastAsia="Calibri" w:hAnsi="Times New Roman"/>
                <w:b/>
                <w:bCs/>
                <w:sz w:val="16"/>
                <w:szCs w:val="16"/>
                <w:lang w:val="en-US"/>
              </w:rPr>
            </w:pPr>
          </w:p>
        </w:tc>
        <w:tc>
          <w:tcPr>
            <w:tcW w:w="40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DA2071" w:rsidRPr="006C17B2" w:rsidRDefault="00DA2071" w:rsidP="006C17B2">
            <w:pPr>
              <w:spacing w:before="120" w:after="0" w:line="259" w:lineRule="auto"/>
              <w:jc w:val="both"/>
              <w:rPr>
                <w:rFonts w:ascii="Times New Roman" w:eastAsia="Calibri" w:hAnsi="Times New Roman"/>
                <w:b/>
                <w:bCs/>
                <w:sz w:val="16"/>
                <w:szCs w:val="16"/>
                <w:lang w:val="en-US"/>
              </w:rPr>
            </w:pPr>
          </w:p>
        </w:tc>
        <w:tc>
          <w:tcPr>
            <w:tcW w:w="18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DA2071" w:rsidRPr="006C17B2" w:rsidRDefault="00DA2071" w:rsidP="006C17B2">
            <w:pPr>
              <w:spacing w:after="0" w:line="240" w:lineRule="auto"/>
              <w:rPr>
                <w:rFonts w:ascii="Times New Roman" w:hAnsi="Times New Roman"/>
                <w:color w:val="000000"/>
                <w:sz w:val="20"/>
                <w:szCs w:val="20"/>
                <w:lang w:eastAsia="bg-BG"/>
              </w:rPr>
            </w:pPr>
            <w:r w:rsidRPr="006C17B2">
              <w:rPr>
                <w:rFonts w:ascii="Times New Roman" w:hAnsi="Times New Roman"/>
                <w:color w:val="000000"/>
                <w:sz w:val="20"/>
                <w:szCs w:val="20"/>
                <w:lang w:eastAsia="bg-BG"/>
              </w:rPr>
              <w:t>P</w:t>
            </w:r>
          </w:p>
        </w:tc>
        <w:tc>
          <w:tcPr>
            <w:tcW w:w="35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DA2071" w:rsidRPr="00EE7E3C" w:rsidRDefault="00DA2071" w:rsidP="00B0609D">
            <w:pPr>
              <w:spacing w:after="0" w:line="240" w:lineRule="auto"/>
              <w:jc w:val="right"/>
              <w:rPr>
                <w:rFonts w:ascii="Times New Roman" w:hAnsi="Times New Roman"/>
                <w:b/>
                <w:bCs/>
                <w:color w:val="FF0000"/>
                <w:sz w:val="20"/>
                <w:szCs w:val="20"/>
                <w:lang w:eastAsia="bg-BG"/>
              </w:rPr>
            </w:pPr>
            <w:r w:rsidRPr="00EE7E3C">
              <w:rPr>
                <w:rFonts w:ascii="Times New Roman" w:hAnsi="Times New Roman"/>
                <w:b/>
                <w:bCs/>
                <w:color w:val="FF0000"/>
                <w:sz w:val="20"/>
                <w:szCs w:val="20"/>
                <w:lang w:eastAsia="bg-BG"/>
              </w:rPr>
              <w:t>7153039</w:t>
            </w:r>
          </w:p>
        </w:tc>
        <w:tc>
          <w:tcPr>
            <w:tcW w:w="41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DA2071" w:rsidRPr="00EE7E3C" w:rsidRDefault="00DA2071" w:rsidP="00B0609D">
            <w:pPr>
              <w:spacing w:after="0" w:line="240" w:lineRule="auto"/>
              <w:jc w:val="right"/>
              <w:rPr>
                <w:rFonts w:ascii="Times New Roman" w:hAnsi="Times New Roman"/>
                <w:b/>
                <w:bCs/>
                <w:color w:val="FF0000"/>
                <w:sz w:val="20"/>
                <w:szCs w:val="20"/>
                <w:lang w:eastAsia="bg-BG"/>
              </w:rPr>
            </w:pPr>
            <w:r w:rsidRPr="00EE7E3C">
              <w:rPr>
                <w:rFonts w:ascii="Times New Roman" w:hAnsi="Times New Roman"/>
                <w:b/>
                <w:bCs/>
                <w:color w:val="FF0000"/>
                <w:sz w:val="20"/>
                <w:szCs w:val="20"/>
                <w:lang w:eastAsia="bg-BG"/>
              </w:rPr>
              <w:t>7153039</w:t>
            </w:r>
          </w:p>
        </w:tc>
        <w:tc>
          <w:tcPr>
            <w:tcW w:w="25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DA2071" w:rsidRPr="00EE7E3C" w:rsidRDefault="00DA2071" w:rsidP="00B0609D">
            <w:pPr>
              <w:spacing w:after="0" w:line="240" w:lineRule="auto"/>
              <w:rPr>
                <w:rFonts w:ascii="Times New Roman" w:hAnsi="Times New Roman"/>
                <w:b/>
                <w:bCs/>
                <w:color w:val="FF0000"/>
                <w:sz w:val="20"/>
                <w:szCs w:val="20"/>
                <w:lang w:val="en-US" w:eastAsia="bg-BG"/>
              </w:rPr>
            </w:pPr>
            <w:r w:rsidRPr="00EE7E3C">
              <w:rPr>
                <w:rFonts w:ascii="Times New Roman" w:hAnsi="Times New Roman"/>
                <w:b/>
                <w:bCs/>
                <w:color w:val="FF0000"/>
                <w:sz w:val="20"/>
                <w:szCs w:val="20"/>
                <w:lang w:eastAsia="bg-BG"/>
              </w:rPr>
              <w:t>а</w:t>
            </w:r>
            <w:r w:rsidRPr="00EE7E3C">
              <w:rPr>
                <w:rFonts w:ascii="Times New Roman" w:hAnsi="Times New Roman"/>
                <w:b/>
                <w:bCs/>
                <w:color w:val="FF0000"/>
                <w:sz w:val="20"/>
                <w:szCs w:val="20"/>
                <w:lang w:val="en-US" w:eastAsia="bg-BG"/>
              </w:rPr>
              <w:t xml:space="preserve">rea </w:t>
            </w:r>
          </w:p>
        </w:tc>
        <w:tc>
          <w:tcPr>
            <w:tcW w:w="28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DA2071" w:rsidRPr="00EE7E3C" w:rsidRDefault="00DA2071" w:rsidP="00B0609D">
            <w:pPr>
              <w:spacing w:after="0" w:line="240" w:lineRule="auto"/>
              <w:rPr>
                <w:rFonts w:ascii="Times New Roman" w:hAnsi="Times New Roman"/>
                <w:b/>
                <w:bCs/>
                <w:color w:val="FF0000"/>
                <w:sz w:val="20"/>
                <w:szCs w:val="20"/>
                <w:lang w:val="en-US" w:eastAsia="bg-BG"/>
              </w:rPr>
            </w:pPr>
            <w:r w:rsidRPr="00EE7E3C">
              <w:rPr>
                <w:rFonts w:ascii="Times New Roman" w:hAnsi="Times New Roman"/>
                <w:b/>
                <w:bCs/>
                <w:color w:val="FF0000"/>
                <w:sz w:val="20"/>
                <w:szCs w:val="20"/>
                <w:lang w:val="en-US" w:eastAsia="bg-BG"/>
              </w:rPr>
              <w:t>R</w:t>
            </w:r>
          </w:p>
        </w:tc>
        <w:tc>
          <w:tcPr>
            <w:tcW w:w="65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DA2071" w:rsidRPr="006C17B2" w:rsidRDefault="00DA2071" w:rsidP="006C17B2">
            <w:pPr>
              <w:spacing w:after="0" w:line="240" w:lineRule="auto"/>
              <w:rPr>
                <w:rFonts w:ascii="Times New Roman" w:hAnsi="Times New Roman"/>
                <w:color w:val="000000"/>
                <w:sz w:val="20"/>
                <w:szCs w:val="20"/>
                <w:lang w:val="en-US" w:eastAsia="bg-BG"/>
              </w:rPr>
            </w:pPr>
            <w:r w:rsidRPr="006C17B2">
              <w:rPr>
                <w:rFonts w:ascii="Times New Roman" w:hAnsi="Times New Roman"/>
                <w:color w:val="000000"/>
                <w:sz w:val="20"/>
                <w:szCs w:val="20"/>
                <w:lang w:val="en-US" w:eastAsia="bg-BG"/>
              </w:rPr>
              <w:t>G</w:t>
            </w:r>
          </w:p>
        </w:tc>
        <w:tc>
          <w:tcPr>
            <w:tcW w:w="30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DA2071" w:rsidRPr="006C17B2" w:rsidRDefault="00DA2071" w:rsidP="006C17B2">
            <w:pPr>
              <w:spacing w:after="0" w:line="240" w:lineRule="auto"/>
              <w:rPr>
                <w:rFonts w:ascii="Times New Roman" w:hAnsi="Times New Roman"/>
                <w:color w:val="000000"/>
                <w:sz w:val="20"/>
                <w:szCs w:val="20"/>
                <w:lang w:eastAsia="bg-BG"/>
              </w:rPr>
            </w:pPr>
            <w:r w:rsidRPr="006C17B2">
              <w:rPr>
                <w:rFonts w:ascii="Times New Roman" w:hAnsi="Times New Roman"/>
                <w:color w:val="000000"/>
                <w:sz w:val="20"/>
                <w:szCs w:val="20"/>
                <w:lang w:eastAsia="bg-BG"/>
              </w:rPr>
              <w:t>C</w:t>
            </w:r>
          </w:p>
        </w:tc>
        <w:tc>
          <w:tcPr>
            <w:tcW w:w="21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DA2071" w:rsidRPr="006C17B2" w:rsidRDefault="00DA2071" w:rsidP="006C17B2">
            <w:pPr>
              <w:spacing w:after="0" w:line="240" w:lineRule="auto"/>
              <w:rPr>
                <w:rFonts w:ascii="Times New Roman" w:hAnsi="Times New Roman"/>
                <w:color w:val="000000"/>
                <w:sz w:val="20"/>
                <w:szCs w:val="20"/>
                <w:lang w:eastAsia="bg-BG"/>
              </w:rPr>
            </w:pPr>
            <w:r w:rsidRPr="006C17B2">
              <w:rPr>
                <w:rFonts w:ascii="Times New Roman" w:hAnsi="Times New Roman"/>
                <w:color w:val="000000"/>
                <w:sz w:val="20"/>
                <w:szCs w:val="20"/>
                <w:lang w:eastAsia="bg-BG"/>
              </w:rPr>
              <w:t>С</w:t>
            </w:r>
          </w:p>
        </w:tc>
        <w:tc>
          <w:tcPr>
            <w:tcW w:w="17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DA2071" w:rsidRPr="006C17B2" w:rsidRDefault="00DA2071" w:rsidP="006C17B2">
            <w:pPr>
              <w:spacing w:after="0" w:line="240" w:lineRule="auto"/>
              <w:rPr>
                <w:rFonts w:ascii="Times New Roman" w:hAnsi="Times New Roman"/>
                <w:color w:val="000000"/>
                <w:sz w:val="20"/>
                <w:szCs w:val="20"/>
                <w:lang w:eastAsia="bg-BG"/>
              </w:rPr>
            </w:pPr>
            <w:r w:rsidRPr="006C17B2">
              <w:rPr>
                <w:rFonts w:ascii="Times New Roman" w:hAnsi="Times New Roman"/>
                <w:color w:val="000000"/>
                <w:sz w:val="20"/>
                <w:szCs w:val="20"/>
                <w:lang w:eastAsia="bg-BG"/>
              </w:rPr>
              <w:t>C</w:t>
            </w:r>
          </w:p>
        </w:tc>
        <w:tc>
          <w:tcPr>
            <w:tcW w:w="58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DA2071" w:rsidRPr="006C17B2" w:rsidRDefault="00DA2071" w:rsidP="006C17B2">
            <w:pPr>
              <w:spacing w:after="0" w:line="240" w:lineRule="auto"/>
              <w:rPr>
                <w:rFonts w:ascii="Times New Roman" w:hAnsi="Times New Roman"/>
                <w:color w:val="000000"/>
                <w:sz w:val="20"/>
                <w:szCs w:val="20"/>
                <w:lang w:eastAsia="bg-BG"/>
              </w:rPr>
            </w:pPr>
            <w:r w:rsidRPr="006C17B2">
              <w:rPr>
                <w:rFonts w:ascii="Times New Roman" w:hAnsi="Times New Roman"/>
                <w:color w:val="000000"/>
                <w:sz w:val="20"/>
                <w:szCs w:val="20"/>
                <w:lang w:eastAsia="bg-BG"/>
              </w:rPr>
              <w:t>С</w:t>
            </w:r>
          </w:p>
        </w:tc>
      </w:tr>
    </w:tbl>
    <w:p w:rsidR="006C17B2" w:rsidRPr="006C17B2" w:rsidRDefault="006C17B2" w:rsidP="006C17B2">
      <w:pPr>
        <w:spacing w:after="160" w:line="240" w:lineRule="auto"/>
        <w:jc w:val="both"/>
        <w:rPr>
          <w:rFonts w:ascii="Times New Roman" w:eastAsia="Calibri" w:hAnsi="Times New Roman"/>
          <w:sz w:val="24"/>
          <w:szCs w:val="24"/>
        </w:rPr>
      </w:pPr>
    </w:p>
    <w:p w:rsidR="006C17B2" w:rsidRPr="006C17B2" w:rsidRDefault="006C17B2" w:rsidP="006C17B2">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9. Цитирана литература</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Булгурков, К. 1958. Хидроложки особености на резервата езерото Сребърна и състав на рибната му фауна. – Изв. на Зоолог. инст., 7: 251–268.</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 xml:space="preserve">Големански, </w:t>
      </w:r>
      <w:r>
        <w:rPr>
          <w:rFonts w:ascii="Times New Roman" w:eastAsia="Calibri" w:hAnsi="Times New Roman"/>
          <w:sz w:val="24"/>
          <w:szCs w:val="24"/>
          <w:lang w:eastAsia="x-none"/>
        </w:rPr>
        <w:t>В</w:t>
      </w:r>
      <w:r w:rsidRPr="006C17B2">
        <w:rPr>
          <w:rFonts w:ascii="Times New Roman" w:eastAsia="Calibri" w:hAnsi="Times New Roman"/>
          <w:sz w:val="24"/>
          <w:szCs w:val="24"/>
          <w:lang w:eastAsia="x-none"/>
        </w:rPr>
        <w:t>. и др. (ред.) 2011. Червена книга на Република България. Том 2. Животни. ИБЕИ - БАН &amp; МОСВ, София. Електронно издание:</w:t>
      </w:r>
      <w:r w:rsidRPr="006C17B2">
        <w:rPr>
          <w:rFonts w:ascii="Times New Roman" w:eastAsia="Calibri" w:hAnsi="Times New Roman"/>
          <w:sz w:val="24"/>
          <w:szCs w:val="24"/>
        </w:rPr>
        <w:t xml:space="preserve"> </w:t>
      </w:r>
      <w:hyperlink r:id="rId151" w:history="1">
        <w:r w:rsidRPr="006C17B2">
          <w:rPr>
            <w:rFonts w:ascii="Times New Roman" w:eastAsia="Calibri" w:hAnsi="Times New Roman"/>
            <w:color w:val="0000FF"/>
            <w:sz w:val="24"/>
            <w:szCs w:val="24"/>
            <w:u w:val="single"/>
          </w:rPr>
          <w:t>Том II - Животни (bas.bg)</w:t>
        </w:r>
      </w:hyperlink>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Димитров, М. 1957. Хидрологична и хидробиологична характеристика на язовир "Ал. Стамболийски". – Известия на Научноизследователския институт по рибарство и рибна промишленост – Варна, 1: 159–197.</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Дренски, П. 1921. Риби и риболовство по р. Искър. – Сведения по земеделието, 2 (9): 5–16.</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Дренски, П. 1921а. Рибната фауна на река Искър и риболовството по нея. – Естествознание и география, 6 (2/3): 49–58.</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Дренски, П. 1948. Състав и разпространение на рибите в България. – Годишник на Софийския университет – Природо-математически факултет, 44(3): 11–71.</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 xml:space="preserve">Дренски, П. 1951. Рибите в България. Фауна на България </w:t>
      </w:r>
      <w:r w:rsidRPr="006C17B2">
        <w:rPr>
          <w:rFonts w:ascii="Times New Roman" w:eastAsia="Calibri" w:hAnsi="Times New Roman"/>
          <w:sz w:val="24"/>
          <w:szCs w:val="24"/>
          <w:lang w:val="en-US" w:eastAsia="x-none"/>
        </w:rPr>
        <w:t>II</w:t>
      </w:r>
      <w:r w:rsidRPr="006C17B2">
        <w:rPr>
          <w:rFonts w:ascii="Times New Roman" w:eastAsia="Calibri" w:hAnsi="Times New Roman"/>
          <w:sz w:val="24"/>
          <w:szCs w:val="24"/>
          <w:lang w:eastAsia="x-none"/>
        </w:rPr>
        <w:t>. С., БАН, 270 с.</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 xml:space="preserve">Живков, </w:t>
      </w:r>
      <w:r w:rsidRPr="006C17B2">
        <w:rPr>
          <w:rFonts w:ascii="Times New Roman" w:eastAsia="Calibri" w:hAnsi="Times New Roman"/>
          <w:sz w:val="24"/>
          <w:szCs w:val="24"/>
          <w:lang w:val="en-US" w:eastAsia="x-none"/>
        </w:rPr>
        <w:t>M</w:t>
      </w:r>
      <w:r w:rsidRPr="006C17B2">
        <w:rPr>
          <w:rFonts w:ascii="Times New Roman" w:eastAsia="Calibri" w:hAnsi="Times New Roman"/>
          <w:sz w:val="24"/>
          <w:szCs w:val="24"/>
          <w:lang w:eastAsia="x-none"/>
        </w:rPr>
        <w:t>.,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 xml:space="preserve">ИАОС. Теренни проучвания на разпространение на видове/оценка на състоянието на видове и хабитати на територията на цялата страна - I фаза. </w:t>
      </w:r>
      <w:hyperlink r:id="rId152" w:history="1">
        <w:r w:rsidRPr="006C17B2">
          <w:rPr>
            <w:rFonts w:ascii="Times New Roman" w:eastAsia="Calibri" w:hAnsi="Times New Roman"/>
            <w:color w:val="0563C1"/>
            <w:sz w:val="24"/>
            <w:szCs w:val="24"/>
            <w:u w:val="single"/>
            <w:lang w:eastAsia="x-none"/>
          </w:rPr>
          <w:t>http://eea.government.bg/bg/bio/opos/activities-results/ribi</w:t>
        </w:r>
      </w:hyperlink>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Информационна система за защитени зони от екологична мрежа НАТУРА 2000.</w:t>
      </w:r>
    </w:p>
    <w:p w:rsidR="006C17B2" w:rsidRPr="006C17B2" w:rsidRDefault="00DE51FF" w:rsidP="003C4277">
      <w:pPr>
        <w:spacing w:after="0" w:line="240" w:lineRule="auto"/>
        <w:ind w:left="709" w:hanging="1"/>
        <w:jc w:val="both"/>
        <w:rPr>
          <w:rFonts w:ascii="Times New Roman" w:eastAsia="Calibri" w:hAnsi="Times New Roman"/>
          <w:sz w:val="24"/>
          <w:szCs w:val="24"/>
          <w:lang w:eastAsia="x-none"/>
        </w:rPr>
      </w:pPr>
      <w:hyperlink r:id="rId153" w:history="1">
        <w:r w:rsidR="006C17B2" w:rsidRPr="006C17B2">
          <w:rPr>
            <w:rFonts w:ascii="Times New Roman" w:eastAsia="Calibri" w:hAnsi="Times New Roman"/>
            <w:color w:val="0563C1"/>
            <w:sz w:val="24"/>
            <w:szCs w:val="24"/>
            <w:u w:val="single"/>
            <w:lang w:eastAsia="x-none"/>
          </w:rPr>
          <w:t>http://natura2000.moew.government.bg/</w:t>
        </w:r>
      </w:hyperlink>
      <w:r w:rsidR="006C17B2" w:rsidRPr="006C17B2">
        <w:rPr>
          <w:rFonts w:ascii="Times New Roman" w:eastAsia="Calibri" w:hAnsi="Times New Roman"/>
          <w:sz w:val="24"/>
          <w:szCs w:val="24"/>
          <w:lang w:eastAsia="x-none"/>
        </w:rPr>
        <w:t xml:space="preserve">; </w:t>
      </w:r>
      <w:hyperlink r:id="rId154" w:history="1">
        <w:r w:rsidR="006C17B2" w:rsidRPr="006C17B2">
          <w:rPr>
            <w:rFonts w:ascii="Times New Roman" w:eastAsia="Calibri" w:hAnsi="Times New Roman"/>
            <w:color w:val="0563C1"/>
            <w:sz w:val="24"/>
            <w:szCs w:val="24"/>
            <w:u w:val="single"/>
            <w:lang w:eastAsia="x-none"/>
          </w:rPr>
          <w:t>http://natura2000.moew.government.bg/Home/Reports?reportType=Fishes</w:t>
        </w:r>
      </w:hyperlink>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Карапеткова, М. 1972. Ихтиофауна на р. Янтра. – Изв. на Зоолог. инст. с музей, 36: 149–182.</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Карапеткова, М. 1974. Ихтиофауна на р. Камчия. – Изв. на Зоолог. инст. с музей, 39: 85–98.</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Карапеткова, М. 1994. Гръбначни животни. – В: Русев Б. (ред.), Лимнология на българските дунавски притоци, МОСВ, С., БАН, 175–186.</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Карапеткова, М., Ц. Диков. 1986. Върху състава, разпространението, числеността и биомасата на ихтиофауната на р. Вит. – Хидробиология, 28: 3–14.</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Карапеткова, М., М. Живков. 1995. Рибите в България. С., "Гея-Либрис", 247 с.</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lastRenderedPageBreak/>
        <w:t>Карапеткова, М., Е. Унджиян 1988. Ихтиофауна на поречието Русенски Лом. – Хидробиология, 32: 44–49.</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Ковачев, В. 1923. Сладководната ихтиологична фауна на България. – Архив на Министерството на земеделието и държавните имоти, 3: 1–164.</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Маринов, Б. 1966. Върху ихтиофауната на българския участък на река Дунав. – Изв. на Зоолог. инст. с музей, 20: 139–155.</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Моров, Т. 1931. Сладководните риби в България. С., "Художник", 93 с.</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Паспалев, Г., Ц. Пешев. 1955. Принос към изучаване на ихтиофауната на р. Искър. – Год. на СУ, Биолого-Геолого-Географски фак., 48(1): 1–39.</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 xml:space="preserve">Проект </w:t>
      </w:r>
      <w:r w:rsidRPr="006C17B2">
        <w:rPr>
          <w:rFonts w:ascii="Times New Roman" w:eastAsia="Calibri" w:hAnsi="Times New Roman"/>
          <w:sz w:val="24"/>
          <w:szCs w:val="24"/>
          <w:lang w:val="en-US" w:eastAsia="x-none"/>
        </w:rPr>
        <w:t>DIR</w:t>
      </w:r>
      <w:r w:rsidRPr="006C17B2">
        <w:rPr>
          <w:rFonts w:ascii="Times New Roman" w:eastAsia="Calibri" w:hAnsi="Times New Roman"/>
          <w:sz w:val="24"/>
          <w:szCs w:val="24"/>
          <w:lang w:eastAsia="x-none"/>
        </w:rPr>
        <w:t xml:space="preserve">-59318-1-2 „Картиране и определяне на природозащитното състояние на природни местообитания и видове - фаза </w:t>
      </w:r>
      <w:r w:rsidRPr="006C17B2">
        <w:rPr>
          <w:rFonts w:ascii="Times New Roman" w:eastAsia="Calibri" w:hAnsi="Times New Roman"/>
          <w:sz w:val="24"/>
          <w:szCs w:val="24"/>
          <w:lang w:val="en-US" w:eastAsia="x-none"/>
        </w:rPr>
        <w:t>I</w:t>
      </w:r>
      <w:r w:rsidRPr="006C17B2">
        <w:rPr>
          <w:rFonts w:ascii="Times New Roman" w:eastAsia="Calibri" w:hAnsi="Times New Roman"/>
          <w:sz w:val="24"/>
          <w:szCs w:val="24"/>
          <w:lang w:eastAsia="x-none"/>
        </w:rPr>
        <w:t>", 2013.</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 xml:space="preserve">Проект </w:t>
      </w:r>
      <w:r w:rsidRPr="006C17B2">
        <w:rPr>
          <w:rFonts w:ascii="Times New Roman" w:eastAsia="Calibri" w:hAnsi="Times New Roman"/>
          <w:sz w:val="24"/>
          <w:szCs w:val="24"/>
          <w:lang w:val="en-US" w:eastAsia="x-none"/>
        </w:rPr>
        <w:t>DIR</w:t>
      </w:r>
      <w:r w:rsidRPr="006C17B2">
        <w:rPr>
          <w:rFonts w:ascii="Times New Roman" w:eastAsia="Calibri" w:hAnsi="Times New Roman"/>
          <w:sz w:val="24"/>
          <w:szCs w:val="24"/>
          <w:lang w:eastAsia="x-none"/>
        </w:rPr>
        <w:t>-5113024-1-48 "</w:t>
      </w:r>
      <w:r w:rsidRPr="006C17B2">
        <w:rPr>
          <w:rFonts w:ascii="Times New Roman" w:eastAsia="Calibri" w:hAnsi="Times New Roman"/>
          <w:sz w:val="24"/>
          <w:szCs w:val="24"/>
          <w:lang w:val="en-US" w:eastAsia="x-none"/>
        </w:rPr>
        <w:t>Te</w:t>
      </w:r>
      <w:r w:rsidRPr="006C17B2">
        <w:rPr>
          <w:rFonts w:ascii="Times New Roman" w:eastAsia="Calibri" w:hAnsi="Times New Roman"/>
          <w:sz w:val="24"/>
          <w:szCs w:val="24"/>
          <w:lang w:eastAsia="x-none"/>
        </w:rPr>
        <w:t xml:space="preserve">ренни проучвания на разпространение на видове/оценка на състоянието на видове и хабитати на територията на цялата страна - </w:t>
      </w:r>
      <w:r w:rsidRPr="006C17B2">
        <w:rPr>
          <w:rFonts w:ascii="Times New Roman" w:eastAsia="Calibri" w:hAnsi="Times New Roman"/>
          <w:sz w:val="24"/>
          <w:szCs w:val="24"/>
          <w:lang w:val="en-US" w:eastAsia="x-none"/>
        </w:rPr>
        <w:t>I</w:t>
      </w:r>
      <w:r w:rsidRPr="006C17B2">
        <w:rPr>
          <w:rFonts w:ascii="Times New Roman" w:eastAsia="Calibri" w:hAnsi="Times New Roman"/>
          <w:sz w:val="24"/>
          <w:szCs w:val="24"/>
          <w:lang w:eastAsia="x-none"/>
        </w:rPr>
        <w:t xml:space="preserve"> фаза".</w:t>
      </w:r>
    </w:p>
    <w:p w:rsidR="006C17B2" w:rsidRPr="006C17B2" w:rsidRDefault="006C17B2" w:rsidP="006C17B2">
      <w:pPr>
        <w:spacing w:after="0" w:line="240" w:lineRule="auto"/>
        <w:ind w:left="709" w:hanging="709"/>
        <w:jc w:val="both"/>
        <w:rPr>
          <w:rFonts w:ascii="Times New Roman" w:eastAsia="Calibri" w:hAnsi="Times New Roman"/>
          <w:sz w:val="24"/>
          <w:szCs w:val="24"/>
        </w:rPr>
      </w:pPr>
      <w:r w:rsidRPr="006C17B2">
        <w:rPr>
          <w:rFonts w:ascii="Times New Roman" w:eastAsia="Calibri" w:hAnsi="Times New Roman"/>
          <w:sz w:val="24"/>
          <w:szCs w:val="24"/>
          <w:lang w:eastAsia="x-none"/>
        </w:rPr>
        <w:t>Управление на защитените зони по „Натура 2000“. Разпоредбите на член 6 от Директива 92/43/ЕИО за местообитанията.</w:t>
      </w:r>
      <w:r w:rsidRPr="006C17B2">
        <w:rPr>
          <w:rFonts w:ascii="Times New Roman" w:eastAsia="Calibri" w:hAnsi="Times New Roman"/>
          <w:sz w:val="24"/>
          <w:szCs w:val="24"/>
        </w:rPr>
        <w:t xml:space="preserve"> </w:t>
      </w:r>
    </w:p>
    <w:p w:rsidR="006C17B2" w:rsidRPr="006C17B2" w:rsidRDefault="00DE51FF" w:rsidP="006C17B2">
      <w:pPr>
        <w:spacing w:after="0" w:line="240" w:lineRule="auto"/>
        <w:ind w:left="709" w:hanging="709"/>
        <w:jc w:val="both"/>
        <w:rPr>
          <w:rFonts w:ascii="Times New Roman" w:eastAsia="Calibri" w:hAnsi="Times New Roman"/>
          <w:sz w:val="24"/>
          <w:szCs w:val="24"/>
          <w:lang w:eastAsia="x-none"/>
        </w:rPr>
      </w:pPr>
      <w:hyperlink r:id="rId155" w:history="1">
        <w:r w:rsidR="006C17B2" w:rsidRPr="006C17B2">
          <w:rPr>
            <w:rFonts w:ascii="Times New Roman" w:eastAsia="Calibri" w:hAnsi="Times New Roman"/>
            <w:color w:val="0563C1"/>
            <w:sz w:val="24"/>
            <w:szCs w:val="24"/>
            <w:u w:val="single"/>
            <w:lang w:val="en-US" w:eastAsia="x-none"/>
          </w:rPr>
          <w:t>https</w:t>
        </w:r>
        <w:r w:rsidR="006C17B2" w:rsidRPr="006C17B2">
          <w:rPr>
            <w:rFonts w:ascii="Times New Roman" w:eastAsia="Calibri" w:hAnsi="Times New Roman"/>
            <w:color w:val="0563C1"/>
            <w:sz w:val="24"/>
            <w:szCs w:val="24"/>
            <w:u w:val="single"/>
            <w:lang w:eastAsia="x-none"/>
          </w:rPr>
          <w:t>://</w:t>
        </w:r>
        <w:r w:rsidR="006C17B2" w:rsidRPr="006C17B2">
          <w:rPr>
            <w:rFonts w:ascii="Times New Roman" w:eastAsia="Calibri" w:hAnsi="Times New Roman"/>
            <w:color w:val="0563C1"/>
            <w:sz w:val="24"/>
            <w:szCs w:val="24"/>
            <w:u w:val="single"/>
            <w:lang w:val="en-US" w:eastAsia="x-none"/>
          </w:rPr>
          <w:t>ec</w:t>
        </w:r>
        <w:r w:rsidR="006C17B2" w:rsidRPr="006C17B2">
          <w:rPr>
            <w:rFonts w:ascii="Times New Roman" w:eastAsia="Calibri" w:hAnsi="Times New Roman"/>
            <w:color w:val="0563C1"/>
            <w:sz w:val="24"/>
            <w:szCs w:val="24"/>
            <w:u w:val="single"/>
            <w:lang w:eastAsia="x-none"/>
          </w:rPr>
          <w:t>.</w:t>
        </w:r>
        <w:r w:rsidR="006C17B2" w:rsidRPr="006C17B2">
          <w:rPr>
            <w:rFonts w:ascii="Times New Roman" w:eastAsia="Calibri" w:hAnsi="Times New Roman"/>
            <w:color w:val="0563C1"/>
            <w:sz w:val="24"/>
            <w:szCs w:val="24"/>
            <w:u w:val="single"/>
            <w:lang w:val="en-US" w:eastAsia="x-none"/>
          </w:rPr>
          <w:t>europa</w:t>
        </w:r>
        <w:r w:rsidR="006C17B2" w:rsidRPr="006C17B2">
          <w:rPr>
            <w:rFonts w:ascii="Times New Roman" w:eastAsia="Calibri" w:hAnsi="Times New Roman"/>
            <w:color w:val="0563C1"/>
            <w:sz w:val="24"/>
            <w:szCs w:val="24"/>
            <w:u w:val="single"/>
            <w:lang w:eastAsia="x-none"/>
          </w:rPr>
          <w:t>.</w:t>
        </w:r>
        <w:r w:rsidR="006C17B2" w:rsidRPr="006C17B2">
          <w:rPr>
            <w:rFonts w:ascii="Times New Roman" w:eastAsia="Calibri" w:hAnsi="Times New Roman"/>
            <w:color w:val="0563C1"/>
            <w:sz w:val="24"/>
            <w:szCs w:val="24"/>
            <w:u w:val="single"/>
            <w:lang w:val="en-US" w:eastAsia="x-none"/>
          </w:rPr>
          <w:t>eu</w:t>
        </w:r>
        <w:r w:rsidR="006C17B2" w:rsidRPr="006C17B2">
          <w:rPr>
            <w:rFonts w:ascii="Times New Roman" w:eastAsia="Calibri" w:hAnsi="Times New Roman"/>
            <w:color w:val="0563C1"/>
            <w:sz w:val="24"/>
            <w:szCs w:val="24"/>
            <w:u w:val="single"/>
            <w:lang w:eastAsia="x-none"/>
          </w:rPr>
          <w:t>/</w:t>
        </w:r>
        <w:r w:rsidR="006C17B2" w:rsidRPr="006C17B2">
          <w:rPr>
            <w:rFonts w:ascii="Times New Roman" w:eastAsia="Calibri" w:hAnsi="Times New Roman"/>
            <w:color w:val="0563C1"/>
            <w:sz w:val="24"/>
            <w:szCs w:val="24"/>
            <w:u w:val="single"/>
            <w:lang w:val="en-US" w:eastAsia="x-none"/>
          </w:rPr>
          <w:t>environment</w:t>
        </w:r>
        <w:r w:rsidR="006C17B2" w:rsidRPr="006C17B2">
          <w:rPr>
            <w:rFonts w:ascii="Times New Roman" w:eastAsia="Calibri" w:hAnsi="Times New Roman"/>
            <w:color w:val="0563C1"/>
            <w:sz w:val="24"/>
            <w:szCs w:val="24"/>
            <w:u w:val="single"/>
            <w:lang w:eastAsia="x-none"/>
          </w:rPr>
          <w:t>/</w:t>
        </w:r>
        <w:r w:rsidR="006C17B2" w:rsidRPr="006C17B2">
          <w:rPr>
            <w:rFonts w:ascii="Times New Roman" w:eastAsia="Calibri" w:hAnsi="Times New Roman"/>
            <w:color w:val="0563C1"/>
            <w:sz w:val="24"/>
            <w:szCs w:val="24"/>
            <w:u w:val="single"/>
            <w:lang w:val="en-US" w:eastAsia="x-none"/>
          </w:rPr>
          <w:t>nature</w:t>
        </w:r>
        <w:r w:rsidR="006C17B2" w:rsidRPr="006C17B2">
          <w:rPr>
            <w:rFonts w:ascii="Times New Roman" w:eastAsia="Calibri" w:hAnsi="Times New Roman"/>
            <w:color w:val="0563C1"/>
            <w:sz w:val="24"/>
            <w:szCs w:val="24"/>
            <w:u w:val="single"/>
            <w:lang w:eastAsia="x-none"/>
          </w:rPr>
          <w:t>/</w:t>
        </w:r>
        <w:r w:rsidR="006C17B2" w:rsidRPr="006C17B2">
          <w:rPr>
            <w:rFonts w:ascii="Times New Roman" w:eastAsia="Calibri" w:hAnsi="Times New Roman"/>
            <w:color w:val="0563C1"/>
            <w:sz w:val="24"/>
            <w:szCs w:val="24"/>
            <w:u w:val="single"/>
            <w:lang w:val="en-US" w:eastAsia="x-none"/>
          </w:rPr>
          <w:t>natura</w:t>
        </w:r>
        <w:r w:rsidR="006C17B2" w:rsidRPr="006C17B2">
          <w:rPr>
            <w:rFonts w:ascii="Times New Roman" w:eastAsia="Calibri" w:hAnsi="Times New Roman"/>
            <w:color w:val="0563C1"/>
            <w:sz w:val="24"/>
            <w:szCs w:val="24"/>
            <w:u w:val="single"/>
            <w:lang w:eastAsia="x-none"/>
          </w:rPr>
          <w:t>2000/</w:t>
        </w:r>
        <w:r w:rsidR="006C17B2" w:rsidRPr="006C17B2">
          <w:rPr>
            <w:rFonts w:ascii="Times New Roman" w:eastAsia="Calibri" w:hAnsi="Times New Roman"/>
            <w:color w:val="0563C1"/>
            <w:sz w:val="24"/>
            <w:szCs w:val="24"/>
            <w:u w:val="single"/>
            <w:lang w:val="en-US" w:eastAsia="x-none"/>
          </w:rPr>
          <w:t>management</w:t>
        </w:r>
        <w:r w:rsidR="006C17B2" w:rsidRPr="006C17B2">
          <w:rPr>
            <w:rFonts w:ascii="Times New Roman" w:eastAsia="Calibri" w:hAnsi="Times New Roman"/>
            <w:color w:val="0563C1"/>
            <w:sz w:val="24"/>
            <w:szCs w:val="24"/>
            <w:u w:val="single"/>
            <w:lang w:eastAsia="x-none"/>
          </w:rPr>
          <w:t>/</w:t>
        </w:r>
        <w:r w:rsidR="006C17B2" w:rsidRPr="006C17B2">
          <w:rPr>
            <w:rFonts w:ascii="Times New Roman" w:eastAsia="Calibri" w:hAnsi="Times New Roman"/>
            <w:color w:val="0563C1"/>
            <w:sz w:val="24"/>
            <w:szCs w:val="24"/>
            <w:u w:val="single"/>
            <w:lang w:val="en-US" w:eastAsia="x-none"/>
          </w:rPr>
          <w:t>docs</w:t>
        </w:r>
        <w:r w:rsidR="006C17B2" w:rsidRPr="006C17B2">
          <w:rPr>
            <w:rFonts w:ascii="Times New Roman" w:eastAsia="Calibri" w:hAnsi="Times New Roman"/>
            <w:color w:val="0563C1"/>
            <w:sz w:val="24"/>
            <w:szCs w:val="24"/>
            <w:u w:val="single"/>
            <w:lang w:eastAsia="x-none"/>
          </w:rPr>
          <w:t>/</w:t>
        </w:r>
        <w:r w:rsidR="006C17B2" w:rsidRPr="006C17B2">
          <w:rPr>
            <w:rFonts w:ascii="Times New Roman" w:eastAsia="Calibri" w:hAnsi="Times New Roman"/>
            <w:color w:val="0563C1"/>
            <w:sz w:val="24"/>
            <w:szCs w:val="24"/>
            <w:u w:val="single"/>
            <w:lang w:val="en-US" w:eastAsia="x-none"/>
          </w:rPr>
          <w:t>art</w:t>
        </w:r>
        <w:r w:rsidR="006C17B2" w:rsidRPr="006C17B2">
          <w:rPr>
            <w:rFonts w:ascii="Times New Roman" w:eastAsia="Calibri" w:hAnsi="Times New Roman"/>
            <w:color w:val="0563C1"/>
            <w:sz w:val="24"/>
            <w:szCs w:val="24"/>
            <w:u w:val="single"/>
            <w:lang w:eastAsia="x-none"/>
          </w:rPr>
          <w:t>6/</w:t>
        </w:r>
        <w:r w:rsidR="006C17B2" w:rsidRPr="006C17B2">
          <w:rPr>
            <w:rFonts w:ascii="Times New Roman" w:eastAsia="Calibri" w:hAnsi="Times New Roman"/>
            <w:color w:val="0563C1"/>
            <w:sz w:val="24"/>
            <w:szCs w:val="24"/>
            <w:u w:val="single"/>
            <w:lang w:val="en-US" w:eastAsia="x-none"/>
          </w:rPr>
          <w:t>BG</w:t>
        </w:r>
        <w:r w:rsidR="006C17B2" w:rsidRPr="006C17B2">
          <w:rPr>
            <w:rFonts w:ascii="Times New Roman" w:eastAsia="Calibri" w:hAnsi="Times New Roman"/>
            <w:color w:val="0563C1"/>
            <w:sz w:val="24"/>
            <w:szCs w:val="24"/>
            <w:u w:val="single"/>
            <w:lang w:eastAsia="x-none"/>
          </w:rPr>
          <w:t>_</w:t>
        </w:r>
        <w:r w:rsidR="006C17B2" w:rsidRPr="006C17B2">
          <w:rPr>
            <w:rFonts w:ascii="Times New Roman" w:eastAsia="Calibri" w:hAnsi="Times New Roman"/>
            <w:color w:val="0563C1"/>
            <w:sz w:val="24"/>
            <w:szCs w:val="24"/>
            <w:u w:val="single"/>
            <w:lang w:val="en-US" w:eastAsia="x-none"/>
          </w:rPr>
          <w:t>art</w:t>
        </w:r>
        <w:r w:rsidR="006C17B2" w:rsidRPr="006C17B2">
          <w:rPr>
            <w:rFonts w:ascii="Times New Roman" w:eastAsia="Calibri" w:hAnsi="Times New Roman"/>
            <w:color w:val="0563C1"/>
            <w:sz w:val="24"/>
            <w:szCs w:val="24"/>
            <w:u w:val="single"/>
            <w:lang w:eastAsia="x-none"/>
          </w:rPr>
          <w:t>_6_</w:t>
        </w:r>
        <w:r w:rsidR="006C17B2" w:rsidRPr="006C17B2">
          <w:rPr>
            <w:rFonts w:ascii="Times New Roman" w:eastAsia="Calibri" w:hAnsi="Times New Roman"/>
            <w:color w:val="0563C1"/>
            <w:sz w:val="24"/>
            <w:szCs w:val="24"/>
            <w:u w:val="single"/>
            <w:lang w:val="en-US" w:eastAsia="x-none"/>
          </w:rPr>
          <w:t>guide</w:t>
        </w:r>
        <w:r w:rsidR="006C17B2" w:rsidRPr="006C17B2">
          <w:rPr>
            <w:rFonts w:ascii="Times New Roman" w:eastAsia="Calibri" w:hAnsi="Times New Roman"/>
            <w:color w:val="0563C1"/>
            <w:sz w:val="24"/>
            <w:szCs w:val="24"/>
            <w:u w:val="single"/>
            <w:lang w:eastAsia="x-none"/>
          </w:rPr>
          <w:t>_</w:t>
        </w:r>
        <w:r w:rsidR="006C17B2" w:rsidRPr="006C17B2">
          <w:rPr>
            <w:rFonts w:ascii="Times New Roman" w:eastAsia="Calibri" w:hAnsi="Times New Roman"/>
            <w:color w:val="0563C1"/>
            <w:sz w:val="24"/>
            <w:szCs w:val="24"/>
            <w:u w:val="single"/>
            <w:lang w:val="en-US" w:eastAsia="x-none"/>
          </w:rPr>
          <w:t>jun</w:t>
        </w:r>
        <w:r w:rsidR="006C17B2" w:rsidRPr="006C17B2">
          <w:rPr>
            <w:rFonts w:ascii="Times New Roman" w:eastAsia="Calibri" w:hAnsi="Times New Roman"/>
            <w:color w:val="0563C1"/>
            <w:sz w:val="24"/>
            <w:szCs w:val="24"/>
            <w:u w:val="single"/>
            <w:lang w:eastAsia="x-none"/>
          </w:rPr>
          <w:t>_2019.</w:t>
        </w:r>
        <w:r w:rsidR="006C17B2" w:rsidRPr="006C17B2">
          <w:rPr>
            <w:rFonts w:ascii="Times New Roman" w:eastAsia="Calibri" w:hAnsi="Times New Roman"/>
            <w:color w:val="0563C1"/>
            <w:sz w:val="24"/>
            <w:szCs w:val="24"/>
            <w:u w:val="single"/>
            <w:lang w:val="en-US" w:eastAsia="x-none"/>
          </w:rPr>
          <w:t>pdf</w:t>
        </w:r>
      </w:hyperlink>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Шишков Г. 1939. Няколко думи за риболова по р. Искър. – Рибарски преглед, 9(8): 4–7.</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Шишков, Г. 1939</w:t>
      </w:r>
      <w:r w:rsidRPr="006C17B2">
        <w:rPr>
          <w:rFonts w:ascii="Times New Roman" w:eastAsia="Calibri" w:hAnsi="Times New Roman"/>
          <w:sz w:val="24"/>
          <w:szCs w:val="24"/>
          <w:lang w:val="en-US" w:eastAsia="x-none"/>
        </w:rPr>
        <w:t>a</w:t>
      </w:r>
      <w:r w:rsidRPr="006C17B2">
        <w:rPr>
          <w:rFonts w:ascii="Times New Roman" w:eastAsia="Calibri" w:hAnsi="Times New Roman"/>
          <w:sz w:val="24"/>
          <w:szCs w:val="24"/>
          <w:lang w:eastAsia="x-none"/>
        </w:rPr>
        <w:t>. Върху някои нови и слабо познати нашенски сладководни риби. – Год. СУ Физико-матем. фак., 35 (3): 91–199.</w:t>
      </w:r>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val="en-US" w:eastAsia="x-none"/>
        </w:rPr>
        <w:t>Apostolou</w:t>
      </w:r>
      <w:r w:rsidRPr="006C17B2">
        <w:rPr>
          <w:rFonts w:ascii="Times New Roman" w:eastAsia="Calibri" w:hAnsi="Times New Roman"/>
          <w:sz w:val="24"/>
          <w:szCs w:val="24"/>
          <w:lang w:eastAsia="x-none"/>
        </w:rPr>
        <w:t xml:space="preserve"> </w:t>
      </w:r>
      <w:r w:rsidRPr="006C17B2">
        <w:rPr>
          <w:rFonts w:ascii="Times New Roman" w:eastAsia="Calibri" w:hAnsi="Times New Roman"/>
          <w:sz w:val="24"/>
          <w:szCs w:val="24"/>
          <w:lang w:val="en-US" w:eastAsia="x-none"/>
        </w:rPr>
        <w:t>A</w:t>
      </w:r>
      <w:r w:rsidRPr="006C17B2">
        <w:rPr>
          <w:rFonts w:ascii="Times New Roman" w:eastAsia="Calibri" w:hAnsi="Times New Roman"/>
          <w:sz w:val="24"/>
          <w:szCs w:val="24"/>
          <w:lang w:eastAsia="x-none"/>
        </w:rPr>
        <w:t xml:space="preserve">., </w:t>
      </w:r>
      <w:r w:rsidRPr="006C17B2">
        <w:rPr>
          <w:rFonts w:ascii="Times New Roman" w:eastAsia="Calibri" w:hAnsi="Times New Roman"/>
          <w:sz w:val="24"/>
          <w:szCs w:val="24"/>
          <w:lang w:val="en-US" w:eastAsia="x-none"/>
        </w:rPr>
        <w:t>L</w:t>
      </w:r>
      <w:r w:rsidRPr="006C17B2">
        <w:rPr>
          <w:rFonts w:ascii="Times New Roman" w:eastAsia="Calibri" w:hAnsi="Times New Roman"/>
          <w:sz w:val="24"/>
          <w:szCs w:val="24"/>
          <w:lang w:eastAsia="x-none"/>
        </w:rPr>
        <w:t xml:space="preserve">. </w:t>
      </w:r>
      <w:r w:rsidRPr="006C17B2">
        <w:rPr>
          <w:rFonts w:ascii="Times New Roman" w:eastAsia="Calibri" w:hAnsi="Times New Roman"/>
          <w:sz w:val="24"/>
          <w:szCs w:val="24"/>
          <w:lang w:val="en-US" w:eastAsia="x-none"/>
        </w:rPr>
        <w:t>Pehlivanov</w:t>
      </w:r>
      <w:r w:rsidRPr="006C17B2">
        <w:rPr>
          <w:rFonts w:ascii="Times New Roman" w:eastAsia="Calibri" w:hAnsi="Times New Roman"/>
          <w:sz w:val="24"/>
          <w:szCs w:val="24"/>
          <w:lang w:eastAsia="x-none"/>
        </w:rPr>
        <w:t xml:space="preserve">, </w:t>
      </w:r>
      <w:r w:rsidRPr="006C17B2">
        <w:rPr>
          <w:rFonts w:ascii="Times New Roman" w:eastAsia="Calibri" w:hAnsi="Times New Roman"/>
          <w:sz w:val="24"/>
          <w:szCs w:val="24"/>
          <w:lang w:val="en-US" w:eastAsia="x-none"/>
        </w:rPr>
        <w:t>M</w:t>
      </w:r>
      <w:r w:rsidRPr="006C17B2">
        <w:rPr>
          <w:rFonts w:ascii="Times New Roman" w:eastAsia="Calibri" w:hAnsi="Times New Roman"/>
          <w:sz w:val="24"/>
          <w:szCs w:val="24"/>
          <w:lang w:eastAsia="x-none"/>
        </w:rPr>
        <w:t xml:space="preserve">. </w:t>
      </w:r>
      <w:r w:rsidRPr="006C17B2">
        <w:rPr>
          <w:rFonts w:ascii="Times New Roman" w:eastAsia="Calibri" w:hAnsi="Times New Roman"/>
          <w:sz w:val="24"/>
          <w:szCs w:val="24"/>
          <w:lang w:val="en-US" w:eastAsia="x-none"/>
        </w:rPr>
        <w:t>Schabuss</w:t>
      </w:r>
      <w:r w:rsidRPr="006C17B2">
        <w:rPr>
          <w:rFonts w:ascii="Times New Roman" w:eastAsia="Calibri" w:hAnsi="Times New Roman"/>
          <w:sz w:val="24"/>
          <w:szCs w:val="24"/>
          <w:lang w:eastAsia="x-none"/>
        </w:rPr>
        <w:t xml:space="preserve">, </w:t>
      </w:r>
      <w:r w:rsidRPr="006C17B2">
        <w:rPr>
          <w:rFonts w:ascii="Times New Roman" w:eastAsia="Calibri" w:hAnsi="Times New Roman"/>
          <w:sz w:val="24"/>
          <w:szCs w:val="24"/>
          <w:lang w:val="en-US" w:eastAsia="x-none"/>
        </w:rPr>
        <w:t>H</w:t>
      </w:r>
      <w:r w:rsidRPr="006C17B2">
        <w:rPr>
          <w:rFonts w:ascii="Times New Roman" w:eastAsia="Calibri" w:hAnsi="Times New Roman"/>
          <w:sz w:val="24"/>
          <w:szCs w:val="24"/>
          <w:lang w:eastAsia="x-none"/>
        </w:rPr>
        <w:t xml:space="preserve">. </w:t>
      </w:r>
      <w:r w:rsidRPr="006C17B2">
        <w:rPr>
          <w:rFonts w:ascii="Times New Roman" w:eastAsia="Calibri" w:hAnsi="Times New Roman"/>
          <w:sz w:val="24"/>
          <w:szCs w:val="24"/>
          <w:lang w:val="en-US" w:eastAsia="x-none"/>
        </w:rPr>
        <w:t>Zorning</w:t>
      </w:r>
      <w:r w:rsidRPr="006C17B2">
        <w:rPr>
          <w:rFonts w:ascii="Times New Roman" w:eastAsia="Calibri" w:hAnsi="Times New Roman"/>
          <w:sz w:val="24"/>
          <w:szCs w:val="24"/>
          <w:lang w:eastAsia="x-none"/>
        </w:rPr>
        <w:t xml:space="preserve"> 2021.</w:t>
      </w:r>
      <w:r w:rsidRPr="006C17B2">
        <w:rPr>
          <w:rFonts w:eastAsia="Calibri"/>
        </w:rPr>
        <w:t xml:space="preserve"> </w:t>
      </w:r>
      <w:r w:rsidRPr="006C17B2">
        <w:rPr>
          <w:rFonts w:ascii="Times New Roman" w:eastAsia="Calibri" w:hAnsi="Times New Roman"/>
          <w:sz w:val="24"/>
          <w:szCs w:val="24"/>
          <w:lang w:val="en-US" w:eastAsia="x-none"/>
        </w:rPr>
        <w:t>Monitoring fish in Lower Danube River main channel by applying various sampling methodologies.</w:t>
      </w:r>
      <w:r w:rsidRPr="006C17B2">
        <w:rPr>
          <w:rFonts w:eastAsia="Calibri"/>
        </w:rPr>
        <w:t xml:space="preserve"> </w:t>
      </w:r>
      <w:r w:rsidRPr="006C17B2">
        <w:rPr>
          <w:rFonts w:ascii="Times New Roman" w:eastAsia="Calibri" w:hAnsi="Times New Roman"/>
          <w:sz w:val="24"/>
          <w:szCs w:val="24"/>
          <w:lang w:val="en-US" w:eastAsia="x-none"/>
        </w:rPr>
        <w:t>Acta Zool. Bulg., 73 (2): 269-274.</w:t>
      </w:r>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eastAsia="x-none"/>
        </w:rPr>
        <w:t>CEN - EN 14011, 2003. Water quality - Sampling of fish with electricity. Brussels, 16 p.</w:t>
      </w:r>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val="en-US" w:eastAsia="x-none"/>
        </w:rPr>
        <w:t>Clavero, M., F. Blanco-Garrido, J. Prenda, 2006. Monitoring small fish populations in streams: A comparison of four passive methods. Fisheries Research. 78: 243-251.</w:t>
      </w:r>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val="en-US" w:eastAsia="x-none"/>
        </w:rPr>
        <w:t>Dikov, T., J. Jankov, S. Jocev. 1994. Fish stocks in rivers of Bulgaria. – Polskie Archiwum Hydrobiologii, 41(3): 377–391.</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val="en-US" w:eastAsia="x-none"/>
        </w:rPr>
        <w:t>Froese, R., D. Pauly. Editors. 2021. FishBase. World Wide Web electronic publication. www.fishbase.org, (06/2021)</w:t>
      </w:r>
      <w:r w:rsidRPr="006C17B2">
        <w:rPr>
          <w:rFonts w:ascii="Times New Roman" w:eastAsia="Calibri" w:hAnsi="Times New Roman"/>
          <w:sz w:val="24"/>
          <w:szCs w:val="24"/>
          <w:lang w:eastAsia="x-none"/>
        </w:rPr>
        <w:t>:</w:t>
      </w:r>
      <w:r w:rsidRPr="006C17B2">
        <w:rPr>
          <w:rFonts w:ascii="Times New Roman" w:eastAsia="Calibri" w:hAnsi="Times New Roman"/>
          <w:sz w:val="24"/>
          <w:szCs w:val="24"/>
        </w:rPr>
        <w:t xml:space="preserve"> </w:t>
      </w:r>
      <w:hyperlink r:id="rId156" w:history="1">
        <w:r w:rsidRPr="006C17B2">
          <w:rPr>
            <w:rFonts w:ascii="Times New Roman" w:eastAsia="Calibri" w:hAnsi="Times New Roman"/>
            <w:color w:val="0000FF"/>
            <w:sz w:val="24"/>
            <w:szCs w:val="24"/>
            <w:u w:val="single"/>
          </w:rPr>
          <w:t>Search FishBase (mnhn.fr)</w:t>
        </w:r>
      </w:hyperlink>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val="en-US" w:eastAsia="x-none"/>
        </w:rPr>
        <w:t xml:space="preserve">IUCN 2021. The IUCN Red List of Threatened Species. Version 2021-2. </w:t>
      </w:r>
      <w:hyperlink r:id="rId157" w:history="1">
        <w:r w:rsidRPr="006C17B2">
          <w:rPr>
            <w:rFonts w:ascii="Times New Roman" w:eastAsia="Calibri" w:hAnsi="Times New Roman"/>
            <w:color w:val="0563C1"/>
            <w:sz w:val="24"/>
            <w:szCs w:val="24"/>
            <w:u w:val="single"/>
            <w:lang w:val="en-US" w:eastAsia="x-none"/>
          </w:rPr>
          <w:t>https://www.iucnredlist.org</w:t>
        </w:r>
      </w:hyperlink>
      <w:r w:rsidRPr="006C17B2">
        <w:rPr>
          <w:rFonts w:ascii="Times New Roman" w:eastAsia="Calibri" w:hAnsi="Times New Roman"/>
          <w:sz w:val="24"/>
          <w:szCs w:val="24"/>
          <w:lang w:val="en-US" w:eastAsia="x-none"/>
        </w:rPr>
        <w:t>.</w:t>
      </w:r>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val="en-US" w:eastAsia="x-none"/>
        </w:rPr>
        <w:t>Kottelat, M., J. Freyhof, 2007. Handbook of European freshwater fishes. Publications Kottelat, Cornol and Freyhof, Berlin. 646 pp.</w:t>
      </w:r>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val="en-US" w:eastAsia="x-none"/>
        </w:rPr>
        <w:t>Pehlivanov, L. 2000a. Ichthyofauna in the Srebarna Lake, the Danube Basin: state and significance of the management and conservation strategies of this wetland. – International Association for Danube Research, 33: 317–322.</w:t>
      </w:r>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val="en-US" w:eastAsia="x-none"/>
        </w:rPr>
        <w:t>Vassilev, M., L. Pehlivanov. 2005. Checklist of Bulgarian freshwater fishes. – Acta zool. bulg., 57(2): 161–190.</w:t>
      </w:r>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eastAsia="x-none"/>
        </w:rPr>
        <w:t>Zettler, M</w:t>
      </w:r>
      <w:r w:rsidRPr="006C17B2">
        <w:rPr>
          <w:rFonts w:ascii="Times New Roman" w:eastAsia="Calibri" w:hAnsi="Times New Roman"/>
          <w:sz w:val="24"/>
          <w:szCs w:val="24"/>
          <w:lang w:val="en-US" w:eastAsia="x-none"/>
        </w:rPr>
        <w:t xml:space="preserve">., </w:t>
      </w:r>
      <w:r w:rsidRPr="006C17B2">
        <w:rPr>
          <w:rFonts w:ascii="Times New Roman" w:eastAsia="Calibri" w:hAnsi="Times New Roman"/>
          <w:sz w:val="24"/>
          <w:szCs w:val="24"/>
          <w:lang w:eastAsia="x-none"/>
        </w:rPr>
        <w:t>U</w:t>
      </w:r>
      <w:r w:rsidRPr="006C17B2">
        <w:rPr>
          <w:rFonts w:ascii="Times New Roman" w:eastAsia="Calibri" w:hAnsi="Times New Roman"/>
          <w:sz w:val="24"/>
          <w:szCs w:val="24"/>
          <w:lang w:val="en-US" w:eastAsia="x-none"/>
        </w:rPr>
        <w:t>.</w:t>
      </w:r>
      <w:r w:rsidRPr="006C17B2">
        <w:rPr>
          <w:rFonts w:ascii="Times New Roman" w:eastAsia="Calibri" w:hAnsi="Times New Roman"/>
          <w:sz w:val="24"/>
          <w:szCs w:val="24"/>
          <w:lang w:eastAsia="x-none"/>
        </w:rPr>
        <w:t xml:space="preserve"> Jueg</w:t>
      </w:r>
      <w:r w:rsidRPr="006C17B2">
        <w:rPr>
          <w:rFonts w:ascii="Times New Roman" w:eastAsia="Calibri" w:hAnsi="Times New Roman"/>
          <w:sz w:val="24"/>
          <w:szCs w:val="24"/>
          <w:lang w:val="en-US" w:eastAsia="x-none"/>
        </w:rPr>
        <w:t xml:space="preserve"> </w:t>
      </w:r>
      <w:r w:rsidRPr="006C17B2">
        <w:rPr>
          <w:rFonts w:ascii="Times New Roman" w:eastAsia="Calibri" w:hAnsi="Times New Roman"/>
          <w:sz w:val="24"/>
          <w:szCs w:val="24"/>
          <w:lang w:eastAsia="x-none"/>
        </w:rPr>
        <w:t>2007. The situation of the freshwater mussel Unio crassus (PHILIPSSON, 1788) in northeast Germany and its monitoring in terms of the EC Habitats Directive. Mollusca. 25</w:t>
      </w:r>
      <w:r w:rsidRPr="006C17B2">
        <w:rPr>
          <w:rFonts w:ascii="Times New Roman" w:eastAsia="Calibri" w:hAnsi="Times New Roman"/>
          <w:sz w:val="24"/>
          <w:szCs w:val="24"/>
          <w:lang w:val="en-US" w:eastAsia="x-none"/>
        </w:rPr>
        <w:t>:</w:t>
      </w:r>
      <w:r w:rsidRPr="006C17B2">
        <w:rPr>
          <w:rFonts w:ascii="Times New Roman" w:eastAsia="Calibri" w:hAnsi="Times New Roman"/>
          <w:sz w:val="24"/>
          <w:szCs w:val="24"/>
          <w:lang w:eastAsia="x-none"/>
        </w:rPr>
        <w:t>165-174.</w:t>
      </w:r>
    </w:p>
    <w:p w:rsidR="006C17B2" w:rsidRPr="006C17B2" w:rsidRDefault="006C17B2" w:rsidP="006C17B2">
      <w:pPr>
        <w:spacing w:after="0" w:line="240" w:lineRule="auto"/>
        <w:ind w:left="709" w:hanging="709"/>
        <w:jc w:val="both"/>
        <w:rPr>
          <w:rFonts w:ascii="Times New Roman" w:eastAsia="Calibri" w:hAnsi="Times New Roman"/>
          <w:sz w:val="24"/>
          <w:szCs w:val="24"/>
        </w:rPr>
      </w:pPr>
    </w:p>
    <w:p w:rsidR="006C17B2" w:rsidRPr="006C17B2" w:rsidRDefault="006C17B2" w:rsidP="006C17B2">
      <w:pPr>
        <w:spacing w:after="160" w:line="240" w:lineRule="auto"/>
        <w:jc w:val="both"/>
        <w:rPr>
          <w:rFonts w:ascii="Times New Roman" w:eastAsia="Calibri" w:hAnsi="Times New Roman"/>
          <w:sz w:val="24"/>
          <w:szCs w:val="24"/>
        </w:rPr>
      </w:pPr>
      <w:r w:rsidRPr="006C17B2">
        <w:rPr>
          <w:rFonts w:ascii="Times New Roman" w:eastAsia="Calibri" w:hAnsi="Times New Roman"/>
          <w:i/>
          <w:sz w:val="24"/>
          <w:szCs w:val="24"/>
        </w:rPr>
        <w:t>Автори</w:t>
      </w:r>
      <w:r w:rsidRPr="006C17B2">
        <w:rPr>
          <w:rFonts w:ascii="Times New Roman" w:eastAsia="Calibri" w:hAnsi="Times New Roman"/>
          <w:sz w:val="24"/>
          <w:szCs w:val="24"/>
        </w:rPr>
        <w:t>:</w:t>
      </w:r>
      <w:r w:rsidRPr="006C17B2">
        <w:rPr>
          <w:rFonts w:ascii="Times New Roman" w:eastAsia="Calibri" w:hAnsi="Times New Roman"/>
          <w:b/>
          <w:sz w:val="24"/>
          <w:szCs w:val="24"/>
        </w:rPr>
        <w:t xml:space="preserve"> </w:t>
      </w:r>
      <w:r w:rsidRPr="006C17B2">
        <w:rPr>
          <w:rFonts w:ascii="Times New Roman" w:eastAsia="Calibri" w:hAnsi="Times New Roman"/>
          <w:sz w:val="24"/>
          <w:szCs w:val="24"/>
        </w:rPr>
        <w:t>Апостолос Апостолу, Лъче</w:t>
      </w:r>
      <w:r w:rsidR="00AB305B">
        <w:rPr>
          <w:rFonts w:ascii="Times New Roman" w:eastAsia="Calibri" w:hAnsi="Times New Roman"/>
          <w:sz w:val="24"/>
          <w:szCs w:val="24"/>
        </w:rPr>
        <w:t>зар Пехливанов, Стефан Казаков</w:t>
      </w:r>
    </w:p>
    <w:p w:rsidR="006C17B2" w:rsidRDefault="006C17B2" w:rsidP="0070678B">
      <w:pPr>
        <w:rPr>
          <w:rFonts w:ascii="Times New Roman" w:hAnsi="Times New Roman"/>
          <w:color w:val="1F497D" w:themeColor="text2"/>
          <w:sz w:val="28"/>
          <w:szCs w:val="28"/>
        </w:rPr>
      </w:pPr>
    </w:p>
    <w:p w:rsidR="006C17B2" w:rsidRDefault="006C17B2" w:rsidP="0070678B">
      <w:pPr>
        <w:rPr>
          <w:rFonts w:ascii="Times New Roman" w:hAnsi="Times New Roman"/>
          <w:color w:val="1F497D" w:themeColor="text2"/>
          <w:sz w:val="28"/>
          <w:szCs w:val="28"/>
        </w:rPr>
      </w:pPr>
    </w:p>
    <w:p w:rsidR="0070678B" w:rsidRDefault="00107719" w:rsidP="007D1C8A">
      <w:pPr>
        <w:outlineLvl w:val="1"/>
        <w:rPr>
          <w:rFonts w:ascii="Times New Roman" w:hAnsi="Times New Roman"/>
          <w:i/>
          <w:color w:val="1F497D" w:themeColor="text2"/>
          <w:sz w:val="28"/>
          <w:szCs w:val="28"/>
        </w:rPr>
      </w:pPr>
      <w:bookmarkStart w:id="70" w:name="_Toc98838553"/>
      <w:r>
        <w:rPr>
          <w:rFonts w:ascii="Times New Roman" w:hAnsi="Times New Roman"/>
          <w:color w:val="1F497D" w:themeColor="text2"/>
          <w:sz w:val="28"/>
          <w:szCs w:val="28"/>
        </w:rPr>
        <w:t xml:space="preserve">Природозащитни цели за </w:t>
      </w:r>
      <w:r w:rsidR="0070678B">
        <w:rPr>
          <w:rFonts w:ascii="Times New Roman" w:hAnsi="Times New Roman"/>
          <w:color w:val="1F497D" w:themeColor="text2"/>
          <w:sz w:val="28"/>
          <w:szCs w:val="28"/>
        </w:rPr>
        <w:t xml:space="preserve">2011 </w:t>
      </w:r>
      <w:r w:rsidR="0070678B" w:rsidRPr="00107719">
        <w:rPr>
          <w:rFonts w:ascii="Times New Roman" w:hAnsi="Times New Roman"/>
          <w:i/>
          <w:color w:val="1F497D" w:themeColor="text2"/>
          <w:sz w:val="28"/>
          <w:szCs w:val="28"/>
        </w:rPr>
        <w:t>Umbra krameri</w:t>
      </w:r>
      <w:bookmarkEnd w:id="70"/>
    </w:p>
    <w:p w:rsidR="00EC5D51" w:rsidRPr="00EC5D51" w:rsidRDefault="00EC5D51" w:rsidP="00EC5D51">
      <w:pPr>
        <w:spacing w:after="160" w:line="240" w:lineRule="auto"/>
        <w:jc w:val="both"/>
        <w:rPr>
          <w:rFonts w:ascii="Times New Roman" w:eastAsia="Calibri" w:hAnsi="Times New Roman"/>
          <w:b/>
          <w:bCs/>
          <w:sz w:val="24"/>
          <w:szCs w:val="24"/>
        </w:rPr>
      </w:pPr>
      <w:r w:rsidRPr="00EC5D51">
        <w:rPr>
          <w:rFonts w:ascii="Times New Roman" w:eastAsia="Calibri" w:hAnsi="Times New Roman"/>
          <w:b/>
          <w:sz w:val="24"/>
          <w:szCs w:val="24"/>
        </w:rPr>
        <w:t>1. Код и наименование на вид</w:t>
      </w:r>
      <w:r w:rsidRPr="00EC5D51">
        <w:rPr>
          <w:rFonts w:ascii="Times New Roman" w:eastAsia="Calibri" w:hAnsi="Times New Roman"/>
          <w:b/>
          <w:sz w:val="24"/>
          <w:szCs w:val="24"/>
          <w:lang w:val="en-GB"/>
        </w:rPr>
        <w:t>a</w:t>
      </w:r>
      <w:r w:rsidRPr="00EC5D51">
        <w:rPr>
          <w:rFonts w:ascii="Times New Roman" w:eastAsia="Calibri" w:hAnsi="Times New Roman"/>
          <w:b/>
          <w:sz w:val="24"/>
          <w:szCs w:val="24"/>
          <w:lang w:val="en-US"/>
        </w:rPr>
        <w:t>:</w:t>
      </w:r>
      <w:r w:rsidRPr="00EC5D51">
        <w:rPr>
          <w:rFonts w:ascii="Times New Roman" w:eastAsia="Calibri" w:hAnsi="Times New Roman"/>
          <w:b/>
          <w:sz w:val="24"/>
          <w:szCs w:val="24"/>
        </w:rPr>
        <w:t xml:space="preserve"> </w:t>
      </w:r>
      <w:r w:rsidRPr="007D1C8A">
        <w:rPr>
          <w:rFonts w:ascii="Times New Roman" w:hAnsi="Times New Roman"/>
          <w:bCs/>
          <w:color w:val="000000"/>
          <w:sz w:val="24"/>
          <w:szCs w:val="24"/>
          <w:lang w:val="en-GB" w:eastAsia="bg-BG"/>
        </w:rPr>
        <w:t>2011</w:t>
      </w:r>
      <w:r w:rsidRPr="007D1C8A">
        <w:rPr>
          <w:rFonts w:ascii="Times New Roman" w:hAnsi="Times New Roman"/>
          <w:bCs/>
          <w:color w:val="000000"/>
          <w:sz w:val="24"/>
          <w:szCs w:val="24"/>
          <w:lang w:eastAsia="bg-BG"/>
        </w:rPr>
        <w:t xml:space="preserve"> </w:t>
      </w:r>
      <w:r w:rsidRPr="007D1C8A">
        <w:rPr>
          <w:rFonts w:ascii="Times New Roman" w:hAnsi="Times New Roman"/>
          <w:bCs/>
          <w:i/>
          <w:iCs/>
          <w:color w:val="000000"/>
          <w:sz w:val="24"/>
          <w:szCs w:val="24"/>
          <w:lang w:val="en-US" w:eastAsia="bg-BG"/>
        </w:rPr>
        <w:t>Umbra krameri</w:t>
      </w:r>
      <w:r w:rsidRPr="007D1C8A">
        <w:rPr>
          <w:rFonts w:ascii="Times New Roman" w:hAnsi="Times New Roman"/>
          <w:bCs/>
          <w:color w:val="000000"/>
          <w:sz w:val="24"/>
          <w:szCs w:val="24"/>
          <w:lang w:eastAsia="bg-BG"/>
        </w:rPr>
        <w:t xml:space="preserve"> - </w:t>
      </w:r>
      <w:r w:rsidRPr="003C4277">
        <w:rPr>
          <w:rFonts w:ascii="Times New Roman" w:hAnsi="Times New Roman"/>
          <w:bCs/>
          <w:iCs/>
          <w:color w:val="000000"/>
          <w:sz w:val="24"/>
          <w:szCs w:val="24"/>
          <w:lang w:eastAsia="bg-BG"/>
        </w:rPr>
        <w:t>Умбра</w:t>
      </w:r>
      <w:r w:rsidRPr="007D1C8A">
        <w:rPr>
          <w:rFonts w:ascii="Times New Roman" w:hAnsi="Times New Roman"/>
          <w:bCs/>
          <w:color w:val="000000"/>
          <w:sz w:val="24"/>
          <w:szCs w:val="24"/>
          <w:lang w:eastAsia="bg-BG"/>
        </w:rPr>
        <w:t xml:space="preserve"> </w:t>
      </w:r>
      <w:r w:rsidRPr="007D1C8A">
        <w:rPr>
          <w:rFonts w:ascii="Times New Roman" w:hAnsi="Times New Roman"/>
          <w:color w:val="000000"/>
          <w:sz w:val="24"/>
          <w:szCs w:val="24"/>
          <w:lang w:val="en-US" w:eastAsia="bg-BG"/>
        </w:rPr>
        <w:t>-</w:t>
      </w:r>
      <w:r w:rsidRPr="007D1C8A">
        <w:rPr>
          <w:rFonts w:ascii="Times New Roman" w:hAnsi="Times New Roman"/>
          <w:bCs/>
          <w:color w:val="000000"/>
          <w:sz w:val="24"/>
          <w:szCs w:val="24"/>
          <w:lang w:val="en-US" w:eastAsia="bg-BG"/>
        </w:rPr>
        <w:t xml:space="preserve"> </w:t>
      </w:r>
      <w:r w:rsidRPr="007D1C8A">
        <w:rPr>
          <w:rFonts w:ascii="Times New Roman" w:hAnsi="Times New Roman"/>
          <w:bCs/>
          <w:color w:val="000000"/>
          <w:sz w:val="24"/>
          <w:szCs w:val="24"/>
          <w:lang w:eastAsia="bg-BG"/>
        </w:rPr>
        <w:t>Виюн</w:t>
      </w:r>
      <w:r w:rsidRPr="00EC5D51">
        <w:rPr>
          <w:rFonts w:ascii="Times New Roman" w:hAnsi="Times New Roman"/>
          <w:b/>
          <w:bCs/>
          <w:color w:val="000000"/>
          <w:sz w:val="24"/>
          <w:szCs w:val="24"/>
          <w:lang w:eastAsia="bg-BG"/>
        </w:rPr>
        <w:t xml:space="preserve"> </w:t>
      </w: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2. Кратка </w:t>
      </w:r>
      <w:r w:rsidR="007D1C8A">
        <w:rPr>
          <w:rFonts w:ascii="Times New Roman" w:eastAsia="Calibri" w:hAnsi="Times New Roman"/>
          <w:b/>
          <w:sz w:val="24"/>
          <w:szCs w:val="24"/>
        </w:rPr>
        <w:t>характеристика на целевия обект</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Риба от сем. Умбри (</w:t>
      </w:r>
      <w:r w:rsidRPr="00EC5D51">
        <w:rPr>
          <w:rFonts w:ascii="Times New Roman" w:eastAsia="Calibri" w:hAnsi="Times New Roman"/>
          <w:sz w:val="24"/>
          <w:szCs w:val="24"/>
          <w:lang w:val="en-US"/>
        </w:rPr>
        <w:t>Umbridae</w:t>
      </w:r>
      <w:r w:rsidRPr="00EC5D51">
        <w:rPr>
          <w:rFonts w:ascii="Times New Roman" w:eastAsia="Calibri" w:hAnsi="Times New Roman"/>
          <w:sz w:val="24"/>
          <w:szCs w:val="24"/>
        </w:rPr>
        <w:t>). Дребна сладководна рибка, максималната ѝ дължина достига до 8 см. Тялото е вретеновидно, умерено издължено, покрито е със ситни, дълбоко закрепени в кожата люспи. Оцветено е в кафяво – гърбът и страните са тъмнокафяви с по-тъмни петна, коремът е по-светъл. По дължината на тялото от хрилните капачета до опашната перка има по-светла ивица. Опашната перка е заоблена, гръбната перка е четириъгълна, изнесена назад.</w:t>
      </w:r>
    </w:p>
    <w:p w:rsidR="00EC5D51" w:rsidRPr="00EC5D51" w:rsidRDefault="00EC5D51" w:rsidP="007D1C8A">
      <w:pPr>
        <w:spacing w:after="0" w:line="240" w:lineRule="auto"/>
        <w:ind w:firstLine="709"/>
        <w:jc w:val="both"/>
        <w:rPr>
          <w:rFonts w:ascii="Times New Roman" w:eastAsia="Calibri" w:hAnsi="Times New Roman"/>
          <w:color w:val="000000"/>
          <w:sz w:val="24"/>
          <w:szCs w:val="24"/>
        </w:rPr>
      </w:pPr>
      <w:r w:rsidRPr="00EC5D51">
        <w:rPr>
          <w:rFonts w:ascii="Times New Roman" w:eastAsia="Calibri" w:hAnsi="Times New Roman"/>
          <w:color w:val="000000"/>
          <w:sz w:val="24"/>
          <w:szCs w:val="24"/>
        </w:rPr>
        <w:t>Разпространен е в басейните на реките Дунав и Днестър, включително и в някои от прилежащите езера. Среща и се и в езерото Балатон. Интродуцирана е в Полша, Германия и Великобритания</w:t>
      </w:r>
    </w:p>
    <w:p w:rsidR="00EC5D51" w:rsidRPr="00EC5D51" w:rsidRDefault="00EC5D51" w:rsidP="007D1C8A">
      <w:pPr>
        <w:spacing w:after="0" w:line="240" w:lineRule="auto"/>
        <w:ind w:firstLine="709"/>
        <w:jc w:val="both"/>
        <w:rPr>
          <w:rFonts w:eastAsia="Calibri"/>
        </w:rPr>
      </w:pPr>
      <w:r w:rsidRPr="00EC5D51">
        <w:rPr>
          <w:rFonts w:ascii="Times New Roman" w:eastAsia="Calibri" w:hAnsi="Times New Roman"/>
          <w:color w:val="000000"/>
          <w:sz w:val="24"/>
          <w:szCs w:val="24"/>
        </w:rPr>
        <w:t>Дънен лимнофилен вид.</w:t>
      </w:r>
      <w:r w:rsidRPr="00EC5D51">
        <w:rPr>
          <w:rFonts w:ascii="Times New Roman" w:eastAsia="Calibri" w:hAnsi="Times New Roman"/>
          <w:sz w:val="24"/>
          <w:szCs w:val="24"/>
        </w:rPr>
        <w:t xml:space="preserve"> Обитава стоящи и бавнотечащи води (постоянни реки с бавно течение и постоянни сладководни езера и блата), с тинесто дъно, плътно обрасли с потопена растителност. Води скрит начин на живот като се заравя в тинята и е активен през нощта. Понася ниско съдържание на разтворен кислород във водата и в такива условия може да изплува към повърхносттта на водата и да поема кислород от въздуха. Формира малки стада. Полово съзрява на втората година, достигайки дължина около 5 см. Размножава се през април-май, при температура на водата 12-16</w:t>
      </w:r>
      <w:r w:rsidRPr="00EC5D51">
        <w:rPr>
          <w:rFonts w:ascii="Times New Roman" w:eastAsia="Calibri" w:hAnsi="Times New Roman"/>
          <w:sz w:val="24"/>
          <w:szCs w:val="24"/>
          <w:vertAlign w:val="superscript"/>
        </w:rPr>
        <w:t>о</w:t>
      </w:r>
      <w:r w:rsidRPr="00EC5D51">
        <w:rPr>
          <w:rFonts w:ascii="Times New Roman" w:eastAsia="Calibri" w:hAnsi="Times New Roman"/>
          <w:sz w:val="24"/>
          <w:szCs w:val="24"/>
        </w:rPr>
        <w:t xml:space="preserve">С, като изгражда „гнезда“, охранявани от женската. Храни се с дънни безгръбначни – насекоми, ракообразни и мекотели, понякога с ларви на риби, като проявява и канибализъм.  </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В България видът дълго време е смятан за изчезнал, но през 2004 г. е съобщен за езерото Сребърна (Velkov et al., 2004), където засега е едиственото находище в страната.</w:t>
      </w:r>
    </w:p>
    <w:p w:rsidR="00EC5D51" w:rsidRPr="00EC5D51" w:rsidRDefault="00EC5D51" w:rsidP="007D1C8A">
      <w:pPr>
        <w:spacing w:after="0" w:line="240" w:lineRule="auto"/>
        <w:ind w:firstLine="709"/>
        <w:jc w:val="both"/>
        <w:rPr>
          <w:rFonts w:ascii="Times New Roman" w:eastAsia="Calibri" w:hAnsi="Times New Roman"/>
          <w:sz w:val="24"/>
          <w:szCs w:val="24"/>
        </w:rPr>
      </w:pPr>
      <w:r w:rsidRPr="003C4277">
        <w:rPr>
          <w:rFonts w:ascii="Times New Roman" w:eastAsia="Calibri" w:hAnsi="Times New Roman"/>
          <w:i/>
          <w:sz w:val="24"/>
          <w:szCs w:val="24"/>
        </w:rPr>
        <w:t>Характеристики на местообитанието в България</w:t>
      </w:r>
      <w:r w:rsidR="003C4277">
        <w:rPr>
          <w:rFonts w:ascii="Times New Roman" w:eastAsia="Calibri" w:hAnsi="Times New Roman"/>
          <w:i/>
          <w:sz w:val="24"/>
          <w:szCs w:val="24"/>
        </w:rPr>
        <w:t>.</w:t>
      </w:r>
      <w:r w:rsidRPr="00EC5D51">
        <w:rPr>
          <w:rFonts w:ascii="Times New Roman" w:eastAsia="Calibri" w:hAnsi="Times New Roman"/>
          <w:sz w:val="24"/>
          <w:szCs w:val="24"/>
        </w:rPr>
        <w:t xml:space="preserve"> Придънен лимнофилен вид. Установен е само в малък участък с тинесто дъно и гъсти обраствания с потопена растителност в североизточната част на ез. Сребърна. Местообитанието се характеризира с ниско съдържание на кислород.</w:t>
      </w:r>
    </w:p>
    <w:p w:rsidR="00EC5D51" w:rsidRPr="00EC5D51" w:rsidRDefault="00EC5D51" w:rsidP="00EC5D51">
      <w:pPr>
        <w:spacing w:before="120" w:after="120" w:line="240" w:lineRule="auto"/>
        <w:jc w:val="both"/>
        <w:rPr>
          <w:rFonts w:ascii="Times New Roman" w:eastAsia="Calibri" w:hAnsi="Times New Roman"/>
          <w:b/>
          <w:sz w:val="24"/>
          <w:szCs w:val="24"/>
        </w:rPr>
      </w:pPr>
      <w:r w:rsidRPr="00EC5D51">
        <w:rPr>
          <w:rFonts w:ascii="Times New Roman" w:eastAsia="Calibri" w:hAnsi="Times New Roman"/>
          <w:b/>
          <w:sz w:val="24"/>
          <w:szCs w:val="24"/>
        </w:rPr>
        <w:t>3. Състояние на биогеографско ни</w:t>
      </w:r>
      <w:r w:rsidR="007D1C8A">
        <w:rPr>
          <w:rFonts w:ascii="Times New Roman" w:eastAsia="Calibri" w:hAnsi="Times New Roman"/>
          <w:b/>
          <w:sz w:val="24"/>
          <w:szCs w:val="24"/>
        </w:rPr>
        <w:t xml:space="preserve">во и разпространение в мрежата </w:t>
      </w:r>
      <w:r w:rsidRPr="00EC5D51">
        <w:rPr>
          <w:rFonts w:ascii="Times New Roman" w:eastAsia="Calibri" w:hAnsi="Times New Roman"/>
          <w:b/>
          <w:sz w:val="24"/>
          <w:szCs w:val="24"/>
        </w:rPr>
        <w:t xml:space="preserve"> </w:t>
      </w:r>
    </w:p>
    <w:p w:rsidR="00EC5D51" w:rsidRPr="00EC5D51" w:rsidRDefault="00EC5D51" w:rsidP="007D1C8A">
      <w:pPr>
        <w:spacing w:after="0" w:line="240" w:lineRule="auto"/>
        <w:ind w:firstLine="709"/>
        <w:jc w:val="both"/>
        <w:rPr>
          <w:rFonts w:ascii="Times New Roman" w:eastAsia="Calibri" w:hAnsi="Times New Roman"/>
          <w:color w:val="0563C1"/>
          <w:sz w:val="24"/>
          <w:szCs w:val="24"/>
          <w:u w:val="single"/>
        </w:rPr>
      </w:pPr>
      <w:r w:rsidRPr="00EC5D51">
        <w:rPr>
          <w:rFonts w:ascii="Times New Roman" w:eastAsia="Calibri" w:hAnsi="Times New Roman"/>
          <w:sz w:val="24"/>
          <w:szCs w:val="24"/>
        </w:rPr>
        <w:t>При двете проучвания предмет на докладване съгласно чл. 17 от Директивата за местообитанията (92/43/ЕИО) видът е категоризиран в „Благоприя</w:t>
      </w:r>
      <w:r w:rsidR="007D1C8A">
        <w:rPr>
          <w:rFonts w:ascii="Times New Roman" w:eastAsia="Calibri" w:hAnsi="Times New Roman"/>
          <w:sz w:val="24"/>
          <w:szCs w:val="24"/>
        </w:rPr>
        <w:t>т</w:t>
      </w:r>
      <w:r w:rsidR="003C4277">
        <w:rPr>
          <w:rFonts w:ascii="Times New Roman" w:eastAsia="Calibri" w:hAnsi="Times New Roman"/>
          <w:sz w:val="24"/>
          <w:szCs w:val="24"/>
        </w:rPr>
        <w:t>но</w:t>
      </w:r>
      <w:r w:rsidR="007D1C8A">
        <w:rPr>
          <w:rFonts w:ascii="Times New Roman" w:eastAsia="Calibri" w:hAnsi="Times New Roman"/>
          <w:sz w:val="24"/>
          <w:szCs w:val="24"/>
        </w:rPr>
        <w:t>“ ПС по всички показатели в К</w:t>
      </w:r>
      <w:r w:rsidRPr="00EC5D51">
        <w:rPr>
          <w:rFonts w:ascii="Times New Roman" w:eastAsia="Calibri" w:hAnsi="Times New Roman"/>
          <w:sz w:val="24"/>
          <w:szCs w:val="24"/>
        </w:rPr>
        <w:t xml:space="preserve">онтиненталния биогеографски </w:t>
      </w:r>
      <w:r w:rsidR="007D1C8A">
        <w:rPr>
          <w:rFonts w:ascii="Times New Roman" w:eastAsia="Calibri" w:hAnsi="Times New Roman"/>
          <w:sz w:val="24"/>
          <w:szCs w:val="24"/>
        </w:rPr>
        <w:t>регион</w:t>
      </w:r>
      <w:r w:rsidRPr="00EC5D51">
        <w:rPr>
          <w:rFonts w:ascii="Times New Roman" w:eastAsia="Calibri" w:hAnsi="Times New Roman"/>
          <w:sz w:val="24"/>
          <w:szCs w:val="24"/>
        </w:rPr>
        <w:t xml:space="preserve">. Източник на информацията: </w:t>
      </w:r>
      <w:hyperlink r:id="rId158" w:history="1">
        <w:r w:rsidRPr="00EC5D51">
          <w:rPr>
            <w:rFonts w:ascii="Times New Roman" w:eastAsia="Calibri" w:hAnsi="Times New Roman"/>
            <w:color w:val="0563C1"/>
            <w:sz w:val="24"/>
            <w:szCs w:val="24"/>
            <w:u w:val="single"/>
          </w:rPr>
          <w:t>https://nature-art17.eionet.europa.eu/article17/species/report/</w:t>
        </w:r>
      </w:hyperlink>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EC5D51" w:rsidRPr="00EC5D51" w:rsidRDefault="00EC5D51" w:rsidP="00EC5D51">
      <w:pPr>
        <w:spacing w:after="0" w:line="240" w:lineRule="auto"/>
        <w:jc w:val="both"/>
        <w:rPr>
          <w:rFonts w:ascii="Times New Roman" w:eastAsia="Calibri" w:hAnsi="Times New Roman"/>
          <w:sz w:val="24"/>
          <w:szCs w:val="24"/>
        </w:rPr>
      </w:pPr>
      <w:r w:rsidRPr="00EC5D51">
        <w:rPr>
          <w:rFonts w:ascii="Times New Roman" w:eastAsia="Calibri" w:hAnsi="Times New Roman"/>
          <w:sz w:val="24"/>
          <w:szCs w:val="24"/>
        </w:rPr>
        <w:t>1. Пряко въздействащи негативни антропогенни фактори:</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Загуба на местообитания поради пресушаване блата и заблатени райони;</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Натрупване на замърсители в дънните седименти;</w:t>
      </w:r>
    </w:p>
    <w:p w:rsidR="00EC5D51" w:rsidRPr="00EC5D51" w:rsidRDefault="00EC5D51" w:rsidP="00EC5D51">
      <w:pPr>
        <w:spacing w:after="0" w:line="240" w:lineRule="auto"/>
        <w:jc w:val="both"/>
        <w:rPr>
          <w:rFonts w:ascii="Times New Roman" w:eastAsia="Calibri" w:hAnsi="Times New Roman"/>
          <w:sz w:val="24"/>
          <w:szCs w:val="24"/>
        </w:rPr>
      </w:pPr>
      <w:r w:rsidRPr="00EC5D51">
        <w:rPr>
          <w:rFonts w:ascii="Times New Roman" w:eastAsia="Calibri" w:hAnsi="Times New Roman"/>
          <w:sz w:val="24"/>
          <w:szCs w:val="24"/>
        </w:rPr>
        <w:t xml:space="preserve">2. Непряко въздействащи негативни фактори: </w:t>
      </w:r>
    </w:p>
    <w:p w:rsidR="00EC5D51" w:rsidRPr="00EC5D51" w:rsidRDefault="00EC5D51" w:rsidP="00635999">
      <w:pPr>
        <w:numPr>
          <w:ilvl w:val="0"/>
          <w:numId w:val="14"/>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Развитие на многочислени популации на бентосоядни инвазивни видове риби.</w:t>
      </w:r>
    </w:p>
    <w:p w:rsidR="00EC5D51" w:rsidRPr="00EC5D51" w:rsidRDefault="00EC5D51" w:rsidP="00EC5D51">
      <w:pPr>
        <w:spacing w:after="0" w:line="240" w:lineRule="auto"/>
        <w:jc w:val="both"/>
        <w:rPr>
          <w:rFonts w:ascii="Times New Roman" w:eastAsia="Calibri" w:hAnsi="Times New Roman"/>
          <w:b/>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4. Състояние на ниво защитена </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08"/>
        <w:gridCol w:w="544"/>
        <w:gridCol w:w="1043"/>
        <w:gridCol w:w="262"/>
        <w:gridCol w:w="838"/>
        <w:gridCol w:w="286"/>
        <w:gridCol w:w="583"/>
        <w:gridCol w:w="718"/>
        <w:gridCol w:w="593"/>
        <w:gridCol w:w="480"/>
        <w:gridCol w:w="1211"/>
        <w:gridCol w:w="737"/>
        <w:gridCol w:w="513"/>
        <w:gridCol w:w="437"/>
        <w:gridCol w:w="899"/>
      </w:tblGrid>
      <w:tr w:rsidR="00EC5D51" w:rsidRPr="00EC5D51" w:rsidTr="007D1C8A">
        <w:trPr>
          <w:tblCellSpacing w:w="15" w:type="dxa"/>
        </w:trPr>
        <w:tc>
          <w:tcPr>
            <w:tcW w:w="1554"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lastRenderedPageBreak/>
              <w:t xml:space="preserve">Species </w:t>
            </w:r>
          </w:p>
        </w:tc>
        <w:tc>
          <w:tcPr>
            <w:tcW w:w="2033"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Population in the site </w:t>
            </w:r>
          </w:p>
        </w:tc>
        <w:tc>
          <w:tcPr>
            <w:tcW w:w="1349"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Site assessment </w:t>
            </w:r>
          </w:p>
        </w:tc>
      </w:tr>
      <w:tr w:rsidR="00EC5D51" w:rsidRPr="00EC5D51" w:rsidTr="007D1C8A">
        <w:trPr>
          <w:tblCellSpacing w:w="15" w:type="dxa"/>
        </w:trPr>
        <w:tc>
          <w:tcPr>
            <w:tcW w:w="145"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G </w:t>
            </w:r>
          </w:p>
        </w:tc>
        <w:tc>
          <w:tcPr>
            <w:tcW w:w="28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Code </w:t>
            </w:r>
          </w:p>
        </w:tc>
        <w:tc>
          <w:tcPr>
            <w:tcW w:w="558"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 </w:t>
            </w:r>
          </w:p>
        </w:tc>
        <w:tc>
          <w:tcPr>
            <w:tcW w:w="382"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NP </w:t>
            </w:r>
          </w:p>
        </w:tc>
        <w:tc>
          <w:tcPr>
            <w:tcW w:w="141"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T </w:t>
            </w:r>
          </w:p>
        </w:tc>
        <w:tc>
          <w:tcPr>
            <w:tcW w:w="684" w:type="pct"/>
            <w:gridSpan w:val="2"/>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Size </w:t>
            </w:r>
          </w:p>
        </w:tc>
        <w:tc>
          <w:tcPr>
            <w:tcW w:w="31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Unit </w:t>
            </w:r>
          </w:p>
        </w:tc>
        <w:tc>
          <w:tcPr>
            <w:tcW w:w="2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Cat. </w:t>
            </w:r>
          </w:p>
        </w:tc>
        <w:tc>
          <w:tcPr>
            <w:tcW w:w="58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D.qual. </w:t>
            </w:r>
          </w:p>
        </w:tc>
        <w:tc>
          <w:tcPr>
            <w:tcW w:w="38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A|B|C|D </w:t>
            </w:r>
          </w:p>
        </w:tc>
        <w:tc>
          <w:tcPr>
            <w:tcW w:w="944"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 </w:t>
            </w:r>
          </w:p>
        </w:tc>
      </w:tr>
      <w:tr w:rsidR="00EC5D51" w:rsidRPr="00EC5D51" w:rsidTr="007D1C8A">
        <w:trPr>
          <w:tblCellSpacing w:w="15" w:type="dxa"/>
        </w:trPr>
        <w:tc>
          <w:tcPr>
            <w:tcW w:w="14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8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55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8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41"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Min</w:t>
            </w:r>
          </w:p>
        </w:tc>
        <w:tc>
          <w:tcPr>
            <w:tcW w:w="36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Max</w:t>
            </w:r>
          </w:p>
        </w:tc>
        <w:tc>
          <w:tcPr>
            <w:tcW w:w="31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p>
        </w:tc>
        <w:tc>
          <w:tcPr>
            <w:tcW w:w="58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8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Pop.</w:t>
            </w:r>
          </w:p>
        </w:tc>
        <w:tc>
          <w:tcPr>
            <w:tcW w:w="26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Con.</w:t>
            </w:r>
          </w:p>
        </w:tc>
        <w:tc>
          <w:tcPr>
            <w:tcW w:w="22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Iso.</w:t>
            </w:r>
          </w:p>
        </w:tc>
        <w:tc>
          <w:tcPr>
            <w:tcW w:w="42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Glo.</w:t>
            </w:r>
          </w:p>
        </w:tc>
      </w:tr>
      <w:tr w:rsidR="00EC5D51" w:rsidRPr="00EC5D51" w:rsidTr="00EC5D51">
        <w:trPr>
          <w:tblCellSpacing w:w="15" w:type="dxa"/>
        </w:trPr>
        <w:tc>
          <w:tcPr>
            <w:tcW w:w="14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F</w:t>
            </w:r>
          </w:p>
        </w:tc>
        <w:tc>
          <w:tcPr>
            <w:tcW w:w="28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DA2071" w:rsidP="00EC5D51">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sz w:val="16"/>
                <w:szCs w:val="16"/>
              </w:rPr>
              <w:t>2011</w:t>
            </w:r>
          </w:p>
        </w:tc>
        <w:tc>
          <w:tcPr>
            <w:tcW w:w="55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i/>
                <w:sz w:val="16"/>
                <w:szCs w:val="16"/>
                <w:lang w:val="en-US"/>
              </w:rPr>
            </w:pPr>
            <w:r w:rsidRPr="00EC5D51">
              <w:rPr>
                <w:rFonts w:ascii="Times New Roman" w:eastAsia="Calibri" w:hAnsi="Times New Roman"/>
                <w:b/>
                <w:bCs/>
                <w:sz w:val="16"/>
                <w:szCs w:val="16"/>
                <w:lang w:val="en-US"/>
              </w:rPr>
              <w:t>Umbra krameri</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14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p</w:t>
            </w:r>
          </w:p>
        </w:tc>
        <w:tc>
          <w:tcPr>
            <w:tcW w:w="3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2330000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2330000</w:t>
            </w:r>
          </w:p>
        </w:tc>
        <w:tc>
          <w:tcPr>
            <w:tcW w:w="31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Area</w:t>
            </w:r>
          </w:p>
        </w:tc>
        <w:tc>
          <w:tcPr>
            <w:tcW w:w="2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w:t>
            </w:r>
          </w:p>
        </w:tc>
        <w:tc>
          <w:tcPr>
            <w:tcW w:w="38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A</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GB"/>
              </w:rPr>
            </w:pPr>
            <w:r w:rsidRPr="00EC5D51">
              <w:rPr>
                <w:rFonts w:ascii="Times New Roman" w:eastAsia="Calibri" w:hAnsi="Times New Roman"/>
                <w:b/>
                <w:bCs/>
                <w:sz w:val="16"/>
                <w:szCs w:val="16"/>
                <w:lang w:val="en-GB"/>
              </w:rPr>
              <w:t>B</w:t>
            </w:r>
          </w:p>
        </w:tc>
        <w:tc>
          <w:tcPr>
            <w:tcW w:w="22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c>
          <w:tcPr>
            <w:tcW w:w="42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r>
    </w:tbl>
    <w:p w:rsidR="00EC5D51" w:rsidRPr="00EC5D51" w:rsidRDefault="00EC5D51" w:rsidP="00EC5D51">
      <w:pPr>
        <w:autoSpaceDE w:val="0"/>
        <w:autoSpaceDN w:val="0"/>
        <w:adjustRightInd w:val="0"/>
        <w:spacing w:after="0" w:line="240" w:lineRule="auto"/>
        <w:jc w:val="both"/>
        <w:rPr>
          <w:rFonts w:ascii="Times New Roman" w:eastAsia="Calibri" w:hAnsi="Times New Roman"/>
          <w:b/>
          <w:sz w:val="24"/>
          <w:szCs w:val="24"/>
        </w:rPr>
      </w:pPr>
    </w:p>
    <w:p w:rsidR="00EC5D51" w:rsidRPr="00EC5D51" w:rsidRDefault="00EC5D51" w:rsidP="00EC5D51">
      <w:pPr>
        <w:autoSpaceDE w:val="0"/>
        <w:autoSpaceDN w:val="0"/>
        <w:adjustRightInd w:val="0"/>
        <w:spacing w:after="0" w:line="240" w:lineRule="auto"/>
        <w:jc w:val="both"/>
        <w:rPr>
          <w:rFonts w:ascii="Times New Roman" w:eastAsia="Calibri" w:hAnsi="Times New Roman"/>
          <w:bCs/>
          <w:color w:val="000000"/>
          <w:kern w:val="36"/>
          <w:sz w:val="24"/>
          <w:szCs w:val="24"/>
        </w:rPr>
      </w:pPr>
      <w:r w:rsidRPr="00EC5D51">
        <w:rPr>
          <w:rFonts w:ascii="Times New Roman" w:eastAsia="Calibri" w:hAnsi="Times New Roman"/>
          <w:b/>
          <w:sz w:val="24"/>
          <w:szCs w:val="24"/>
        </w:rPr>
        <w:t xml:space="preserve">Източник: </w:t>
      </w:r>
    </w:p>
    <w:p w:rsidR="00EC5D51" w:rsidRPr="00EC5D51" w:rsidRDefault="00DE51FF" w:rsidP="00EC5D51">
      <w:pPr>
        <w:spacing w:after="160" w:line="240" w:lineRule="auto"/>
        <w:jc w:val="both"/>
        <w:rPr>
          <w:rFonts w:ascii="Times New Roman" w:eastAsia="Calibri" w:hAnsi="Times New Roman"/>
          <w:sz w:val="24"/>
          <w:szCs w:val="24"/>
        </w:rPr>
      </w:pPr>
      <w:hyperlink r:id="rId159" w:history="1">
        <w:r w:rsidR="00EC5D51" w:rsidRPr="00EC5D51">
          <w:rPr>
            <w:rFonts w:ascii="Times New Roman" w:eastAsia="Calibri" w:hAnsi="Times New Roman"/>
            <w:color w:val="0563C1"/>
            <w:sz w:val="24"/>
            <w:szCs w:val="24"/>
            <w:u w:val="single"/>
          </w:rPr>
          <w:t>http://natura2000.moew.government.bg/Home/ProtectedSite?code=BG0000334&amp;siteType=HabitatDirective</w:t>
        </w:r>
      </w:hyperlink>
      <w:r w:rsidR="00EC5D51" w:rsidRPr="00EC5D51">
        <w:rPr>
          <w:rFonts w:ascii="Times New Roman" w:eastAsia="Calibri" w:hAnsi="Times New Roman"/>
          <w:sz w:val="24"/>
          <w:szCs w:val="24"/>
        </w:rPr>
        <w:t>.</w:t>
      </w:r>
    </w:p>
    <w:p w:rsidR="00EC5D51" w:rsidRPr="00EC5D51" w:rsidRDefault="00EC5D51" w:rsidP="007D1C8A">
      <w:pPr>
        <w:spacing w:after="12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EC5D51" w:rsidRPr="00EC5D51" w:rsidRDefault="00EC5D51" w:rsidP="007D1C8A">
      <w:pPr>
        <w:spacing w:after="12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Качеството на данните за виюна в зоната е оценено като „лошо“ (Р). Като популационна единица е използвана площта на местообитанията (мин-макс) и е оценена с „отлична представителност“ (А). Опазването на вида е оценено с „</w:t>
      </w:r>
      <w:r w:rsidRPr="00EC5D51">
        <w:rPr>
          <w:rFonts w:ascii="Times New Roman" w:eastAsia="Calibri" w:hAnsi="Times New Roman"/>
          <w:bCs/>
          <w:color w:val="000000"/>
          <w:kern w:val="36"/>
          <w:sz w:val="24"/>
          <w:szCs w:val="24"/>
        </w:rPr>
        <w:t>В“ (добро опазване)</w:t>
      </w:r>
      <w:r w:rsidRPr="00EC5D51">
        <w:rPr>
          <w:rFonts w:ascii="Times New Roman" w:eastAsia="Calibri" w:hAnsi="Times New Roman"/>
          <w:sz w:val="24"/>
          <w:szCs w:val="24"/>
        </w:rPr>
        <w:t>. Изолираността на популацията е оценено с „</w:t>
      </w:r>
      <w:r w:rsidRPr="00EC5D51">
        <w:rPr>
          <w:rFonts w:ascii="Times New Roman" w:eastAsia="Calibri" w:hAnsi="Times New Roman"/>
          <w:bCs/>
          <w:color w:val="000000"/>
          <w:kern w:val="36"/>
          <w:sz w:val="24"/>
          <w:szCs w:val="24"/>
        </w:rPr>
        <w:t>В“ (неизолирана популация в рамките на разширен ареал на разпространение).</w:t>
      </w:r>
      <w:r w:rsidRPr="00EC5D51">
        <w:rPr>
          <w:rFonts w:ascii="Times New Roman" w:eastAsia="Calibri" w:hAnsi="Times New Roman"/>
          <w:sz w:val="24"/>
          <w:szCs w:val="24"/>
        </w:rPr>
        <w:t xml:space="preserve"> Цялостна оценка на стойността на зоната за опазването на вида попада в категорията „</w:t>
      </w:r>
      <w:r w:rsidRPr="00EC5D51">
        <w:rPr>
          <w:rFonts w:ascii="Times New Roman" w:eastAsia="Calibri" w:hAnsi="Times New Roman"/>
          <w:bCs/>
          <w:color w:val="000000"/>
          <w:kern w:val="36"/>
          <w:sz w:val="24"/>
          <w:szCs w:val="24"/>
        </w:rPr>
        <w:t>В“ (добра стойност)</w:t>
      </w:r>
      <w:r w:rsidRPr="00EC5D51">
        <w:rPr>
          <w:rFonts w:ascii="Times New Roman" w:eastAsia="Calibri" w:hAnsi="Times New Roman"/>
          <w:sz w:val="24"/>
          <w:szCs w:val="24"/>
        </w:rPr>
        <w:t xml:space="preserve">. </w:t>
      </w: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5. Анализ на наличната</w:t>
      </w:r>
      <w:r w:rsidR="007D1C8A">
        <w:rPr>
          <w:rFonts w:ascii="Times New Roman" w:eastAsia="Calibri" w:hAnsi="Times New Roman"/>
          <w:b/>
          <w:sz w:val="24"/>
          <w:szCs w:val="24"/>
        </w:rPr>
        <w:t xml:space="preserve"> информация.</w:t>
      </w:r>
    </w:p>
    <w:p w:rsidR="00EC5D51" w:rsidRPr="00EC5D51" w:rsidRDefault="00EC5D51" w:rsidP="007D1C8A">
      <w:pPr>
        <w:spacing w:after="12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Видът не е регистриран през 2013 г. в зоната по време на проект "Картиране и </w:t>
      </w:r>
      <w:r w:rsidRPr="007D1C8A">
        <w:rPr>
          <w:rFonts w:ascii="Times New Roman" w:eastAsia="Calibri" w:hAnsi="Times New Roman"/>
          <w:bCs/>
          <w:color w:val="000000"/>
          <w:kern w:val="36"/>
          <w:sz w:val="24"/>
          <w:szCs w:val="24"/>
        </w:rPr>
        <w:t>определяне</w:t>
      </w:r>
      <w:r w:rsidRPr="00EC5D51">
        <w:rPr>
          <w:rFonts w:ascii="Times New Roman" w:eastAsia="Calibri" w:hAnsi="Times New Roman"/>
          <w:sz w:val="24"/>
          <w:szCs w:val="24"/>
        </w:rPr>
        <w:t xml:space="preserve"> на природозащитното състояние на природни местообитания и видове - фаза I", поради което ПС по този критерий е оценено като „“неблагоприятно-незадоволително“. По всички останали критерии видът е категоризиран в „благоприятно“ ПС, но цялостната оценка е „неблагоприятно-незадоволително“ ПС според приетата методика за оценяване. В стандартния формуляр не е посочена численост, а само площ на местообитанията (2330000 мин.-макс.). Според наличните данни, местообитанието в ез. Сребърна е изолирано, което трябва да бъде отразено в СФ. Видът е установен в ограничен участък в северозападната част на ез. Сребърна през 2003 г. </w:t>
      </w:r>
      <w:r w:rsidRPr="00EC5D51">
        <w:rPr>
          <w:rFonts w:ascii="Times New Roman" w:eastAsia="Calibri" w:hAnsi="Times New Roman"/>
          <w:sz w:val="24"/>
          <w:szCs w:val="24"/>
          <w:lang w:val="en-US"/>
        </w:rPr>
        <w:t xml:space="preserve">(Velkov et al., 2004) </w:t>
      </w:r>
      <w:r w:rsidRPr="00EC5D51">
        <w:rPr>
          <w:rFonts w:ascii="Times New Roman" w:eastAsia="Calibri" w:hAnsi="Times New Roman"/>
          <w:sz w:val="24"/>
          <w:szCs w:val="24"/>
        </w:rPr>
        <w:t>и след това са регистрирани единични екзмпляри.</w:t>
      </w:r>
    </w:p>
    <w:p w:rsidR="00EC5D51" w:rsidRPr="00EC5D51" w:rsidRDefault="00EC5D51" w:rsidP="007D1C8A">
      <w:pPr>
        <w:spacing w:after="12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При извършеното проучване през 2021 г. е извършено пробонабиране с ръчен сак в </w:t>
      </w:r>
      <w:r w:rsidRPr="007D1C8A">
        <w:rPr>
          <w:rFonts w:ascii="Times New Roman" w:eastAsia="Calibri" w:hAnsi="Times New Roman"/>
          <w:bCs/>
          <w:color w:val="000000"/>
          <w:kern w:val="36"/>
          <w:sz w:val="24"/>
          <w:szCs w:val="24"/>
        </w:rPr>
        <w:t>североизточната</w:t>
      </w:r>
      <w:r w:rsidRPr="00EC5D51">
        <w:rPr>
          <w:rFonts w:ascii="Times New Roman" w:eastAsia="Calibri" w:hAnsi="Times New Roman"/>
          <w:sz w:val="24"/>
          <w:szCs w:val="24"/>
        </w:rPr>
        <w:t xml:space="preserve"> част на езерото и в канала към р. Дунав. При извършеното проучване видът не е установен. Поради скрития начин на живот и малката численост на вида този резултат не означава отсъствието му. </w:t>
      </w:r>
    </w:p>
    <w:p w:rsidR="00EC5D51" w:rsidRPr="00EC5D51" w:rsidRDefault="00EC5D51" w:rsidP="007D1C8A">
      <w:pPr>
        <w:spacing w:after="12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Защитена зона </w:t>
      </w:r>
      <w:r w:rsidRPr="00EC5D51">
        <w:rPr>
          <w:rFonts w:ascii="Times New Roman" w:eastAsia="Calibri" w:hAnsi="Times New Roman"/>
          <w:sz w:val="24"/>
          <w:szCs w:val="24"/>
          <w:lang w:val="en-US"/>
        </w:rPr>
        <w:t>BG0000241</w:t>
      </w:r>
      <w:r w:rsidRPr="00EC5D51">
        <w:rPr>
          <w:rFonts w:ascii="Times New Roman" w:eastAsia="Calibri" w:hAnsi="Times New Roman"/>
          <w:sz w:val="24"/>
          <w:szCs w:val="24"/>
        </w:rPr>
        <w:t xml:space="preserve"> Сребърна включва едноименния поддържан резерват и ЗМ „</w:t>
      </w:r>
      <w:r w:rsidRPr="007D1C8A">
        <w:rPr>
          <w:rFonts w:ascii="Times New Roman" w:eastAsia="Calibri" w:hAnsi="Times New Roman"/>
          <w:bCs/>
          <w:color w:val="000000"/>
          <w:kern w:val="36"/>
          <w:sz w:val="24"/>
          <w:szCs w:val="24"/>
        </w:rPr>
        <w:t>Пеликаните</w:t>
      </w:r>
      <w:r w:rsidRPr="00EC5D51">
        <w:rPr>
          <w:rFonts w:ascii="Times New Roman" w:eastAsia="Calibri" w:hAnsi="Times New Roman"/>
          <w:sz w:val="24"/>
          <w:szCs w:val="24"/>
        </w:rPr>
        <w:t xml:space="preserve">“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При изследвания през последните години е установено нарастване на натиска от чужди инвазивни видове риби. След 2013 г. в езерото се наблюдава бързо нарастване на популацията на нов за страната чужд инвазивен вид риба </w:t>
      </w:r>
      <w:r w:rsidRPr="00DA2071">
        <w:rPr>
          <w:rFonts w:ascii="Times New Roman" w:eastAsia="Calibri" w:hAnsi="Times New Roman"/>
          <w:i/>
          <w:sz w:val="24"/>
          <w:szCs w:val="24"/>
          <w:lang w:val="en-US"/>
        </w:rPr>
        <w:t>Ameiurus melas</w:t>
      </w:r>
      <w:r w:rsidRPr="00EC5D51">
        <w:rPr>
          <w:rFonts w:ascii="Times New Roman" w:eastAsia="Calibri" w:hAnsi="Times New Roman"/>
          <w:sz w:val="24"/>
          <w:szCs w:val="24"/>
          <w:lang w:val="en-US"/>
        </w:rPr>
        <w:t xml:space="preserve">, </w:t>
      </w:r>
      <w:r w:rsidRPr="00EC5D51">
        <w:rPr>
          <w:rFonts w:ascii="Times New Roman" w:eastAsia="Calibri" w:hAnsi="Times New Roman"/>
          <w:sz w:val="24"/>
          <w:szCs w:val="24"/>
        </w:rPr>
        <w:t xml:space="preserve">който към момента е основният чужд инвазивен вид в състава на фауната. Този вид е установен и в прилежащите участъци от р. Дунав. Друга идентифицирана заплаха за водната екосистема на ез. Сребърна е влошаването на екологичните условия вследствие нарушения воден режим </w:t>
      </w:r>
      <w:r w:rsidRPr="00EC5D51">
        <w:rPr>
          <w:rFonts w:ascii="Times New Roman" w:eastAsia="Calibri" w:hAnsi="Times New Roman"/>
          <w:sz w:val="24"/>
          <w:szCs w:val="24"/>
        </w:rPr>
        <w:lastRenderedPageBreak/>
        <w:t>като резултат от глобалните климатични промени. През 2020 г. при извършване на биологичен мониторинг на ез. Сребърна е установено Умерено екологично състояние (ЕС) по БЕК Риби и Лошо ЕС по БЕК Фитопланктон и БЕК Макрофити. Влошеното ЕС на езерото през 2020 г. се обяснява с продължително маловодие и ниски водни стоежи. По време на теренните проучвания през 2021 г. тези специфични заплахи бяха потвърдени.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(който в езерото е незаконен),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w:t>
      </w: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6. Цели за подобряване/поддържане на природозащитн</w:t>
      </w:r>
      <w:r w:rsidR="00DA2071">
        <w:rPr>
          <w:rFonts w:ascii="Times New Roman" w:eastAsia="Calibri" w:hAnsi="Times New Roman"/>
          <w:b/>
          <w:sz w:val="24"/>
          <w:szCs w:val="24"/>
        </w:rPr>
        <w:t>ото състояние на вида в зоната</w:t>
      </w:r>
    </w:p>
    <w:p w:rsidR="00EC5D51" w:rsidRDefault="00EC5D51" w:rsidP="00EC5D51">
      <w:pPr>
        <w:spacing w:before="120" w:after="0" w:line="240" w:lineRule="auto"/>
        <w:jc w:val="both"/>
        <w:rPr>
          <w:rFonts w:ascii="Times New Roman" w:eastAsia="Calibri" w:hAnsi="Times New Roman"/>
          <w:sz w:val="24"/>
          <w:szCs w:val="24"/>
        </w:rPr>
      </w:pPr>
      <w:r w:rsidRPr="00EC5D51">
        <w:rPr>
          <w:rFonts w:ascii="Times New Roman" w:eastAsia="Calibri" w:hAnsi="Times New Roman"/>
          <w:sz w:val="24"/>
          <w:szCs w:val="24"/>
        </w:rPr>
        <w:t>Целите са формулирани по показатели, в таблицата по-долу.</w:t>
      </w:r>
    </w:p>
    <w:p w:rsidR="007D1C8A" w:rsidRPr="00EC5D51" w:rsidRDefault="007D1C8A" w:rsidP="00EC5D51">
      <w:pPr>
        <w:spacing w:before="120" w:after="0" w:line="240" w:lineRule="auto"/>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133"/>
        <w:gridCol w:w="1137"/>
        <w:gridCol w:w="3460"/>
        <w:gridCol w:w="1855"/>
      </w:tblGrid>
      <w:tr w:rsidR="00EC5D51" w:rsidRPr="00EC5D51" w:rsidTr="007D1C8A">
        <w:trPr>
          <w:tblHeader/>
          <w:jc w:val="center"/>
        </w:trPr>
        <w:tc>
          <w:tcPr>
            <w:tcW w:w="756"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eastAsia="Calibri" w:hAnsi="Times New Roman"/>
                <w:b/>
                <w:bCs/>
              </w:rPr>
              <w:t>Параметър</w:t>
            </w:r>
          </w:p>
        </w:tc>
        <w:tc>
          <w:tcPr>
            <w:tcW w:w="634"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Мерна единица</w:t>
            </w:r>
          </w:p>
        </w:tc>
        <w:tc>
          <w:tcPr>
            <w:tcW w:w="636"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Целева стойност</w:t>
            </w:r>
          </w:p>
        </w:tc>
        <w:tc>
          <w:tcPr>
            <w:tcW w:w="1936"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eastAsia="Calibri" w:hAnsi="Times New Roman"/>
                <w:b/>
                <w:bCs/>
              </w:rPr>
              <w:t>Специфични цели на опазване за зоната</w:t>
            </w:r>
          </w:p>
        </w:tc>
      </w:tr>
      <w:tr w:rsidR="00DA2071" w:rsidRPr="00EC5D51" w:rsidTr="007D1C8A">
        <w:trPr>
          <w:jc w:val="center"/>
        </w:trPr>
        <w:tc>
          <w:tcPr>
            <w:tcW w:w="756" w:type="pct"/>
            <w:shd w:val="clear" w:color="auto" w:fill="auto"/>
          </w:tcPr>
          <w:p w:rsidR="00DA2071" w:rsidRPr="00EC5D51" w:rsidRDefault="00DA2071" w:rsidP="00EC5D51">
            <w:pPr>
              <w:spacing w:before="120" w:after="120" w:line="240" w:lineRule="auto"/>
              <w:rPr>
                <w:rFonts w:ascii="Times New Roman" w:eastAsia="Calibri" w:hAnsi="Times New Roman"/>
                <w:b/>
                <w:lang w:val="en-US"/>
              </w:rPr>
            </w:pPr>
            <w:r w:rsidRPr="00EC5D51">
              <w:rPr>
                <w:rFonts w:ascii="Times New Roman" w:eastAsia="Calibri" w:hAnsi="Times New Roman"/>
                <w:b/>
              </w:rPr>
              <w:t>Плътност на популацията</w:t>
            </w:r>
          </w:p>
        </w:tc>
        <w:tc>
          <w:tcPr>
            <w:tcW w:w="634" w:type="pct"/>
            <w:shd w:val="clear" w:color="auto" w:fill="auto"/>
          </w:tcPr>
          <w:p w:rsidR="00DA2071" w:rsidRPr="00070670" w:rsidRDefault="00DA2071" w:rsidP="00B0609D">
            <w:pPr>
              <w:spacing w:before="120" w:after="120" w:line="240" w:lineRule="auto"/>
              <w:rPr>
                <w:rFonts w:ascii="Times New Roman" w:eastAsia="Calibri" w:hAnsi="Times New Roman"/>
              </w:rPr>
            </w:pPr>
            <w:r w:rsidRPr="00070670">
              <w:rPr>
                <w:rFonts w:ascii="Times New Roman" w:eastAsia="Calibri" w:hAnsi="Times New Roman"/>
                <w:sz w:val="20"/>
                <w:szCs w:val="20"/>
              </w:rPr>
              <w:t>Индивиди  на единица риболовно усилие (</w:t>
            </w:r>
            <w:r w:rsidRPr="00070670">
              <w:rPr>
                <w:rFonts w:ascii="Times New Roman" w:eastAsia="Calibri" w:hAnsi="Times New Roman"/>
                <w:sz w:val="20"/>
                <w:szCs w:val="20"/>
                <w:lang w:val="en-US"/>
              </w:rPr>
              <w:t>ind</w:t>
            </w:r>
            <w:r w:rsidRPr="00070670">
              <w:rPr>
                <w:rFonts w:ascii="Times New Roman" w:eastAsia="Calibri" w:hAnsi="Times New Roman"/>
                <w:sz w:val="20"/>
                <w:szCs w:val="20"/>
              </w:rPr>
              <w:t xml:space="preserve">. </w:t>
            </w:r>
            <w:r w:rsidRPr="00070670">
              <w:rPr>
                <w:rFonts w:ascii="Times New Roman" w:eastAsia="Calibri" w:hAnsi="Times New Roman"/>
                <w:sz w:val="20"/>
                <w:szCs w:val="20"/>
                <w:lang w:val="en-US"/>
              </w:rPr>
              <w:t>CPUE</w:t>
            </w:r>
            <w:r w:rsidRPr="00070670">
              <w:rPr>
                <w:rFonts w:ascii="Times New Roman" w:eastAsia="Calibri" w:hAnsi="Times New Roman"/>
                <w:sz w:val="20"/>
                <w:szCs w:val="20"/>
              </w:rPr>
              <w:t>)</w:t>
            </w:r>
          </w:p>
        </w:tc>
        <w:tc>
          <w:tcPr>
            <w:tcW w:w="636" w:type="pct"/>
            <w:shd w:val="clear" w:color="auto" w:fill="auto"/>
          </w:tcPr>
          <w:p w:rsidR="00DA2071" w:rsidRPr="00070670" w:rsidRDefault="00DA2071" w:rsidP="00B0609D">
            <w:pPr>
              <w:spacing w:before="120" w:after="120" w:line="240" w:lineRule="auto"/>
              <w:rPr>
                <w:rFonts w:ascii="Times New Roman" w:eastAsia="Calibri" w:hAnsi="Times New Roman"/>
              </w:rPr>
            </w:pPr>
            <w:r w:rsidRPr="00070670">
              <w:rPr>
                <w:rFonts w:ascii="Times New Roman" w:eastAsia="Calibri" w:hAnsi="Times New Roman"/>
              </w:rPr>
              <w:t>Най-малко</w:t>
            </w:r>
            <w:r w:rsidRPr="00070670">
              <w:rPr>
                <w:rFonts w:ascii="Times New Roman" w:eastAsia="Calibri" w:hAnsi="Times New Roman"/>
                <w:lang w:val="en-US"/>
              </w:rPr>
              <w:t xml:space="preserve"> </w:t>
            </w:r>
            <w:r w:rsidRPr="00070670">
              <w:rPr>
                <w:rFonts w:ascii="Times New Roman" w:eastAsia="Calibri" w:hAnsi="Times New Roman"/>
              </w:rPr>
              <w:t xml:space="preserve">1-3 </w:t>
            </w:r>
          </w:p>
        </w:tc>
        <w:tc>
          <w:tcPr>
            <w:tcW w:w="1936" w:type="pct"/>
            <w:shd w:val="clear" w:color="auto" w:fill="auto"/>
          </w:tcPr>
          <w:p w:rsidR="00DA2071" w:rsidRPr="00A13F5A" w:rsidRDefault="00DA2071" w:rsidP="00B0609D">
            <w:pPr>
              <w:spacing w:before="120" w:after="120" w:line="240" w:lineRule="auto"/>
              <w:jc w:val="both"/>
              <w:rPr>
                <w:rFonts w:ascii="Times New Roman" w:eastAsia="Calibri" w:hAnsi="Times New Roman"/>
              </w:rPr>
            </w:pPr>
            <w:r w:rsidRPr="00A13F5A">
              <w:rPr>
                <w:rFonts w:ascii="Times New Roman" w:eastAsia="Calibri" w:hAnsi="Times New Roman"/>
              </w:rPr>
              <w:t>Стойността по  този параметър се определя на базата на броя на уловените екземпляри за един час. В доклада за вида по проект "Картиране и определяне на природозащитното състояние на природни местообитания и видове - фаза I"  по експертна оценка е определена референтна стойност на популационната численост 10-20 екз./ха. Според наличните данни ПС на вида в зоната може да бъде определено като „благоприятно“.</w:t>
            </w:r>
          </w:p>
        </w:tc>
        <w:tc>
          <w:tcPr>
            <w:tcW w:w="1038" w:type="pct"/>
          </w:tcPr>
          <w:p w:rsidR="00DA2071" w:rsidRPr="00D532B2" w:rsidRDefault="00DA2071" w:rsidP="00B0609D">
            <w:pPr>
              <w:spacing w:before="120" w:after="120" w:line="240" w:lineRule="auto"/>
              <w:jc w:val="both"/>
              <w:rPr>
                <w:rFonts w:ascii="Times New Roman" w:eastAsia="Calibri" w:hAnsi="Times New Roman"/>
              </w:rPr>
            </w:pPr>
            <w:r w:rsidRPr="00D532B2">
              <w:rPr>
                <w:rFonts w:ascii="Times New Roman" w:eastAsia="Calibri" w:hAnsi="Times New Roman"/>
              </w:rPr>
              <w:t xml:space="preserve">1. Постигане и поддържане на най-малко 1-3 </w:t>
            </w:r>
            <w:r w:rsidRPr="00D532B2">
              <w:rPr>
                <w:rFonts w:ascii="Times New Roman" w:eastAsia="Calibri" w:hAnsi="Times New Roman"/>
                <w:lang w:val="en-US"/>
              </w:rPr>
              <w:t>ind</w:t>
            </w:r>
            <w:r w:rsidRPr="00D532B2">
              <w:rPr>
                <w:rFonts w:ascii="Times New Roman" w:eastAsia="Calibri" w:hAnsi="Times New Roman"/>
              </w:rPr>
              <w:t xml:space="preserve">. </w:t>
            </w:r>
            <w:r w:rsidRPr="00D532B2">
              <w:rPr>
                <w:rFonts w:ascii="Times New Roman" w:eastAsia="Calibri" w:hAnsi="Times New Roman"/>
                <w:lang w:val="en-US"/>
              </w:rPr>
              <w:t>CPUE</w:t>
            </w:r>
            <w:r w:rsidRPr="00D532B2">
              <w:rPr>
                <w:rFonts w:ascii="Times New Roman" w:eastAsia="Calibri" w:hAnsi="Times New Roman"/>
              </w:rPr>
              <w:t>;</w:t>
            </w:r>
          </w:p>
          <w:p w:rsidR="00DA2071" w:rsidRPr="00D532B2" w:rsidRDefault="00DA2071" w:rsidP="00B0609D">
            <w:pPr>
              <w:spacing w:before="120" w:after="120" w:line="240" w:lineRule="auto"/>
              <w:jc w:val="both"/>
              <w:rPr>
                <w:rFonts w:ascii="Times New Roman" w:eastAsia="Calibri" w:hAnsi="Times New Roman"/>
              </w:rPr>
            </w:pPr>
            <w:r w:rsidRPr="00D532B2">
              <w:rPr>
                <w:rFonts w:ascii="Times New Roman" w:eastAsia="Calibri" w:hAnsi="Times New Roman"/>
              </w:rPr>
              <w:t>2. Редуциране и на разпространението на инвазивни видове риби в ЗЗ.</w:t>
            </w:r>
          </w:p>
          <w:p w:rsidR="00DA2071" w:rsidRPr="00D532B2" w:rsidRDefault="00DA2071" w:rsidP="00B0609D">
            <w:pPr>
              <w:spacing w:before="120" w:after="120" w:line="240" w:lineRule="auto"/>
              <w:jc w:val="both"/>
              <w:rPr>
                <w:rFonts w:ascii="Times New Roman" w:eastAsia="Calibri" w:hAnsi="Times New Roman"/>
              </w:rPr>
            </w:pPr>
            <w:r w:rsidRPr="00D532B2">
              <w:rPr>
                <w:rFonts w:ascii="Times New Roman" w:eastAsia="Calibri" w:hAnsi="Times New Roman"/>
              </w:rPr>
              <w:t>Междинна цел:</w:t>
            </w:r>
            <w:r>
              <w:rPr>
                <w:rFonts w:ascii="Times New Roman" w:eastAsia="Calibri" w:hAnsi="Times New Roman"/>
              </w:rPr>
              <w:t xml:space="preserve"> Уточняване на пространственото разпределение и актуалното обилие на популацията на вида</w:t>
            </w:r>
          </w:p>
        </w:tc>
      </w:tr>
      <w:tr w:rsidR="00EC5D51" w:rsidRPr="00EC5D51" w:rsidTr="007D1C8A">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 xml:space="preserve">Местообитание на вида: </w:t>
            </w:r>
          </w:p>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Дължина на речната мрежа, включваща потенциални местообита</w:t>
            </w:r>
            <w:r w:rsidRPr="00EC5D51">
              <w:rPr>
                <w:rFonts w:ascii="Times New Roman" w:eastAsia="Calibri" w:hAnsi="Times New Roman"/>
                <w:b/>
              </w:rPr>
              <w:lastRenderedPageBreak/>
              <w:t>ниякм за вида</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lastRenderedPageBreak/>
              <w:t>км</w:t>
            </w:r>
          </w:p>
        </w:tc>
        <w:tc>
          <w:tcPr>
            <w:tcW w:w="636" w:type="pct"/>
            <w:shd w:val="clear" w:color="auto" w:fill="auto"/>
          </w:tcPr>
          <w:p w:rsidR="00EC5D51" w:rsidRPr="00EC5D51" w:rsidRDefault="00EC5D51" w:rsidP="00EC5D51">
            <w:pPr>
              <w:spacing w:before="120" w:after="120" w:line="240" w:lineRule="auto"/>
              <w:rPr>
                <w:rFonts w:ascii="Times New Roman" w:eastAsia="Calibri" w:hAnsi="Times New Roman"/>
                <w:shd w:val="clear" w:color="auto" w:fill="FFFFFF"/>
              </w:rPr>
            </w:pPr>
            <w:r w:rsidRPr="00EC5D51">
              <w:rPr>
                <w:rFonts w:ascii="Times New Roman" w:eastAsia="Calibri" w:hAnsi="Times New Roman"/>
                <w:shd w:val="clear" w:color="auto" w:fill="FFFFFF"/>
              </w:rPr>
              <w:t>0</w:t>
            </w:r>
          </w:p>
        </w:tc>
        <w:tc>
          <w:tcPr>
            <w:tcW w:w="1936"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Неприложим за вида в зоната, тъй като не се среща в р. Дунав, а само в стоящи води. </w:t>
            </w:r>
          </w:p>
        </w:tc>
        <w:tc>
          <w:tcPr>
            <w:tcW w:w="1038" w:type="pct"/>
          </w:tcPr>
          <w:p w:rsidR="00EC5D51" w:rsidRPr="00EC5D51" w:rsidRDefault="00EC5D51" w:rsidP="00EC5D51">
            <w:pPr>
              <w:spacing w:before="120" w:after="120" w:line="240" w:lineRule="auto"/>
              <w:jc w:val="both"/>
              <w:rPr>
                <w:rFonts w:ascii="Times New Roman" w:eastAsia="Calibri" w:hAnsi="Times New Roman"/>
              </w:rPr>
            </w:pPr>
          </w:p>
        </w:tc>
      </w:tr>
      <w:tr w:rsidR="00DA2071" w:rsidRPr="00EC5D51" w:rsidTr="007D1C8A">
        <w:trPr>
          <w:jc w:val="center"/>
        </w:trPr>
        <w:tc>
          <w:tcPr>
            <w:tcW w:w="756" w:type="pct"/>
            <w:shd w:val="clear" w:color="auto" w:fill="auto"/>
          </w:tcPr>
          <w:p w:rsidR="00DA2071" w:rsidRPr="00EC5D51" w:rsidRDefault="00DA207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 xml:space="preserve">Местообитание на вида: </w:t>
            </w:r>
          </w:p>
          <w:p w:rsidR="00DA2071" w:rsidRPr="00EC5D51" w:rsidRDefault="00DA2071" w:rsidP="00EC5D51">
            <w:pPr>
              <w:spacing w:before="120" w:after="120" w:line="240" w:lineRule="auto"/>
              <w:rPr>
                <w:rFonts w:ascii="Times New Roman" w:eastAsia="Calibri" w:hAnsi="Times New Roman"/>
                <w:b/>
              </w:rPr>
            </w:pPr>
            <w:r w:rsidRPr="00EC5D51">
              <w:rPr>
                <w:rFonts w:ascii="Times New Roman" w:eastAsia="Calibri" w:hAnsi="Times New Roman"/>
                <w:b/>
              </w:rPr>
              <w:t>стоящи води, представляващи потенциално местообитание за вида</w:t>
            </w:r>
          </w:p>
        </w:tc>
        <w:tc>
          <w:tcPr>
            <w:tcW w:w="634" w:type="pct"/>
            <w:shd w:val="clear" w:color="auto" w:fill="auto"/>
          </w:tcPr>
          <w:p w:rsidR="00DA2071" w:rsidRPr="00EC5D51" w:rsidRDefault="00DA2071" w:rsidP="00B0609D">
            <w:pPr>
              <w:spacing w:before="120" w:after="120" w:line="240" w:lineRule="auto"/>
              <w:rPr>
                <w:rFonts w:ascii="Times New Roman" w:eastAsia="Calibri" w:hAnsi="Times New Roman"/>
                <w:lang w:val="en-US"/>
              </w:rPr>
            </w:pPr>
            <w:r w:rsidRPr="00EC5D51">
              <w:rPr>
                <w:rFonts w:ascii="Times New Roman" w:eastAsia="Calibri" w:hAnsi="Times New Roman"/>
                <w:lang w:val="en-US"/>
              </w:rPr>
              <w:t>ha</w:t>
            </w:r>
          </w:p>
        </w:tc>
        <w:tc>
          <w:tcPr>
            <w:tcW w:w="636" w:type="pct"/>
            <w:shd w:val="clear" w:color="auto" w:fill="auto"/>
          </w:tcPr>
          <w:p w:rsidR="00DA2071" w:rsidRPr="00EC5D51" w:rsidRDefault="00DA2071" w:rsidP="00B0609D">
            <w:pPr>
              <w:spacing w:before="120" w:after="120" w:line="240" w:lineRule="auto"/>
              <w:rPr>
                <w:rFonts w:ascii="Times New Roman" w:eastAsia="Calibri" w:hAnsi="Times New Roman"/>
                <w:shd w:val="clear" w:color="auto" w:fill="FFFFFF"/>
              </w:rPr>
            </w:pPr>
            <w:r w:rsidRPr="00EC5D51">
              <w:rPr>
                <w:rFonts w:ascii="Times New Roman" w:eastAsia="Calibri" w:hAnsi="Times New Roman"/>
                <w:shd w:val="clear" w:color="auto" w:fill="FFFFFF"/>
              </w:rPr>
              <w:t xml:space="preserve">Най-малко </w:t>
            </w:r>
            <w:r>
              <w:rPr>
                <w:rFonts w:ascii="Times New Roman" w:eastAsia="Calibri" w:hAnsi="Times New Roman"/>
                <w:shd w:val="clear" w:color="auto" w:fill="FFFFFF"/>
              </w:rPr>
              <w:t>2,3</w:t>
            </w:r>
            <w:r w:rsidRPr="0087291F">
              <w:rPr>
                <w:rFonts w:ascii="Times New Roman" w:eastAsia="Calibri" w:hAnsi="Times New Roman"/>
                <w:lang w:val="en-US"/>
              </w:rPr>
              <w:t xml:space="preserve"> </w:t>
            </w:r>
            <w:r w:rsidRPr="0087291F">
              <w:rPr>
                <w:rFonts w:ascii="Times New Roman" w:eastAsia="Calibri" w:hAnsi="Times New Roman"/>
                <w:shd w:val="clear" w:color="auto" w:fill="FFFFFF"/>
                <w:lang w:val="en-US"/>
              </w:rPr>
              <w:t>ha</w:t>
            </w:r>
          </w:p>
        </w:tc>
        <w:tc>
          <w:tcPr>
            <w:tcW w:w="1936" w:type="pct"/>
            <w:shd w:val="clear" w:color="auto" w:fill="auto"/>
          </w:tcPr>
          <w:p w:rsidR="00DA2071" w:rsidRPr="00EC5D51" w:rsidRDefault="00DA2071" w:rsidP="00B0609D">
            <w:pPr>
              <w:spacing w:before="120" w:after="120" w:line="240" w:lineRule="auto"/>
              <w:jc w:val="both"/>
              <w:rPr>
                <w:rFonts w:ascii="Times New Roman" w:eastAsia="Calibri" w:hAnsi="Times New Roman"/>
              </w:rPr>
            </w:pPr>
            <w:r w:rsidRPr="00EC5D51">
              <w:rPr>
                <w:rFonts w:ascii="Times New Roman" w:eastAsia="Calibri" w:hAnsi="Times New Roman"/>
              </w:rPr>
              <w:t>Площта на местообитанията на вида в стоящи води се определя чрез GIS анализ, използващ следните екологични критерии:</w:t>
            </w:r>
          </w:p>
          <w:p w:rsidR="00DA2071" w:rsidRPr="00EC5D51" w:rsidRDefault="00DA2071" w:rsidP="00B0609D">
            <w:pPr>
              <w:numPr>
                <w:ilvl w:val="0"/>
                <w:numId w:val="11"/>
              </w:numPr>
              <w:spacing w:before="120" w:after="120" w:line="240" w:lineRule="auto"/>
              <w:jc w:val="both"/>
              <w:rPr>
                <w:rFonts w:ascii="Times New Roman" w:eastAsia="Calibri" w:hAnsi="Times New Roman"/>
              </w:rPr>
            </w:pPr>
            <w:r>
              <w:rPr>
                <w:rFonts w:ascii="Times New Roman" w:eastAsia="Calibri" w:hAnsi="Times New Roman"/>
              </w:rPr>
              <w:t xml:space="preserve">Северозападна част на </w:t>
            </w:r>
            <w:r w:rsidRPr="00EC5D51">
              <w:rPr>
                <w:rFonts w:ascii="Times New Roman" w:eastAsia="Calibri" w:hAnsi="Times New Roman"/>
              </w:rPr>
              <w:t>Езеро Сребърна</w:t>
            </w:r>
            <w:r>
              <w:rPr>
                <w:rFonts w:ascii="Times New Roman" w:eastAsia="Calibri" w:hAnsi="Times New Roman"/>
              </w:rPr>
              <w:t>, където видът бил първоначално открит</w:t>
            </w:r>
            <w:r w:rsidRPr="00EC5D51">
              <w:rPr>
                <w:rFonts w:ascii="Times New Roman" w:eastAsia="Calibri" w:hAnsi="Times New Roman"/>
              </w:rPr>
              <w:t>;</w:t>
            </w:r>
          </w:p>
          <w:p w:rsidR="00DA2071" w:rsidRPr="00EC5D51" w:rsidRDefault="00DA2071" w:rsidP="00B0609D">
            <w:pPr>
              <w:numPr>
                <w:ilvl w:val="0"/>
                <w:numId w:val="11"/>
              </w:numPr>
              <w:spacing w:before="120" w:after="120" w:line="240" w:lineRule="auto"/>
              <w:jc w:val="both"/>
              <w:rPr>
                <w:rFonts w:ascii="Times New Roman" w:eastAsia="Calibri" w:hAnsi="Times New Roman"/>
              </w:rPr>
            </w:pPr>
            <w:r w:rsidRPr="00EC5D51">
              <w:rPr>
                <w:rFonts w:ascii="Times New Roman" w:eastAsia="Calibri" w:hAnsi="Times New Roman"/>
              </w:rPr>
              <w:t>Изкуствени водни тела от тип „канали“, които са на практика стоящи води.</w:t>
            </w:r>
          </w:p>
        </w:tc>
        <w:tc>
          <w:tcPr>
            <w:tcW w:w="1038" w:type="pct"/>
          </w:tcPr>
          <w:p w:rsidR="00DA2071" w:rsidRPr="00EC5D51" w:rsidRDefault="00DA2071" w:rsidP="00B0609D">
            <w:pPr>
              <w:spacing w:before="120" w:after="120" w:line="240" w:lineRule="auto"/>
              <w:jc w:val="both"/>
              <w:rPr>
                <w:rFonts w:ascii="Times New Roman" w:eastAsia="Calibri" w:hAnsi="Times New Roman"/>
              </w:rPr>
            </w:pPr>
            <w:r w:rsidRPr="00EC5D51">
              <w:rPr>
                <w:rFonts w:ascii="Times New Roman" w:eastAsia="Calibri" w:hAnsi="Times New Roman"/>
              </w:rPr>
              <w:t xml:space="preserve">Поддържане на оптимално водно ниво и залята площ на езерото най-малко </w:t>
            </w:r>
            <w:r>
              <w:rPr>
                <w:rFonts w:ascii="Times New Roman" w:eastAsia="Calibri" w:hAnsi="Times New Roman"/>
              </w:rPr>
              <w:t>2,3</w:t>
            </w:r>
            <w:r w:rsidRPr="00EC5D51">
              <w:rPr>
                <w:rFonts w:ascii="Times New Roman" w:eastAsia="Calibri" w:hAnsi="Times New Roman"/>
              </w:rPr>
              <w:t xml:space="preserve"> </w:t>
            </w:r>
            <w:r w:rsidRPr="00EC5D51">
              <w:rPr>
                <w:rFonts w:ascii="Times New Roman" w:eastAsia="Calibri" w:hAnsi="Times New Roman"/>
                <w:lang w:val="en-US"/>
              </w:rPr>
              <w:t>ha</w:t>
            </w:r>
            <w:r w:rsidRPr="00EC5D51">
              <w:rPr>
                <w:rFonts w:ascii="Times New Roman" w:eastAsia="Calibri" w:hAnsi="Times New Roman"/>
              </w:rPr>
              <w:t>.  Предотвратяване на пресъхването на участъци представляващи подходящо местообитание, обитавано от вида.</w:t>
            </w:r>
          </w:p>
        </w:tc>
      </w:tr>
      <w:tr w:rsidR="00EC5D51" w:rsidRPr="00EC5D51" w:rsidTr="007D1C8A">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 xml:space="preserve">Местообитание на вида: </w:t>
            </w:r>
          </w:p>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 xml:space="preserve">Степен на свързаност на местообитанието на вида </w:t>
            </w:r>
          </w:p>
          <w:p w:rsidR="00EC5D51" w:rsidRPr="00EC5D51" w:rsidRDefault="00EC5D51" w:rsidP="00EC5D51">
            <w:pPr>
              <w:spacing w:before="120" w:after="120" w:line="240" w:lineRule="auto"/>
              <w:rPr>
                <w:rFonts w:ascii="Times New Roman" w:eastAsia="Calibri" w:hAnsi="Times New Roman"/>
                <w:b/>
              </w:rPr>
            </w:pPr>
          </w:p>
          <w:p w:rsidR="00EC5D51" w:rsidRPr="00EC5D51" w:rsidRDefault="00EC5D51" w:rsidP="00EC5D51">
            <w:pPr>
              <w:spacing w:before="120" w:after="120" w:line="240" w:lineRule="auto"/>
              <w:rPr>
                <w:rFonts w:ascii="Times New Roman" w:eastAsia="Calibri" w:hAnsi="Times New Roman"/>
                <w:b/>
              </w:rPr>
            </w:pP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 xml:space="preserve">5 степенна скала за всяка бариера </w:t>
            </w:r>
          </w:p>
        </w:tc>
        <w:tc>
          <w:tcPr>
            <w:tcW w:w="636"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0</w:t>
            </w:r>
          </w:p>
        </w:tc>
        <w:tc>
          <w:tcPr>
            <w:tcW w:w="1936"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Неприложим за вида в зоната</w:t>
            </w:r>
          </w:p>
        </w:tc>
        <w:tc>
          <w:tcPr>
            <w:tcW w:w="1038" w:type="pct"/>
          </w:tcPr>
          <w:p w:rsidR="00EC5D51" w:rsidRPr="00EC5D51" w:rsidRDefault="00EC5D51" w:rsidP="00EC5D51">
            <w:pPr>
              <w:spacing w:before="120" w:after="120" w:line="240" w:lineRule="auto"/>
              <w:jc w:val="both"/>
              <w:rPr>
                <w:rFonts w:ascii="Times New Roman" w:eastAsia="Calibri" w:hAnsi="Times New Roman"/>
              </w:rPr>
            </w:pPr>
          </w:p>
        </w:tc>
      </w:tr>
      <w:tr w:rsidR="00EC5D51" w:rsidRPr="00EC5D51" w:rsidTr="007D1C8A">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 xml:space="preserve">Местообитание на вида: Екологично състояние на водните тела с потенциални местообитания за вида въз основа на биологичните елементи за качесто (БЕК  </w:t>
            </w:r>
            <w:r w:rsidRPr="00EC5D51">
              <w:rPr>
                <w:rFonts w:ascii="Times New Roman" w:eastAsia="Calibri" w:hAnsi="Times New Roman"/>
                <w:b/>
              </w:rPr>
              <w:lastRenderedPageBreak/>
              <w:t xml:space="preserve">Макрозообентос, Фитобентос, Риби, Макрофити) </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lastRenderedPageBreak/>
              <w:t xml:space="preserve">5 степенна скала за екологично състояние съгласно РДВ </w:t>
            </w:r>
          </w:p>
        </w:tc>
        <w:tc>
          <w:tcPr>
            <w:tcW w:w="636"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По-висока или равна на 2 – Добро състояние</w:t>
            </w:r>
          </w:p>
        </w:tc>
        <w:tc>
          <w:tcPr>
            <w:tcW w:w="1936" w:type="pct"/>
            <w:shd w:val="clear" w:color="auto" w:fill="auto"/>
          </w:tcPr>
          <w:p w:rsidR="00EC5D51" w:rsidRPr="00EC5D51" w:rsidRDefault="00EC5D51" w:rsidP="00EC5D51">
            <w:pPr>
              <w:spacing w:after="0" w:line="240" w:lineRule="auto"/>
              <w:jc w:val="both"/>
              <w:rPr>
                <w:rFonts w:ascii="Times New Roman" w:eastAsia="Calibri" w:hAnsi="Times New Roman"/>
              </w:rPr>
            </w:pPr>
            <w:r w:rsidRPr="00EC5D51">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EC5D51" w:rsidRPr="00EC5D51" w:rsidTr="00EC5D51">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EC5D51" w:rsidRPr="00EC5D51" w:rsidRDefault="00EC5D51" w:rsidP="00EC5D51">
                  <w:pPr>
                    <w:spacing w:after="0" w:line="240" w:lineRule="auto"/>
                    <w:jc w:val="center"/>
                    <w:rPr>
                      <w:rFonts w:ascii="Times New Roman" w:eastAsia="Calibri" w:hAnsi="Times New Roman"/>
                      <w:b/>
                      <w:bCs/>
                      <w:color w:val="000000"/>
                    </w:rPr>
                  </w:pPr>
                  <w:r w:rsidRPr="00EC5D51">
                    <w:rPr>
                      <w:rFonts w:ascii="Times New Roman" w:eastAsia="Calibri" w:hAnsi="Times New Roman"/>
                      <w:b/>
                      <w:bCs/>
                      <w:color w:val="000000"/>
                    </w:rPr>
                    <w:t>ЕС/ЕП</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lastRenderedPageBreak/>
                    <w:t>1 - Отлично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2 - Добро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3 - Умерено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4 - Лошо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5 - Много лошо</w:t>
                  </w:r>
                </w:p>
              </w:tc>
            </w:tr>
          </w:tbl>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Според данните от биологичния мониторинг на повърхностните води през 2020 г. ЕС на ез. Сребърна е определено като Отлично по БЕК Макрозообентос, Умерено по БЕК Риби и Лошо – по БЕК Фитопланктон и БЕК Макрофити. При разлика в оценките на ЕС на водните тела по БЕК общата оценка съответства на най-лошата, в случая – Лошо ЕС.</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Постигане и поддържане на най-малко  Добро ЕС (стойност  по-висока или равна на 2) на водното тяло с подходящи местообитания за вида.</w:t>
            </w:r>
          </w:p>
        </w:tc>
      </w:tr>
      <w:tr w:rsidR="00EC5D51" w:rsidRPr="00EC5D51" w:rsidTr="007D1C8A">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Съотношение в % от площта на водните участъци с подходящи  местообитания на вида и с естествено структуриран субстрат, съотнесен към общата площ на участъците с подходящи местообитания за вида</w:t>
            </w:r>
          </w:p>
        </w:tc>
        <w:tc>
          <w:tcPr>
            <w:tcW w:w="636"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95% от площта на водните участъци с подходящи местообитания за вида имат естественоструктуриран субстрат</w:t>
            </w:r>
          </w:p>
        </w:tc>
        <w:tc>
          <w:tcPr>
            <w:tcW w:w="1936"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Умбрата е дънен вид. Поддържането на естествената структура на дънния субстрат (дълбока тиня) в подходящите местообитания на вида е важно за неговото състояние.</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Основният фактор, водещ до нарушаване на естествената структура на дънния субстрат, е премахването на дънни наноси.</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Не е установен натиск в зоната по този параметър.</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Поддържане на 95% от площта на водните участъци с подходящи местообитания за вида да са с естествено структуриран субстрат.</w:t>
            </w:r>
          </w:p>
        </w:tc>
      </w:tr>
    </w:tbl>
    <w:p w:rsidR="00EC5D51" w:rsidRPr="00EC5D51" w:rsidRDefault="00EC5D51" w:rsidP="00EC5D51">
      <w:pPr>
        <w:spacing w:before="120" w:after="0" w:line="240" w:lineRule="auto"/>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7. Необходимост от актуали</w:t>
      </w:r>
      <w:r w:rsidR="007D1C8A">
        <w:rPr>
          <w:rFonts w:ascii="Times New Roman" w:eastAsia="Calibri" w:hAnsi="Times New Roman"/>
          <w:b/>
          <w:sz w:val="24"/>
          <w:szCs w:val="24"/>
        </w:rPr>
        <w:t>зация на СФ на защитената зона</w:t>
      </w:r>
    </w:p>
    <w:p w:rsidR="00DA2071" w:rsidRPr="00EC5D51" w:rsidRDefault="00DA2071" w:rsidP="00DA2071">
      <w:pPr>
        <w:spacing w:after="160" w:line="240" w:lineRule="auto"/>
        <w:ind w:firstLine="709"/>
        <w:jc w:val="both"/>
        <w:rPr>
          <w:rFonts w:ascii="Times New Roman" w:eastAsia="Calibri" w:hAnsi="Times New Roman"/>
          <w:sz w:val="24"/>
          <w:szCs w:val="24"/>
        </w:rPr>
      </w:pPr>
      <w:r>
        <w:rPr>
          <w:rFonts w:ascii="Times New Roman" w:eastAsia="Calibri" w:hAnsi="Times New Roman"/>
          <w:sz w:val="24"/>
          <w:szCs w:val="24"/>
        </w:rPr>
        <w:t>В съответствие с</w:t>
      </w:r>
      <w:r w:rsidRPr="00EC5D51">
        <w:rPr>
          <w:rFonts w:ascii="Times New Roman" w:eastAsia="Calibri" w:hAnsi="Times New Roman"/>
          <w:sz w:val="24"/>
          <w:szCs w:val="24"/>
        </w:rPr>
        <w:t xml:space="preserve"> методиката за </w:t>
      </w:r>
      <w:r>
        <w:rPr>
          <w:rFonts w:ascii="Times New Roman" w:eastAsia="Calibri" w:hAnsi="Times New Roman"/>
          <w:sz w:val="24"/>
          <w:szCs w:val="24"/>
        </w:rPr>
        <w:t>пробонабиране, приложима за този вид</w:t>
      </w:r>
      <w:r w:rsidRPr="00EC5D51">
        <w:rPr>
          <w:rFonts w:ascii="Times New Roman" w:eastAsia="Calibri" w:hAnsi="Times New Roman"/>
          <w:sz w:val="24"/>
          <w:szCs w:val="24"/>
        </w:rPr>
        <w:t xml:space="preserve">, най-подходящата единица за определянето на състоянието на вида е брой индивиди на </w:t>
      </w:r>
      <w:r>
        <w:rPr>
          <w:rFonts w:ascii="Times New Roman" w:eastAsia="Calibri" w:hAnsi="Times New Roman"/>
          <w:sz w:val="24"/>
          <w:szCs w:val="24"/>
        </w:rPr>
        <w:t>единица риболовно усилие</w:t>
      </w:r>
      <w:r w:rsidRPr="00EC5D51">
        <w:rPr>
          <w:rFonts w:ascii="Times New Roman" w:eastAsia="Calibri" w:hAnsi="Times New Roman"/>
          <w:sz w:val="24"/>
          <w:szCs w:val="24"/>
        </w:rPr>
        <w:t xml:space="preserve">. </w:t>
      </w:r>
      <w:r w:rsidRPr="00D532B2">
        <w:rPr>
          <w:rFonts w:ascii="Times New Roman" w:eastAsia="Calibri" w:hAnsi="Times New Roman"/>
          <w:sz w:val="24"/>
          <w:szCs w:val="24"/>
        </w:rPr>
        <w:t>Тази единица обаче засега не е приета за оценка на видове риби при докладванията в ЕК. Затова, като се има предвид високата сезонна вариабилност на числеността на вида в зоната и с оглед унифицирането на подхода за внасянето на данни в СФ на този етап като единица за оценка се използва „Площ“ (area) на местообитанията“.</w:t>
      </w:r>
      <w:r w:rsidRPr="00EC5D51">
        <w:rPr>
          <w:rFonts w:ascii="Times New Roman" w:eastAsia="Calibri" w:hAnsi="Times New Roman"/>
          <w:sz w:val="24"/>
          <w:szCs w:val="24"/>
        </w:rPr>
        <w:t xml:space="preserve"> Актуализирана е оценката за степента на изолация</w:t>
      </w:r>
      <w:r>
        <w:rPr>
          <w:rFonts w:ascii="Times New Roman" w:eastAsia="Calibri" w:hAnsi="Times New Roman"/>
          <w:sz w:val="24"/>
          <w:szCs w:val="24"/>
        </w:rPr>
        <w:t>, тъй като ез. Сребърна е единственото находище на вида в България, съответно конкретната популация е изолирана от останалите. Нанесени са съответни промени в СФ.</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08"/>
        <w:gridCol w:w="546"/>
        <w:gridCol w:w="1043"/>
        <w:gridCol w:w="262"/>
        <w:gridCol w:w="836"/>
        <w:gridCol w:w="286"/>
        <w:gridCol w:w="583"/>
        <w:gridCol w:w="718"/>
        <w:gridCol w:w="593"/>
        <w:gridCol w:w="482"/>
        <w:gridCol w:w="1209"/>
        <w:gridCol w:w="737"/>
        <w:gridCol w:w="513"/>
        <w:gridCol w:w="437"/>
        <w:gridCol w:w="899"/>
      </w:tblGrid>
      <w:tr w:rsidR="00EC5D51" w:rsidRPr="00EC5D51" w:rsidTr="00DA2071">
        <w:trPr>
          <w:tblCellSpacing w:w="15" w:type="dxa"/>
        </w:trPr>
        <w:tc>
          <w:tcPr>
            <w:tcW w:w="1554"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Species </w:t>
            </w:r>
          </w:p>
        </w:tc>
        <w:tc>
          <w:tcPr>
            <w:tcW w:w="2033"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Population in the site </w:t>
            </w:r>
          </w:p>
        </w:tc>
        <w:tc>
          <w:tcPr>
            <w:tcW w:w="1349"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Site assessment </w:t>
            </w:r>
          </w:p>
        </w:tc>
      </w:tr>
      <w:tr w:rsidR="00EC5D51" w:rsidRPr="00EC5D51" w:rsidTr="00DA2071">
        <w:trPr>
          <w:tblCellSpacing w:w="15" w:type="dxa"/>
        </w:trPr>
        <w:tc>
          <w:tcPr>
            <w:tcW w:w="145"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G </w:t>
            </w:r>
          </w:p>
        </w:tc>
        <w:tc>
          <w:tcPr>
            <w:tcW w:w="284"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Code </w:t>
            </w:r>
          </w:p>
        </w:tc>
        <w:tc>
          <w:tcPr>
            <w:tcW w:w="558"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 </w:t>
            </w:r>
          </w:p>
        </w:tc>
        <w:tc>
          <w:tcPr>
            <w:tcW w:w="382"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NP </w:t>
            </w:r>
          </w:p>
        </w:tc>
        <w:tc>
          <w:tcPr>
            <w:tcW w:w="141"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T </w:t>
            </w:r>
          </w:p>
        </w:tc>
        <w:tc>
          <w:tcPr>
            <w:tcW w:w="684" w:type="pct"/>
            <w:gridSpan w:val="2"/>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Size </w:t>
            </w:r>
          </w:p>
        </w:tc>
        <w:tc>
          <w:tcPr>
            <w:tcW w:w="31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Unit </w:t>
            </w:r>
          </w:p>
        </w:tc>
        <w:tc>
          <w:tcPr>
            <w:tcW w:w="24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Cat. </w:t>
            </w:r>
          </w:p>
        </w:tc>
        <w:tc>
          <w:tcPr>
            <w:tcW w:w="58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D.qual. </w:t>
            </w:r>
          </w:p>
        </w:tc>
        <w:tc>
          <w:tcPr>
            <w:tcW w:w="38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A|B|C|D </w:t>
            </w:r>
          </w:p>
        </w:tc>
        <w:tc>
          <w:tcPr>
            <w:tcW w:w="944"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 </w:t>
            </w:r>
          </w:p>
        </w:tc>
      </w:tr>
      <w:tr w:rsidR="00EC5D51" w:rsidRPr="00EC5D51" w:rsidTr="00DA2071">
        <w:trPr>
          <w:tblCellSpacing w:w="15" w:type="dxa"/>
        </w:trPr>
        <w:tc>
          <w:tcPr>
            <w:tcW w:w="14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8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55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8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41"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Min</w:t>
            </w:r>
          </w:p>
        </w:tc>
        <w:tc>
          <w:tcPr>
            <w:tcW w:w="36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Max</w:t>
            </w:r>
          </w:p>
        </w:tc>
        <w:tc>
          <w:tcPr>
            <w:tcW w:w="31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4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p>
        </w:tc>
        <w:tc>
          <w:tcPr>
            <w:tcW w:w="58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8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Pop.</w:t>
            </w:r>
          </w:p>
        </w:tc>
        <w:tc>
          <w:tcPr>
            <w:tcW w:w="26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Con.</w:t>
            </w:r>
          </w:p>
        </w:tc>
        <w:tc>
          <w:tcPr>
            <w:tcW w:w="22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Iso.</w:t>
            </w:r>
          </w:p>
        </w:tc>
        <w:tc>
          <w:tcPr>
            <w:tcW w:w="4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Glo.</w:t>
            </w:r>
          </w:p>
        </w:tc>
      </w:tr>
      <w:tr w:rsidR="00DA2071" w:rsidRPr="00EC5D51" w:rsidTr="00DA2071">
        <w:trPr>
          <w:tblCellSpacing w:w="15" w:type="dxa"/>
        </w:trPr>
        <w:tc>
          <w:tcPr>
            <w:tcW w:w="14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A2071" w:rsidRPr="00EC5D51" w:rsidRDefault="00DA207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F</w:t>
            </w:r>
          </w:p>
        </w:tc>
        <w:tc>
          <w:tcPr>
            <w:tcW w:w="28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A2071" w:rsidRPr="00EC5D51" w:rsidRDefault="00DA2071" w:rsidP="00EC5D51">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sz w:val="16"/>
                <w:szCs w:val="16"/>
              </w:rPr>
              <w:t>2011</w:t>
            </w:r>
          </w:p>
        </w:tc>
        <w:tc>
          <w:tcPr>
            <w:tcW w:w="55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A2071" w:rsidRPr="00EC5D51" w:rsidRDefault="00DA2071" w:rsidP="00EC5D51">
            <w:pPr>
              <w:spacing w:before="120" w:after="0" w:line="259" w:lineRule="auto"/>
              <w:jc w:val="both"/>
              <w:rPr>
                <w:rFonts w:ascii="Times New Roman" w:eastAsia="Calibri" w:hAnsi="Times New Roman"/>
                <w:b/>
                <w:bCs/>
                <w:i/>
                <w:sz w:val="16"/>
                <w:szCs w:val="16"/>
                <w:lang w:val="en-US"/>
              </w:rPr>
            </w:pPr>
            <w:r w:rsidRPr="00EC5D51">
              <w:rPr>
                <w:rFonts w:ascii="Times New Roman" w:eastAsia="Calibri" w:hAnsi="Times New Roman"/>
                <w:b/>
                <w:bCs/>
                <w:sz w:val="16"/>
                <w:szCs w:val="16"/>
                <w:lang w:val="en-US"/>
              </w:rPr>
              <w:t>Umbra krameri</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A2071" w:rsidRPr="00EC5D51" w:rsidRDefault="00DA207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A2071" w:rsidRPr="00EC5D51" w:rsidRDefault="00DA207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14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A2071" w:rsidRPr="00EC5D51" w:rsidRDefault="00DA207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p</w:t>
            </w:r>
          </w:p>
        </w:tc>
        <w:tc>
          <w:tcPr>
            <w:tcW w:w="3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A2071" w:rsidRPr="00EC5D51" w:rsidRDefault="00DA2071" w:rsidP="00B0609D">
            <w:pPr>
              <w:spacing w:before="120" w:after="0" w:line="259" w:lineRule="auto"/>
              <w:jc w:val="both"/>
              <w:rPr>
                <w:rFonts w:ascii="Times New Roman" w:eastAsia="Calibri" w:hAnsi="Times New Roman"/>
                <w:b/>
                <w:bCs/>
                <w:color w:val="FF0000"/>
                <w:sz w:val="16"/>
                <w:szCs w:val="16"/>
              </w:rPr>
            </w:pPr>
            <w:r w:rsidRPr="00EC5D51">
              <w:rPr>
                <w:rFonts w:ascii="Times New Roman" w:eastAsia="Calibri" w:hAnsi="Times New Roman"/>
                <w:b/>
                <w:bCs/>
                <w:sz w:val="16"/>
                <w:szCs w:val="16"/>
              </w:rPr>
              <w:t>2330000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A2071" w:rsidRPr="00EC5D51" w:rsidRDefault="00DA2071" w:rsidP="00B0609D">
            <w:pPr>
              <w:spacing w:before="120" w:after="0" w:line="259" w:lineRule="auto"/>
              <w:jc w:val="both"/>
              <w:rPr>
                <w:rFonts w:ascii="Times New Roman" w:eastAsia="Calibri" w:hAnsi="Times New Roman"/>
                <w:b/>
                <w:bCs/>
                <w:color w:val="FF0000"/>
                <w:sz w:val="16"/>
                <w:szCs w:val="16"/>
              </w:rPr>
            </w:pPr>
            <w:r w:rsidRPr="00EC5D51">
              <w:rPr>
                <w:rFonts w:ascii="Times New Roman" w:eastAsia="Calibri" w:hAnsi="Times New Roman"/>
                <w:b/>
                <w:bCs/>
                <w:sz w:val="16"/>
                <w:szCs w:val="16"/>
              </w:rPr>
              <w:t>2330000</w:t>
            </w:r>
          </w:p>
        </w:tc>
        <w:tc>
          <w:tcPr>
            <w:tcW w:w="31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A2071" w:rsidRPr="00EC5D51" w:rsidRDefault="00DA2071" w:rsidP="00B0609D">
            <w:pPr>
              <w:spacing w:before="120" w:after="0" w:line="259" w:lineRule="auto"/>
              <w:jc w:val="both"/>
              <w:rPr>
                <w:rFonts w:ascii="Times New Roman" w:eastAsia="Calibri" w:hAnsi="Times New Roman"/>
                <w:b/>
                <w:bCs/>
                <w:color w:val="FF0000"/>
                <w:sz w:val="16"/>
                <w:szCs w:val="16"/>
                <w:lang w:val="en-US"/>
              </w:rPr>
            </w:pPr>
            <w:r>
              <w:rPr>
                <w:rFonts w:ascii="Times New Roman" w:eastAsia="Calibri" w:hAnsi="Times New Roman"/>
                <w:b/>
                <w:bCs/>
                <w:sz w:val="16"/>
                <w:szCs w:val="16"/>
                <w:lang w:val="en-US"/>
              </w:rPr>
              <w:t>a</w:t>
            </w:r>
            <w:r w:rsidRPr="00EC5D51">
              <w:rPr>
                <w:rFonts w:ascii="Times New Roman" w:eastAsia="Calibri" w:hAnsi="Times New Roman"/>
                <w:b/>
                <w:bCs/>
                <w:sz w:val="16"/>
                <w:szCs w:val="16"/>
                <w:lang w:val="en-US"/>
              </w:rPr>
              <w:t>rea</w:t>
            </w:r>
          </w:p>
        </w:tc>
        <w:tc>
          <w:tcPr>
            <w:tcW w:w="24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A2071" w:rsidRPr="00EC5D51" w:rsidRDefault="00DA2071" w:rsidP="00B0609D">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w:t>
            </w:r>
          </w:p>
        </w:tc>
        <w:tc>
          <w:tcPr>
            <w:tcW w:w="58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A2071" w:rsidRPr="00EC5D51" w:rsidRDefault="00DA2071" w:rsidP="00B0609D">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w:t>
            </w:r>
          </w:p>
        </w:tc>
        <w:tc>
          <w:tcPr>
            <w:tcW w:w="38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A2071" w:rsidRPr="00EC5D51" w:rsidRDefault="00DA2071" w:rsidP="00B0609D">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A</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A2071" w:rsidRPr="00EC5D51" w:rsidRDefault="00DA2071" w:rsidP="00B0609D">
            <w:pPr>
              <w:spacing w:before="120" w:after="0" w:line="259" w:lineRule="auto"/>
              <w:jc w:val="both"/>
              <w:rPr>
                <w:rFonts w:ascii="Times New Roman" w:eastAsia="Calibri" w:hAnsi="Times New Roman"/>
                <w:b/>
                <w:bCs/>
                <w:sz w:val="16"/>
                <w:szCs w:val="16"/>
                <w:lang w:val="en-GB"/>
              </w:rPr>
            </w:pPr>
            <w:r w:rsidRPr="00EC5D51">
              <w:rPr>
                <w:rFonts w:ascii="Times New Roman" w:eastAsia="Calibri" w:hAnsi="Times New Roman"/>
                <w:b/>
                <w:bCs/>
                <w:sz w:val="16"/>
                <w:szCs w:val="16"/>
                <w:lang w:val="en-GB"/>
              </w:rPr>
              <w:t>B</w:t>
            </w:r>
          </w:p>
        </w:tc>
        <w:tc>
          <w:tcPr>
            <w:tcW w:w="22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A2071" w:rsidRPr="00070670" w:rsidRDefault="00DA2071" w:rsidP="00B0609D">
            <w:pPr>
              <w:spacing w:before="120" w:after="0" w:line="259" w:lineRule="auto"/>
              <w:jc w:val="both"/>
              <w:rPr>
                <w:rFonts w:ascii="Times New Roman" w:eastAsia="Calibri" w:hAnsi="Times New Roman"/>
                <w:b/>
                <w:bCs/>
                <w:color w:val="FF0000"/>
                <w:sz w:val="16"/>
                <w:szCs w:val="16"/>
              </w:rPr>
            </w:pPr>
            <w:r w:rsidRPr="00070670">
              <w:rPr>
                <w:rFonts w:ascii="Times New Roman" w:eastAsia="Calibri" w:hAnsi="Times New Roman"/>
                <w:b/>
                <w:bCs/>
                <w:color w:val="FF0000"/>
                <w:sz w:val="16"/>
                <w:szCs w:val="16"/>
              </w:rPr>
              <w:t>А</w:t>
            </w:r>
          </w:p>
        </w:tc>
        <w:tc>
          <w:tcPr>
            <w:tcW w:w="4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DA2071" w:rsidRPr="00EC5D51" w:rsidRDefault="00DA2071" w:rsidP="00B0609D">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r>
    </w:tbl>
    <w:p w:rsidR="00EC5D51" w:rsidRPr="00EC5D51" w:rsidRDefault="00EC5D51" w:rsidP="00EC5D51">
      <w:pPr>
        <w:spacing w:after="160" w:line="240" w:lineRule="auto"/>
        <w:jc w:val="both"/>
        <w:rPr>
          <w:rFonts w:ascii="Times New Roman" w:eastAsia="Calibri" w:hAnsi="Times New Roman"/>
          <w:sz w:val="24"/>
          <w:szCs w:val="24"/>
        </w:rPr>
      </w:pPr>
    </w:p>
    <w:p w:rsidR="00EC5D51" w:rsidRPr="00EC5D51" w:rsidRDefault="007D1C8A" w:rsidP="00EC5D51">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8. Цитирана литература</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Големански, В. и др. (ред.) 2011. Червена книга на Република България. Том 2. Животни. ИБЕИ - БАН &amp; МОСВ, София. Електронно издание: Том II - Животни (bas.bg)</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Дренски, П. 1951. Рибите в България. Фауна на България II. С., БАН, 270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Информационна система за защитени зони от екологична мрежа НАТУРА 2000.</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http://natura2000.moew.government.bg/; http://natura2000.moew.government.bg/Home/Reports?reportType=Fishes</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1972. Ихтиофауна на р. Янтра. – Изв. на Зоолог. инст. с музей, 36: 149–182.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М. Живков. 1995. Рибите в България. С., "Гея-Либрис", 247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lastRenderedPageBreak/>
        <w:t>Маринов, Б. 1966. Върху ихтиофауната на българския участък на река Дунав. – Изв. на Зоолог. инст. с музей, 20: 139–155.</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Моров, Т. 1931. Сладководните риби в България. С., "Художник", 93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https://ec.europa.eu/environment/nature/natura2000/management/docs/art6/BG_art_6_guide_jun_2019.pdf</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Шишков Г. 1939. Няколко думи за риболова по р. Искър. – Рибарски преглед, 9(8): 4–7.</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Bauer, C. Bobeldy, A., Lamberti G. 2006.  Predicting habitat use and trophic interactions of Eurasian ruffe, round gobies, and zebra mussels in nearshore areas of the Great Lakes. – Biol Invasions,  DOI 10.1007/s10530-006-9067-8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Bern Convention on the Conservation of European Wildlife and Natural Habitats. https://www.coe.int/en/web/bern-convention</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CEN - EN 14011, 2003. Water quality - Sampling of fish with electricity. Brussels, 16 p.</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3–680.</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Froese, R., D. Pauly. Editors. 2021. FishBase. World Wide Web electronic publication. www.fishbase.org, (06/2021): Search FishBase (mnhn.fr)</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IUCN 2021. The IUCN Red List of Threatened Species. Version 2021-2. </w:t>
      </w:r>
      <w:hyperlink r:id="rId160" w:history="1">
        <w:r w:rsidRPr="00EC5D51">
          <w:rPr>
            <w:rFonts w:ascii="Times New Roman" w:eastAsia="Calibri" w:hAnsi="Times New Roman"/>
            <w:color w:val="0563C1"/>
            <w:sz w:val="24"/>
            <w:szCs w:val="24"/>
            <w:u w:val="single"/>
          </w:rPr>
          <w:t>https://www.iucnredlist.org</w:t>
        </w:r>
      </w:hyperlink>
      <w:r w:rsidRPr="00EC5D51">
        <w:rPr>
          <w:rFonts w:ascii="Times New Roman" w:eastAsia="Calibri" w:hAnsi="Times New Roman"/>
          <w:sz w:val="24"/>
          <w:szCs w:val="24"/>
        </w:rPr>
        <w:t>.</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Kottelat, M., J. Freyhof, 2007. Handbook of European freshwater fishes. Publications Kottelat, Cornol and Freyhof, Berlin. 646 pp.</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Vassilev, M., L. Pehlivanov. 2005. Checklist of Bulgarian freshwater fishes. – Acta zool. bulg., 57(2): 161–190.</w:t>
      </w:r>
    </w:p>
    <w:p w:rsidR="00EC5D51" w:rsidRPr="00EC5D51" w:rsidRDefault="00EC5D51" w:rsidP="00EC5D51">
      <w:pPr>
        <w:spacing w:after="0" w:line="259" w:lineRule="auto"/>
        <w:ind w:left="720" w:hanging="720"/>
        <w:jc w:val="both"/>
        <w:rPr>
          <w:rFonts w:ascii="Times New Roman" w:eastAsia="Calibri" w:hAnsi="Times New Roman"/>
          <w:sz w:val="24"/>
          <w:szCs w:val="24"/>
          <w:lang w:val="en-US"/>
        </w:rPr>
      </w:pPr>
      <w:r w:rsidRPr="00EC5D51">
        <w:rPr>
          <w:rFonts w:ascii="Times New Roman" w:eastAsia="Calibri" w:hAnsi="Times New Roman"/>
          <w:sz w:val="24"/>
          <w:szCs w:val="24"/>
          <w:lang w:val="en-US"/>
        </w:rPr>
        <w:t xml:space="preserve">Velkov B. K., L. Z. Pehlivanov, M . V. Vassilev 2004. </w:t>
      </w:r>
      <w:r w:rsidRPr="00EC5D51">
        <w:rPr>
          <w:rFonts w:ascii="Times New Roman" w:eastAsia="Calibri" w:hAnsi="Times New Roman"/>
          <w:i/>
          <w:iCs/>
          <w:sz w:val="24"/>
          <w:szCs w:val="24"/>
          <w:lang w:val="en-US"/>
        </w:rPr>
        <w:t xml:space="preserve">Umbra krameri </w:t>
      </w:r>
      <w:r w:rsidRPr="00EC5D51">
        <w:rPr>
          <w:rFonts w:ascii="Times New Roman" w:eastAsia="Calibri" w:hAnsi="Times New Roman"/>
          <w:sz w:val="24"/>
          <w:szCs w:val="24"/>
          <w:lang w:val="en-US"/>
        </w:rPr>
        <w:t xml:space="preserve">(Pisces: Umbridae): A reinstated species for the Bulgarian ichthyofauna. – </w:t>
      </w:r>
      <w:r w:rsidRPr="00EC5D51">
        <w:rPr>
          <w:rFonts w:ascii="Times New Roman" w:eastAsia="Calibri" w:hAnsi="Times New Roman"/>
          <w:i/>
          <w:iCs/>
          <w:sz w:val="24"/>
          <w:szCs w:val="24"/>
          <w:lang w:val="en-US"/>
        </w:rPr>
        <w:t xml:space="preserve">Acta zoologica bulgarica, </w:t>
      </w:r>
      <w:r w:rsidRPr="00EC5D51">
        <w:rPr>
          <w:rFonts w:ascii="Times New Roman" w:eastAsia="Calibri" w:hAnsi="Times New Roman"/>
          <w:sz w:val="24"/>
          <w:szCs w:val="24"/>
          <w:lang w:val="en-US"/>
        </w:rPr>
        <w:t>Sofia, BAS, 56(2): 233-235.</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Публичен регистър по екологични оценки - </w:t>
      </w:r>
      <w:hyperlink r:id="rId161" w:history="1">
        <w:r w:rsidRPr="00EC5D51">
          <w:rPr>
            <w:rFonts w:ascii="Times New Roman" w:eastAsia="Calibri" w:hAnsi="Times New Roman"/>
            <w:color w:val="0563C1"/>
            <w:sz w:val="24"/>
            <w:szCs w:val="24"/>
            <w:u w:val="single"/>
          </w:rPr>
          <w:t>http://registers.moew.government.bg/eo</w:t>
        </w:r>
      </w:hyperlink>
      <w:r w:rsidRPr="00EC5D51">
        <w:rPr>
          <w:rFonts w:ascii="Times New Roman" w:eastAsia="Calibri" w:hAnsi="Times New Roman"/>
          <w:sz w:val="24"/>
          <w:szCs w:val="24"/>
        </w:rPr>
        <w:t xml:space="preserve"> (Достъп на 27.09.2021)</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Публичен регистър по оценки за въздействие на околната среда </w:t>
      </w:r>
      <w:hyperlink r:id="rId162" w:history="1">
        <w:r w:rsidRPr="00EC5D51">
          <w:rPr>
            <w:rFonts w:ascii="Times New Roman" w:eastAsia="Calibri" w:hAnsi="Times New Roman"/>
            <w:color w:val="0563C1"/>
            <w:sz w:val="24"/>
            <w:szCs w:val="24"/>
            <w:u w:val="single"/>
          </w:rPr>
          <w:t>http://registers.moew.government.bg/ovos/</w:t>
        </w:r>
      </w:hyperlink>
      <w:r w:rsidRPr="00EC5D51">
        <w:rPr>
          <w:rFonts w:ascii="Times New Roman" w:eastAsia="Calibri" w:hAnsi="Times New Roman"/>
          <w:sz w:val="24"/>
          <w:szCs w:val="24"/>
        </w:rPr>
        <w:t xml:space="preserve"> (Достъп на 27.09.2021)</w:t>
      </w:r>
    </w:p>
    <w:p w:rsidR="00EC5D51" w:rsidRPr="00EC5D51" w:rsidRDefault="00EC5D51" w:rsidP="00EC5D51">
      <w:pPr>
        <w:spacing w:after="0" w:line="240"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EC5D51">
        <w:rPr>
          <w:rFonts w:ascii="Times New Roman" w:eastAsia="Calibri" w:hAnsi="Times New Roman"/>
          <w:color w:val="0563C1"/>
          <w:sz w:val="24"/>
          <w:szCs w:val="24"/>
          <w:u w:val="single"/>
        </w:rPr>
        <w:t>https://riew-pleven.eu/</w:t>
      </w:r>
    </w:p>
    <w:p w:rsidR="00EC5D51" w:rsidRPr="00EC5D51" w:rsidRDefault="00DE51FF" w:rsidP="00EC5D51">
      <w:pPr>
        <w:spacing w:after="160" w:line="240" w:lineRule="auto"/>
        <w:jc w:val="both"/>
        <w:rPr>
          <w:rFonts w:ascii="Times New Roman" w:eastAsia="Calibri" w:hAnsi="Times New Roman"/>
          <w:iCs/>
          <w:color w:val="0563C1"/>
          <w:sz w:val="24"/>
          <w:szCs w:val="24"/>
          <w:u w:val="single"/>
        </w:rPr>
      </w:pPr>
      <w:hyperlink r:id="rId163" w:history="1">
        <w:r w:rsidR="00EC5D51" w:rsidRPr="00EC5D51">
          <w:rPr>
            <w:rFonts w:ascii="Times New Roman" w:eastAsia="Calibri" w:hAnsi="Times New Roman"/>
            <w:iCs/>
            <w:color w:val="0563C1"/>
            <w:sz w:val="24"/>
            <w:szCs w:val="24"/>
            <w:u w:val="single"/>
          </w:rPr>
          <w:t>http://eea.government.bg/bg/bio/nsmbr/praktichesko-rakovodstvo-metodiki-za-monitoring-i-otsenka/Podhod_</w:t>
        </w:r>
        <w:r w:rsidR="00EC5D51" w:rsidRPr="00EC5D51">
          <w:rPr>
            <w:rFonts w:ascii="Times New Roman" w:eastAsia="Calibri" w:hAnsi="Times New Roman"/>
            <w:iCs/>
            <w:color w:val="0563C1"/>
            <w:sz w:val="24"/>
            <w:szCs w:val="24"/>
            <w:u w:val="single"/>
            <w:lang w:val="en-US"/>
          </w:rPr>
          <w:t>Misgurnus</w:t>
        </w:r>
        <w:r w:rsidR="00EC5D51" w:rsidRPr="00EC5D51">
          <w:rPr>
            <w:rFonts w:ascii="Times New Roman" w:eastAsia="Calibri" w:hAnsi="Times New Roman"/>
            <w:iCs/>
            <w:color w:val="0563C1"/>
            <w:sz w:val="24"/>
            <w:szCs w:val="24"/>
            <w:u w:val="single"/>
          </w:rPr>
          <w:t>.pdf</w:t>
        </w:r>
      </w:hyperlink>
    </w:p>
    <w:p w:rsidR="00EC5D51" w:rsidRPr="00EC5D51" w:rsidRDefault="00EC5D51" w:rsidP="00EC5D51">
      <w:pPr>
        <w:spacing w:after="160" w:line="240" w:lineRule="auto"/>
        <w:jc w:val="both"/>
        <w:rPr>
          <w:rFonts w:ascii="Times New Roman" w:eastAsia="Calibri" w:hAnsi="Times New Roman"/>
          <w:iCs/>
          <w:color w:val="0563C1"/>
          <w:sz w:val="24"/>
          <w:szCs w:val="24"/>
          <w:u w:val="single"/>
          <w:lang w:val="en-US"/>
        </w:rPr>
      </w:pPr>
      <w:r w:rsidRPr="00EC5D51">
        <w:rPr>
          <w:rFonts w:eastAsia="Calibri"/>
        </w:rPr>
        <w:t>(</w:t>
      </w:r>
      <w:hyperlink r:id="rId164" w:history="1">
        <w:r w:rsidRPr="00EC5D51">
          <w:rPr>
            <w:rFonts w:ascii="Times New Roman" w:eastAsia="Calibri" w:hAnsi="Times New Roman"/>
            <w:color w:val="0563C1"/>
            <w:u w:val="single"/>
          </w:rPr>
          <w:t>http://www.bd-dunav.org/search/?keyword=%D0%BF%D1%83%D1%80%D0%B1+2016-2021&amp;search</w:t>
        </w:r>
      </w:hyperlink>
      <w:r w:rsidRPr="00EC5D51">
        <w:rPr>
          <w:rFonts w:ascii="Times New Roman" w:eastAsia="Calibri" w:hAnsi="Times New Roman"/>
        </w:rPr>
        <w:t>)</w:t>
      </w:r>
      <w:r w:rsidRPr="00EC5D51">
        <w:rPr>
          <w:rFonts w:ascii="Times New Roman" w:eastAsia="Calibri" w:hAnsi="Times New Roman"/>
          <w:lang w:val="en-US"/>
        </w:rPr>
        <w:t xml:space="preserve"> </w:t>
      </w:r>
    </w:p>
    <w:p w:rsidR="00EC5D51" w:rsidRPr="00EC5D51" w:rsidRDefault="00EC5D51" w:rsidP="00EC5D51">
      <w:pPr>
        <w:spacing w:after="160" w:line="240" w:lineRule="auto"/>
        <w:jc w:val="both"/>
        <w:rPr>
          <w:rFonts w:ascii="Times New Roman" w:eastAsia="Calibri" w:hAnsi="Times New Roman"/>
          <w:sz w:val="24"/>
          <w:szCs w:val="24"/>
        </w:rPr>
      </w:pPr>
      <w:r w:rsidRPr="00EC5D51">
        <w:rPr>
          <w:rFonts w:ascii="Times New Roman" w:eastAsia="Calibri" w:hAnsi="Times New Roman"/>
          <w:i/>
          <w:sz w:val="24"/>
          <w:szCs w:val="24"/>
        </w:rPr>
        <w:t>Автори</w:t>
      </w:r>
      <w:r w:rsidRPr="00EC5D51">
        <w:rPr>
          <w:rFonts w:ascii="Times New Roman" w:eastAsia="Calibri" w:hAnsi="Times New Roman"/>
          <w:sz w:val="24"/>
          <w:szCs w:val="24"/>
        </w:rPr>
        <w:t>:</w:t>
      </w:r>
      <w:r w:rsidRPr="00EC5D51">
        <w:rPr>
          <w:rFonts w:ascii="Times New Roman" w:eastAsia="Calibri" w:hAnsi="Times New Roman"/>
          <w:b/>
          <w:sz w:val="24"/>
          <w:szCs w:val="24"/>
        </w:rPr>
        <w:t xml:space="preserve"> </w:t>
      </w:r>
      <w:r w:rsidRPr="007D1C8A">
        <w:rPr>
          <w:rFonts w:ascii="Times New Roman" w:eastAsia="Calibri" w:hAnsi="Times New Roman"/>
          <w:iCs/>
          <w:sz w:val="24"/>
          <w:szCs w:val="24"/>
        </w:rPr>
        <w:t>Апостолос Апостолу, Лъчезар Пехливанов, Стефан Казаков</w:t>
      </w:r>
    </w:p>
    <w:p w:rsidR="00EC5D51" w:rsidRDefault="00EC5D51" w:rsidP="0070678B">
      <w:pPr>
        <w:rPr>
          <w:rFonts w:ascii="Times New Roman" w:hAnsi="Times New Roman"/>
          <w:color w:val="1F497D" w:themeColor="text2"/>
          <w:sz w:val="28"/>
          <w:szCs w:val="28"/>
        </w:rPr>
      </w:pPr>
    </w:p>
    <w:p w:rsidR="007D1C8A" w:rsidRDefault="007D1C8A" w:rsidP="0070678B">
      <w:pPr>
        <w:rPr>
          <w:rFonts w:ascii="Times New Roman" w:hAnsi="Times New Roman"/>
          <w:color w:val="1F497D" w:themeColor="text2"/>
          <w:sz w:val="28"/>
          <w:szCs w:val="28"/>
        </w:rPr>
      </w:pPr>
    </w:p>
    <w:p w:rsidR="0070678B" w:rsidRDefault="00107719" w:rsidP="007D1C8A">
      <w:pPr>
        <w:outlineLvl w:val="1"/>
        <w:rPr>
          <w:rFonts w:ascii="Times New Roman" w:hAnsi="Times New Roman"/>
          <w:i/>
          <w:color w:val="1F497D" w:themeColor="text2"/>
          <w:sz w:val="28"/>
          <w:szCs w:val="28"/>
        </w:rPr>
      </w:pPr>
      <w:bookmarkStart w:id="71" w:name="_Toc98838554"/>
      <w:r>
        <w:rPr>
          <w:rFonts w:ascii="Times New Roman" w:hAnsi="Times New Roman"/>
          <w:color w:val="1F497D" w:themeColor="text2"/>
          <w:sz w:val="28"/>
          <w:szCs w:val="28"/>
        </w:rPr>
        <w:t xml:space="preserve">Природозащитни цели за </w:t>
      </w:r>
      <w:r w:rsidR="0070678B">
        <w:rPr>
          <w:rFonts w:ascii="Times New Roman" w:hAnsi="Times New Roman"/>
          <w:color w:val="1F497D" w:themeColor="text2"/>
          <w:sz w:val="28"/>
          <w:szCs w:val="28"/>
        </w:rPr>
        <w:t xml:space="preserve">1160 </w:t>
      </w:r>
      <w:r w:rsidR="0070678B" w:rsidRPr="00107719">
        <w:rPr>
          <w:rFonts w:ascii="Times New Roman" w:hAnsi="Times New Roman"/>
          <w:i/>
          <w:color w:val="1F497D" w:themeColor="text2"/>
          <w:sz w:val="28"/>
          <w:szCs w:val="28"/>
        </w:rPr>
        <w:t>Zingel streber</w:t>
      </w:r>
      <w:bookmarkEnd w:id="71"/>
    </w:p>
    <w:p w:rsidR="00EC5D51" w:rsidRPr="007D1C8A" w:rsidRDefault="00EC5D51" w:rsidP="00EC5D51">
      <w:pPr>
        <w:spacing w:after="160" w:line="240" w:lineRule="auto"/>
        <w:jc w:val="both"/>
        <w:rPr>
          <w:rFonts w:ascii="Times New Roman" w:eastAsia="Calibri" w:hAnsi="Times New Roman"/>
          <w:b/>
          <w:bCs/>
          <w:sz w:val="24"/>
          <w:szCs w:val="24"/>
        </w:rPr>
      </w:pPr>
      <w:r w:rsidRPr="00EC5D51">
        <w:rPr>
          <w:rFonts w:ascii="Times New Roman" w:eastAsia="Calibri" w:hAnsi="Times New Roman"/>
          <w:b/>
          <w:sz w:val="24"/>
          <w:szCs w:val="24"/>
        </w:rPr>
        <w:t xml:space="preserve">1. Код и наименование на вида: </w:t>
      </w:r>
      <w:r w:rsidRPr="007D1C8A">
        <w:rPr>
          <w:rFonts w:ascii="Times New Roman" w:hAnsi="Times New Roman"/>
          <w:bCs/>
          <w:color w:val="000000"/>
          <w:sz w:val="24"/>
          <w:szCs w:val="24"/>
          <w:lang w:eastAsia="bg-BG"/>
        </w:rPr>
        <w:t xml:space="preserve">1160 </w:t>
      </w:r>
      <w:r w:rsidR="007D1C8A" w:rsidRPr="007D1C8A">
        <w:rPr>
          <w:rFonts w:ascii="Times New Roman" w:hAnsi="Times New Roman"/>
          <w:bCs/>
          <w:i/>
          <w:iCs/>
          <w:color w:val="000000"/>
          <w:sz w:val="24"/>
          <w:szCs w:val="24"/>
          <w:lang w:val="en-US" w:eastAsia="bg-BG"/>
        </w:rPr>
        <w:t>Z</w:t>
      </w:r>
      <w:r w:rsidR="007D1C8A" w:rsidRPr="007D1C8A">
        <w:rPr>
          <w:rFonts w:ascii="Times New Roman" w:hAnsi="Times New Roman"/>
          <w:bCs/>
          <w:i/>
          <w:iCs/>
          <w:color w:val="000000"/>
          <w:sz w:val="24"/>
          <w:szCs w:val="24"/>
          <w:lang w:val="en-GB" w:eastAsia="bg-BG"/>
        </w:rPr>
        <w:t xml:space="preserve">ingel </w:t>
      </w:r>
      <w:r w:rsidR="007D1C8A" w:rsidRPr="007D1C8A">
        <w:rPr>
          <w:rFonts w:ascii="Times New Roman" w:hAnsi="Times New Roman"/>
          <w:bCs/>
          <w:i/>
          <w:iCs/>
          <w:color w:val="000000"/>
          <w:sz w:val="24"/>
          <w:szCs w:val="24"/>
          <w:lang w:val="en-US" w:eastAsia="bg-BG"/>
        </w:rPr>
        <w:t>streber</w:t>
      </w:r>
      <w:r w:rsidR="007D1C8A" w:rsidRPr="007D1C8A">
        <w:rPr>
          <w:rFonts w:ascii="Times New Roman" w:hAnsi="Times New Roman"/>
          <w:bCs/>
          <w:color w:val="000000"/>
          <w:sz w:val="24"/>
          <w:szCs w:val="24"/>
          <w:lang w:eastAsia="bg-BG"/>
        </w:rPr>
        <w:t xml:space="preserve"> Малка вретенарка</w:t>
      </w: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2. Кратка х</w:t>
      </w:r>
      <w:r w:rsidR="007D1C8A">
        <w:rPr>
          <w:rFonts w:ascii="Times New Roman" w:eastAsia="Calibri" w:hAnsi="Times New Roman"/>
          <w:b/>
          <w:sz w:val="24"/>
          <w:szCs w:val="24"/>
        </w:rPr>
        <w:t>арактеристика на целевия обект</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Риба от сем. Бодлоперки (</w:t>
      </w:r>
      <w:r w:rsidRPr="00EC5D51">
        <w:rPr>
          <w:rFonts w:ascii="Times New Roman" w:eastAsia="Calibri" w:hAnsi="Times New Roman"/>
          <w:sz w:val="24"/>
          <w:szCs w:val="24"/>
          <w:lang w:val="en-US"/>
        </w:rPr>
        <w:t>Percidae</w:t>
      </w:r>
      <w:r w:rsidRPr="00EC5D51">
        <w:rPr>
          <w:rFonts w:ascii="Times New Roman" w:eastAsia="Calibri" w:hAnsi="Times New Roman"/>
          <w:sz w:val="24"/>
          <w:szCs w:val="24"/>
        </w:rPr>
        <w:t xml:space="preserve">). Тялото е тънко, дълго, вретеновидно. Прилича на голямата вретенарка, но се отличава от нея по следните основни белези: значително по-дълго и тънко опашно стъбло, само 8-9 бодливи лъча в първата гръбна перка, само 12-13 меки лъча във втората, „гърдите“ и предната част на корема са голи (без люспи) люспите по тялото са по-едри, тялото е с 4-5 ясни добре очертани тъмни пояса без черни петна по него. </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Видът е разпространен в реките Дунав и някои негови притоци (от Бавария до делтата), Днестър и Вардар. В България видът е установен само в р. Дунав и някои от притоците й – Искър, Вит, Осъм, Янтра, като в миналото се е изкачвал доста нагоре срещу течението в притоците. Понастоящем е изключително рядък вид и е установяван само в р. Дунав.</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color w:val="000000"/>
          <w:sz w:val="24"/>
          <w:szCs w:val="24"/>
        </w:rPr>
        <w:t>Придънен реофилен вид, биологията му е близка до тази на голямата вретенарка.</w:t>
      </w:r>
      <w:r w:rsidRPr="00EC5D51">
        <w:rPr>
          <w:rFonts w:ascii="Times New Roman" w:eastAsia="Calibri" w:hAnsi="Times New Roman"/>
          <w:sz w:val="24"/>
          <w:szCs w:val="24"/>
        </w:rPr>
        <w:t xml:space="preserve"> Размножава се през март-април, като отлага хайвера си направо върху чакълесто или каменисто дъно. </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Няма информация за стопанско значение на този вид, вероятно само случайно попада в уловите</w:t>
      </w:r>
    </w:p>
    <w:p w:rsidR="00EC5D51" w:rsidRPr="00EC5D51" w:rsidRDefault="00EC5D51" w:rsidP="007D1C8A">
      <w:pPr>
        <w:spacing w:after="0" w:line="240" w:lineRule="auto"/>
        <w:ind w:firstLine="709"/>
        <w:jc w:val="both"/>
        <w:rPr>
          <w:rFonts w:ascii="Times New Roman" w:eastAsia="Calibri" w:hAnsi="Times New Roman"/>
          <w:sz w:val="24"/>
          <w:szCs w:val="24"/>
        </w:rPr>
      </w:pPr>
      <w:r w:rsidRPr="00F873CF">
        <w:rPr>
          <w:rFonts w:ascii="Times New Roman" w:eastAsia="Calibri" w:hAnsi="Times New Roman"/>
          <w:i/>
          <w:sz w:val="24"/>
          <w:szCs w:val="24"/>
        </w:rPr>
        <w:t>Характеристики на местообитанието в България</w:t>
      </w:r>
      <w:r w:rsidR="00F873CF">
        <w:rPr>
          <w:rFonts w:ascii="Times New Roman" w:eastAsia="Calibri" w:hAnsi="Times New Roman"/>
          <w:sz w:val="24"/>
          <w:szCs w:val="24"/>
        </w:rPr>
        <w:t xml:space="preserve">. </w:t>
      </w:r>
      <w:r w:rsidRPr="00EC5D51">
        <w:rPr>
          <w:rFonts w:ascii="Times New Roman" w:eastAsia="Calibri" w:hAnsi="Times New Roman"/>
          <w:sz w:val="24"/>
          <w:szCs w:val="24"/>
        </w:rPr>
        <w:t>Придънен реофилен вид. Обитава дълбоки участъци с бързо течение и каменисто-пясъчно дъно. В България се среща в целият български участък на р. Дунав</w:t>
      </w:r>
      <w:r w:rsidRPr="00EC5D51">
        <w:rPr>
          <w:rFonts w:ascii="Times New Roman" w:eastAsia="Calibri" w:hAnsi="Times New Roman"/>
          <w:sz w:val="24"/>
          <w:szCs w:val="24"/>
          <w:lang w:val="en-US"/>
        </w:rPr>
        <w:t>,</w:t>
      </w:r>
      <w:r w:rsidRPr="00EC5D51">
        <w:rPr>
          <w:rFonts w:ascii="Times New Roman" w:eastAsia="Calibri" w:hAnsi="Times New Roman"/>
          <w:sz w:val="24"/>
          <w:szCs w:val="24"/>
        </w:rPr>
        <w:t xml:space="preserve"> но е изключително рядък вид. </w:t>
      </w:r>
    </w:p>
    <w:p w:rsidR="00EC5D51" w:rsidRPr="00EC5D51" w:rsidRDefault="00EC5D51" w:rsidP="007D1C8A">
      <w:pPr>
        <w:spacing w:before="120"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3. Състояние на биогеографско ниво и разпространение в мрежата </w:t>
      </w:r>
    </w:p>
    <w:p w:rsidR="00EC5D51" w:rsidRPr="00EC5D51" w:rsidRDefault="00EC5D51" w:rsidP="007D1C8A">
      <w:pPr>
        <w:spacing w:after="0" w:line="240" w:lineRule="auto"/>
        <w:ind w:firstLine="709"/>
        <w:jc w:val="both"/>
        <w:rPr>
          <w:rFonts w:ascii="Times New Roman" w:eastAsia="Calibri" w:hAnsi="Times New Roman"/>
          <w:color w:val="0563C1"/>
          <w:sz w:val="24"/>
          <w:szCs w:val="24"/>
          <w:u w:val="single"/>
        </w:rPr>
      </w:pPr>
      <w:r w:rsidRPr="00EC5D51">
        <w:rPr>
          <w:rFonts w:ascii="Times New Roman" w:eastAsia="Calibri" w:hAnsi="Times New Roman"/>
          <w:sz w:val="24"/>
          <w:szCs w:val="24"/>
        </w:rPr>
        <w:t>При двете проучвания предмет на докладване съгласно чл. 17 от Директивата за местообитанията (92/43/ЕИО) видът е оценен в Благоприят</w:t>
      </w:r>
      <w:r w:rsidR="00F873CF">
        <w:rPr>
          <w:rFonts w:ascii="Times New Roman" w:eastAsia="Calibri" w:hAnsi="Times New Roman"/>
          <w:sz w:val="24"/>
          <w:szCs w:val="24"/>
        </w:rPr>
        <w:t>но</w:t>
      </w:r>
      <w:r w:rsidRPr="00EC5D51">
        <w:rPr>
          <w:rFonts w:ascii="Times New Roman" w:eastAsia="Calibri" w:hAnsi="Times New Roman"/>
          <w:sz w:val="24"/>
          <w:szCs w:val="24"/>
        </w:rPr>
        <w:t xml:space="preserve"> ПС по всички показатели в </w:t>
      </w:r>
      <w:r w:rsidR="007D1C8A">
        <w:rPr>
          <w:rFonts w:ascii="Times New Roman" w:eastAsia="Calibri" w:hAnsi="Times New Roman"/>
          <w:sz w:val="24"/>
          <w:szCs w:val="24"/>
        </w:rPr>
        <w:t>К</w:t>
      </w:r>
      <w:r w:rsidRPr="00EC5D51">
        <w:rPr>
          <w:rFonts w:ascii="Times New Roman" w:eastAsia="Calibri" w:hAnsi="Times New Roman"/>
          <w:sz w:val="24"/>
          <w:szCs w:val="24"/>
        </w:rPr>
        <w:t xml:space="preserve">онтиненталния биогеографски </w:t>
      </w:r>
      <w:r w:rsidR="007D1C8A">
        <w:rPr>
          <w:rFonts w:ascii="Times New Roman" w:eastAsia="Calibri" w:hAnsi="Times New Roman"/>
          <w:sz w:val="24"/>
          <w:szCs w:val="24"/>
        </w:rPr>
        <w:t>регион</w:t>
      </w:r>
      <w:r w:rsidRPr="00EC5D51">
        <w:rPr>
          <w:rFonts w:ascii="Times New Roman" w:eastAsia="Calibri" w:hAnsi="Times New Roman"/>
          <w:sz w:val="24"/>
          <w:szCs w:val="24"/>
        </w:rPr>
        <w:t xml:space="preserve">, но не е ясно на базата на каква информация е направена тази оценка. Източник на информацията: </w:t>
      </w:r>
      <w:hyperlink r:id="rId165" w:history="1">
        <w:r w:rsidRPr="00EC5D51">
          <w:rPr>
            <w:rFonts w:ascii="Times New Roman" w:eastAsia="Calibri" w:hAnsi="Times New Roman"/>
            <w:color w:val="0563C1"/>
            <w:sz w:val="24"/>
            <w:szCs w:val="24"/>
            <w:u w:val="single"/>
          </w:rPr>
          <w:t>https://nature-art17.eionet.europa.eu/article17/species/report/</w:t>
        </w:r>
      </w:hyperlink>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EC5D51" w:rsidRPr="00EC5D51" w:rsidRDefault="00EC5D51" w:rsidP="00EC5D51">
      <w:pPr>
        <w:spacing w:after="0" w:line="240" w:lineRule="auto"/>
        <w:jc w:val="both"/>
        <w:rPr>
          <w:rFonts w:ascii="Times New Roman" w:eastAsia="Calibri" w:hAnsi="Times New Roman"/>
          <w:sz w:val="24"/>
          <w:szCs w:val="24"/>
        </w:rPr>
      </w:pPr>
      <w:r w:rsidRPr="00EC5D51">
        <w:rPr>
          <w:rFonts w:ascii="Times New Roman" w:eastAsia="Calibri" w:hAnsi="Times New Roman"/>
          <w:sz w:val="24"/>
          <w:szCs w:val="24"/>
        </w:rPr>
        <w:t>Пряко въздействащи негативни антропогенни фактори:</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Промени в скоростта на течението и натрупване на наноси в речните корита: добив на инертни материали, изграждане на хидротехнически съоръжения;</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Прекъсване на биокоридорите: преграждане на речните корита;</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 xml:space="preserve">Замърсяване на водите; </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Конкурентен натиск от шаранови видове;</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lastRenderedPageBreak/>
        <w:t>Прекомерен риболовен натиск, вкл. бракониерство.</w:t>
      </w:r>
    </w:p>
    <w:p w:rsidR="00EC5D51" w:rsidRPr="00EC5D51" w:rsidRDefault="00EC5D51" w:rsidP="00EC5D51">
      <w:pPr>
        <w:spacing w:after="0" w:line="240" w:lineRule="auto"/>
        <w:ind w:left="720"/>
        <w:contextualSpacing/>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4. Състояние на ниво защитена зона </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EC5D51" w:rsidRPr="00EC5D51" w:rsidTr="007D1C8A">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Site assessment </w:t>
            </w:r>
          </w:p>
        </w:tc>
      </w:tr>
      <w:tr w:rsidR="00EC5D51" w:rsidRPr="00EC5D51" w:rsidTr="007D1C8A">
        <w:trPr>
          <w:tblCellSpacing w:w="15" w:type="dxa"/>
        </w:trPr>
        <w:tc>
          <w:tcPr>
            <w:tcW w:w="151"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 </w:t>
            </w:r>
          </w:p>
        </w:tc>
      </w:tr>
      <w:tr w:rsidR="00EC5D51" w:rsidRPr="00EC5D51" w:rsidTr="007D1C8A">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9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Glo.</w:t>
            </w:r>
          </w:p>
        </w:tc>
      </w:tr>
      <w:tr w:rsidR="00EC5D51" w:rsidRPr="00EC5D51" w:rsidTr="00EC5D51">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F873CF" w:rsidRDefault="00F873CF" w:rsidP="00EC5D51">
            <w:pPr>
              <w:spacing w:before="120" w:after="0" w:line="259" w:lineRule="auto"/>
              <w:jc w:val="both"/>
              <w:rPr>
                <w:rFonts w:ascii="Times New Roman" w:eastAsia="Calibri" w:hAnsi="Times New Roman"/>
                <w:b/>
                <w:bCs/>
                <w:sz w:val="16"/>
                <w:szCs w:val="16"/>
              </w:rPr>
            </w:pPr>
            <w:r>
              <w:rPr>
                <w:rFonts w:ascii="Times New Roman" w:eastAsia="Calibri" w:hAnsi="Times New Roman"/>
                <w:b/>
                <w:bCs/>
                <w:sz w:val="16"/>
                <w:szCs w:val="16"/>
              </w:rPr>
              <w:t>1160</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i/>
                <w:sz w:val="16"/>
                <w:szCs w:val="16"/>
              </w:rPr>
            </w:pPr>
            <w:r w:rsidRPr="00EC5D51">
              <w:rPr>
                <w:rFonts w:ascii="Times New Roman" w:eastAsia="Calibri" w:hAnsi="Times New Roman"/>
                <w:b/>
                <w:bCs/>
                <w:sz w:val="16"/>
                <w:szCs w:val="16"/>
                <w:lang w:val="en-US"/>
              </w:rPr>
              <w:t>Zingel streber</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33820</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33820</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lang w:val="en-US"/>
              </w:rPr>
              <w:t>Ind.</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R</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G</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C</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r>
    </w:tbl>
    <w:p w:rsidR="00EC5D51" w:rsidRPr="00EC5D51" w:rsidRDefault="00EC5D51" w:rsidP="00EC5D51">
      <w:pPr>
        <w:autoSpaceDE w:val="0"/>
        <w:autoSpaceDN w:val="0"/>
        <w:adjustRightInd w:val="0"/>
        <w:spacing w:after="0" w:line="240" w:lineRule="auto"/>
        <w:jc w:val="both"/>
        <w:rPr>
          <w:rFonts w:ascii="Times New Roman" w:eastAsia="Calibri" w:hAnsi="Times New Roman"/>
          <w:b/>
          <w:sz w:val="24"/>
          <w:szCs w:val="24"/>
        </w:rPr>
      </w:pPr>
    </w:p>
    <w:p w:rsidR="00EC5D51" w:rsidRPr="00EC5D51" w:rsidRDefault="00EC5D51" w:rsidP="00EC5D51">
      <w:pPr>
        <w:autoSpaceDE w:val="0"/>
        <w:autoSpaceDN w:val="0"/>
        <w:adjustRightInd w:val="0"/>
        <w:spacing w:after="0" w:line="240" w:lineRule="auto"/>
        <w:jc w:val="both"/>
        <w:rPr>
          <w:rFonts w:ascii="Times New Roman" w:eastAsia="Calibri" w:hAnsi="Times New Roman"/>
          <w:b/>
          <w:sz w:val="24"/>
          <w:szCs w:val="24"/>
        </w:rPr>
      </w:pPr>
    </w:p>
    <w:p w:rsidR="00EC5D51" w:rsidRPr="00EC5D51" w:rsidRDefault="00EC5D51" w:rsidP="00EC5D51">
      <w:pPr>
        <w:autoSpaceDE w:val="0"/>
        <w:autoSpaceDN w:val="0"/>
        <w:adjustRightInd w:val="0"/>
        <w:spacing w:after="0" w:line="240" w:lineRule="auto"/>
        <w:jc w:val="both"/>
        <w:rPr>
          <w:rFonts w:ascii="Times New Roman" w:eastAsia="Calibri" w:hAnsi="Times New Roman"/>
          <w:bCs/>
          <w:color w:val="000000"/>
          <w:kern w:val="36"/>
          <w:sz w:val="24"/>
          <w:szCs w:val="24"/>
        </w:rPr>
      </w:pPr>
      <w:r w:rsidRPr="00EC5D51">
        <w:rPr>
          <w:rFonts w:ascii="Times New Roman" w:eastAsia="Calibri" w:hAnsi="Times New Roman"/>
          <w:b/>
          <w:sz w:val="24"/>
          <w:szCs w:val="24"/>
        </w:rPr>
        <w:t xml:space="preserve">Източник: </w:t>
      </w:r>
    </w:p>
    <w:p w:rsidR="00EC5D51" w:rsidRPr="00EC5D51" w:rsidRDefault="00DE51FF" w:rsidP="00EC5D51">
      <w:pPr>
        <w:spacing w:after="160" w:line="240" w:lineRule="auto"/>
        <w:jc w:val="both"/>
        <w:rPr>
          <w:rFonts w:ascii="Times New Roman" w:eastAsia="Calibri" w:hAnsi="Times New Roman"/>
          <w:sz w:val="24"/>
          <w:szCs w:val="24"/>
        </w:rPr>
      </w:pPr>
      <w:hyperlink r:id="rId166" w:history="1">
        <w:r w:rsidR="00EC5D51" w:rsidRPr="00EC5D51">
          <w:rPr>
            <w:rFonts w:ascii="Times New Roman" w:eastAsia="Calibri" w:hAnsi="Times New Roman"/>
            <w:color w:val="0563C1"/>
            <w:sz w:val="24"/>
            <w:szCs w:val="24"/>
            <w:u w:val="single"/>
          </w:rPr>
          <w:t>http://natura2000.moew.government.bg/Home/ProtectedSite?code=BG0000334&amp;siteType=HabitatDirective</w:t>
        </w:r>
      </w:hyperlink>
      <w:r w:rsidR="00EC5D51" w:rsidRPr="00EC5D51">
        <w:rPr>
          <w:rFonts w:ascii="Times New Roman" w:eastAsia="Calibri" w:hAnsi="Times New Roman"/>
          <w:sz w:val="24"/>
          <w:szCs w:val="24"/>
        </w:rPr>
        <w:t>.</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Оценките на различните показатели са същите както при голямата вретенарка. Качеството на данните за малката вретенарка е оценено като „добро“ (</w:t>
      </w:r>
      <w:r w:rsidRPr="00EC5D51">
        <w:rPr>
          <w:rFonts w:ascii="Times New Roman" w:eastAsia="Calibri" w:hAnsi="Times New Roman"/>
          <w:sz w:val="24"/>
          <w:szCs w:val="24"/>
          <w:lang w:val="en-US"/>
        </w:rPr>
        <w:t>R</w:t>
      </w:r>
      <w:r w:rsidRPr="00EC5D51">
        <w:rPr>
          <w:rFonts w:ascii="Times New Roman" w:eastAsia="Calibri" w:hAnsi="Times New Roman"/>
          <w:sz w:val="24"/>
          <w:szCs w:val="24"/>
        </w:rPr>
        <w:t>). Популацията е оценена като площ на местообитанията (мин-макс). Опазването на вида е оценено с „</w:t>
      </w:r>
      <w:r w:rsidRPr="00EC5D51">
        <w:rPr>
          <w:rFonts w:ascii="Times New Roman" w:eastAsia="Calibri" w:hAnsi="Times New Roman"/>
          <w:bCs/>
          <w:color w:val="000000"/>
          <w:kern w:val="36"/>
          <w:sz w:val="24"/>
          <w:szCs w:val="24"/>
        </w:rPr>
        <w:t>В“ (добро опазване)</w:t>
      </w:r>
      <w:r w:rsidRPr="00EC5D51">
        <w:rPr>
          <w:rFonts w:ascii="Times New Roman" w:eastAsia="Calibri" w:hAnsi="Times New Roman"/>
          <w:sz w:val="24"/>
          <w:szCs w:val="24"/>
        </w:rPr>
        <w:t>. Изолираността на популацията е оценена с „</w:t>
      </w:r>
      <w:r w:rsidRPr="00EC5D51">
        <w:rPr>
          <w:rFonts w:ascii="Times New Roman" w:eastAsia="Calibri" w:hAnsi="Times New Roman"/>
          <w:bCs/>
          <w:color w:val="000000"/>
          <w:kern w:val="36"/>
          <w:sz w:val="24"/>
          <w:szCs w:val="24"/>
        </w:rPr>
        <w:t>В“ (не изолирана популация, но в границата на ареала на разпространение).</w:t>
      </w:r>
      <w:r w:rsidRPr="00EC5D51">
        <w:rPr>
          <w:rFonts w:ascii="Times New Roman" w:eastAsia="Calibri" w:hAnsi="Times New Roman"/>
          <w:sz w:val="24"/>
          <w:szCs w:val="24"/>
        </w:rPr>
        <w:t xml:space="preserve"> Цялостна оценка на стойността на зоната за опазването на вида попада в категорията „</w:t>
      </w:r>
      <w:r w:rsidRPr="00EC5D51">
        <w:rPr>
          <w:rFonts w:ascii="Times New Roman" w:eastAsia="Calibri" w:hAnsi="Times New Roman"/>
          <w:bCs/>
          <w:color w:val="000000"/>
          <w:kern w:val="36"/>
          <w:sz w:val="24"/>
          <w:szCs w:val="24"/>
        </w:rPr>
        <w:t>В“ (добра стойност)</w:t>
      </w:r>
      <w:r w:rsidRPr="00EC5D51">
        <w:rPr>
          <w:rFonts w:ascii="Times New Roman" w:eastAsia="Calibri" w:hAnsi="Times New Roman"/>
          <w:sz w:val="24"/>
          <w:szCs w:val="24"/>
        </w:rPr>
        <w:t xml:space="preserve">. </w:t>
      </w:r>
    </w:p>
    <w:p w:rsidR="00EC5D51" w:rsidRPr="00EC5D51" w:rsidRDefault="00EC5D51" w:rsidP="00EC5D51">
      <w:pPr>
        <w:autoSpaceDE w:val="0"/>
        <w:autoSpaceDN w:val="0"/>
        <w:adjustRightInd w:val="0"/>
        <w:spacing w:after="0" w:line="240" w:lineRule="auto"/>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5. </w:t>
      </w:r>
      <w:r w:rsidR="007D1C8A">
        <w:rPr>
          <w:rFonts w:ascii="Times New Roman" w:eastAsia="Calibri" w:hAnsi="Times New Roman"/>
          <w:b/>
          <w:sz w:val="24"/>
          <w:szCs w:val="24"/>
        </w:rPr>
        <w:t>Анализ на наличната информация</w:t>
      </w:r>
    </w:p>
    <w:p w:rsidR="00EC5D51" w:rsidRPr="00EC5D51" w:rsidRDefault="00EC5D51" w:rsidP="007D1C8A">
      <w:pPr>
        <w:spacing w:after="0" w:line="240" w:lineRule="auto"/>
        <w:ind w:firstLine="709"/>
        <w:jc w:val="both"/>
        <w:rPr>
          <w:rFonts w:ascii="Times New Roman" w:eastAsia="Calibri" w:hAnsi="Times New Roman"/>
          <w:sz w:val="24"/>
          <w:szCs w:val="24"/>
        </w:rPr>
      </w:pPr>
      <w:r w:rsidRPr="007D1C8A">
        <w:rPr>
          <w:rFonts w:ascii="Times New Roman" w:eastAsia="Calibri" w:hAnsi="Times New Roman"/>
          <w:bCs/>
          <w:color w:val="000000"/>
          <w:kern w:val="36"/>
          <w:sz w:val="24"/>
          <w:szCs w:val="24"/>
        </w:rPr>
        <w:t>Видът</w:t>
      </w:r>
      <w:r w:rsidRPr="00EC5D51">
        <w:rPr>
          <w:rFonts w:ascii="Times New Roman" w:eastAsia="Calibri" w:hAnsi="Times New Roman"/>
          <w:sz w:val="24"/>
          <w:szCs w:val="24"/>
        </w:rPr>
        <w:t xml:space="preserve"> е регистриран през 2013 г. в зоната по време на проект "Картиране и определяне на природозащитното състояние на природни местообитания и видове - фаза I". По всички критерии ПС е оценено като „благоприятно“. В стандартния формуляр като популационна единица е използвана численост в зоната (33820 макс.-мин.). Видът не е обект на стопански риболов и не се отчита отделно в риболовната статистика. </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В зоната </w:t>
      </w:r>
      <w:r w:rsidRPr="007D1C8A">
        <w:rPr>
          <w:rFonts w:ascii="Times New Roman" w:eastAsia="Calibri" w:hAnsi="Times New Roman"/>
          <w:bCs/>
          <w:color w:val="000000"/>
          <w:kern w:val="36"/>
          <w:sz w:val="24"/>
          <w:szCs w:val="24"/>
        </w:rPr>
        <w:t>видът</w:t>
      </w:r>
      <w:r w:rsidRPr="00EC5D51">
        <w:rPr>
          <w:rFonts w:ascii="Times New Roman" w:eastAsia="Calibri" w:hAnsi="Times New Roman"/>
          <w:sz w:val="24"/>
          <w:szCs w:val="24"/>
        </w:rPr>
        <w:t xml:space="preserve"> се среща само в р. Дунав, но зоната не е гранична за ареала. Участъкът от река Дунав в зоната, според своите хидроморфологични характеристики представлява подходящо местообитание за вида и ефективен екокоридор за връзка с останалите части на популацията, тъй като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въпреки, че стойностите на параметъра „Сапробност“ (ББИ) вероятно са индикатор за наличието на акумулиран натиск от по-горните участъци на р. Дунав. По данни от международното научно изследване </w:t>
      </w:r>
      <w:r w:rsidRPr="00EC5D51">
        <w:rPr>
          <w:rFonts w:ascii="Times New Roman" w:eastAsia="Calibri" w:hAnsi="Times New Roman"/>
          <w:sz w:val="24"/>
          <w:szCs w:val="24"/>
          <w:lang w:val="en-US"/>
        </w:rPr>
        <w:t>“JDS 4”</w:t>
      </w:r>
      <w:r w:rsidRPr="00EC5D51">
        <w:rPr>
          <w:rFonts w:ascii="Times New Roman" w:eastAsia="Calibri" w:hAnsi="Times New Roman"/>
          <w:sz w:val="24"/>
          <w:szCs w:val="24"/>
        </w:rPr>
        <w:t xml:space="preserve">, през 2019 </w:t>
      </w:r>
      <w:r w:rsidR="00B54527">
        <w:rPr>
          <w:rFonts w:ascii="Times New Roman" w:eastAsia="Calibri" w:hAnsi="Times New Roman"/>
          <w:sz w:val="24"/>
          <w:szCs w:val="24"/>
        </w:rPr>
        <w:t xml:space="preserve">г. </w:t>
      </w:r>
      <w:r w:rsidRPr="00EC5D51">
        <w:rPr>
          <w:rFonts w:ascii="Times New Roman" w:eastAsia="Calibri" w:hAnsi="Times New Roman"/>
          <w:sz w:val="24"/>
          <w:szCs w:val="24"/>
        </w:rPr>
        <w:t xml:space="preserve">на най-близкия мониторингов пункт на р. Дунав при с. Ветрен е определен </w:t>
      </w:r>
      <w:r w:rsidR="00B54527">
        <w:rPr>
          <w:rFonts w:ascii="Times New Roman" w:eastAsia="Calibri" w:hAnsi="Times New Roman"/>
          <w:sz w:val="24"/>
          <w:szCs w:val="24"/>
        </w:rPr>
        <w:t>„</w:t>
      </w:r>
      <w:r w:rsidRPr="00EC5D51">
        <w:rPr>
          <w:rFonts w:ascii="Times New Roman" w:eastAsia="Calibri" w:hAnsi="Times New Roman"/>
          <w:sz w:val="24"/>
          <w:szCs w:val="24"/>
        </w:rPr>
        <w:t>Добър екологичен потенциал</w:t>
      </w:r>
      <w:r w:rsidR="00B54527">
        <w:rPr>
          <w:rFonts w:ascii="Times New Roman" w:eastAsia="Calibri" w:hAnsi="Times New Roman"/>
          <w:sz w:val="24"/>
          <w:szCs w:val="24"/>
        </w:rPr>
        <w:t>“</w:t>
      </w:r>
      <w:r w:rsidRPr="00EC5D51">
        <w:rPr>
          <w:rFonts w:ascii="Times New Roman" w:eastAsia="Calibri" w:hAnsi="Times New Roman"/>
          <w:sz w:val="24"/>
          <w:szCs w:val="24"/>
        </w:rPr>
        <w:t xml:space="preserve"> по БЕК Риби, БЕК Макрозообентос и БЕК Макрофити.</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При полевото проучване </w:t>
      </w:r>
      <w:r w:rsidR="00B54527">
        <w:rPr>
          <w:rFonts w:ascii="Times New Roman" w:eastAsia="Calibri" w:hAnsi="Times New Roman"/>
          <w:sz w:val="24"/>
          <w:szCs w:val="24"/>
        </w:rPr>
        <w:t xml:space="preserve">пре 2021 г. </w:t>
      </w:r>
      <w:r w:rsidRPr="00EC5D51">
        <w:rPr>
          <w:rFonts w:ascii="Times New Roman" w:eastAsia="Calibri" w:hAnsi="Times New Roman"/>
          <w:sz w:val="24"/>
          <w:szCs w:val="24"/>
        </w:rPr>
        <w:t xml:space="preserve">по време на проекта за определяне на целите за опазване на вида в защитената зона са извършени пробни улови съгласно </w:t>
      </w:r>
      <w:r w:rsidRPr="00EC5D51">
        <w:rPr>
          <w:rFonts w:ascii="Times New Roman" w:eastAsia="Calibri" w:hAnsi="Times New Roman"/>
          <w:sz w:val="24"/>
          <w:szCs w:val="24"/>
        </w:rPr>
        <w:lastRenderedPageBreak/>
        <w:t>утвърдената методика за мониторинг на риби в р. Дунав. Пронабиране е извършено в откритата централна част на реката с добре изразено течение. Използван е един метод за пробонабиране приложим за този вид (подход за мониторинг на риби в р. Дунав)</w:t>
      </w:r>
      <w:r w:rsidR="00B54527">
        <w:rPr>
          <w:rFonts w:ascii="Times New Roman" w:eastAsia="Calibri" w:hAnsi="Times New Roman"/>
          <w:sz w:val="24"/>
          <w:szCs w:val="24"/>
        </w:rPr>
        <w:t>,</w:t>
      </w:r>
      <w:r w:rsidR="00B54527" w:rsidRPr="00B54527">
        <w:rPr>
          <w:rFonts w:ascii="Times New Roman" w:eastAsia="Calibri" w:hAnsi="Times New Roman"/>
          <w:sz w:val="24"/>
          <w:szCs w:val="24"/>
        </w:rPr>
        <w:t xml:space="preserve"> </w:t>
      </w:r>
      <w:r w:rsidR="00B54527" w:rsidRPr="00EC5D51">
        <w:rPr>
          <w:rFonts w:ascii="Times New Roman" w:eastAsia="Calibri" w:hAnsi="Times New Roman"/>
          <w:sz w:val="24"/>
          <w:szCs w:val="24"/>
        </w:rPr>
        <w:t>приет в Националната система за мониторинг на биологичното разнообразие (</w:t>
      </w:r>
      <w:hyperlink r:id="rId167" w:history="1">
        <w:r w:rsidR="00B54527" w:rsidRPr="00EC5D51">
          <w:rPr>
            <w:rFonts w:ascii="Times New Roman" w:eastAsia="Calibri" w:hAnsi="Times New Roman"/>
            <w:color w:val="0563C1"/>
            <w:sz w:val="24"/>
            <w:szCs w:val="24"/>
            <w:u w:val="single"/>
          </w:rPr>
          <w:t>http://eea.government.bg/bg/bio/nsmbr/praktichesko-rakovodstvo-metodiki-za-monitoring-i-otsenka/Podhod_Dunav.pdf</w:t>
        </w:r>
      </w:hyperlink>
      <w:r w:rsidRPr="00EC5D51">
        <w:rPr>
          <w:rFonts w:ascii="Times New Roman" w:eastAsia="Calibri" w:hAnsi="Times New Roman"/>
          <w:sz w:val="24"/>
          <w:szCs w:val="24"/>
        </w:rPr>
        <w:t xml:space="preserve">: плаващи дънни мрежи с размер на отворите 2-3 см, пускани на рибарските тони или в </w:t>
      </w:r>
      <w:r w:rsidR="00B54527">
        <w:rPr>
          <w:rFonts w:ascii="Times New Roman" w:eastAsia="Calibri" w:hAnsi="Times New Roman"/>
          <w:sz w:val="24"/>
          <w:szCs w:val="24"/>
        </w:rPr>
        <w:t>други участъци с чакълесто дъно</w:t>
      </w:r>
      <w:r w:rsidRPr="00EC5D51">
        <w:rPr>
          <w:rFonts w:ascii="Times New Roman" w:eastAsia="Calibri" w:hAnsi="Times New Roman"/>
          <w:sz w:val="24"/>
          <w:szCs w:val="24"/>
        </w:rPr>
        <w:t>. Извършено е четирикратно пробонабиране с дънна хрилна мрежа с дължина 100 м и размер на отворите 3 см. Дължината на трансектите е около 500 м. При този подход числеността на рибите се определя като улов (индивиди) на единица риболовно усилие (ind. CPUE). При определяне на CPUE се отчитат размерите на мрежата, времето на експозиция и разстоянието, което е изминато за това врече.</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Не е регистриран нито един екземпляр на вида в нито един от трансектите.</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Според информация, получена от местни рибари, видът отдавна отсъства в уловите.</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Защитена зона </w:t>
      </w:r>
      <w:r w:rsidRPr="00EC5D51">
        <w:rPr>
          <w:rFonts w:ascii="Times New Roman" w:eastAsia="Calibri" w:hAnsi="Times New Roman"/>
          <w:sz w:val="24"/>
          <w:szCs w:val="24"/>
          <w:lang w:val="en-US"/>
        </w:rPr>
        <w:t>BG0000241</w:t>
      </w:r>
      <w:r w:rsidRPr="00EC5D51">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w:t>
      </w:r>
      <w:r w:rsidR="00B54527">
        <w:rPr>
          <w:rFonts w:ascii="Times New Roman" w:eastAsia="Calibri" w:hAnsi="Times New Roman"/>
          <w:sz w:val="24"/>
          <w:szCs w:val="24"/>
        </w:rPr>
        <w:t>незаконен</w:t>
      </w:r>
      <w:r w:rsidRPr="00EC5D51">
        <w:rPr>
          <w:rFonts w:ascii="Times New Roman" w:eastAsia="Calibri" w:hAnsi="Times New Roman"/>
          <w:sz w:val="24"/>
          <w:szCs w:val="24"/>
        </w:rPr>
        <w:t>),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EC5D51" w:rsidRPr="00EC5D51" w:rsidRDefault="00EC5D51" w:rsidP="007D1C8A">
      <w:pPr>
        <w:spacing w:before="120"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6. Цели за подобряване/поддържане на природозащит</w:t>
      </w:r>
      <w:r w:rsidR="00F873CF">
        <w:rPr>
          <w:rFonts w:ascii="Times New Roman" w:eastAsia="Calibri" w:hAnsi="Times New Roman"/>
          <w:b/>
          <w:sz w:val="24"/>
          <w:szCs w:val="24"/>
        </w:rPr>
        <w:t>ното състояние на вида в зоната</w:t>
      </w:r>
    </w:p>
    <w:p w:rsidR="00EC5D51" w:rsidRDefault="00EC5D51" w:rsidP="00EC5D51">
      <w:pPr>
        <w:spacing w:before="120" w:after="0" w:line="240" w:lineRule="auto"/>
        <w:jc w:val="both"/>
        <w:rPr>
          <w:rFonts w:ascii="Times New Roman" w:eastAsia="Calibri" w:hAnsi="Times New Roman"/>
          <w:sz w:val="24"/>
          <w:szCs w:val="24"/>
        </w:rPr>
      </w:pPr>
      <w:r w:rsidRPr="00EC5D51">
        <w:rPr>
          <w:rFonts w:ascii="Times New Roman" w:eastAsia="Calibri" w:hAnsi="Times New Roman"/>
          <w:sz w:val="24"/>
          <w:szCs w:val="24"/>
        </w:rPr>
        <w:t>Целите са формулирани по показатели, в таблицата по-долу.</w:t>
      </w:r>
    </w:p>
    <w:p w:rsidR="00634ACE" w:rsidRPr="00EC5D51" w:rsidRDefault="00634ACE" w:rsidP="00EC5D51">
      <w:pPr>
        <w:spacing w:before="120" w:after="0" w:line="240" w:lineRule="auto"/>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133"/>
        <w:gridCol w:w="1137"/>
        <w:gridCol w:w="3460"/>
        <w:gridCol w:w="1855"/>
      </w:tblGrid>
      <w:tr w:rsidR="00EC5D51" w:rsidRPr="00EC5D51" w:rsidTr="00634ACE">
        <w:trPr>
          <w:tblHeader/>
          <w:jc w:val="center"/>
        </w:trPr>
        <w:tc>
          <w:tcPr>
            <w:tcW w:w="756"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eastAsia="Calibri" w:hAnsi="Times New Roman"/>
                <w:b/>
                <w:bCs/>
              </w:rPr>
              <w:t>Параметър</w:t>
            </w:r>
          </w:p>
        </w:tc>
        <w:tc>
          <w:tcPr>
            <w:tcW w:w="634"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Мерна единица</w:t>
            </w:r>
          </w:p>
        </w:tc>
        <w:tc>
          <w:tcPr>
            <w:tcW w:w="636"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Целева стойност</w:t>
            </w:r>
          </w:p>
        </w:tc>
        <w:tc>
          <w:tcPr>
            <w:tcW w:w="1936"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eastAsia="Calibri" w:hAnsi="Times New Roman"/>
                <w:b/>
                <w:bCs/>
              </w:rPr>
              <w:t>Специфични цели на опазване за зоната</w:t>
            </w:r>
          </w:p>
        </w:tc>
      </w:tr>
      <w:tr w:rsidR="00EC5D51" w:rsidRPr="00EC5D51" w:rsidTr="00634ACE">
        <w:trPr>
          <w:jc w:val="center"/>
        </w:trPr>
        <w:tc>
          <w:tcPr>
            <w:tcW w:w="756" w:type="pct"/>
            <w:vMerge w:val="restart"/>
            <w:shd w:val="clear" w:color="auto" w:fill="auto"/>
          </w:tcPr>
          <w:p w:rsidR="00EC5D51" w:rsidRPr="00EC5D51" w:rsidRDefault="00EC5D51" w:rsidP="00EC5D51">
            <w:pPr>
              <w:spacing w:before="120" w:after="120" w:line="240" w:lineRule="auto"/>
              <w:rPr>
                <w:rFonts w:ascii="Times New Roman" w:eastAsia="Calibri" w:hAnsi="Times New Roman"/>
                <w:b/>
                <w:lang w:val="en-US"/>
              </w:rPr>
            </w:pPr>
            <w:r w:rsidRPr="00EC5D51">
              <w:rPr>
                <w:rFonts w:ascii="Times New Roman" w:eastAsia="Calibri" w:hAnsi="Times New Roman"/>
                <w:b/>
              </w:rPr>
              <w:t>Плътност на популацията</w:t>
            </w:r>
          </w:p>
        </w:tc>
        <w:tc>
          <w:tcPr>
            <w:tcW w:w="634" w:type="pct"/>
            <w:vMerge w:val="restar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ind. CPUE</w:t>
            </w:r>
          </w:p>
        </w:tc>
        <w:tc>
          <w:tcPr>
            <w:tcW w:w="636" w:type="pct"/>
            <w:vMerge w:val="restar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Най-малко</w:t>
            </w:r>
            <w:r w:rsidRPr="00EC5D51">
              <w:rPr>
                <w:rFonts w:ascii="Times New Roman" w:eastAsia="Calibri" w:hAnsi="Times New Roman"/>
                <w:lang w:val="en-US"/>
              </w:rPr>
              <w:t xml:space="preserve"> </w:t>
            </w:r>
            <w:r w:rsidRPr="00EC5D51">
              <w:rPr>
                <w:rFonts w:ascii="Times New Roman" w:eastAsia="Calibri" w:hAnsi="Times New Roman"/>
              </w:rPr>
              <w:t xml:space="preserve">1-2 </w:t>
            </w:r>
          </w:p>
        </w:tc>
        <w:tc>
          <w:tcPr>
            <w:tcW w:w="1936" w:type="pct"/>
            <w:vMerge w:val="restar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Стойността по този параметър при работа с плаващи мрежи се определя като брой на уловените екземпляри от вида спрямо площта на хрилните мрежи, времето на плаването им в работно положение и изминатото разстояние. След това броят на уловените екземпляри се преизчислява на единица риболовно усилие (ind. CPUE). </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Според наличните данни (проект "Картиране и определяне на природозащитното състояние на природни местообитания и </w:t>
            </w:r>
            <w:r w:rsidRPr="00EC5D51">
              <w:rPr>
                <w:rFonts w:ascii="Times New Roman" w:eastAsia="Calibri" w:hAnsi="Times New Roman"/>
              </w:rPr>
              <w:lastRenderedPageBreak/>
              <w:t>видове - фаза I".) средната стойност на числеността на вида в зоната не е определена. Няма данни и от последващи регистрации на вида в зоната, вкл. и през 2021 г., когато е проведено теренно проучване за вида на 4 трансекта по ок. 500 м. Поради тази причина минималната целева стойност на популацията се определя чрез експертна преценка като се отчита  референтната стойност, предложена експертно по време на проект "Картиране и определяне на природозащитното състояние на природни местообитания и видове - фаза I" (10-20 екз./ха).</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По отношение на натиска, този конкретен речен участък в рамките на защитената зона може да се счита за хомогенен. Кумулативният натиск с източници на произход извън зоната може да бъде значим, но към момента не може да бъде отчетен.</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Съгласно методиката за оценка на състоянието на риби в НСМБР референтните стойности за плътността на популацията на този вид не са установени. </w:t>
            </w:r>
          </w:p>
        </w:tc>
        <w:tc>
          <w:tcPr>
            <w:tcW w:w="1038" w:type="pct"/>
          </w:tcPr>
          <w:p w:rsidR="00EC5D51" w:rsidRPr="00EC5D51" w:rsidRDefault="00EC5D51" w:rsidP="00635999">
            <w:pPr>
              <w:numPr>
                <w:ilvl w:val="0"/>
                <w:numId w:val="20"/>
              </w:numPr>
              <w:spacing w:before="120" w:after="120" w:line="240" w:lineRule="auto"/>
              <w:ind w:left="5" w:firstLine="0"/>
              <w:contextualSpacing/>
              <w:jc w:val="both"/>
              <w:rPr>
                <w:rFonts w:ascii="Times New Roman" w:eastAsia="Calibri" w:hAnsi="Times New Roman"/>
              </w:rPr>
            </w:pPr>
            <w:r w:rsidRPr="00EC5D51">
              <w:rPr>
                <w:rFonts w:ascii="Times New Roman" w:eastAsia="Calibri" w:hAnsi="Times New Roman"/>
              </w:rPr>
              <w:lastRenderedPageBreak/>
              <w:t>Поддържане на ниска численост на инвазивни дънни видове риби (</w:t>
            </w:r>
            <w:r w:rsidRPr="00B54527">
              <w:rPr>
                <w:rFonts w:ascii="Times New Roman" w:eastAsia="Calibri" w:hAnsi="Times New Roman"/>
                <w:i/>
              </w:rPr>
              <w:t>Neogobius melanostomus</w:t>
            </w:r>
            <w:r w:rsidRPr="00B54527">
              <w:rPr>
                <w:rFonts w:ascii="Times New Roman" w:eastAsia="Calibri" w:hAnsi="Times New Roman"/>
                <w:i/>
                <w:lang w:val="en-US"/>
              </w:rPr>
              <w:t>,</w:t>
            </w:r>
            <w:r w:rsidRPr="00B54527">
              <w:rPr>
                <w:rFonts w:ascii="Times New Roman" w:eastAsia="Calibri" w:hAnsi="Times New Roman"/>
                <w:i/>
              </w:rPr>
              <w:t xml:space="preserve"> </w:t>
            </w:r>
            <w:r w:rsidRPr="00B54527">
              <w:rPr>
                <w:rFonts w:ascii="Times New Roman" w:eastAsia="Calibri" w:hAnsi="Times New Roman"/>
                <w:i/>
                <w:lang w:val="en-US"/>
              </w:rPr>
              <w:t>P</w:t>
            </w:r>
            <w:r w:rsidRPr="00B54527">
              <w:rPr>
                <w:rFonts w:ascii="Times New Roman" w:eastAsia="Calibri" w:hAnsi="Times New Roman"/>
                <w:i/>
              </w:rPr>
              <w:t>erccottus glenii</w:t>
            </w:r>
            <w:r w:rsidRPr="00EC5D51">
              <w:rPr>
                <w:rFonts w:ascii="Times New Roman" w:eastAsia="Calibri" w:hAnsi="Times New Roman"/>
              </w:rPr>
              <w:t>). Предотвратяване на разпространението на нови инвазивни видове риби.</w:t>
            </w:r>
          </w:p>
        </w:tc>
      </w:tr>
      <w:tr w:rsidR="00EC5D51" w:rsidRPr="00EC5D51" w:rsidTr="00634ACE">
        <w:trPr>
          <w:jc w:val="center"/>
        </w:trPr>
        <w:tc>
          <w:tcPr>
            <w:tcW w:w="756" w:type="pct"/>
            <w:vMerge/>
            <w:shd w:val="clear" w:color="auto" w:fill="auto"/>
          </w:tcPr>
          <w:p w:rsidR="00EC5D51" w:rsidRPr="00EC5D51" w:rsidRDefault="00EC5D51" w:rsidP="00EC5D51">
            <w:pPr>
              <w:spacing w:before="120" w:after="120" w:line="240" w:lineRule="auto"/>
              <w:rPr>
                <w:rFonts w:ascii="Times New Roman" w:eastAsia="Calibri" w:hAnsi="Times New Roman"/>
                <w:b/>
              </w:rPr>
            </w:pPr>
          </w:p>
        </w:tc>
        <w:tc>
          <w:tcPr>
            <w:tcW w:w="634" w:type="pct"/>
            <w:vMerge/>
            <w:shd w:val="clear" w:color="auto" w:fill="auto"/>
          </w:tcPr>
          <w:p w:rsidR="00EC5D51" w:rsidRPr="00EC5D51" w:rsidRDefault="00EC5D51" w:rsidP="00EC5D51">
            <w:pPr>
              <w:spacing w:before="120" w:after="120" w:line="240" w:lineRule="auto"/>
              <w:rPr>
                <w:rFonts w:ascii="Times New Roman" w:eastAsia="Calibri" w:hAnsi="Times New Roman"/>
              </w:rPr>
            </w:pPr>
          </w:p>
        </w:tc>
        <w:tc>
          <w:tcPr>
            <w:tcW w:w="636" w:type="pct"/>
            <w:vMerge/>
            <w:shd w:val="clear" w:color="auto" w:fill="auto"/>
          </w:tcPr>
          <w:p w:rsidR="00EC5D51" w:rsidRPr="00EC5D51" w:rsidRDefault="00EC5D51" w:rsidP="00EC5D51">
            <w:pPr>
              <w:spacing w:before="120" w:after="120" w:line="240" w:lineRule="auto"/>
              <w:rPr>
                <w:rFonts w:ascii="Times New Roman" w:eastAsia="Calibri" w:hAnsi="Times New Roman"/>
              </w:rPr>
            </w:pPr>
          </w:p>
        </w:tc>
        <w:tc>
          <w:tcPr>
            <w:tcW w:w="1936" w:type="pct"/>
            <w:vMerge/>
            <w:shd w:val="clear" w:color="auto" w:fill="auto"/>
          </w:tcPr>
          <w:p w:rsidR="00EC5D51" w:rsidRPr="00EC5D51" w:rsidRDefault="00EC5D51" w:rsidP="00EC5D51">
            <w:pPr>
              <w:spacing w:before="120" w:after="120" w:line="240" w:lineRule="auto"/>
              <w:jc w:val="both"/>
              <w:rPr>
                <w:rFonts w:ascii="Times New Roman" w:eastAsia="Calibri" w:hAnsi="Times New Roman"/>
              </w:rPr>
            </w:pPr>
          </w:p>
        </w:tc>
        <w:tc>
          <w:tcPr>
            <w:tcW w:w="1038" w:type="pct"/>
          </w:tcPr>
          <w:p w:rsidR="00EC5D51" w:rsidRPr="00EC5D51" w:rsidRDefault="00EC5D51" w:rsidP="00635999">
            <w:pPr>
              <w:numPr>
                <w:ilvl w:val="0"/>
                <w:numId w:val="20"/>
              </w:numPr>
              <w:spacing w:before="120" w:after="120" w:line="240" w:lineRule="auto"/>
              <w:ind w:left="5" w:firstLine="0"/>
              <w:contextualSpacing/>
              <w:jc w:val="both"/>
              <w:rPr>
                <w:rFonts w:ascii="Times New Roman" w:eastAsia="Calibri" w:hAnsi="Times New Roman"/>
              </w:rPr>
            </w:pPr>
            <w:r w:rsidRPr="00EC5D51">
              <w:rPr>
                <w:rFonts w:ascii="Times New Roman" w:eastAsia="Calibri" w:hAnsi="Times New Roman"/>
              </w:rPr>
              <w:t>Предотвр</w:t>
            </w:r>
            <w:r w:rsidRPr="00EC5D51">
              <w:rPr>
                <w:rFonts w:ascii="Times New Roman" w:eastAsia="Calibri" w:hAnsi="Times New Roman"/>
              </w:rPr>
              <w:lastRenderedPageBreak/>
              <w:t>атяване на бракониерския риболов, в т.ч.: използване на незаконни уреди и начини за риболов, неспазване на сезонните ограничения, извършване на стопански риболов без съответно разрешително</w:t>
            </w:r>
          </w:p>
        </w:tc>
      </w:tr>
      <w:tr w:rsidR="00EC5D51" w:rsidRPr="00EC5D51" w:rsidTr="00634ACE">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 xml:space="preserve">Местообитание на вида: </w:t>
            </w:r>
          </w:p>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речна мрежа, представляваща потенциално местообитание за вида</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км</w:t>
            </w:r>
          </w:p>
        </w:tc>
        <w:tc>
          <w:tcPr>
            <w:tcW w:w="636"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shd w:val="clear" w:color="auto" w:fill="FFFFFF"/>
              </w:rPr>
              <w:t>Най-малко 3 км</w:t>
            </w:r>
          </w:p>
        </w:tc>
        <w:tc>
          <w:tcPr>
            <w:tcW w:w="1936"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Тъй като в границите на зоната видът се среща само в р. Дунав, като размер на местообитанието на вида се определя дължината на участъка от р. Дунав в границите на ЗЗ. Чрез ГИС анализ е установено, че 3 км от р. Дунав в защитената зона отговарят на посочените критерии. </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Поддържане на речната мрежа, представляваща подходящо местообитание, обитавано от вида, най-малко 3 км. </w:t>
            </w:r>
          </w:p>
          <w:p w:rsidR="00EC5D51" w:rsidRPr="00EC5D51" w:rsidRDefault="00EC5D51" w:rsidP="00EC5D51">
            <w:pPr>
              <w:spacing w:before="120" w:after="120" w:line="240" w:lineRule="auto"/>
              <w:jc w:val="both"/>
              <w:rPr>
                <w:rFonts w:ascii="Times New Roman" w:eastAsia="Calibri" w:hAnsi="Times New Roman"/>
              </w:rPr>
            </w:pPr>
          </w:p>
          <w:p w:rsidR="00EC5D51" w:rsidRPr="00EC5D51" w:rsidRDefault="00EC5D51" w:rsidP="00EC5D51">
            <w:pPr>
              <w:spacing w:before="120" w:after="120" w:line="240" w:lineRule="auto"/>
              <w:jc w:val="both"/>
              <w:rPr>
                <w:rFonts w:ascii="Times New Roman" w:eastAsia="Calibri" w:hAnsi="Times New Roman"/>
              </w:rPr>
            </w:pPr>
          </w:p>
        </w:tc>
      </w:tr>
      <w:tr w:rsidR="00EC5D51" w:rsidRPr="00EC5D51" w:rsidTr="00634ACE">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 xml:space="preserve">Местообитание на вида: </w:t>
            </w:r>
          </w:p>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 xml:space="preserve">Степен на свързаност на местообитанието на вида </w:t>
            </w:r>
          </w:p>
          <w:p w:rsidR="00EC5D51" w:rsidRPr="00EC5D51" w:rsidRDefault="00EC5D51" w:rsidP="00EC5D51">
            <w:pPr>
              <w:spacing w:before="120" w:after="120" w:line="240" w:lineRule="auto"/>
              <w:rPr>
                <w:rFonts w:ascii="Times New Roman" w:eastAsia="Calibri" w:hAnsi="Times New Roman"/>
                <w:b/>
              </w:rPr>
            </w:pPr>
          </w:p>
          <w:p w:rsidR="00EC5D51" w:rsidRPr="00EC5D51" w:rsidRDefault="00EC5D51" w:rsidP="00EC5D51">
            <w:pPr>
              <w:spacing w:before="120" w:after="120" w:line="240" w:lineRule="auto"/>
              <w:rPr>
                <w:rFonts w:ascii="Times New Roman" w:eastAsia="Calibri" w:hAnsi="Times New Roman"/>
                <w:b/>
              </w:rPr>
            </w:pP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lastRenderedPageBreak/>
              <w:t xml:space="preserve">5 степенна скала за </w:t>
            </w:r>
            <w:r w:rsidRPr="00EC5D51">
              <w:rPr>
                <w:rFonts w:ascii="Times New Roman" w:eastAsia="Calibri" w:hAnsi="Times New Roman"/>
              </w:rPr>
              <w:lastRenderedPageBreak/>
              <w:t xml:space="preserve">всяка бариера </w:t>
            </w:r>
          </w:p>
        </w:tc>
        <w:tc>
          <w:tcPr>
            <w:tcW w:w="636" w:type="pct"/>
            <w:shd w:val="clear" w:color="auto" w:fill="auto"/>
          </w:tcPr>
          <w:p w:rsidR="00EC5D51" w:rsidRPr="00EC5D51" w:rsidRDefault="00EC5D51" w:rsidP="00EC5D51">
            <w:pPr>
              <w:spacing w:before="120" w:after="120" w:line="240" w:lineRule="auto"/>
              <w:rPr>
                <w:rFonts w:ascii="Times New Roman" w:eastAsia="Calibri" w:hAnsi="Times New Roman"/>
                <w:lang w:val="en-US"/>
              </w:rPr>
            </w:pPr>
            <w:r w:rsidRPr="00EC5D51">
              <w:rPr>
                <w:rFonts w:ascii="Times New Roman" w:eastAsia="Calibri" w:hAnsi="Times New Roman"/>
              </w:rPr>
              <w:lastRenderedPageBreak/>
              <w:t>Степен</w:t>
            </w:r>
            <w:r w:rsidRPr="00EC5D51">
              <w:rPr>
                <w:rFonts w:ascii="Times New Roman" w:eastAsia="Calibri" w:hAnsi="Times New Roman"/>
                <w:lang w:val="en-US"/>
              </w:rPr>
              <w:t xml:space="preserve"> 1</w:t>
            </w:r>
          </w:p>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 xml:space="preserve">за всяка </w:t>
            </w:r>
            <w:r w:rsidRPr="00EC5D51">
              <w:rPr>
                <w:rFonts w:ascii="Times New Roman" w:eastAsia="Calibri" w:hAnsi="Times New Roman"/>
              </w:rPr>
              <w:lastRenderedPageBreak/>
              <w:t>бариера</w:t>
            </w:r>
          </w:p>
        </w:tc>
        <w:tc>
          <w:tcPr>
            <w:tcW w:w="1936"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 xml:space="preserve">Методът за оценка на миграционните бариери е променен. Не е приложена същата </w:t>
            </w:r>
            <w:r w:rsidRPr="00EC5D51">
              <w:rPr>
                <w:rFonts w:ascii="Times New Roman" w:eastAsia="Calibri" w:hAnsi="Times New Roman"/>
              </w:rPr>
              <w:lastRenderedPageBreak/>
              <w:t xml:space="preserve">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На базата на информацията в ПУБР 2016-2021 г. и пробонабирането през 2021 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 xml:space="preserve">Поддържане на свързаност на местообитанието </w:t>
            </w:r>
            <w:r w:rsidRPr="00EC5D51">
              <w:rPr>
                <w:rFonts w:ascii="Times New Roman" w:eastAsia="Calibri" w:hAnsi="Times New Roman"/>
              </w:rPr>
              <w:lastRenderedPageBreak/>
              <w:t xml:space="preserve">на вида от Степен 1 за всяка бариера в речния участък. </w:t>
            </w:r>
          </w:p>
        </w:tc>
      </w:tr>
      <w:tr w:rsidR="00EC5D51" w:rsidRPr="00EC5D51" w:rsidTr="00634ACE">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 xml:space="preserve">Местообитание на вида: Екологично състояние на водните тела с потенциални </w:t>
            </w:r>
            <w:r w:rsidRPr="00EC5D51">
              <w:rPr>
                <w:rFonts w:ascii="Times New Roman" w:eastAsia="Calibri" w:hAnsi="Times New Roman"/>
                <w:b/>
              </w:rPr>
              <w:lastRenderedPageBreak/>
              <w:t xml:space="preserve">местообитания за вида въз основа на биологичните елементи за качесто (БЕК  Макрозообентос, Фитобентос, Риби, Макрофити) </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lastRenderedPageBreak/>
              <w:t xml:space="preserve">5 степенна скала за екологично състояние съгласно РДВ </w:t>
            </w:r>
          </w:p>
        </w:tc>
        <w:tc>
          <w:tcPr>
            <w:tcW w:w="636" w:type="pct"/>
            <w:shd w:val="clear" w:color="auto" w:fill="auto"/>
          </w:tcPr>
          <w:p w:rsidR="00EC5D51" w:rsidRPr="00EC5D51" w:rsidRDefault="00EC5D51" w:rsidP="00B54527">
            <w:pPr>
              <w:spacing w:before="120" w:after="120" w:line="240" w:lineRule="auto"/>
              <w:rPr>
                <w:rFonts w:ascii="Times New Roman" w:eastAsia="Calibri" w:hAnsi="Times New Roman"/>
              </w:rPr>
            </w:pPr>
            <w:r w:rsidRPr="00EC5D51">
              <w:rPr>
                <w:rFonts w:ascii="Times New Roman" w:eastAsia="Calibri" w:hAnsi="Times New Roman"/>
              </w:rPr>
              <w:t xml:space="preserve">По-висока или равна на 2 – </w:t>
            </w:r>
            <w:r w:rsidR="00B54527">
              <w:rPr>
                <w:rFonts w:ascii="Times New Roman" w:eastAsia="Calibri" w:hAnsi="Times New Roman"/>
              </w:rPr>
              <w:t>Добър потенциал</w:t>
            </w:r>
            <w:r w:rsidRPr="00EC5D51">
              <w:rPr>
                <w:rFonts w:ascii="Times New Roman" w:eastAsia="Calibri" w:hAnsi="Times New Roman"/>
              </w:rPr>
              <w:t>е</w:t>
            </w:r>
          </w:p>
        </w:tc>
        <w:tc>
          <w:tcPr>
            <w:tcW w:w="1936" w:type="pct"/>
            <w:shd w:val="clear" w:color="auto" w:fill="auto"/>
          </w:tcPr>
          <w:p w:rsidR="00EC5D51" w:rsidRPr="00EC5D51" w:rsidRDefault="00EC5D51" w:rsidP="00EC5D51">
            <w:pPr>
              <w:spacing w:after="0" w:line="240" w:lineRule="auto"/>
              <w:jc w:val="both"/>
              <w:rPr>
                <w:rFonts w:ascii="Times New Roman" w:eastAsia="Calibri" w:hAnsi="Times New Roman"/>
              </w:rPr>
            </w:pPr>
            <w:r w:rsidRPr="00EC5D51">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„сапробен статус“ се използва за да се оцени състоянието на местообитанията им. РДВ </w:t>
            </w:r>
            <w:r w:rsidRPr="00EC5D51">
              <w:rPr>
                <w:rFonts w:ascii="Times New Roman" w:eastAsia="Calibri" w:hAnsi="Times New Roman"/>
              </w:rPr>
              <w:lastRenderedPageBreak/>
              <w:t xml:space="preserve">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EC5D51" w:rsidRPr="00EC5D51" w:rsidTr="00EC5D51">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EC5D51" w:rsidRPr="00EC5D51" w:rsidRDefault="00EC5D51" w:rsidP="00EC5D51">
                  <w:pPr>
                    <w:spacing w:after="0" w:line="240" w:lineRule="auto"/>
                    <w:jc w:val="center"/>
                    <w:rPr>
                      <w:rFonts w:ascii="Times New Roman" w:eastAsia="Calibri" w:hAnsi="Times New Roman"/>
                      <w:b/>
                      <w:bCs/>
                      <w:color w:val="000000"/>
                    </w:rPr>
                  </w:pPr>
                  <w:r w:rsidRPr="00EC5D51">
                    <w:rPr>
                      <w:rFonts w:ascii="Times New Roman" w:eastAsia="Calibri" w:hAnsi="Times New Roman"/>
                      <w:b/>
                      <w:bCs/>
                      <w:color w:val="000000"/>
                    </w:rPr>
                    <w:t>ЕС/ЕП</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1 - Отлично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2 - Добро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3 - Умерено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4 - Лошо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5 - Много лошо</w:t>
                  </w:r>
                </w:p>
              </w:tc>
            </w:tr>
          </w:tbl>
          <w:p w:rsidR="00EC5D51" w:rsidRPr="00EC5D51" w:rsidRDefault="00B54527" w:rsidP="00B54527">
            <w:pPr>
              <w:spacing w:before="120" w:after="120" w:line="240" w:lineRule="auto"/>
              <w:jc w:val="both"/>
              <w:rPr>
                <w:rFonts w:ascii="Times New Roman" w:eastAsia="Calibri" w:hAnsi="Times New Roman"/>
              </w:rPr>
            </w:pPr>
            <w:r w:rsidRPr="00AC42CE">
              <w:rPr>
                <w:rFonts w:ascii="Times New Roman" w:eastAsia="Calibri" w:hAnsi="Times New Roman"/>
              </w:rPr>
              <w:t>Съгласно ПУРБ 2016-2021 г. целият български участък от р. Дунав представлява силно модифицирано водно тяло, с код (</w:t>
            </w:r>
            <w:hyperlink r:id="rId168" w:history="1">
              <w:r w:rsidRPr="00AC42CE">
                <w:rPr>
                  <w:rFonts w:ascii="Times New Roman" w:eastAsia="Calibri" w:hAnsi="Times New Roman"/>
                  <w:color w:val="0000FF"/>
                  <w:u w:val="single"/>
                </w:rPr>
                <w:t>http://www.bd-dunav.org/uploads/content/files/upravlenie-na-vodite/PURB-2016-2021-final/Razdel-1/prilojenia_R1/Pril_1244.pdf</w:t>
              </w:r>
            </w:hyperlink>
            <w:r w:rsidRPr="00AC42CE">
              <w:rPr>
                <w:rFonts w:ascii="Times New Roman" w:eastAsia="Calibri" w:hAnsi="Times New Roman"/>
              </w:rPr>
              <w:t>).Екологичният потенциал на р. Дунав е оценен като Умерен, (3),  (</w:t>
            </w:r>
            <w:hyperlink r:id="rId169" w:history="1">
              <w:r w:rsidRPr="00AC42CE">
                <w:rPr>
                  <w:rFonts w:ascii="Times New Roman" w:eastAsia="Calibri" w:hAnsi="Times New Roman"/>
                  <w:color w:val="0000FF"/>
                  <w:u w:val="single"/>
                </w:rPr>
                <w:t>https://www.eea.europa.eu/data-and-maps/explore-interactive-maps/water-framework-directive-quality-elements?utm_source=EEASubscriptions&amp;utm_medium=RSSFeeds&amp;utm_campaign=Generic</w:t>
              </w:r>
            </w:hyperlink>
            <w:r w:rsidRPr="00AC42CE">
              <w:rPr>
                <w:rFonts w:ascii="Times New Roman" w:eastAsia="Calibri" w:hAnsi="Times New Roman"/>
              </w:rPr>
              <w:t>)</w:t>
            </w:r>
            <w:r w:rsidR="00EC5D51" w:rsidRPr="00EC5D51">
              <w:rPr>
                <w:rFonts w:ascii="Times New Roman" w:eastAsia="Calibri" w:hAnsi="Times New Roman"/>
              </w:rPr>
              <w:t>.</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 xml:space="preserve">Постигане и поддържане на екологичния потенциал на участъка от р. Дунав в границата на зоната на стойност от по-висока или равна </w:t>
            </w:r>
            <w:r w:rsidRPr="00EC5D51">
              <w:rPr>
                <w:rFonts w:ascii="Times New Roman" w:eastAsia="Calibri" w:hAnsi="Times New Roman"/>
              </w:rPr>
              <w:lastRenderedPageBreak/>
              <w:t>на 2 – Добър ЕП</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Междинна цел:</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EC5D51" w:rsidRPr="00EC5D51" w:rsidTr="00634ACE">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Съотношение в % от дължината на речните участъци с подходящи  местообитания на вида и с естествен</w:t>
            </w:r>
            <w:r w:rsidRPr="00EC5D51">
              <w:rPr>
                <w:rFonts w:ascii="Times New Roman" w:eastAsia="Calibri" w:hAnsi="Times New Roman"/>
              </w:rPr>
              <w:lastRenderedPageBreak/>
              <w:t>о структуриран субстрат, съотнесен към общата дължина на речните участъци с подходящи местообитания за вида</w:t>
            </w:r>
          </w:p>
        </w:tc>
        <w:tc>
          <w:tcPr>
            <w:tcW w:w="636"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lastRenderedPageBreak/>
              <w:t>95% от дължината на речните участъци с подходящи местообитания за вида имат естественострукту</w:t>
            </w:r>
            <w:r w:rsidRPr="00EC5D51">
              <w:rPr>
                <w:rFonts w:ascii="Times New Roman" w:eastAsia="Calibri" w:hAnsi="Times New Roman"/>
              </w:rPr>
              <w:lastRenderedPageBreak/>
              <w:t>риран субстрат</w:t>
            </w:r>
          </w:p>
        </w:tc>
        <w:tc>
          <w:tcPr>
            <w:tcW w:w="1936"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Малката вретенарка е придънен вид. В България актуалното му разпространение е ограничено само в р. Дунав и най-долни участъци на по-големи притоци (Искър, Янтра). В тази връзка, поддържането на естествената структура на дънния субстрат в подходящите местообитания на вида е важно за неговото състояние.</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Фактори, водещи до нарушаване на естествената структура на </w:t>
            </w:r>
            <w:r w:rsidRPr="00EC5D51">
              <w:rPr>
                <w:rFonts w:ascii="Times New Roman" w:eastAsia="Calibri" w:hAnsi="Times New Roman"/>
              </w:rPr>
              <w:lastRenderedPageBreak/>
              <w:t>дънния субстрат, са:</w:t>
            </w:r>
          </w:p>
          <w:p w:rsidR="00EC5D51" w:rsidRPr="00EC5D51" w:rsidRDefault="00EC5D51" w:rsidP="00635999">
            <w:pPr>
              <w:numPr>
                <w:ilvl w:val="0"/>
                <w:numId w:val="15"/>
              </w:numPr>
              <w:spacing w:before="120" w:after="120" w:line="240" w:lineRule="auto"/>
              <w:jc w:val="both"/>
              <w:rPr>
                <w:rFonts w:ascii="Times New Roman" w:eastAsia="Calibri" w:hAnsi="Times New Roman"/>
              </w:rPr>
            </w:pPr>
            <w:r w:rsidRPr="00EC5D51">
              <w:rPr>
                <w:rFonts w:ascii="Times New Roman" w:eastAsia="Calibri" w:hAnsi="Times New Roman"/>
              </w:rPr>
              <w:t>Отстраняване на чакъл и пясък от коритото на реката;</w:t>
            </w:r>
          </w:p>
          <w:p w:rsidR="00EC5D51" w:rsidRPr="00EC5D51" w:rsidRDefault="00EC5D51" w:rsidP="00635999">
            <w:pPr>
              <w:numPr>
                <w:ilvl w:val="0"/>
                <w:numId w:val="15"/>
              </w:numPr>
              <w:spacing w:before="120" w:after="120" w:line="240" w:lineRule="auto"/>
              <w:jc w:val="both"/>
              <w:rPr>
                <w:rFonts w:ascii="Times New Roman" w:eastAsia="Calibri" w:hAnsi="Times New Roman"/>
              </w:rPr>
            </w:pPr>
            <w:r w:rsidRPr="00EC5D51">
              <w:rPr>
                <w:rFonts w:ascii="Times New Roman" w:eastAsia="Calibri" w:hAnsi="Times New Roman"/>
              </w:rPr>
              <w:t>Изкопаване на речното корито, водещо до ускоряване на водния поток и отстраняване на субстрата;</w:t>
            </w:r>
          </w:p>
          <w:p w:rsidR="00EC5D51" w:rsidRPr="00EC5D51" w:rsidRDefault="00EC5D51" w:rsidP="00635999">
            <w:pPr>
              <w:numPr>
                <w:ilvl w:val="0"/>
                <w:numId w:val="15"/>
              </w:numPr>
              <w:spacing w:before="120" w:after="120" w:line="240" w:lineRule="auto"/>
              <w:jc w:val="both"/>
              <w:rPr>
                <w:rFonts w:ascii="Times New Roman" w:eastAsia="Calibri" w:hAnsi="Times New Roman"/>
              </w:rPr>
            </w:pPr>
            <w:r w:rsidRPr="00EC5D51">
              <w:rPr>
                <w:rFonts w:ascii="Times New Roman" w:eastAsia="Calibri" w:hAnsi="Times New Roman"/>
              </w:rPr>
              <w:t>Изграждане на съоръжения, променящи посоката и скоростта на течението;</w:t>
            </w:r>
          </w:p>
          <w:p w:rsidR="00EC5D51" w:rsidRPr="00EC5D51" w:rsidRDefault="00EC5D51" w:rsidP="00635999">
            <w:pPr>
              <w:numPr>
                <w:ilvl w:val="0"/>
                <w:numId w:val="15"/>
              </w:numPr>
              <w:spacing w:before="120" w:after="120" w:line="240" w:lineRule="auto"/>
              <w:jc w:val="both"/>
              <w:rPr>
                <w:rFonts w:ascii="Times New Roman" w:eastAsia="Calibri" w:hAnsi="Times New Roman"/>
              </w:rPr>
            </w:pPr>
            <w:r w:rsidRPr="00EC5D51">
              <w:rPr>
                <w:rFonts w:ascii="Times New Roman" w:eastAsia="Calibri" w:hAnsi="Times New Roman"/>
              </w:rPr>
              <w:t>др.</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Не е установен натиск в зоната по този параметър.</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Поддържане на 95 % от дължината на речните участъци с подходящи местообитания за вида да са с естествено структуриран субстрат.</w:t>
            </w:r>
          </w:p>
        </w:tc>
      </w:tr>
    </w:tbl>
    <w:p w:rsidR="00EC5D51" w:rsidRPr="00EC5D51" w:rsidRDefault="00EC5D51" w:rsidP="00EC5D51">
      <w:pPr>
        <w:spacing w:before="120" w:after="0" w:line="240" w:lineRule="auto"/>
        <w:jc w:val="both"/>
        <w:rPr>
          <w:rFonts w:ascii="Times New Roman" w:eastAsia="Calibri" w:hAnsi="Times New Roman"/>
          <w:sz w:val="24"/>
          <w:szCs w:val="24"/>
        </w:rPr>
      </w:pPr>
    </w:p>
    <w:p w:rsidR="004760C9"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7. Необходимост от актуализация на СФ на защитената зона</w:t>
      </w:r>
    </w:p>
    <w:p w:rsidR="00B54527" w:rsidRPr="00EC5D51" w:rsidRDefault="00B54527" w:rsidP="00B54527">
      <w:pPr>
        <w:spacing w:after="160" w:line="240" w:lineRule="auto"/>
        <w:ind w:firstLine="709"/>
        <w:jc w:val="both"/>
        <w:rPr>
          <w:rFonts w:ascii="Times New Roman" w:eastAsia="Calibri" w:hAnsi="Times New Roman"/>
          <w:sz w:val="24"/>
          <w:szCs w:val="24"/>
        </w:rPr>
      </w:pPr>
      <w:r>
        <w:rPr>
          <w:rFonts w:ascii="Times New Roman" w:eastAsia="Calibri" w:hAnsi="Times New Roman"/>
          <w:sz w:val="24"/>
          <w:szCs w:val="24"/>
        </w:rPr>
        <w:t>В съответствие с</w:t>
      </w:r>
      <w:r w:rsidRPr="00EC5D51">
        <w:rPr>
          <w:rFonts w:ascii="Times New Roman" w:eastAsia="Calibri" w:hAnsi="Times New Roman"/>
          <w:sz w:val="24"/>
          <w:szCs w:val="24"/>
        </w:rPr>
        <w:t xml:space="preserve"> методиката за</w:t>
      </w:r>
      <w:r>
        <w:rPr>
          <w:rFonts w:ascii="Times New Roman" w:eastAsia="Calibri" w:hAnsi="Times New Roman"/>
          <w:sz w:val="24"/>
          <w:szCs w:val="24"/>
        </w:rPr>
        <w:t xml:space="preserve"> пробонабиране, приложима за този вид,</w:t>
      </w:r>
      <w:r w:rsidRPr="00EC5D51">
        <w:rPr>
          <w:rFonts w:ascii="Times New Roman" w:eastAsia="Calibri" w:hAnsi="Times New Roman"/>
          <w:sz w:val="24"/>
          <w:szCs w:val="24"/>
        </w:rPr>
        <w:t xml:space="preserve">  най-подходящата единица за определянето на състоянието на вида е улов на единица риболовно усилие (</w:t>
      </w:r>
      <w:r w:rsidRPr="00EC5D51">
        <w:rPr>
          <w:rFonts w:ascii="Times New Roman" w:eastAsia="Calibri" w:hAnsi="Times New Roman"/>
          <w:sz w:val="24"/>
          <w:szCs w:val="24"/>
          <w:lang w:val="en-US"/>
        </w:rPr>
        <w:t>CPUE</w:t>
      </w:r>
      <w:r w:rsidRPr="00EC5D51">
        <w:rPr>
          <w:rFonts w:ascii="Times New Roman" w:eastAsia="Calibri" w:hAnsi="Times New Roman"/>
          <w:sz w:val="24"/>
          <w:szCs w:val="24"/>
        </w:rPr>
        <w:t xml:space="preserve">). </w:t>
      </w:r>
      <w:r w:rsidRPr="006144A8">
        <w:rPr>
          <w:rFonts w:ascii="Times New Roman" w:eastAsia="Calibri" w:hAnsi="Times New Roman"/>
          <w:sz w:val="24"/>
          <w:szCs w:val="24"/>
        </w:rPr>
        <w:t>Тази единица обаче засега не е приета за оценка на видове риби при докладванията в ЕК. Затова, като се има предвид високата сезонна вариабилност на числеността на вида в зоната и с оглед унифицирането на подхода за внасянето на данни в СФ на този етап като единица за оценка се използва „Площ“ (area) на местообитанията“.</w:t>
      </w:r>
      <w:r w:rsidRPr="00EC5D51">
        <w:rPr>
          <w:rFonts w:ascii="Times New Roman" w:eastAsia="Calibri" w:hAnsi="Times New Roman"/>
          <w:sz w:val="24"/>
          <w:szCs w:val="24"/>
        </w:rPr>
        <w:t>, като е уточнена площта на участъка от р. Дунав в зоната. По отношение на степента на изолираност, категорията в СФ следва да се промени на „С“, тъй като зоната не е гранична за ареала на вида.</w:t>
      </w:r>
      <w:r>
        <w:rPr>
          <w:rFonts w:ascii="Times New Roman" w:eastAsia="Calibri" w:hAnsi="Times New Roman"/>
          <w:sz w:val="24"/>
          <w:szCs w:val="24"/>
        </w:rPr>
        <w:t xml:space="preserve"> Нанесени са съответни промени в СФ.</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08"/>
        <w:gridCol w:w="546"/>
        <w:gridCol w:w="1043"/>
        <w:gridCol w:w="262"/>
        <w:gridCol w:w="836"/>
        <w:gridCol w:w="286"/>
        <w:gridCol w:w="583"/>
        <w:gridCol w:w="718"/>
        <w:gridCol w:w="593"/>
        <w:gridCol w:w="482"/>
        <w:gridCol w:w="1209"/>
        <w:gridCol w:w="737"/>
        <w:gridCol w:w="513"/>
        <w:gridCol w:w="437"/>
        <w:gridCol w:w="899"/>
      </w:tblGrid>
      <w:tr w:rsidR="00EC5D51" w:rsidRPr="00EC5D51" w:rsidTr="00B54527">
        <w:trPr>
          <w:tblCellSpacing w:w="15" w:type="dxa"/>
        </w:trPr>
        <w:tc>
          <w:tcPr>
            <w:tcW w:w="1554"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Species </w:t>
            </w:r>
          </w:p>
        </w:tc>
        <w:tc>
          <w:tcPr>
            <w:tcW w:w="2033"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Population in the site </w:t>
            </w:r>
          </w:p>
        </w:tc>
        <w:tc>
          <w:tcPr>
            <w:tcW w:w="1349"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Site assessment </w:t>
            </w:r>
          </w:p>
        </w:tc>
      </w:tr>
      <w:tr w:rsidR="00EC5D51" w:rsidRPr="00EC5D51" w:rsidTr="00B54527">
        <w:trPr>
          <w:tblCellSpacing w:w="15" w:type="dxa"/>
        </w:trPr>
        <w:tc>
          <w:tcPr>
            <w:tcW w:w="145"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G </w:t>
            </w:r>
          </w:p>
        </w:tc>
        <w:tc>
          <w:tcPr>
            <w:tcW w:w="284"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Code </w:t>
            </w:r>
          </w:p>
        </w:tc>
        <w:tc>
          <w:tcPr>
            <w:tcW w:w="558"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 </w:t>
            </w:r>
          </w:p>
        </w:tc>
        <w:tc>
          <w:tcPr>
            <w:tcW w:w="382"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NP </w:t>
            </w:r>
          </w:p>
        </w:tc>
        <w:tc>
          <w:tcPr>
            <w:tcW w:w="141"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T </w:t>
            </w:r>
          </w:p>
        </w:tc>
        <w:tc>
          <w:tcPr>
            <w:tcW w:w="684" w:type="pct"/>
            <w:gridSpan w:val="2"/>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Size </w:t>
            </w:r>
          </w:p>
        </w:tc>
        <w:tc>
          <w:tcPr>
            <w:tcW w:w="31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Unit </w:t>
            </w:r>
          </w:p>
        </w:tc>
        <w:tc>
          <w:tcPr>
            <w:tcW w:w="24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Cat. </w:t>
            </w:r>
          </w:p>
        </w:tc>
        <w:tc>
          <w:tcPr>
            <w:tcW w:w="58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D.qual. </w:t>
            </w:r>
          </w:p>
        </w:tc>
        <w:tc>
          <w:tcPr>
            <w:tcW w:w="38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A|B|C|D </w:t>
            </w:r>
          </w:p>
        </w:tc>
        <w:tc>
          <w:tcPr>
            <w:tcW w:w="944"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 </w:t>
            </w:r>
          </w:p>
        </w:tc>
      </w:tr>
      <w:tr w:rsidR="00EC5D51" w:rsidRPr="00EC5D51" w:rsidTr="00B54527">
        <w:trPr>
          <w:tblCellSpacing w:w="15" w:type="dxa"/>
        </w:trPr>
        <w:tc>
          <w:tcPr>
            <w:tcW w:w="14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8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55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8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41"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Min</w:t>
            </w:r>
          </w:p>
        </w:tc>
        <w:tc>
          <w:tcPr>
            <w:tcW w:w="36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Max</w:t>
            </w:r>
          </w:p>
        </w:tc>
        <w:tc>
          <w:tcPr>
            <w:tcW w:w="31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4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p>
        </w:tc>
        <w:tc>
          <w:tcPr>
            <w:tcW w:w="58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8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Pop.</w:t>
            </w:r>
          </w:p>
        </w:tc>
        <w:tc>
          <w:tcPr>
            <w:tcW w:w="26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Con.</w:t>
            </w:r>
          </w:p>
        </w:tc>
        <w:tc>
          <w:tcPr>
            <w:tcW w:w="22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Iso.</w:t>
            </w:r>
          </w:p>
        </w:tc>
        <w:tc>
          <w:tcPr>
            <w:tcW w:w="4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Glo.</w:t>
            </w:r>
          </w:p>
        </w:tc>
      </w:tr>
      <w:tr w:rsidR="00B54527" w:rsidRPr="00EC5D51" w:rsidTr="00B54527">
        <w:trPr>
          <w:tblCellSpacing w:w="15" w:type="dxa"/>
        </w:trPr>
        <w:tc>
          <w:tcPr>
            <w:tcW w:w="14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EC5D51" w:rsidRDefault="00B54527"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F</w:t>
            </w:r>
          </w:p>
        </w:tc>
        <w:tc>
          <w:tcPr>
            <w:tcW w:w="28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EC5D51" w:rsidRDefault="00B54527" w:rsidP="00EC5D51">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sz w:val="16"/>
                <w:szCs w:val="16"/>
              </w:rPr>
              <w:t>1160</w:t>
            </w:r>
          </w:p>
        </w:tc>
        <w:tc>
          <w:tcPr>
            <w:tcW w:w="55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EC5D51" w:rsidRDefault="00B54527" w:rsidP="00EC5D51">
            <w:pPr>
              <w:spacing w:before="120" w:after="0" w:line="259" w:lineRule="auto"/>
              <w:jc w:val="both"/>
              <w:rPr>
                <w:rFonts w:ascii="Times New Roman" w:eastAsia="Calibri" w:hAnsi="Times New Roman"/>
                <w:b/>
                <w:bCs/>
                <w:i/>
                <w:sz w:val="16"/>
                <w:szCs w:val="16"/>
                <w:lang w:val="en-US"/>
              </w:rPr>
            </w:pPr>
            <w:r w:rsidRPr="00EC5D51">
              <w:rPr>
                <w:rFonts w:ascii="Times New Roman" w:eastAsia="Calibri" w:hAnsi="Times New Roman"/>
                <w:b/>
                <w:bCs/>
                <w:sz w:val="16"/>
                <w:szCs w:val="16"/>
                <w:lang w:val="en-US"/>
              </w:rPr>
              <w:t>Zingel streber</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EC5D51" w:rsidRDefault="00B54527"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EC5D51" w:rsidRDefault="00B54527"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14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EC5D51" w:rsidRDefault="00B54527"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p</w:t>
            </w:r>
          </w:p>
        </w:tc>
        <w:tc>
          <w:tcPr>
            <w:tcW w:w="3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bottom"/>
          </w:tcPr>
          <w:p w:rsidR="00B54527" w:rsidRPr="003C3B09" w:rsidRDefault="00B54527" w:rsidP="00B0609D">
            <w:pPr>
              <w:spacing w:before="120" w:after="0" w:line="259" w:lineRule="auto"/>
              <w:jc w:val="both"/>
              <w:rPr>
                <w:rFonts w:ascii="Times New Roman" w:eastAsia="Calibri" w:hAnsi="Times New Roman"/>
                <w:b/>
                <w:bCs/>
                <w:color w:val="FF0000"/>
                <w:sz w:val="16"/>
                <w:szCs w:val="16"/>
              </w:rPr>
            </w:pPr>
            <w:r w:rsidRPr="003C3B09">
              <w:rPr>
                <w:rFonts w:ascii="Times New Roman" w:hAnsi="Times New Roman"/>
                <w:b/>
                <w:bCs/>
                <w:color w:val="FF0000"/>
                <w:sz w:val="16"/>
                <w:szCs w:val="16"/>
              </w:rPr>
              <w:t>593180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bottom"/>
          </w:tcPr>
          <w:p w:rsidR="00B54527" w:rsidRPr="003C3B09" w:rsidRDefault="00B54527" w:rsidP="00B0609D">
            <w:pPr>
              <w:spacing w:before="120" w:after="0" w:line="259" w:lineRule="auto"/>
              <w:jc w:val="both"/>
              <w:rPr>
                <w:rFonts w:ascii="Times New Roman" w:eastAsia="Calibri" w:hAnsi="Times New Roman"/>
                <w:b/>
                <w:bCs/>
                <w:color w:val="FF0000"/>
                <w:sz w:val="16"/>
                <w:szCs w:val="16"/>
              </w:rPr>
            </w:pPr>
            <w:r w:rsidRPr="003C3B09">
              <w:rPr>
                <w:rFonts w:ascii="Times New Roman" w:hAnsi="Times New Roman"/>
                <w:b/>
                <w:bCs/>
                <w:color w:val="FF0000"/>
                <w:sz w:val="16"/>
                <w:szCs w:val="16"/>
              </w:rPr>
              <w:t>593180</w:t>
            </w:r>
          </w:p>
        </w:tc>
        <w:tc>
          <w:tcPr>
            <w:tcW w:w="31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EC5D51" w:rsidRDefault="00B54527" w:rsidP="00B0609D">
            <w:pPr>
              <w:spacing w:before="120" w:after="0" w:line="259" w:lineRule="auto"/>
              <w:jc w:val="both"/>
              <w:rPr>
                <w:rFonts w:ascii="Times New Roman" w:eastAsia="Calibri" w:hAnsi="Times New Roman"/>
                <w:b/>
                <w:bCs/>
                <w:color w:val="FF0000"/>
                <w:sz w:val="16"/>
                <w:szCs w:val="16"/>
                <w:lang w:val="en-GB"/>
              </w:rPr>
            </w:pPr>
            <w:r>
              <w:rPr>
                <w:rFonts w:ascii="Times New Roman" w:eastAsia="Calibri" w:hAnsi="Times New Roman"/>
                <w:b/>
                <w:bCs/>
                <w:color w:val="FF0000"/>
                <w:sz w:val="16"/>
                <w:szCs w:val="16"/>
              </w:rPr>
              <w:t>а</w:t>
            </w:r>
            <w:r w:rsidRPr="00EC5D51">
              <w:rPr>
                <w:rFonts w:ascii="Times New Roman" w:eastAsia="Calibri" w:hAnsi="Times New Roman"/>
                <w:b/>
                <w:bCs/>
                <w:color w:val="FF0000"/>
                <w:sz w:val="16"/>
                <w:szCs w:val="16"/>
                <w:lang w:val="en-GB"/>
              </w:rPr>
              <w:t xml:space="preserve">rea </w:t>
            </w:r>
          </w:p>
        </w:tc>
        <w:tc>
          <w:tcPr>
            <w:tcW w:w="24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EC5D51" w:rsidRDefault="00B54527" w:rsidP="00B0609D">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R</w:t>
            </w:r>
          </w:p>
        </w:tc>
        <w:tc>
          <w:tcPr>
            <w:tcW w:w="58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3C3B09" w:rsidRDefault="00B54527" w:rsidP="00B0609D">
            <w:pPr>
              <w:spacing w:before="120" w:after="0" w:line="259" w:lineRule="auto"/>
              <w:jc w:val="both"/>
              <w:rPr>
                <w:rFonts w:ascii="Times New Roman" w:eastAsia="Calibri" w:hAnsi="Times New Roman"/>
                <w:b/>
                <w:bCs/>
                <w:sz w:val="16"/>
                <w:szCs w:val="16"/>
                <w:lang w:val="en-US"/>
              </w:rPr>
            </w:pPr>
            <w:r w:rsidRPr="003C3B09">
              <w:rPr>
                <w:rFonts w:ascii="Times New Roman" w:eastAsia="Calibri" w:hAnsi="Times New Roman"/>
                <w:b/>
                <w:bCs/>
                <w:sz w:val="16"/>
                <w:szCs w:val="16"/>
                <w:lang w:val="en-US"/>
              </w:rPr>
              <w:t>G</w:t>
            </w:r>
          </w:p>
        </w:tc>
        <w:tc>
          <w:tcPr>
            <w:tcW w:w="38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3C3B09" w:rsidRDefault="00B54527" w:rsidP="00B0609D">
            <w:pPr>
              <w:spacing w:before="120" w:after="0" w:line="259" w:lineRule="auto"/>
              <w:jc w:val="both"/>
              <w:rPr>
                <w:rFonts w:ascii="Times New Roman" w:eastAsia="Calibri" w:hAnsi="Times New Roman"/>
                <w:b/>
                <w:bCs/>
                <w:sz w:val="16"/>
                <w:szCs w:val="16"/>
              </w:rPr>
            </w:pPr>
            <w:r w:rsidRPr="003C3B09">
              <w:rPr>
                <w:rFonts w:ascii="Times New Roman" w:eastAsia="Calibri" w:hAnsi="Times New Roman"/>
                <w:b/>
                <w:bCs/>
                <w:sz w:val="16"/>
                <w:szCs w:val="16"/>
              </w:rPr>
              <w:t>С</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3C3B09" w:rsidRDefault="00B54527" w:rsidP="00B0609D">
            <w:pPr>
              <w:spacing w:before="120" w:after="0" w:line="259" w:lineRule="auto"/>
              <w:jc w:val="both"/>
              <w:rPr>
                <w:rFonts w:ascii="Times New Roman" w:eastAsia="Calibri" w:hAnsi="Times New Roman"/>
                <w:b/>
                <w:bCs/>
                <w:sz w:val="16"/>
                <w:szCs w:val="16"/>
                <w:lang w:val="en-US"/>
              </w:rPr>
            </w:pPr>
            <w:r w:rsidRPr="003C3B09">
              <w:rPr>
                <w:rFonts w:ascii="Times New Roman" w:eastAsia="Calibri" w:hAnsi="Times New Roman"/>
                <w:b/>
                <w:bCs/>
                <w:sz w:val="16"/>
                <w:szCs w:val="16"/>
              </w:rPr>
              <w:t>В</w:t>
            </w:r>
          </w:p>
        </w:tc>
        <w:tc>
          <w:tcPr>
            <w:tcW w:w="22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3C3B09" w:rsidRDefault="00B54527" w:rsidP="00B0609D">
            <w:pPr>
              <w:spacing w:before="120" w:after="0" w:line="259" w:lineRule="auto"/>
              <w:jc w:val="both"/>
              <w:rPr>
                <w:rFonts w:ascii="Times New Roman" w:eastAsia="Calibri" w:hAnsi="Times New Roman"/>
                <w:b/>
                <w:bCs/>
                <w:color w:val="FF0000"/>
                <w:sz w:val="16"/>
                <w:szCs w:val="16"/>
                <w:lang w:val="en-US"/>
              </w:rPr>
            </w:pPr>
            <w:r w:rsidRPr="003C3B09">
              <w:rPr>
                <w:rFonts w:ascii="Times New Roman" w:eastAsia="Calibri" w:hAnsi="Times New Roman"/>
                <w:b/>
                <w:bCs/>
                <w:color w:val="FF0000"/>
                <w:sz w:val="16"/>
                <w:szCs w:val="16"/>
              </w:rPr>
              <w:t>C</w:t>
            </w:r>
          </w:p>
        </w:tc>
        <w:tc>
          <w:tcPr>
            <w:tcW w:w="4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3C3B09" w:rsidRDefault="00B54527" w:rsidP="00B0609D">
            <w:pPr>
              <w:spacing w:before="120" w:after="0" w:line="259" w:lineRule="auto"/>
              <w:jc w:val="both"/>
              <w:rPr>
                <w:rFonts w:ascii="Times New Roman" w:eastAsia="Calibri" w:hAnsi="Times New Roman"/>
                <w:b/>
                <w:bCs/>
                <w:sz w:val="16"/>
                <w:szCs w:val="16"/>
                <w:lang w:val="en-US"/>
              </w:rPr>
            </w:pPr>
            <w:r w:rsidRPr="003C3B09">
              <w:rPr>
                <w:rFonts w:ascii="Times New Roman" w:eastAsia="Calibri" w:hAnsi="Times New Roman"/>
                <w:b/>
                <w:bCs/>
                <w:sz w:val="16"/>
                <w:szCs w:val="16"/>
              </w:rPr>
              <w:t>В</w:t>
            </w:r>
          </w:p>
        </w:tc>
      </w:tr>
    </w:tbl>
    <w:p w:rsidR="00EC5D51" w:rsidRPr="00EC5D51" w:rsidRDefault="00EC5D51" w:rsidP="00EC5D51">
      <w:pPr>
        <w:spacing w:after="160" w:line="240" w:lineRule="auto"/>
        <w:jc w:val="both"/>
        <w:rPr>
          <w:rFonts w:ascii="Times New Roman" w:eastAsia="Calibri" w:hAnsi="Times New Roman"/>
          <w:sz w:val="24"/>
          <w:szCs w:val="24"/>
        </w:rPr>
      </w:pPr>
    </w:p>
    <w:p w:rsidR="00EC5D51" w:rsidRPr="00EC5D51" w:rsidRDefault="004760C9" w:rsidP="00EC5D51">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8. Цитирана литература</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Големански, В. и др. (ред.) 2011. Червена книга на Република България. Том 2. Животни. ИБЕИ - БАН &amp; МОСВ, София. Електронно издание: Том II - Животни (bas.bg)</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lastRenderedPageBreak/>
        <w:t>Дренски, П. 1948. Състав и разпространение на рибите в България. – Годишник на Софийския университет – Природо-математически факултет, 44(3): 11–71.</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Дренски, П. 1951. Рибите в България. Фауна на България II. С., БАН, 270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Информационна система за защитени зони от екологична мрежа НАТУРА 2000.</w:t>
      </w:r>
    </w:p>
    <w:p w:rsidR="00EC5D51" w:rsidRPr="00EC5D51" w:rsidRDefault="00EC5D51" w:rsidP="00F873CF">
      <w:pPr>
        <w:spacing w:after="0" w:line="259" w:lineRule="auto"/>
        <w:ind w:left="720" w:hanging="12"/>
        <w:jc w:val="both"/>
        <w:rPr>
          <w:rFonts w:ascii="Times New Roman" w:eastAsia="Calibri" w:hAnsi="Times New Roman"/>
          <w:sz w:val="24"/>
          <w:szCs w:val="24"/>
        </w:rPr>
      </w:pPr>
      <w:r w:rsidRPr="00EC5D51">
        <w:rPr>
          <w:rFonts w:ascii="Times New Roman" w:eastAsia="Calibri" w:hAnsi="Times New Roman"/>
          <w:sz w:val="24"/>
          <w:szCs w:val="24"/>
        </w:rPr>
        <w:t>http://natura2000.moew.government.bg/; http://natura2000.moew.government.bg/Home/Reports?reportType=Fishes</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1972. Ихтиофауна на р. Янтра. – Изв. на Зоолог. инст. с музей, 36: 149–182.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М. Живков. 1995. Рибите в България. С., "Гея-Либрис", 247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Моров, Т. 1931. Сладководните риби в България. С., "Художник", 93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https://ec.europa.eu/environment/nature/natura2000/management/docs/art6/BG_art_6_guide_jun_2019.pdf</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Шишков Г. 1939. Няколко думи за риболова по р. Искър. – Рибарски преглед, 9(8): 4–7.</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Bauer, C. Bobeldy, A., Lamberti G. 2006.  Predicting habitat use and trophic interactions of Eurasian ruffe, round gobies, and zebra mussels in nearshore areas of the Great Lakes. – Biol Invasions,  DOI 10.1007/s10530-006-9067-8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Bern Convention on the Conservation of European Wildlife and Natural Habitats. https://www.coe.int/en/web/bern-convention</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CEN - EN 14011, 2003. Water quality - Sampling of fish with electricity. Brussels, 16 p.</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3–680.</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Froese, R., D. Pauly. Editors. 2021. FishBase. World Wide Web electronic publication. www.fishbase.org, (06/2021): Search FishBase (mnhn.fr)</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lastRenderedPageBreak/>
        <w:t xml:space="preserve">IUCN 2021. The IUCN Red List of Threatened Species. Version 2021-2. </w:t>
      </w:r>
      <w:hyperlink r:id="rId170" w:history="1">
        <w:r w:rsidRPr="00EC5D51">
          <w:rPr>
            <w:rFonts w:ascii="Times New Roman" w:eastAsia="Calibri" w:hAnsi="Times New Roman"/>
            <w:color w:val="0563C1"/>
            <w:sz w:val="24"/>
            <w:szCs w:val="24"/>
            <w:u w:val="single"/>
          </w:rPr>
          <w:t>https://www.iucnredlist.org</w:t>
        </w:r>
      </w:hyperlink>
      <w:r w:rsidRPr="00EC5D51">
        <w:rPr>
          <w:rFonts w:ascii="Times New Roman" w:eastAsia="Calibri" w:hAnsi="Times New Roman"/>
          <w:sz w:val="24"/>
          <w:szCs w:val="24"/>
        </w:rPr>
        <w:t>.</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Juza T., Blabolil P., Baran R., Barton B.,  Cech M., Drastık V., Frouzova J., Holubova M., Ketelaars H., Kocvara L., Kubecka J., Muska M. Prchalova M., Rıha M., Sajdlova Z., Smejkal M.,Tuser M., Vasek M., Vejrık L., Vejrıkova I., Wagenvoort A., Zak J., Peterka J. 2018. Collapse of the native ruffe (Gymnocephalus cernua) population in the Biesbosch lakes (the Netherlands) owing to round goby (Neogobius melanostomus) invasion. Biol. Invasions, 20:1523–1535</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Kottelat, M., J. Freyhof, 2007. Handbook of European freshwater fishes. Publications Kottelat, Cornol and Freyhof, Berlin. 646 pp.</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Naseka, A., N. Bogutskaya, P. Banarescu. 1999. Gobio albipinnatus Lukasch, 1933. – In: Banarescu P. (Ed.), The Freshwater Fishes of Europe. Vol. 5 / I. Cyprinidae 2 / I. AULA-Verlag, Wiesbaden, 37–68.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Vassilev, M., L. Pehlivanov. 2005. Checklist of Bulgarian freshwater fishes. – Acta zool. bulg., 57(2): 161–190.Публичен регистър по екологични оценки - </w:t>
      </w:r>
      <w:hyperlink r:id="rId171" w:history="1">
        <w:r w:rsidRPr="00EC5D51">
          <w:rPr>
            <w:rFonts w:ascii="Times New Roman" w:eastAsia="Calibri" w:hAnsi="Times New Roman"/>
            <w:color w:val="0563C1"/>
            <w:sz w:val="24"/>
            <w:szCs w:val="24"/>
            <w:u w:val="single"/>
          </w:rPr>
          <w:t>http://registers.moew.government.bg/eo</w:t>
        </w:r>
      </w:hyperlink>
      <w:r w:rsidRPr="00EC5D51">
        <w:rPr>
          <w:rFonts w:ascii="Times New Roman" w:eastAsia="Calibri" w:hAnsi="Times New Roman"/>
          <w:sz w:val="24"/>
          <w:szCs w:val="24"/>
        </w:rPr>
        <w:t xml:space="preserve"> (Достъп на 27.09.2021)</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Публичен регистър по оценки за въздействие на околната среда </w:t>
      </w:r>
      <w:hyperlink r:id="rId172" w:history="1">
        <w:r w:rsidRPr="00EC5D51">
          <w:rPr>
            <w:rFonts w:ascii="Times New Roman" w:eastAsia="Calibri" w:hAnsi="Times New Roman"/>
            <w:color w:val="0563C1"/>
            <w:sz w:val="24"/>
            <w:szCs w:val="24"/>
            <w:u w:val="single"/>
          </w:rPr>
          <w:t>http://registers.moew.government.bg/ovos/</w:t>
        </w:r>
      </w:hyperlink>
      <w:r w:rsidRPr="00EC5D51">
        <w:rPr>
          <w:rFonts w:ascii="Times New Roman" w:eastAsia="Calibri" w:hAnsi="Times New Roman"/>
          <w:sz w:val="24"/>
          <w:szCs w:val="24"/>
        </w:rPr>
        <w:t xml:space="preserve"> (Достъп на 27.09.2021)</w:t>
      </w:r>
    </w:p>
    <w:p w:rsidR="00EC5D51" w:rsidRPr="00EC5D51" w:rsidRDefault="00EC5D51" w:rsidP="00EC5D51">
      <w:pPr>
        <w:spacing w:after="0" w:line="240"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EC5D51">
        <w:rPr>
          <w:rFonts w:ascii="Times New Roman" w:eastAsia="Calibri" w:hAnsi="Times New Roman"/>
          <w:color w:val="0563C1"/>
          <w:sz w:val="24"/>
          <w:szCs w:val="24"/>
          <w:u w:val="single"/>
        </w:rPr>
        <w:t>https://riew-pleven.eu/</w:t>
      </w:r>
    </w:p>
    <w:p w:rsidR="00EC5D51" w:rsidRPr="00EC5D51" w:rsidRDefault="00DE51FF" w:rsidP="00EC5D51">
      <w:pPr>
        <w:spacing w:after="160" w:line="240" w:lineRule="auto"/>
        <w:jc w:val="both"/>
        <w:rPr>
          <w:rFonts w:ascii="Times New Roman" w:eastAsia="Calibri" w:hAnsi="Times New Roman"/>
          <w:iCs/>
          <w:color w:val="0563C1"/>
          <w:sz w:val="24"/>
          <w:szCs w:val="24"/>
          <w:u w:val="single"/>
        </w:rPr>
      </w:pPr>
      <w:hyperlink r:id="rId173" w:history="1">
        <w:r w:rsidR="00EC5D51" w:rsidRPr="00EC5D51">
          <w:rPr>
            <w:rFonts w:ascii="Times New Roman" w:eastAsia="Calibri" w:hAnsi="Times New Roman"/>
            <w:iCs/>
            <w:color w:val="0563C1"/>
            <w:sz w:val="24"/>
            <w:szCs w:val="24"/>
            <w:u w:val="single"/>
          </w:rPr>
          <w:t>http://eea.government.bg/bg/bio/nsmbr/praktichesko-rakovodstvo-metodiki-za-monitoring-i-otsenka/Podhod_Dunav.pdf</w:t>
        </w:r>
      </w:hyperlink>
    </w:p>
    <w:p w:rsidR="00EC5D51" w:rsidRPr="004760C9" w:rsidRDefault="00EC5D51" w:rsidP="00EC5D51">
      <w:pPr>
        <w:spacing w:after="160" w:line="240" w:lineRule="auto"/>
        <w:jc w:val="both"/>
        <w:rPr>
          <w:rFonts w:ascii="Times New Roman" w:eastAsia="Calibri" w:hAnsi="Times New Roman"/>
          <w:sz w:val="24"/>
          <w:szCs w:val="24"/>
        </w:rPr>
      </w:pPr>
      <w:r w:rsidRPr="00EC5D51">
        <w:rPr>
          <w:rFonts w:ascii="Times New Roman" w:eastAsia="Calibri" w:hAnsi="Times New Roman"/>
          <w:i/>
          <w:sz w:val="24"/>
          <w:szCs w:val="24"/>
        </w:rPr>
        <w:t>Автори</w:t>
      </w:r>
      <w:r w:rsidRPr="00EC5D51">
        <w:rPr>
          <w:rFonts w:ascii="Times New Roman" w:eastAsia="Calibri" w:hAnsi="Times New Roman"/>
          <w:sz w:val="24"/>
          <w:szCs w:val="24"/>
        </w:rPr>
        <w:t>:</w:t>
      </w:r>
      <w:r w:rsidRPr="00EC5D51">
        <w:rPr>
          <w:rFonts w:ascii="Times New Roman" w:eastAsia="Calibri" w:hAnsi="Times New Roman"/>
          <w:b/>
          <w:sz w:val="24"/>
          <w:szCs w:val="24"/>
        </w:rPr>
        <w:t xml:space="preserve"> </w:t>
      </w:r>
      <w:r w:rsidRPr="004760C9">
        <w:rPr>
          <w:rFonts w:ascii="Times New Roman" w:eastAsia="Calibri" w:hAnsi="Times New Roman"/>
          <w:iCs/>
          <w:sz w:val="24"/>
          <w:szCs w:val="24"/>
        </w:rPr>
        <w:t>Апостолос Апостолу, Лъчезар Пехливанов, Стефан Казаков.</w:t>
      </w:r>
    </w:p>
    <w:p w:rsidR="00EC5D51" w:rsidRDefault="00EC5D51" w:rsidP="0070678B">
      <w:pPr>
        <w:rPr>
          <w:rFonts w:ascii="Times New Roman" w:hAnsi="Times New Roman"/>
          <w:color w:val="1F497D" w:themeColor="text2"/>
          <w:sz w:val="28"/>
          <w:szCs w:val="28"/>
        </w:rPr>
      </w:pPr>
    </w:p>
    <w:p w:rsidR="0070678B" w:rsidRDefault="00107719" w:rsidP="004760C9">
      <w:pPr>
        <w:outlineLvl w:val="1"/>
        <w:rPr>
          <w:rFonts w:ascii="Times New Roman" w:hAnsi="Times New Roman"/>
          <w:i/>
          <w:color w:val="1F497D" w:themeColor="text2"/>
          <w:sz w:val="28"/>
          <w:szCs w:val="28"/>
        </w:rPr>
      </w:pPr>
      <w:bookmarkStart w:id="72" w:name="_Toc98838555"/>
      <w:r>
        <w:rPr>
          <w:rFonts w:ascii="Times New Roman" w:hAnsi="Times New Roman"/>
          <w:color w:val="1F497D" w:themeColor="text2"/>
          <w:sz w:val="28"/>
          <w:szCs w:val="28"/>
        </w:rPr>
        <w:t xml:space="preserve">Природозащитни цели за </w:t>
      </w:r>
      <w:r w:rsidR="0070678B">
        <w:rPr>
          <w:rFonts w:ascii="Times New Roman" w:hAnsi="Times New Roman"/>
          <w:color w:val="1F497D" w:themeColor="text2"/>
          <w:sz w:val="28"/>
          <w:szCs w:val="28"/>
        </w:rPr>
        <w:t xml:space="preserve">1159 </w:t>
      </w:r>
      <w:r w:rsidR="0070678B" w:rsidRPr="00107719">
        <w:rPr>
          <w:rFonts w:ascii="Times New Roman" w:hAnsi="Times New Roman"/>
          <w:i/>
          <w:color w:val="1F497D" w:themeColor="text2"/>
          <w:sz w:val="28"/>
          <w:szCs w:val="28"/>
        </w:rPr>
        <w:t>Zingel zingel</w:t>
      </w:r>
      <w:bookmarkEnd w:id="72"/>
    </w:p>
    <w:p w:rsidR="00EC5D51" w:rsidRPr="00EC5D51" w:rsidRDefault="00EC5D51" w:rsidP="00EC5D51">
      <w:pPr>
        <w:spacing w:after="160" w:line="240" w:lineRule="auto"/>
        <w:jc w:val="both"/>
        <w:rPr>
          <w:rFonts w:ascii="Times New Roman" w:eastAsia="Calibri" w:hAnsi="Times New Roman"/>
          <w:b/>
          <w:bCs/>
          <w:sz w:val="24"/>
          <w:szCs w:val="24"/>
          <w:lang w:val="en-GB"/>
        </w:rPr>
      </w:pPr>
      <w:r w:rsidRPr="00EC5D51">
        <w:rPr>
          <w:rFonts w:ascii="Times New Roman" w:eastAsia="Calibri" w:hAnsi="Times New Roman"/>
          <w:b/>
          <w:sz w:val="24"/>
          <w:szCs w:val="24"/>
        </w:rPr>
        <w:t>1. Код и наименование на вид</w:t>
      </w:r>
      <w:r w:rsidRPr="00EC5D51">
        <w:rPr>
          <w:rFonts w:ascii="Times New Roman" w:eastAsia="Calibri" w:hAnsi="Times New Roman"/>
          <w:b/>
          <w:sz w:val="24"/>
          <w:szCs w:val="24"/>
          <w:lang w:val="en-US"/>
        </w:rPr>
        <w:t>a:</w:t>
      </w:r>
      <w:r w:rsidRPr="00EC5D51">
        <w:rPr>
          <w:rFonts w:ascii="Times New Roman" w:eastAsia="Calibri" w:hAnsi="Times New Roman"/>
          <w:b/>
          <w:sz w:val="24"/>
          <w:szCs w:val="24"/>
        </w:rPr>
        <w:t xml:space="preserve"> </w:t>
      </w:r>
      <w:r w:rsidRPr="004760C9">
        <w:rPr>
          <w:rFonts w:ascii="Times New Roman" w:hAnsi="Times New Roman"/>
          <w:bCs/>
          <w:color w:val="000000"/>
          <w:sz w:val="24"/>
          <w:szCs w:val="24"/>
          <w:lang w:eastAsia="bg-BG"/>
        </w:rPr>
        <w:t xml:space="preserve">1159 </w:t>
      </w:r>
      <w:r w:rsidRPr="004760C9">
        <w:rPr>
          <w:rFonts w:ascii="Times New Roman" w:hAnsi="Times New Roman"/>
          <w:bCs/>
          <w:i/>
          <w:iCs/>
          <w:color w:val="000000"/>
          <w:sz w:val="24"/>
          <w:szCs w:val="24"/>
          <w:lang w:val="en-US" w:eastAsia="bg-BG"/>
        </w:rPr>
        <w:t>Z</w:t>
      </w:r>
      <w:r w:rsidRPr="004760C9">
        <w:rPr>
          <w:rFonts w:ascii="Times New Roman" w:hAnsi="Times New Roman"/>
          <w:bCs/>
          <w:i/>
          <w:iCs/>
          <w:color w:val="000000"/>
          <w:sz w:val="24"/>
          <w:szCs w:val="24"/>
          <w:lang w:val="en-GB" w:eastAsia="bg-BG"/>
        </w:rPr>
        <w:t>ingel zingel</w:t>
      </w:r>
      <w:r w:rsidRPr="004760C9">
        <w:rPr>
          <w:rFonts w:ascii="Times New Roman" w:hAnsi="Times New Roman"/>
          <w:bCs/>
          <w:color w:val="000000"/>
          <w:sz w:val="24"/>
          <w:szCs w:val="24"/>
          <w:lang w:eastAsia="bg-BG"/>
        </w:rPr>
        <w:t xml:space="preserve"> </w:t>
      </w:r>
      <w:r w:rsidRPr="004760C9">
        <w:rPr>
          <w:rFonts w:ascii="Times New Roman" w:hAnsi="Times New Roman"/>
          <w:bCs/>
          <w:color w:val="000000"/>
          <w:sz w:val="24"/>
          <w:szCs w:val="24"/>
          <w:lang w:val="en-US" w:eastAsia="bg-BG"/>
        </w:rPr>
        <w:t xml:space="preserve">- </w:t>
      </w:r>
      <w:r w:rsidRPr="004760C9">
        <w:rPr>
          <w:rFonts w:ascii="Times New Roman" w:hAnsi="Times New Roman"/>
          <w:bCs/>
          <w:color w:val="000000"/>
          <w:sz w:val="24"/>
          <w:szCs w:val="24"/>
          <w:lang w:eastAsia="bg-BG"/>
        </w:rPr>
        <w:t>Голяма вретенарка</w:t>
      </w: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2. Кратка х</w:t>
      </w:r>
      <w:r w:rsidR="004760C9">
        <w:rPr>
          <w:rFonts w:ascii="Times New Roman" w:eastAsia="Calibri" w:hAnsi="Times New Roman"/>
          <w:b/>
          <w:sz w:val="24"/>
          <w:szCs w:val="24"/>
        </w:rPr>
        <w:t>арактеристика на целевия обект</w:t>
      </w:r>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Риба от сем. Бодлоперки (</w:t>
      </w:r>
      <w:r w:rsidRPr="00EC5D51">
        <w:rPr>
          <w:rFonts w:ascii="Times New Roman" w:eastAsia="Calibri" w:hAnsi="Times New Roman"/>
          <w:sz w:val="24"/>
          <w:szCs w:val="24"/>
          <w:lang w:val="en-US"/>
        </w:rPr>
        <w:t>Percidae</w:t>
      </w:r>
      <w:r w:rsidRPr="00EC5D51">
        <w:rPr>
          <w:rFonts w:ascii="Times New Roman" w:eastAsia="Calibri" w:hAnsi="Times New Roman"/>
          <w:sz w:val="24"/>
          <w:szCs w:val="24"/>
        </w:rPr>
        <w:t>). Тялото е тънко, дълго, вретеновидно. Опашното стъбло е относително по-късо от това на близкия вид малка вретенарка. Главата е относително голяма, отгоре сплесната, по долната ѝ страна има слизоотделителни канали. Горната челюст е издадена напред. Хрилното капаче завършва с шип, предхрилното в задния си край е назъбено. Гръбните перки са две, раздалечени една от друга. В първата има 13-15 бодливи лъча, във втората – един бодлив и 18-20 меки лъча.  В аналната перка има един твърд и 11-13 меки лъча.</w:t>
      </w:r>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Видът е разпространен в реките Дунав (от Бавария до делтата), Прут и Днестър. В България видът е установен в р. Дунав и някои от притоците й – Искър, Вит, Осъм, Янтра, като в миналото е бил доста често срещан. Понастоящем е рядък вид и е установяван само в р. Дунав и в най-долните участъци на някои по-големи притоци (р. Искър, р. Янтра).</w:t>
      </w:r>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color w:val="000000"/>
          <w:sz w:val="24"/>
          <w:szCs w:val="24"/>
        </w:rPr>
        <w:lastRenderedPageBreak/>
        <w:t xml:space="preserve">Придънен реофилен вид, среща се само в постоянни големи реки, обитава сравнително дълбоки, бързотечащи, богати на кислород води. Храни се с дънни безгръбначни животни, хайвер и дребни риби. Активен е през нощта. </w:t>
      </w:r>
      <w:r w:rsidRPr="00EC5D51">
        <w:rPr>
          <w:rFonts w:ascii="Times New Roman" w:eastAsia="Calibri" w:hAnsi="Times New Roman"/>
          <w:sz w:val="24"/>
          <w:szCs w:val="24"/>
        </w:rPr>
        <w:t xml:space="preserve">Достига полова зрялост на втората година. Размножава се през април-май, като отлага хайвера си направо върху чакълестото дъно. </w:t>
      </w:r>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В миналото видът е бил обект на стопански риболов, но сега поради много ниската си численост няма стопанско значение.</w:t>
      </w:r>
      <w:r w:rsidRPr="00EC5D51">
        <w:rPr>
          <w:rFonts w:ascii="Times New Roman" w:eastAsia="Calibri" w:hAnsi="Times New Roman"/>
          <w:sz w:val="24"/>
          <w:szCs w:val="24"/>
          <w:lang w:val="en-US"/>
        </w:rPr>
        <w:t xml:space="preserve"> </w:t>
      </w:r>
      <w:r w:rsidRPr="00EC5D51">
        <w:rPr>
          <w:rFonts w:ascii="Times New Roman" w:eastAsia="Calibri" w:hAnsi="Times New Roman"/>
          <w:sz w:val="24"/>
          <w:szCs w:val="24"/>
        </w:rPr>
        <w:t>Има информация само за инцидентни находки в уловите.</w:t>
      </w:r>
    </w:p>
    <w:p w:rsidR="00EC5D51" w:rsidRPr="00EC5D51" w:rsidRDefault="00EC5D51" w:rsidP="004760C9">
      <w:pPr>
        <w:spacing w:after="0" w:line="240" w:lineRule="auto"/>
        <w:ind w:firstLine="709"/>
        <w:jc w:val="both"/>
        <w:rPr>
          <w:rFonts w:ascii="Times New Roman" w:eastAsia="Calibri" w:hAnsi="Times New Roman"/>
          <w:sz w:val="24"/>
          <w:szCs w:val="24"/>
        </w:rPr>
      </w:pPr>
      <w:r w:rsidRPr="00F873CF">
        <w:rPr>
          <w:rFonts w:ascii="Times New Roman" w:eastAsia="Calibri" w:hAnsi="Times New Roman"/>
          <w:i/>
          <w:sz w:val="24"/>
          <w:szCs w:val="24"/>
        </w:rPr>
        <w:t>Характеристик</w:t>
      </w:r>
      <w:r w:rsidR="00F873CF" w:rsidRPr="00F873CF">
        <w:rPr>
          <w:rFonts w:ascii="Times New Roman" w:eastAsia="Calibri" w:hAnsi="Times New Roman"/>
          <w:i/>
          <w:sz w:val="24"/>
          <w:szCs w:val="24"/>
        </w:rPr>
        <w:t xml:space="preserve">и на местообитанието в </w:t>
      </w:r>
      <w:r w:rsidR="00F873CF" w:rsidRPr="00B54527">
        <w:rPr>
          <w:rFonts w:ascii="Times New Roman" w:eastAsia="Calibri" w:hAnsi="Times New Roman"/>
          <w:i/>
          <w:sz w:val="24"/>
          <w:szCs w:val="24"/>
        </w:rPr>
        <w:t>България</w:t>
      </w:r>
      <w:r w:rsidR="00F873CF">
        <w:rPr>
          <w:rFonts w:ascii="Times New Roman" w:eastAsia="Calibri" w:hAnsi="Times New Roman"/>
          <w:sz w:val="24"/>
          <w:szCs w:val="24"/>
        </w:rPr>
        <w:t xml:space="preserve">. </w:t>
      </w:r>
      <w:r w:rsidRPr="00EC5D51">
        <w:rPr>
          <w:rFonts w:ascii="Times New Roman" w:eastAsia="Calibri" w:hAnsi="Times New Roman"/>
          <w:sz w:val="24"/>
          <w:szCs w:val="24"/>
        </w:rPr>
        <w:t xml:space="preserve">Придънен реофилен вид. Обитава дълбоки участъци с бързо течение и каменисто-пясъчно дъно. В България се среща в целият български участък на р. Дунав, но е рядък вид. </w:t>
      </w:r>
    </w:p>
    <w:p w:rsidR="00EC5D51" w:rsidRPr="00EC5D51" w:rsidRDefault="00EC5D51" w:rsidP="004760C9">
      <w:pPr>
        <w:spacing w:before="120"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3. Състояние на биогеографско ниво и разпространение в мрежата </w:t>
      </w:r>
    </w:p>
    <w:p w:rsidR="00EC5D51" w:rsidRPr="00EC5D51" w:rsidRDefault="00EC5D51" w:rsidP="004760C9">
      <w:pPr>
        <w:spacing w:after="0" w:line="240" w:lineRule="auto"/>
        <w:ind w:firstLine="709"/>
        <w:jc w:val="both"/>
        <w:rPr>
          <w:rFonts w:ascii="Times New Roman" w:eastAsia="Calibri" w:hAnsi="Times New Roman"/>
          <w:color w:val="0563C1"/>
          <w:sz w:val="24"/>
          <w:szCs w:val="24"/>
          <w:u w:val="single"/>
        </w:rPr>
      </w:pPr>
      <w:r w:rsidRPr="00EC5D51">
        <w:rPr>
          <w:rFonts w:ascii="Times New Roman" w:eastAsia="Calibri" w:hAnsi="Times New Roman"/>
          <w:sz w:val="24"/>
          <w:szCs w:val="24"/>
        </w:rPr>
        <w:t>При двете проучвания предмет на докладване съгласно чл. 17 от Директивата за местообитанията (92/43/ЕИО) видът е оценен в Благопри</w:t>
      </w:r>
      <w:r w:rsidR="004760C9">
        <w:rPr>
          <w:rFonts w:ascii="Times New Roman" w:eastAsia="Calibri" w:hAnsi="Times New Roman"/>
          <w:sz w:val="24"/>
          <w:szCs w:val="24"/>
        </w:rPr>
        <w:t>я</w:t>
      </w:r>
      <w:r w:rsidR="00F873CF">
        <w:rPr>
          <w:rFonts w:ascii="Times New Roman" w:eastAsia="Calibri" w:hAnsi="Times New Roman"/>
          <w:sz w:val="24"/>
          <w:szCs w:val="24"/>
        </w:rPr>
        <w:t>но</w:t>
      </w:r>
      <w:r w:rsidR="004760C9">
        <w:rPr>
          <w:rFonts w:ascii="Times New Roman" w:eastAsia="Calibri" w:hAnsi="Times New Roman"/>
          <w:sz w:val="24"/>
          <w:szCs w:val="24"/>
        </w:rPr>
        <w:t xml:space="preserve"> ПС по всички показатели в К</w:t>
      </w:r>
      <w:r w:rsidRPr="00EC5D51">
        <w:rPr>
          <w:rFonts w:ascii="Times New Roman" w:eastAsia="Calibri" w:hAnsi="Times New Roman"/>
          <w:sz w:val="24"/>
          <w:szCs w:val="24"/>
        </w:rPr>
        <w:t xml:space="preserve">онтиненталния биогеографски </w:t>
      </w:r>
      <w:r w:rsidR="004760C9">
        <w:rPr>
          <w:rFonts w:ascii="Times New Roman" w:eastAsia="Calibri" w:hAnsi="Times New Roman"/>
          <w:sz w:val="24"/>
          <w:szCs w:val="24"/>
        </w:rPr>
        <w:t>регион</w:t>
      </w:r>
      <w:r w:rsidRPr="00EC5D51">
        <w:rPr>
          <w:rFonts w:ascii="Times New Roman" w:eastAsia="Calibri" w:hAnsi="Times New Roman"/>
          <w:sz w:val="24"/>
          <w:szCs w:val="24"/>
        </w:rPr>
        <w:t xml:space="preserve">, но не е ясно на базата на каква информация е направена тази оценка. Източник на информацията: </w:t>
      </w:r>
      <w:hyperlink r:id="rId174" w:history="1">
        <w:r w:rsidRPr="00EC5D51">
          <w:rPr>
            <w:rFonts w:ascii="Times New Roman" w:eastAsia="Calibri" w:hAnsi="Times New Roman"/>
            <w:color w:val="0563C1"/>
            <w:sz w:val="24"/>
            <w:szCs w:val="24"/>
            <w:u w:val="single"/>
          </w:rPr>
          <w:t>https://nature-art17.eionet.europa.eu/article17/species/report/</w:t>
        </w:r>
      </w:hyperlink>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EC5D51" w:rsidRPr="00EC5D51" w:rsidRDefault="00EC5D51" w:rsidP="00EC5D51">
      <w:pPr>
        <w:spacing w:after="0" w:line="240" w:lineRule="auto"/>
        <w:jc w:val="both"/>
        <w:rPr>
          <w:rFonts w:ascii="Times New Roman" w:eastAsia="Calibri" w:hAnsi="Times New Roman"/>
          <w:sz w:val="24"/>
          <w:szCs w:val="24"/>
        </w:rPr>
      </w:pPr>
      <w:r w:rsidRPr="00EC5D51">
        <w:rPr>
          <w:rFonts w:ascii="Times New Roman" w:eastAsia="Calibri" w:hAnsi="Times New Roman"/>
          <w:sz w:val="24"/>
          <w:szCs w:val="24"/>
        </w:rPr>
        <w:t>Пряко въздействащи негативни антропогенни фактори:</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bookmarkStart w:id="73" w:name="_Hlk88839225"/>
      <w:r w:rsidRPr="00EC5D51">
        <w:rPr>
          <w:rFonts w:ascii="Times New Roman" w:eastAsia="Calibri" w:hAnsi="Times New Roman"/>
          <w:sz w:val="24"/>
          <w:szCs w:val="24"/>
        </w:rPr>
        <w:t>Промени в скоростта на течението и натрупване на наноси в речните корита: добив на инертни материали, изграждане на хидротехнически съоръжения;</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Прекъсване на биокоридорите: преграждане на речните корита;</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 xml:space="preserve">Замърсяване на водите; </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Прекомерен риболовен натиск, вкл. и бракониерство.</w:t>
      </w:r>
    </w:p>
    <w:bookmarkEnd w:id="73"/>
    <w:p w:rsidR="00EC5D51" w:rsidRPr="00EC5D51" w:rsidRDefault="00EC5D51" w:rsidP="00EC5D51">
      <w:pPr>
        <w:spacing w:after="0" w:line="240" w:lineRule="auto"/>
        <w:ind w:left="720"/>
        <w:contextualSpacing/>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4. Състояние на ниво защитена зона </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EC5D51" w:rsidRPr="00EC5D51" w:rsidTr="004760C9">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bookmarkStart w:id="74" w:name="_Hlk88821712"/>
            <w:r w:rsidRPr="00EC5D51">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Site assessment </w:t>
            </w:r>
          </w:p>
        </w:tc>
      </w:tr>
      <w:tr w:rsidR="00EC5D51" w:rsidRPr="00EC5D51" w:rsidTr="004760C9">
        <w:trPr>
          <w:tblCellSpacing w:w="15" w:type="dxa"/>
        </w:trPr>
        <w:tc>
          <w:tcPr>
            <w:tcW w:w="151"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 </w:t>
            </w:r>
          </w:p>
        </w:tc>
      </w:tr>
      <w:tr w:rsidR="00EC5D51" w:rsidRPr="00EC5D51" w:rsidTr="004760C9">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9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Glo.</w:t>
            </w:r>
          </w:p>
        </w:tc>
      </w:tr>
      <w:tr w:rsidR="00EC5D51" w:rsidRPr="00EC5D51" w:rsidTr="00EC5D51">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1159</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i/>
                <w:sz w:val="16"/>
                <w:szCs w:val="16"/>
                <w:lang w:val="en-US"/>
              </w:rPr>
            </w:pPr>
            <w:r w:rsidRPr="00EC5D51">
              <w:rPr>
                <w:rFonts w:ascii="Times New Roman" w:eastAsia="Calibri" w:hAnsi="Times New Roman"/>
                <w:b/>
                <w:bCs/>
                <w:sz w:val="16"/>
                <w:szCs w:val="16"/>
                <w:lang w:val="en-US"/>
              </w:rPr>
              <w:t>Zingel zingel</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5637</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5637</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Ind.</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R</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G</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C</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А</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r>
      <w:bookmarkEnd w:id="74"/>
    </w:tbl>
    <w:p w:rsidR="00EC5D51" w:rsidRPr="00EC5D51" w:rsidRDefault="00EC5D51" w:rsidP="00EC5D51">
      <w:pPr>
        <w:autoSpaceDE w:val="0"/>
        <w:autoSpaceDN w:val="0"/>
        <w:adjustRightInd w:val="0"/>
        <w:spacing w:after="0" w:line="240" w:lineRule="auto"/>
        <w:jc w:val="both"/>
        <w:rPr>
          <w:rFonts w:ascii="Times New Roman" w:eastAsia="Calibri" w:hAnsi="Times New Roman"/>
          <w:b/>
          <w:sz w:val="24"/>
          <w:szCs w:val="24"/>
        </w:rPr>
      </w:pPr>
    </w:p>
    <w:p w:rsidR="00EC5D51" w:rsidRPr="00EC5D51" w:rsidRDefault="00EC5D51" w:rsidP="00EC5D51">
      <w:pPr>
        <w:autoSpaceDE w:val="0"/>
        <w:autoSpaceDN w:val="0"/>
        <w:adjustRightInd w:val="0"/>
        <w:spacing w:after="0" w:line="240" w:lineRule="auto"/>
        <w:jc w:val="both"/>
        <w:rPr>
          <w:rFonts w:ascii="Times New Roman" w:eastAsia="Calibri" w:hAnsi="Times New Roman"/>
          <w:b/>
          <w:sz w:val="24"/>
          <w:szCs w:val="24"/>
        </w:rPr>
      </w:pPr>
    </w:p>
    <w:p w:rsidR="00EC5D51" w:rsidRPr="00EC5D51" w:rsidRDefault="00EC5D51" w:rsidP="00EC5D51">
      <w:pPr>
        <w:autoSpaceDE w:val="0"/>
        <w:autoSpaceDN w:val="0"/>
        <w:adjustRightInd w:val="0"/>
        <w:spacing w:after="0" w:line="240" w:lineRule="auto"/>
        <w:jc w:val="both"/>
        <w:rPr>
          <w:rFonts w:ascii="Times New Roman" w:eastAsia="Calibri" w:hAnsi="Times New Roman"/>
          <w:bCs/>
          <w:color w:val="000000"/>
          <w:kern w:val="36"/>
          <w:sz w:val="24"/>
          <w:szCs w:val="24"/>
        </w:rPr>
      </w:pPr>
      <w:r w:rsidRPr="00EC5D51">
        <w:rPr>
          <w:rFonts w:ascii="Times New Roman" w:eastAsia="Calibri" w:hAnsi="Times New Roman"/>
          <w:b/>
          <w:sz w:val="24"/>
          <w:szCs w:val="24"/>
        </w:rPr>
        <w:t xml:space="preserve">Източник: </w:t>
      </w:r>
    </w:p>
    <w:p w:rsidR="00EC5D51" w:rsidRPr="00EC5D51" w:rsidRDefault="00DE51FF" w:rsidP="00EC5D51">
      <w:pPr>
        <w:spacing w:after="160" w:line="240" w:lineRule="auto"/>
        <w:jc w:val="both"/>
        <w:rPr>
          <w:rFonts w:ascii="Times New Roman" w:eastAsia="Calibri" w:hAnsi="Times New Roman"/>
          <w:sz w:val="24"/>
          <w:szCs w:val="24"/>
        </w:rPr>
      </w:pPr>
      <w:hyperlink r:id="rId175" w:history="1">
        <w:r w:rsidR="00EC5D51" w:rsidRPr="00EC5D51">
          <w:rPr>
            <w:rFonts w:ascii="Times New Roman" w:eastAsia="Calibri" w:hAnsi="Times New Roman"/>
            <w:color w:val="0563C1"/>
            <w:sz w:val="24"/>
            <w:szCs w:val="24"/>
            <w:u w:val="single"/>
          </w:rPr>
          <w:t>http://natura2000.moew.government.bg/Home/ProtectedSite?code=BG0000334&amp;siteType=HabitatDirective</w:t>
        </w:r>
      </w:hyperlink>
      <w:r w:rsidR="00EC5D51" w:rsidRPr="00EC5D51">
        <w:rPr>
          <w:rFonts w:ascii="Times New Roman" w:eastAsia="Calibri" w:hAnsi="Times New Roman"/>
          <w:sz w:val="24"/>
          <w:szCs w:val="24"/>
        </w:rPr>
        <w:t>.</w:t>
      </w:r>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Качеството на данните за голямата вретенарка е оценено като „добро“ (</w:t>
      </w:r>
      <w:r w:rsidRPr="00EC5D51">
        <w:rPr>
          <w:rFonts w:ascii="Times New Roman" w:eastAsia="Calibri" w:hAnsi="Times New Roman"/>
          <w:sz w:val="24"/>
          <w:szCs w:val="24"/>
          <w:lang w:val="en-US"/>
        </w:rPr>
        <w:t>G</w:t>
      </w:r>
      <w:r w:rsidRPr="00EC5D51">
        <w:rPr>
          <w:rFonts w:ascii="Times New Roman" w:eastAsia="Calibri" w:hAnsi="Times New Roman"/>
          <w:sz w:val="24"/>
          <w:szCs w:val="24"/>
        </w:rPr>
        <w:t>). Популацията е оценена като</w:t>
      </w:r>
      <w:r w:rsidRPr="00EC5D51">
        <w:rPr>
          <w:rFonts w:ascii="Times New Roman" w:eastAsia="Calibri" w:hAnsi="Times New Roman"/>
          <w:sz w:val="24"/>
          <w:szCs w:val="24"/>
          <w:lang w:val="en-US"/>
        </w:rPr>
        <w:t xml:space="preserve"> </w:t>
      </w:r>
      <w:r w:rsidRPr="00EC5D51">
        <w:rPr>
          <w:rFonts w:ascii="Times New Roman" w:eastAsia="Calibri" w:hAnsi="Times New Roman"/>
          <w:sz w:val="24"/>
          <w:szCs w:val="24"/>
        </w:rPr>
        <w:t>брой индивиди в зоната (мин-макс). Опазването на вида е оценено с „</w:t>
      </w:r>
      <w:r w:rsidRPr="00EC5D51">
        <w:rPr>
          <w:rFonts w:ascii="Times New Roman" w:eastAsia="Calibri" w:hAnsi="Times New Roman"/>
          <w:bCs/>
          <w:color w:val="000000"/>
          <w:kern w:val="36"/>
          <w:sz w:val="24"/>
          <w:szCs w:val="24"/>
        </w:rPr>
        <w:t>А“ (отлично опазване)</w:t>
      </w:r>
      <w:r w:rsidRPr="00EC5D51">
        <w:rPr>
          <w:rFonts w:ascii="Times New Roman" w:eastAsia="Calibri" w:hAnsi="Times New Roman"/>
          <w:sz w:val="24"/>
          <w:szCs w:val="24"/>
        </w:rPr>
        <w:t xml:space="preserve">. Степента на золация  на популацията е оценена с </w:t>
      </w:r>
      <w:r w:rsidRPr="00EC5D51">
        <w:rPr>
          <w:rFonts w:ascii="Times New Roman" w:eastAsia="Calibri" w:hAnsi="Times New Roman"/>
          <w:sz w:val="24"/>
          <w:szCs w:val="24"/>
        </w:rPr>
        <w:lastRenderedPageBreak/>
        <w:t>„</w:t>
      </w:r>
      <w:r w:rsidRPr="00EC5D51">
        <w:rPr>
          <w:rFonts w:ascii="Times New Roman" w:eastAsia="Calibri" w:hAnsi="Times New Roman"/>
          <w:bCs/>
          <w:color w:val="000000"/>
          <w:kern w:val="36"/>
          <w:sz w:val="24"/>
          <w:szCs w:val="24"/>
        </w:rPr>
        <w:t>В“ (не изолирана популация, но на границата на ареала на разпространение).</w:t>
      </w:r>
      <w:r w:rsidRPr="00EC5D51">
        <w:rPr>
          <w:rFonts w:ascii="Times New Roman" w:eastAsia="Calibri" w:hAnsi="Times New Roman"/>
          <w:sz w:val="24"/>
          <w:szCs w:val="24"/>
        </w:rPr>
        <w:t xml:space="preserve"> Цялостна оценка на стойността на зоната за опазването на вида попада в категорията „</w:t>
      </w:r>
      <w:r w:rsidRPr="00EC5D51">
        <w:rPr>
          <w:rFonts w:ascii="Times New Roman" w:eastAsia="Calibri" w:hAnsi="Times New Roman"/>
          <w:bCs/>
          <w:color w:val="000000"/>
          <w:kern w:val="36"/>
          <w:sz w:val="24"/>
          <w:szCs w:val="24"/>
        </w:rPr>
        <w:t>В“ (добра стойност)</w:t>
      </w:r>
      <w:r w:rsidRPr="00EC5D51">
        <w:rPr>
          <w:rFonts w:ascii="Times New Roman" w:eastAsia="Calibri" w:hAnsi="Times New Roman"/>
          <w:sz w:val="24"/>
          <w:szCs w:val="24"/>
        </w:rPr>
        <w:t xml:space="preserve">. </w:t>
      </w:r>
    </w:p>
    <w:p w:rsidR="00EC5D51" w:rsidRPr="00EC5D51" w:rsidRDefault="00EC5D51" w:rsidP="00EC5D51">
      <w:pPr>
        <w:autoSpaceDE w:val="0"/>
        <w:autoSpaceDN w:val="0"/>
        <w:adjustRightInd w:val="0"/>
        <w:spacing w:after="0" w:line="240" w:lineRule="auto"/>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5. </w:t>
      </w:r>
      <w:r w:rsidR="004760C9">
        <w:rPr>
          <w:rFonts w:ascii="Times New Roman" w:eastAsia="Calibri" w:hAnsi="Times New Roman"/>
          <w:b/>
          <w:sz w:val="24"/>
          <w:szCs w:val="24"/>
        </w:rPr>
        <w:t>Анализ на наличната информация</w:t>
      </w:r>
    </w:p>
    <w:p w:rsidR="00EC5D51" w:rsidRPr="00EC5D51" w:rsidRDefault="00EC5D51" w:rsidP="004760C9">
      <w:pPr>
        <w:spacing w:after="0" w:line="240" w:lineRule="auto"/>
        <w:ind w:firstLine="709"/>
        <w:jc w:val="both"/>
        <w:rPr>
          <w:rFonts w:ascii="Times New Roman" w:eastAsia="Calibri" w:hAnsi="Times New Roman"/>
          <w:sz w:val="24"/>
          <w:szCs w:val="24"/>
        </w:rPr>
      </w:pPr>
      <w:bookmarkStart w:id="75" w:name="_Hlk88822223"/>
      <w:r w:rsidRPr="00EC5D51">
        <w:rPr>
          <w:rFonts w:ascii="Times New Roman" w:eastAsia="Calibri" w:hAnsi="Times New Roman"/>
          <w:sz w:val="24"/>
          <w:szCs w:val="24"/>
        </w:rPr>
        <w:t>Видът е регистриран през 2013 г. в зоната по време на проект "Картиране и определяне на природозащитното състояние на природни местообитания и видове - фаза I"</w:t>
      </w:r>
      <w:r w:rsidRPr="00EC5D51">
        <w:rPr>
          <w:rFonts w:ascii="Times New Roman" w:eastAsia="Calibri" w:hAnsi="Times New Roman"/>
          <w:sz w:val="24"/>
          <w:szCs w:val="24"/>
          <w:lang w:val="en-US"/>
        </w:rPr>
        <w:t>.</w:t>
      </w:r>
      <w:r w:rsidRPr="00EC5D51">
        <w:rPr>
          <w:rFonts w:ascii="Times New Roman" w:eastAsia="Calibri" w:hAnsi="Times New Roman"/>
          <w:sz w:val="24"/>
          <w:szCs w:val="24"/>
        </w:rPr>
        <w:t xml:space="preserve"> По всички критерии за оценка ПС е определено като „благоприятно“. </w:t>
      </w:r>
      <w:bookmarkEnd w:id="75"/>
      <w:r w:rsidRPr="00EC5D51">
        <w:rPr>
          <w:rFonts w:ascii="Times New Roman" w:eastAsia="Calibri" w:hAnsi="Times New Roman"/>
          <w:sz w:val="24"/>
          <w:szCs w:val="24"/>
        </w:rPr>
        <w:t xml:space="preserve">В стандартния формуляр като популационна единица е използвана общата численост в зоната (5637 макс.-мин.). Има съобщения са редки улови на голяма вретенарка в рибарски мрежи, но поради ниската си численост видът много рядко се отчита в риболовната статистика. </w:t>
      </w:r>
    </w:p>
    <w:p w:rsidR="00EC5D51" w:rsidRPr="00EC5D51" w:rsidRDefault="00EC5D51" w:rsidP="004760C9">
      <w:pPr>
        <w:spacing w:after="0" w:line="240" w:lineRule="auto"/>
        <w:ind w:firstLine="709"/>
        <w:jc w:val="both"/>
        <w:rPr>
          <w:rFonts w:ascii="Times New Roman" w:eastAsia="Calibri" w:hAnsi="Times New Roman"/>
          <w:sz w:val="24"/>
          <w:szCs w:val="24"/>
        </w:rPr>
      </w:pPr>
      <w:bookmarkStart w:id="76" w:name="_Hlk88985979"/>
      <w:bookmarkStart w:id="77" w:name="_Hlk88986449"/>
      <w:r w:rsidRPr="00EC5D51">
        <w:rPr>
          <w:rFonts w:ascii="Times New Roman" w:eastAsia="Calibri" w:hAnsi="Times New Roman"/>
          <w:sz w:val="24"/>
          <w:szCs w:val="24"/>
        </w:rPr>
        <w:t xml:space="preserve">В зоната видът се среща само в р. Дунав. Участъкът от река Дунав в зоната, според своите хидроморфологични характеристики представлява подходящо местообитание за вида и важен ефективен екокоридор за връзка с останалите части на популацията, тъй като няма прегради, нарушаващи коридорните функции. Няма данни за значително замърсяване на водата в участъка от р. Дунав в границите на ЗЗ. По данни от международното научно изследване </w:t>
      </w:r>
      <w:r w:rsidRPr="00EC5D51">
        <w:rPr>
          <w:rFonts w:ascii="Times New Roman" w:eastAsia="Calibri" w:hAnsi="Times New Roman"/>
          <w:sz w:val="24"/>
          <w:szCs w:val="24"/>
          <w:lang w:val="en-US"/>
        </w:rPr>
        <w:t>“JDS 4”</w:t>
      </w:r>
      <w:r w:rsidRPr="00EC5D51">
        <w:rPr>
          <w:rFonts w:ascii="Times New Roman" w:eastAsia="Calibri" w:hAnsi="Times New Roman"/>
          <w:sz w:val="24"/>
          <w:szCs w:val="24"/>
        </w:rPr>
        <w:t xml:space="preserve">, през 2019 </w:t>
      </w:r>
      <w:r w:rsidR="00B54527">
        <w:rPr>
          <w:rFonts w:ascii="Times New Roman" w:eastAsia="Calibri" w:hAnsi="Times New Roman"/>
          <w:sz w:val="24"/>
          <w:szCs w:val="24"/>
        </w:rPr>
        <w:t xml:space="preserve">г. </w:t>
      </w:r>
      <w:r w:rsidRPr="00EC5D51">
        <w:rPr>
          <w:rFonts w:ascii="Times New Roman" w:eastAsia="Calibri" w:hAnsi="Times New Roman"/>
          <w:sz w:val="24"/>
          <w:szCs w:val="24"/>
        </w:rPr>
        <w:t xml:space="preserve">на най-близкия мониторингов пункт на р. Дунав при с. Ветрен е определен </w:t>
      </w:r>
      <w:r w:rsidR="00B54527">
        <w:rPr>
          <w:rFonts w:ascii="Times New Roman" w:eastAsia="Calibri" w:hAnsi="Times New Roman"/>
          <w:sz w:val="24"/>
          <w:szCs w:val="24"/>
        </w:rPr>
        <w:t>„</w:t>
      </w:r>
      <w:r w:rsidRPr="00EC5D51">
        <w:rPr>
          <w:rFonts w:ascii="Times New Roman" w:eastAsia="Calibri" w:hAnsi="Times New Roman"/>
          <w:sz w:val="24"/>
          <w:szCs w:val="24"/>
        </w:rPr>
        <w:t>Добър екологичен потенциал</w:t>
      </w:r>
      <w:r w:rsidR="00B54527">
        <w:rPr>
          <w:rFonts w:ascii="Times New Roman" w:eastAsia="Calibri" w:hAnsi="Times New Roman"/>
          <w:sz w:val="24"/>
          <w:szCs w:val="24"/>
        </w:rPr>
        <w:t>“</w:t>
      </w:r>
      <w:r w:rsidRPr="00EC5D51">
        <w:rPr>
          <w:rFonts w:ascii="Times New Roman" w:eastAsia="Calibri" w:hAnsi="Times New Roman"/>
          <w:sz w:val="24"/>
          <w:szCs w:val="24"/>
        </w:rPr>
        <w:t xml:space="preserve"> по БЕК Риби, БЕК Макрозообентос и БЕК Макрофити</w:t>
      </w:r>
      <w:bookmarkEnd w:id="76"/>
      <w:r w:rsidRPr="00EC5D51">
        <w:rPr>
          <w:rFonts w:ascii="Times New Roman" w:eastAsia="Calibri" w:hAnsi="Times New Roman"/>
          <w:sz w:val="24"/>
          <w:szCs w:val="24"/>
        </w:rPr>
        <w:t>.</w:t>
      </w:r>
    </w:p>
    <w:bookmarkEnd w:id="77"/>
    <w:p w:rsidR="00B54527" w:rsidRPr="00EC5D51" w:rsidRDefault="00B54527" w:rsidP="00B54527">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При полевото проучване </w:t>
      </w:r>
      <w:r>
        <w:rPr>
          <w:rFonts w:ascii="Times New Roman" w:eastAsia="Calibri" w:hAnsi="Times New Roman"/>
          <w:sz w:val="24"/>
          <w:szCs w:val="24"/>
        </w:rPr>
        <w:t xml:space="preserve">през 2021 г. </w:t>
      </w:r>
      <w:r w:rsidRPr="00EC5D51">
        <w:rPr>
          <w:rFonts w:ascii="Times New Roman" w:eastAsia="Calibri" w:hAnsi="Times New Roman"/>
          <w:sz w:val="24"/>
          <w:szCs w:val="24"/>
        </w:rPr>
        <w:t>по време на проекта за определяне на целите за опазване на вида в защитената зона са извършени пробни улови. Пронабиране е извършено в откритата централна част на реката с добре изразено течение. Използван е един метод за пробонабиране приложим за този вид (подход за мониторинг на риби в р. Дунав)</w:t>
      </w:r>
      <w:r>
        <w:rPr>
          <w:rFonts w:ascii="Times New Roman" w:eastAsia="Calibri" w:hAnsi="Times New Roman"/>
          <w:sz w:val="24"/>
          <w:szCs w:val="24"/>
        </w:rPr>
        <w:t>,</w:t>
      </w:r>
      <w:r w:rsidRPr="00AC42CE">
        <w:rPr>
          <w:rFonts w:ascii="Times New Roman" w:eastAsia="Calibri" w:hAnsi="Times New Roman"/>
          <w:sz w:val="24"/>
          <w:szCs w:val="24"/>
        </w:rPr>
        <w:t xml:space="preserve"> </w:t>
      </w:r>
      <w:r w:rsidRPr="00EC5D51">
        <w:rPr>
          <w:rFonts w:ascii="Times New Roman" w:eastAsia="Calibri" w:hAnsi="Times New Roman"/>
          <w:sz w:val="24"/>
          <w:szCs w:val="24"/>
        </w:rPr>
        <w:t>приет в Националната система за мониторинг на биологичното разнообразие (</w:t>
      </w:r>
      <w:hyperlink r:id="rId176" w:history="1">
        <w:r w:rsidRPr="00EC5D51">
          <w:rPr>
            <w:rFonts w:ascii="Times New Roman" w:eastAsia="Calibri" w:hAnsi="Times New Roman"/>
            <w:color w:val="0563C1"/>
            <w:sz w:val="24"/>
            <w:szCs w:val="24"/>
            <w:u w:val="single"/>
          </w:rPr>
          <w:t>http://eea.government.bg/bg/bio/nsmbr/praktichesko-rakovodstvo-metodiki-za-monitoring-i-otsenka/Podhod_Dunav.pdf</w:t>
        </w:r>
      </w:hyperlink>
      <w:r w:rsidRPr="00EC5D51">
        <w:rPr>
          <w:rFonts w:ascii="Times New Roman" w:eastAsia="Calibri" w:hAnsi="Times New Roman"/>
          <w:sz w:val="24"/>
          <w:szCs w:val="24"/>
        </w:rPr>
        <w:t>): плаващи дънни мрежи с размер на отворите 2-3 см, пускани на рибарските тони или в други участъци с чакълесто дъно</w:t>
      </w:r>
      <w:r>
        <w:rPr>
          <w:rFonts w:ascii="Times New Roman" w:eastAsia="Calibri" w:hAnsi="Times New Roman"/>
          <w:sz w:val="24"/>
          <w:szCs w:val="24"/>
        </w:rPr>
        <w:t>.</w:t>
      </w:r>
      <w:r w:rsidRPr="00EC5D51">
        <w:rPr>
          <w:rFonts w:ascii="Times New Roman" w:eastAsia="Calibri" w:hAnsi="Times New Roman"/>
          <w:sz w:val="24"/>
          <w:szCs w:val="24"/>
        </w:rPr>
        <w:t>. Извършено е четирикратно пробонабиране с дънна хрилна мрежа с дължина 100 м и размер на отворите 3 см. Дължината на трансектите е около 500 м. При този подход числеността на рибите се определя като улов (индивиди) на единица риболовно усилие (ind. CPUE). При определяне на CPUE се отчитат размерите на мрежата, времето на експозиция и разстоянието, което е изминато за това врече.</w:t>
      </w:r>
    </w:p>
    <w:p w:rsidR="00EC5D51" w:rsidRPr="00EC5D51" w:rsidRDefault="00B54527" w:rsidP="00B54527">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Не е регистриран нито един екземпляр на вида в нито един от трансектите</w:t>
      </w:r>
      <w:r w:rsidR="00EC5D51" w:rsidRPr="00EC5D51">
        <w:rPr>
          <w:rFonts w:ascii="Times New Roman" w:eastAsia="Calibri" w:hAnsi="Times New Roman"/>
          <w:sz w:val="24"/>
          <w:szCs w:val="24"/>
        </w:rPr>
        <w:t>.</w:t>
      </w:r>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Защитена зона </w:t>
      </w:r>
      <w:r w:rsidRPr="004760C9">
        <w:rPr>
          <w:rFonts w:ascii="Times New Roman" w:eastAsia="Calibri" w:hAnsi="Times New Roman"/>
          <w:sz w:val="24"/>
          <w:szCs w:val="24"/>
        </w:rPr>
        <w:t>BG0000241</w:t>
      </w:r>
      <w:r w:rsidRPr="00EC5D51">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w:t>
      </w:r>
      <w:r w:rsidR="00B54527">
        <w:rPr>
          <w:rFonts w:ascii="Times New Roman" w:eastAsia="Calibri" w:hAnsi="Times New Roman"/>
          <w:sz w:val="24"/>
          <w:szCs w:val="24"/>
        </w:rPr>
        <w:t>незаконен</w:t>
      </w:r>
      <w:r w:rsidRPr="00EC5D51">
        <w:rPr>
          <w:rFonts w:ascii="Times New Roman" w:eastAsia="Calibri" w:hAnsi="Times New Roman"/>
          <w:sz w:val="24"/>
          <w:szCs w:val="24"/>
        </w:rPr>
        <w:t>),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EC5D51" w:rsidRPr="00EC5D51" w:rsidRDefault="00EC5D51" w:rsidP="00EC5D51">
      <w:pPr>
        <w:spacing w:after="0" w:line="240" w:lineRule="auto"/>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6. Цели за подобряване/поддържане на природозащитното състояние на </w:t>
      </w:r>
      <w:r w:rsidR="004760C9">
        <w:rPr>
          <w:rFonts w:ascii="Times New Roman" w:eastAsia="Calibri" w:hAnsi="Times New Roman"/>
          <w:b/>
          <w:sz w:val="24"/>
          <w:szCs w:val="24"/>
        </w:rPr>
        <w:t>вида в зоната</w:t>
      </w:r>
    </w:p>
    <w:p w:rsid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Целите са формулирани по показатели, в таблицата по-долу.</w:t>
      </w:r>
    </w:p>
    <w:p w:rsidR="004760C9" w:rsidRPr="00EC5D51" w:rsidRDefault="004760C9" w:rsidP="004760C9">
      <w:pPr>
        <w:spacing w:after="0" w:line="240" w:lineRule="auto"/>
        <w:ind w:firstLine="709"/>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133"/>
        <w:gridCol w:w="1419"/>
        <w:gridCol w:w="3178"/>
        <w:gridCol w:w="1855"/>
      </w:tblGrid>
      <w:tr w:rsidR="00EC5D51" w:rsidRPr="00EC5D51" w:rsidTr="004760C9">
        <w:trPr>
          <w:tblHeader/>
          <w:jc w:val="center"/>
        </w:trPr>
        <w:tc>
          <w:tcPr>
            <w:tcW w:w="756"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eastAsia="Calibri" w:hAnsi="Times New Roman"/>
                <w:b/>
                <w:bCs/>
              </w:rPr>
              <w:t>Параметър</w:t>
            </w:r>
          </w:p>
        </w:tc>
        <w:tc>
          <w:tcPr>
            <w:tcW w:w="634"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Мерна единица</w:t>
            </w:r>
          </w:p>
        </w:tc>
        <w:tc>
          <w:tcPr>
            <w:tcW w:w="794"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Целева стойност</w:t>
            </w:r>
          </w:p>
        </w:tc>
        <w:tc>
          <w:tcPr>
            <w:tcW w:w="1778"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eastAsia="Calibri" w:hAnsi="Times New Roman"/>
                <w:b/>
                <w:bCs/>
              </w:rPr>
              <w:t>Специфични цели на опазване за зоната</w:t>
            </w:r>
          </w:p>
        </w:tc>
      </w:tr>
      <w:tr w:rsidR="00EC5D51" w:rsidRPr="00EC5D51" w:rsidTr="004760C9">
        <w:trPr>
          <w:jc w:val="center"/>
        </w:trPr>
        <w:tc>
          <w:tcPr>
            <w:tcW w:w="756" w:type="pct"/>
            <w:vMerge w:val="restart"/>
            <w:shd w:val="clear" w:color="auto" w:fill="auto"/>
          </w:tcPr>
          <w:p w:rsidR="00EC5D51" w:rsidRPr="00EC5D51" w:rsidRDefault="00EC5D51" w:rsidP="00EC5D51">
            <w:pPr>
              <w:spacing w:before="120" w:after="120" w:line="240" w:lineRule="auto"/>
              <w:rPr>
                <w:rFonts w:ascii="Times New Roman" w:eastAsia="Calibri" w:hAnsi="Times New Roman"/>
                <w:b/>
                <w:lang w:val="en-US"/>
              </w:rPr>
            </w:pPr>
            <w:r w:rsidRPr="00EC5D51">
              <w:rPr>
                <w:rFonts w:ascii="Times New Roman" w:eastAsia="Calibri" w:hAnsi="Times New Roman"/>
                <w:b/>
              </w:rPr>
              <w:t>Плътност на популацията</w:t>
            </w:r>
          </w:p>
        </w:tc>
        <w:tc>
          <w:tcPr>
            <w:tcW w:w="634" w:type="pct"/>
            <w:vMerge w:val="restar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ind. CPUE</w:t>
            </w:r>
          </w:p>
        </w:tc>
        <w:tc>
          <w:tcPr>
            <w:tcW w:w="794" w:type="pct"/>
            <w:vMerge w:val="restar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Най-малко</w:t>
            </w:r>
            <w:r w:rsidRPr="00EC5D51">
              <w:rPr>
                <w:rFonts w:ascii="Times New Roman" w:eastAsia="Calibri" w:hAnsi="Times New Roman"/>
                <w:lang w:val="en-US"/>
              </w:rPr>
              <w:t xml:space="preserve"> </w:t>
            </w:r>
            <w:r w:rsidRPr="00EC5D51">
              <w:rPr>
                <w:rFonts w:ascii="Times New Roman" w:eastAsia="Calibri" w:hAnsi="Times New Roman"/>
              </w:rPr>
              <w:t xml:space="preserve">1-2 </w:t>
            </w:r>
          </w:p>
        </w:tc>
        <w:tc>
          <w:tcPr>
            <w:tcW w:w="1778" w:type="pct"/>
            <w:vMerge w:val="restar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Стойността по  този параметър при работа с плаващи мрежи се определя като брой на уловените екземпляри от вида спрямо площта на хрилните мрежи, времето на плаването им в работно положение и изминатото разстояние. След това броят на уловените екземпляри се преизчислява на единица риболовно усилие (ind. CPUE). </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Според наличните данни (проект "Картиране и определяне на природозащитното състояние на природни местообитания и видове - фаза I".) средната стойност на числеността на вида в зоната не е определена. Няма данни и от последващи регистрации на вида в зоната, вкл. и през 2021 г., когато е проведено теренно проучване за вида на 4 трансекта по ок. 500 м. Поради тази причина минималната целева стойност на популацията се определя чрез експертна преценка като се отчита  референтната стойност, предложена експертно по време на проект "Картиране и определяне на природозащитното състояние на природни местообитания и видове - фаза I" (10-20 екз./ха).</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По отношение на натиска, този конкретен речен участък в рамките на защитената зона може да се счита за хомогенен. </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Кумулативния</w:t>
            </w:r>
            <w:r w:rsidR="00B54527">
              <w:rPr>
                <w:rFonts w:ascii="Times New Roman" w:eastAsia="Calibri" w:hAnsi="Times New Roman"/>
              </w:rPr>
              <w:t>т</w:t>
            </w:r>
            <w:r w:rsidRPr="00EC5D51">
              <w:rPr>
                <w:rFonts w:ascii="Times New Roman" w:eastAsia="Calibri" w:hAnsi="Times New Roman"/>
              </w:rPr>
              <w:t xml:space="preserve"> натиск с източници на произход извън зоната може да бъде значим, но към момента не може да бъде отчетен.</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Съгласно методиката за оценка </w:t>
            </w:r>
            <w:r w:rsidRPr="00EC5D51">
              <w:rPr>
                <w:rFonts w:ascii="Times New Roman" w:eastAsia="Calibri" w:hAnsi="Times New Roman"/>
              </w:rPr>
              <w:lastRenderedPageBreak/>
              <w:t xml:space="preserve">на състоянието на риби в НСМБР референтните стойности за плътността на популацията на този вид не са установени. </w:t>
            </w:r>
          </w:p>
        </w:tc>
        <w:tc>
          <w:tcPr>
            <w:tcW w:w="1038" w:type="pct"/>
          </w:tcPr>
          <w:p w:rsidR="00EC5D51" w:rsidRPr="00EC5D51" w:rsidRDefault="00EC5D51" w:rsidP="00635999">
            <w:pPr>
              <w:numPr>
                <w:ilvl w:val="0"/>
                <w:numId w:val="19"/>
              </w:numPr>
              <w:spacing w:before="120" w:after="120" w:line="240" w:lineRule="auto"/>
              <w:ind w:left="0" w:hanging="68"/>
              <w:contextualSpacing/>
              <w:jc w:val="both"/>
              <w:rPr>
                <w:rFonts w:ascii="Times New Roman" w:eastAsia="Calibri" w:hAnsi="Times New Roman"/>
              </w:rPr>
            </w:pPr>
            <w:r w:rsidRPr="00EC5D51">
              <w:rPr>
                <w:rFonts w:ascii="Times New Roman" w:eastAsia="Calibri" w:hAnsi="Times New Roman"/>
              </w:rPr>
              <w:lastRenderedPageBreak/>
              <w:t>Поддържане на ниска численост на инвазивни дънни видове риби (</w:t>
            </w:r>
            <w:r w:rsidRPr="00B54527">
              <w:rPr>
                <w:rFonts w:ascii="Times New Roman" w:eastAsia="Calibri" w:hAnsi="Times New Roman"/>
                <w:i/>
              </w:rPr>
              <w:t>Neogobius melanostomus</w:t>
            </w:r>
            <w:r w:rsidRPr="00B54527">
              <w:rPr>
                <w:rFonts w:ascii="Times New Roman" w:eastAsia="Calibri" w:hAnsi="Times New Roman"/>
                <w:i/>
                <w:lang w:val="en-US"/>
              </w:rPr>
              <w:t>,</w:t>
            </w:r>
            <w:r w:rsidRPr="00B54527">
              <w:rPr>
                <w:rFonts w:ascii="Times New Roman" w:eastAsia="Calibri" w:hAnsi="Times New Roman"/>
                <w:i/>
              </w:rPr>
              <w:t xml:space="preserve"> </w:t>
            </w:r>
            <w:r w:rsidRPr="00B54527">
              <w:rPr>
                <w:rFonts w:ascii="Times New Roman" w:eastAsia="Calibri" w:hAnsi="Times New Roman"/>
                <w:i/>
                <w:lang w:val="en-US"/>
              </w:rPr>
              <w:t>P</w:t>
            </w:r>
            <w:r w:rsidRPr="00B54527">
              <w:rPr>
                <w:rFonts w:ascii="Times New Roman" w:eastAsia="Calibri" w:hAnsi="Times New Roman"/>
                <w:i/>
              </w:rPr>
              <w:t>erccottus glenii</w:t>
            </w:r>
            <w:r w:rsidRPr="00EC5D51">
              <w:rPr>
                <w:rFonts w:ascii="Times New Roman" w:eastAsia="Calibri" w:hAnsi="Times New Roman"/>
              </w:rPr>
              <w:t>). Предотвратяване на разпространението на нови инвазивни видове риби.</w:t>
            </w:r>
          </w:p>
        </w:tc>
      </w:tr>
      <w:tr w:rsidR="00EC5D51" w:rsidRPr="00EC5D51" w:rsidTr="004760C9">
        <w:trPr>
          <w:jc w:val="center"/>
        </w:trPr>
        <w:tc>
          <w:tcPr>
            <w:tcW w:w="756" w:type="pct"/>
            <w:vMerge/>
            <w:shd w:val="clear" w:color="auto" w:fill="auto"/>
          </w:tcPr>
          <w:p w:rsidR="00EC5D51" w:rsidRPr="00EC5D51" w:rsidRDefault="00EC5D51" w:rsidP="00EC5D51">
            <w:pPr>
              <w:spacing w:before="120" w:after="120" w:line="240" w:lineRule="auto"/>
              <w:rPr>
                <w:rFonts w:ascii="Times New Roman" w:eastAsia="Calibri" w:hAnsi="Times New Roman"/>
                <w:b/>
              </w:rPr>
            </w:pPr>
          </w:p>
        </w:tc>
        <w:tc>
          <w:tcPr>
            <w:tcW w:w="634" w:type="pct"/>
            <w:vMerge/>
            <w:shd w:val="clear" w:color="auto" w:fill="auto"/>
          </w:tcPr>
          <w:p w:rsidR="00EC5D51" w:rsidRPr="00EC5D51" w:rsidRDefault="00EC5D51" w:rsidP="00EC5D51">
            <w:pPr>
              <w:spacing w:before="120" w:after="120" w:line="240" w:lineRule="auto"/>
              <w:rPr>
                <w:rFonts w:ascii="Times New Roman" w:eastAsia="Calibri" w:hAnsi="Times New Roman"/>
              </w:rPr>
            </w:pPr>
          </w:p>
        </w:tc>
        <w:tc>
          <w:tcPr>
            <w:tcW w:w="794" w:type="pct"/>
            <w:vMerge/>
            <w:shd w:val="clear" w:color="auto" w:fill="auto"/>
          </w:tcPr>
          <w:p w:rsidR="00EC5D51" w:rsidRPr="00EC5D51" w:rsidRDefault="00EC5D51" w:rsidP="00EC5D51">
            <w:pPr>
              <w:spacing w:before="120" w:after="120" w:line="240" w:lineRule="auto"/>
              <w:rPr>
                <w:rFonts w:ascii="Times New Roman" w:eastAsia="Calibri" w:hAnsi="Times New Roman"/>
              </w:rPr>
            </w:pPr>
          </w:p>
        </w:tc>
        <w:tc>
          <w:tcPr>
            <w:tcW w:w="1778" w:type="pct"/>
            <w:vMerge/>
            <w:shd w:val="clear" w:color="auto" w:fill="auto"/>
          </w:tcPr>
          <w:p w:rsidR="00EC5D51" w:rsidRPr="00EC5D51" w:rsidRDefault="00EC5D51" w:rsidP="00EC5D51">
            <w:pPr>
              <w:spacing w:before="120" w:after="120" w:line="240" w:lineRule="auto"/>
              <w:jc w:val="both"/>
              <w:rPr>
                <w:rFonts w:ascii="Times New Roman" w:eastAsia="Calibri" w:hAnsi="Times New Roman"/>
              </w:rPr>
            </w:pPr>
          </w:p>
        </w:tc>
        <w:tc>
          <w:tcPr>
            <w:tcW w:w="1038" w:type="pct"/>
          </w:tcPr>
          <w:p w:rsidR="00EC5D51" w:rsidRPr="00EC5D51" w:rsidRDefault="00EC5D51" w:rsidP="00635999">
            <w:pPr>
              <w:numPr>
                <w:ilvl w:val="0"/>
                <w:numId w:val="19"/>
              </w:numPr>
              <w:spacing w:before="120" w:after="120" w:line="240" w:lineRule="auto"/>
              <w:ind w:left="9" w:hanging="74"/>
              <w:contextualSpacing/>
              <w:jc w:val="both"/>
              <w:rPr>
                <w:rFonts w:ascii="Times New Roman" w:eastAsia="Calibri" w:hAnsi="Times New Roman"/>
              </w:rPr>
            </w:pPr>
            <w:r w:rsidRPr="00EC5D51">
              <w:rPr>
                <w:rFonts w:ascii="Times New Roman" w:eastAsia="Calibri" w:hAnsi="Times New Roman"/>
              </w:rPr>
              <w:t>Предотвратяване на бракониерския риболов, в т.ч.: използване на незаконни уреди и начини за риболов, неспазване на сезонните ограничения, извършване на стопански риболов без съответно разрешително</w:t>
            </w:r>
          </w:p>
        </w:tc>
      </w:tr>
      <w:tr w:rsidR="00EC5D51" w:rsidRPr="00EC5D51" w:rsidTr="004760C9">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 xml:space="preserve">Местообитание на вида: </w:t>
            </w:r>
          </w:p>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речна мрежа, представляваща потенциално местообитание за вида</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км</w:t>
            </w:r>
          </w:p>
        </w:tc>
        <w:tc>
          <w:tcPr>
            <w:tcW w:w="79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shd w:val="clear" w:color="auto" w:fill="FFFFFF"/>
              </w:rPr>
              <w:t>Най-малко 3 км</w:t>
            </w:r>
          </w:p>
        </w:tc>
        <w:tc>
          <w:tcPr>
            <w:tcW w:w="1778"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Тъй като в границите на зоната видът се среща само в р. Дунав, като размер на местообитанието на вида се определя дължината на участъка от р. Дунав в границите на ЗЗ Чрез ГИС анализ е установено, че 3 км от р. Дунав в защитената зона отговарят на посочените критерии. Според наличните данни за вида, той се среща мозаечно в зоната.</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Поддържане на участъка от р. Дунав, представляващ подходящо местообитание в границите на зоната – най-малко 3 км. </w:t>
            </w:r>
          </w:p>
          <w:p w:rsidR="00EC5D51" w:rsidRPr="00EC5D51" w:rsidRDefault="00EC5D51" w:rsidP="00EC5D51">
            <w:pPr>
              <w:spacing w:before="120" w:after="120" w:line="240" w:lineRule="auto"/>
              <w:jc w:val="both"/>
              <w:rPr>
                <w:rFonts w:ascii="Times New Roman" w:eastAsia="Calibri" w:hAnsi="Times New Roman"/>
              </w:rPr>
            </w:pPr>
          </w:p>
          <w:p w:rsidR="00EC5D51" w:rsidRPr="00EC5D51" w:rsidRDefault="00EC5D51" w:rsidP="00EC5D51">
            <w:pPr>
              <w:spacing w:before="120" w:after="120" w:line="240" w:lineRule="auto"/>
              <w:jc w:val="both"/>
              <w:rPr>
                <w:rFonts w:ascii="Times New Roman" w:eastAsia="Calibri" w:hAnsi="Times New Roman"/>
              </w:rPr>
            </w:pPr>
          </w:p>
        </w:tc>
      </w:tr>
      <w:tr w:rsidR="00EC5D51" w:rsidRPr="00EC5D51" w:rsidTr="004760C9">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 xml:space="preserve">Местообитание на вида: </w:t>
            </w:r>
          </w:p>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 xml:space="preserve">Степен на свързаност на местообитанието на вида </w:t>
            </w:r>
          </w:p>
          <w:p w:rsidR="00EC5D51" w:rsidRPr="00EC5D51" w:rsidRDefault="00EC5D51" w:rsidP="00EC5D51">
            <w:pPr>
              <w:spacing w:before="120" w:after="120" w:line="240" w:lineRule="auto"/>
              <w:rPr>
                <w:rFonts w:ascii="Times New Roman" w:eastAsia="Calibri" w:hAnsi="Times New Roman"/>
                <w:b/>
              </w:rPr>
            </w:pPr>
          </w:p>
          <w:p w:rsidR="00EC5D51" w:rsidRPr="00EC5D51" w:rsidRDefault="00EC5D51" w:rsidP="00EC5D51">
            <w:pPr>
              <w:spacing w:before="120" w:after="120" w:line="240" w:lineRule="auto"/>
              <w:rPr>
                <w:rFonts w:ascii="Times New Roman" w:eastAsia="Calibri" w:hAnsi="Times New Roman"/>
                <w:b/>
              </w:rPr>
            </w:pP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 xml:space="preserve">5 степенна скала за всяка бариера </w:t>
            </w:r>
          </w:p>
        </w:tc>
        <w:tc>
          <w:tcPr>
            <w:tcW w:w="794" w:type="pct"/>
            <w:shd w:val="clear" w:color="auto" w:fill="auto"/>
          </w:tcPr>
          <w:p w:rsidR="00EC5D51" w:rsidRPr="00EC5D51" w:rsidRDefault="00EC5D51" w:rsidP="00EC5D51">
            <w:pPr>
              <w:spacing w:before="120" w:after="120" w:line="240" w:lineRule="auto"/>
              <w:rPr>
                <w:rFonts w:ascii="Times New Roman" w:eastAsia="Calibri" w:hAnsi="Times New Roman"/>
                <w:lang w:val="en-US"/>
              </w:rPr>
            </w:pPr>
            <w:r w:rsidRPr="00EC5D51">
              <w:rPr>
                <w:rFonts w:ascii="Times New Roman" w:eastAsia="Calibri" w:hAnsi="Times New Roman"/>
              </w:rPr>
              <w:t>Степен</w:t>
            </w:r>
            <w:r w:rsidRPr="00EC5D51">
              <w:rPr>
                <w:rFonts w:ascii="Times New Roman" w:eastAsia="Calibri" w:hAnsi="Times New Roman"/>
                <w:lang w:val="en-US"/>
              </w:rPr>
              <w:t xml:space="preserve"> 1</w:t>
            </w:r>
          </w:p>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за всяка бариера</w:t>
            </w:r>
          </w:p>
        </w:tc>
        <w:tc>
          <w:tcPr>
            <w:tcW w:w="1778"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На базата на информацията в ПУБР 2016-2021 г. и пробонабирането през 2021 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 xml:space="preserve">Поддържане на свързаност на местообитанието на вида от Степен 1 за всяка бариера в речния участък. </w:t>
            </w:r>
          </w:p>
        </w:tc>
      </w:tr>
      <w:tr w:rsidR="00EC5D51" w:rsidRPr="00EC5D51" w:rsidTr="004760C9">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 xml:space="preserve">Местообитание на вида: Екологично 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 xml:space="preserve">5 степенна скала за екологично състояние съгласно РДВ </w:t>
            </w:r>
          </w:p>
        </w:tc>
        <w:tc>
          <w:tcPr>
            <w:tcW w:w="794" w:type="pct"/>
            <w:shd w:val="clear" w:color="auto" w:fill="auto"/>
          </w:tcPr>
          <w:p w:rsidR="00EC5D51" w:rsidRPr="00EC5D51" w:rsidRDefault="00EC5D51" w:rsidP="00B54527">
            <w:pPr>
              <w:spacing w:before="120" w:after="120" w:line="240" w:lineRule="auto"/>
              <w:rPr>
                <w:rFonts w:ascii="Times New Roman" w:eastAsia="Calibri" w:hAnsi="Times New Roman"/>
              </w:rPr>
            </w:pPr>
            <w:r w:rsidRPr="00EC5D51">
              <w:rPr>
                <w:rFonts w:ascii="Times New Roman" w:eastAsia="Calibri" w:hAnsi="Times New Roman"/>
              </w:rPr>
              <w:t xml:space="preserve">По-висока или равна на 2 – </w:t>
            </w:r>
            <w:r w:rsidR="00B54527">
              <w:rPr>
                <w:rFonts w:ascii="Times New Roman" w:eastAsia="Calibri" w:hAnsi="Times New Roman"/>
              </w:rPr>
              <w:t>Добър потенциал</w:t>
            </w:r>
          </w:p>
        </w:tc>
        <w:tc>
          <w:tcPr>
            <w:tcW w:w="1778" w:type="pct"/>
            <w:shd w:val="clear" w:color="auto" w:fill="auto"/>
          </w:tcPr>
          <w:p w:rsidR="00EC5D51" w:rsidRPr="00EC5D51" w:rsidRDefault="00EC5D51" w:rsidP="00EC5D51">
            <w:pPr>
              <w:spacing w:after="0" w:line="240" w:lineRule="auto"/>
              <w:jc w:val="both"/>
              <w:rPr>
                <w:rFonts w:ascii="Times New Roman" w:eastAsia="Calibri" w:hAnsi="Times New Roman"/>
              </w:rPr>
            </w:pPr>
            <w:r w:rsidRPr="00EC5D51">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EC5D51" w:rsidRPr="00EC5D51" w:rsidTr="00EC5D51">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EC5D51" w:rsidRPr="00EC5D51" w:rsidRDefault="00EC5D51" w:rsidP="00EC5D51">
                  <w:pPr>
                    <w:spacing w:after="0" w:line="240" w:lineRule="auto"/>
                    <w:jc w:val="center"/>
                    <w:rPr>
                      <w:rFonts w:ascii="Times New Roman" w:eastAsia="Calibri" w:hAnsi="Times New Roman"/>
                      <w:b/>
                      <w:bCs/>
                      <w:color w:val="000000"/>
                    </w:rPr>
                  </w:pPr>
                  <w:r w:rsidRPr="00EC5D51">
                    <w:rPr>
                      <w:rFonts w:ascii="Times New Roman" w:eastAsia="Calibri" w:hAnsi="Times New Roman"/>
                      <w:b/>
                      <w:bCs/>
                      <w:color w:val="000000"/>
                    </w:rPr>
                    <w:t>ЕС/ЕП</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1 - Отлично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2 - Добро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3 - Умерено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4 - Лошо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5 - Много лошо</w:t>
                  </w:r>
                </w:p>
              </w:tc>
            </w:tr>
          </w:tbl>
          <w:p w:rsidR="00B54527" w:rsidRPr="007007F5" w:rsidRDefault="00B54527" w:rsidP="00B54527">
            <w:pPr>
              <w:spacing w:before="120" w:after="120" w:line="240" w:lineRule="auto"/>
              <w:jc w:val="both"/>
              <w:rPr>
                <w:rFonts w:ascii="Times New Roman" w:eastAsia="Calibri" w:hAnsi="Times New Roman"/>
              </w:rPr>
            </w:pPr>
            <w:r w:rsidRPr="007007F5">
              <w:rPr>
                <w:rFonts w:ascii="Times New Roman" w:eastAsia="Calibri" w:hAnsi="Times New Roman"/>
              </w:rPr>
              <w:t xml:space="preserve">Съгласно ПУРБ 2016-2021 г. целият български участък от р. Дунав представлява силно </w:t>
            </w:r>
            <w:r w:rsidRPr="007007F5">
              <w:rPr>
                <w:rFonts w:ascii="Times New Roman" w:eastAsia="Calibri" w:hAnsi="Times New Roman"/>
              </w:rPr>
              <w:lastRenderedPageBreak/>
              <w:t>модифицирано водно тяло, с код (</w:t>
            </w:r>
            <w:hyperlink r:id="rId177" w:history="1">
              <w:r w:rsidRPr="007007F5">
                <w:rPr>
                  <w:rFonts w:ascii="Times New Roman" w:eastAsia="Calibri" w:hAnsi="Times New Roman"/>
                  <w:color w:val="0000FF"/>
                  <w:u w:val="single"/>
                </w:rPr>
                <w:t>http://www.bd-dunav.org/uploads/content/files/upravlenie-na-vodite/PURB-2016-2021-final/Razdel-1/prilojenia_R1/Pril_1244.pdf</w:t>
              </w:r>
            </w:hyperlink>
            <w:r w:rsidRPr="007007F5">
              <w:rPr>
                <w:rFonts w:ascii="Times New Roman" w:eastAsia="Calibri" w:hAnsi="Times New Roman"/>
              </w:rPr>
              <w:t>).Екологичният потенциал на р. Дунав е оценен като Умерен, (3),  (</w:t>
            </w:r>
            <w:hyperlink r:id="rId178" w:history="1">
              <w:r w:rsidRPr="007007F5">
                <w:rPr>
                  <w:rFonts w:ascii="Times New Roman" w:eastAsia="Calibri" w:hAnsi="Times New Roman"/>
                  <w:color w:val="0000FF"/>
                  <w:u w:val="single"/>
                </w:rPr>
                <w:t>https://www.eea.europa.eu/data-and-maps/explore-interactive-maps/water-framework-directive-quality-elements?utm_source=EEASubscriptions&amp;utm_medium=RSSFeeds&amp;utm_campaign=Generic</w:t>
              </w:r>
            </w:hyperlink>
            <w:r w:rsidRPr="007007F5">
              <w:rPr>
                <w:rFonts w:ascii="Times New Roman" w:eastAsia="Calibri" w:hAnsi="Times New Roman"/>
              </w:rPr>
              <w:t xml:space="preserve">). </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Постигане и поддържане на екологичния потенциал на участъка от р. Дунав в границата на зоната на стойност от по-висока или равна на 2 – Добър ЕП</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Междинна цел:</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EC5D51" w:rsidRPr="00EC5D51" w:rsidTr="004760C9">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Съотношение в % от дължината на речните участъци с подходящи  местообитания на вида и с естествено структуриран субстрат, съотнесен към общата дължина на речните участъци с подходящи местообитания за вида</w:t>
            </w:r>
          </w:p>
        </w:tc>
        <w:tc>
          <w:tcPr>
            <w:tcW w:w="79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95% от дължината на речните участъци с подходящи местообитания за вида имат естественоструктуриран субстрат</w:t>
            </w:r>
          </w:p>
        </w:tc>
        <w:tc>
          <w:tcPr>
            <w:tcW w:w="1778"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Голямата вретенарка е придънен вид. В България актуалното му разпространение е ограничено само в р. Дунав и най-долни участъци на по-големи притоци (Искър, Янтра). В тази връзка, поддържането на естествената структура на дънния субстрат в подходящите местообитания на вида е важно за неговото състояние.</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Фактори, водещи до нарушаване на естествената структура на дънния субстрат, са:</w:t>
            </w:r>
          </w:p>
          <w:p w:rsidR="00EC5D51" w:rsidRPr="00EC5D51" w:rsidRDefault="00EC5D51" w:rsidP="00635999">
            <w:pPr>
              <w:numPr>
                <w:ilvl w:val="0"/>
                <w:numId w:val="15"/>
              </w:numPr>
              <w:spacing w:before="120" w:after="120" w:line="240" w:lineRule="auto"/>
              <w:jc w:val="both"/>
              <w:rPr>
                <w:rFonts w:ascii="Times New Roman" w:eastAsia="Calibri" w:hAnsi="Times New Roman"/>
              </w:rPr>
            </w:pPr>
            <w:r w:rsidRPr="00EC5D51">
              <w:rPr>
                <w:rFonts w:ascii="Times New Roman" w:eastAsia="Calibri" w:hAnsi="Times New Roman"/>
              </w:rPr>
              <w:t>Отстраняване на чакъл и пясък от коритото на реката;</w:t>
            </w:r>
          </w:p>
          <w:p w:rsidR="00EC5D51" w:rsidRPr="00EC5D51" w:rsidRDefault="00EC5D51" w:rsidP="00635999">
            <w:pPr>
              <w:numPr>
                <w:ilvl w:val="0"/>
                <w:numId w:val="15"/>
              </w:numPr>
              <w:spacing w:before="120" w:after="120" w:line="240" w:lineRule="auto"/>
              <w:jc w:val="both"/>
              <w:rPr>
                <w:rFonts w:ascii="Times New Roman" w:eastAsia="Calibri" w:hAnsi="Times New Roman"/>
              </w:rPr>
            </w:pPr>
            <w:r w:rsidRPr="00EC5D51">
              <w:rPr>
                <w:rFonts w:ascii="Times New Roman" w:eastAsia="Calibri" w:hAnsi="Times New Roman"/>
              </w:rPr>
              <w:t>Изкопаване на речното корито, водещо до ускоряване на водния поток и отстраняване на субстрата;</w:t>
            </w:r>
          </w:p>
          <w:p w:rsidR="00EC5D51" w:rsidRPr="00EC5D51" w:rsidRDefault="00EC5D51" w:rsidP="00635999">
            <w:pPr>
              <w:numPr>
                <w:ilvl w:val="0"/>
                <w:numId w:val="15"/>
              </w:numPr>
              <w:spacing w:before="120" w:after="120" w:line="240" w:lineRule="auto"/>
              <w:jc w:val="both"/>
              <w:rPr>
                <w:rFonts w:ascii="Times New Roman" w:eastAsia="Calibri" w:hAnsi="Times New Roman"/>
              </w:rPr>
            </w:pPr>
            <w:r w:rsidRPr="00EC5D51">
              <w:rPr>
                <w:rFonts w:ascii="Times New Roman" w:eastAsia="Calibri" w:hAnsi="Times New Roman"/>
              </w:rPr>
              <w:t>Изграждане на съоръжения, променящи посоката и скоростта на течението;</w:t>
            </w:r>
          </w:p>
          <w:p w:rsidR="00EC5D51" w:rsidRPr="00EC5D51" w:rsidRDefault="00EC5D51" w:rsidP="00635999">
            <w:pPr>
              <w:numPr>
                <w:ilvl w:val="0"/>
                <w:numId w:val="15"/>
              </w:numPr>
              <w:spacing w:before="120" w:after="120" w:line="240" w:lineRule="auto"/>
              <w:jc w:val="both"/>
              <w:rPr>
                <w:rFonts w:ascii="Times New Roman" w:eastAsia="Calibri" w:hAnsi="Times New Roman"/>
              </w:rPr>
            </w:pPr>
            <w:r w:rsidRPr="00EC5D51">
              <w:rPr>
                <w:rFonts w:ascii="Times New Roman" w:eastAsia="Calibri" w:hAnsi="Times New Roman"/>
              </w:rPr>
              <w:lastRenderedPageBreak/>
              <w:t>др.</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Не е установен натиск в зоната по този параметър.</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Поддържане на 95 % от дължината на речните участъци с подходящи местообитания за вида да са с естествено структуриран субстрат.</w:t>
            </w:r>
          </w:p>
        </w:tc>
      </w:tr>
    </w:tbl>
    <w:p w:rsidR="00EC5D51" w:rsidRPr="00EC5D51" w:rsidRDefault="00EC5D51" w:rsidP="00EC5D51">
      <w:pPr>
        <w:spacing w:before="120" w:after="0" w:line="240" w:lineRule="auto"/>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7. Необходимост от актуали</w:t>
      </w:r>
      <w:r w:rsidR="004760C9">
        <w:rPr>
          <w:rFonts w:ascii="Times New Roman" w:eastAsia="Calibri" w:hAnsi="Times New Roman"/>
          <w:b/>
          <w:sz w:val="24"/>
          <w:szCs w:val="24"/>
        </w:rPr>
        <w:t>зация на СФ на защитената зона</w:t>
      </w:r>
    </w:p>
    <w:p w:rsidR="00EC5D51" w:rsidRPr="00EC5D51" w:rsidRDefault="00B54527" w:rsidP="004760C9">
      <w:pPr>
        <w:spacing w:after="120" w:line="240" w:lineRule="auto"/>
        <w:ind w:firstLine="709"/>
        <w:jc w:val="both"/>
        <w:rPr>
          <w:rFonts w:ascii="Times New Roman" w:eastAsia="Calibri" w:hAnsi="Times New Roman"/>
          <w:sz w:val="24"/>
          <w:szCs w:val="24"/>
        </w:rPr>
      </w:pPr>
      <w:r>
        <w:rPr>
          <w:rFonts w:ascii="Times New Roman" w:eastAsia="Calibri" w:hAnsi="Times New Roman"/>
          <w:sz w:val="24"/>
          <w:szCs w:val="24"/>
        </w:rPr>
        <w:t>В съответствие с методиката</w:t>
      </w:r>
      <w:r w:rsidRPr="00EC5D51">
        <w:rPr>
          <w:rFonts w:ascii="Times New Roman" w:eastAsia="Calibri" w:hAnsi="Times New Roman"/>
          <w:sz w:val="24"/>
          <w:szCs w:val="24"/>
        </w:rPr>
        <w:t xml:space="preserve"> за </w:t>
      </w:r>
      <w:r>
        <w:rPr>
          <w:rFonts w:ascii="Times New Roman" w:eastAsia="Calibri" w:hAnsi="Times New Roman"/>
          <w:sz w:val="24"/>
          <w:szCs w:val="24"/>
        </w:rPr>
        <w:t xml:space="preserve">пробонабиране на този вид, </w:t>
      </w:r>
      <w:r w:rsidRPr="00EC5D51">
        <w:rPr>
          <w:rFonts w:ascii="Times New Roman" w:eastAsia="Calibri" w:hAnsi="Times New Roman"/>
          <w:sz w:val="24"/>
          <w:szCs w:val="24"/>
        </w:rPr>
        <w:t xml:space="preserve"> най-подходящата единица за определянето на състоянието на вида е улов на единица риболовно усилие (</w:t>
      </w:r>
      <w:r w:rsidRPr="00EC5D51">
        <w:rPr>
          <w:rFonts w:ascii="Times New Roman" w:eastAsia="Calibri" w:hAnsi="Times New Roman"/>
          <w:sz w:val="24"/>
          <w:szCs w:val="24"/>
          <w:lang w:val="en-US"/>
        </w:rPr>
        <w:t>CPUE</w:t>
      </w:r>
      <w:r w:rsidRPr="00EC5D51">
        <w:rPr>
          <w:rFonts w:ascii="Times New Roman" w:eastAsia="Calibri" w:hAnsi="Times New Roman"/>
          <w:sz w:val="24"/>
          <w:szCs w:val="24"/>
        </w:rPr>
        <w:t xml:space="preserve">). </w:t>
      </w:r>
      <w:r w:rsidRPr="006144A8">
        <w:rPr>
          <w:rFonts w:ascii="Times New Roman" w:eastAsia="Calibri" w:hAnsi="Times New Roman"/>
          <w:sz w:val="24"/>
          <w:szCs w:val="24"/>
        </w:rPr>
        <w:t>Тази единица обаче засега не е приета за оценка на видове риби при докладванията в ЕК. Затова, като се има предвид високата сезонна вариабилност на числеността на вида в зоната и с оглед унифицирането на подхода за внасянето на данни в СФ на този етап като единица за оценка се използва „Площ“ (area) на местообитанията“.</w:t>
      </w:r>
      <w:r w:rsidRPr="00EC5D51">
        <w:rPr>
          <w:rFonts w:ascii="Times New Roman" w:eastAsia="Calibri" w:hAnsi="Times New Roman"/>
          <w:sz w:val="24"/>
          <w:szCs w:val="24"/>
        </w:rPr>
        <w:t>, като е уточнена площта на участъка от р. Дунав в зоната</w:t>
      </w:r>
      <w:r w:rsidRPr="003C3B09">
        <w:rPr>
          <w:rFonts w:ascii="Times New Roman" w:eastAsia="Calibri" w:hAnsi="Times New Roman"/>
          <w:sz w:val="24"/>
          <w:szCs w:val="24"/>
        </w:rPr>
        <w:t>.</w:t>
      </w:r>
      <w:r w:rsidRPr="00B81D1F">
        <w:rPr>
          <w:rFonts w:ascii="Times New Roman" w:eastAsia="Calibri" w:hAnsi="Times New Roman"/>
          <w:sz w:val="24"/>
          <w:szCs w:val="24"/>
        </w:rPr>
        <w:t xml:space="preserve"> По отношение на степента на изолираност, категорията в СФ следва да се промени на „С“, тъй като зоната не е гранична за ареала на вида. </w:t>
      </w:r>
      <w:r>
        <w:rPr>
          <w:rFonts w:ascii="Times New Roman" w:eastAsia="Calibri" w:hAnsi="Times New Roman"/>
          <w:sz w:val="24"/>
          <w:szCs w:val="24"/>
        </w:rPr>
        <w:t>Н</w:t>
      </w:r>
      <w:r w:rsidRPr="00B81D1F">
        <w:rPr>
          <w:rFonts w:ascii="Times New Roman" w:eastAsia="Calibri" w:hAnsi="Times New Roman"/>
          <w:sz w:val="24"/>
          <w:szCs w:val="24"/>
        </w:rPr>
        <w:t>анесени</w:t>
      </w:r>
      <w:r>
        <w:rPr>
          <w:rFonts w:ascii="Times New Roman" w:eastAsia="Calibri" w:hAnsi="Times New Roman"/>
          <w:sz w:val="24"/>
          <w:szCs w:val="24"/>
        </w:rPr>
        <w:t xml:space="preserve"> са</w:t>
      </w:r>
      <w:r w:rsidRPr="00B81D1F">
        <w:rPr>
          <w:rFonts w:ascii="Times New Roman" w:eastAsia="Calibri" w:hAnsi="Times New Roman"/>
          <w:sz w:val="24"/>
          <w:szCs w:val="24"/>
        </w:rPr>
        <w:t xml:space="preserve"> съответни промени </w:t>
      </w:r>
      <w:r>
        <w:rPr>
          <w:rFonts w:ascii="Times New Roman" w:eastAsia="Calibri" w:hAnsi="Times New Roman"/>
          <w:sz w:val="24"/>
          <w:szCs w:val="24"/>
        </w:rPr>
        <w:t>в СФ.</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08"/>
        <w:gridCol w:w="546"/>
        <w:gridCol w:w="1043"/>
        <w:gridCol w:w="262"/>
        <w:gridCol w:w="836"/>
        <w:gridCol w:w="286"/>
        <w:gridCol w:w="583"/>
        <w:gridCol w:w="718"/>
        <w:gridCol w:w="593"/>
        <w:gridCol w:w="482"/>
        <w:gridCol w:w="1209"/>
        <w:gridCol w:w="737"/>
        <w:gridCol w:w="513"/>
        <w:gridCol w:w="437"/>
        <w:gridCol w:w="899"/>
      </w:tblGrid>
      <w:tr w:rsidR="00EC5D51" w:rsidRPr="00EC5D51" w:rsidTr="00B54527">
        <w:trPr>
          <w:tblCellSpacing w:w="15" w:type="dxa"/>
        </w:trPr>
        <w:tc>
          <w:tcPr>
            <w:tcW w:w="1554"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Species </w:t>
            </w:r>
          </w:p>
        </w:tc>
        <w:tc>
          <w:tcPr>
            <w:tcW w:w="2033"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Population in the site </w:t>
            </w:r>
          </w:p>
        </w:tc>
        <w:tc>
          <w:tcPr>
            <w:tcW w:w="1349"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Site assessment </w:t>
            </w:r>
          </w:p>
        </w:tc>
      </w:tr>
      <w:tr w:rsidR="00EC5D51" w:rsidRPr="00EC5D51" w:rsidTr="00B54527">
        <w:trPr>
          <w:tblCellSpacing w:w="15" w:type="dxa"/>
        </w:trPr>
        <w:tc>
          <w:tcPr>
            <w:tcW w:w="145"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G </w:t>
            </w:r>
          </w:p>
        </w:tc>
        <w:tc>
          <w:tcPr>
            <w:tcW w:w="284"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Code </w:t>
            </w:r>
          </w:p>
        </w:tc>
        <w:tc>
          <w:tcPr>
            <w:tcW w:w="558"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 </w:t>
            </w:r>
          </w:p>
        </w:tc>
        <w:tc>
          <w:tcPr>
            <w:tcW w:w="382"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NP </w:t>
            </w:r>
          </w:p>
        </w:tc>
        <w:tc>
          <w:tcPr>
            <w:tcW w:w="141"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T </w:t>
            </w:r>
          </w:p>
        </w:tc>
        <w:tc>
          <w:tcPr>
            <w:tcW w:w="684" w:type="pct"/>
            <w:gridSpan w:val="2"/>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Size </w:t>
            </w:r>
          </w:p>
        </w:tc>
        <w:tc>
          <w:tcPr>
            <w:tcW w:w="31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Unit </w:t>
            </w:r>
          </w:p>
        </w:tc>
        <w:tc>
          <w:tcPr>
            <w:tcW w:w="24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Cat. </w:t>
            </w:r>
          </w:p>
        </w:tc>
        <w:tc>
          <w:tcPr>
            <w:tcW w:w="58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D.qual. </w:t>
            </w:r>
          </w:p>
        </w:tc>
        <w:tc>
          <w:tcPr>
            <w:tcW w:w="38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A|B|C|D </w:t>
            </w:r>
          </w:p>
        </w:tc>
        <w:tc>
          <w:tcPr>
            <w:tcW w:w="944"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 </w:t>
            </w:r>
          </w:p>
        </w:tc>
      </w:tr>
      <w:tr w:rsidR="00EC5D51" w:rsidRPr="00EC5D51" w:rsidTr="00B54527">
        <w:trPr>
          <w:tblCellSpacing w:w="15" w:type="dxa"/>
        </w:trPr>
        <w:tc>
          <w:tcPr>
            <w:tcW w:w="14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8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55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8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41"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Min</w:t>
            </w:r>
          </w:p>
        </w:tc>
        <w:tc>
          <w:tcPr>
            <w:tcW w:w="36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Max</w:t>
            </w:r>
          </w:p>
        </w:tc>
        <w:tc>
          <w:tcPr>
            <w:tcW w:w="31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4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p>
        </w:tc>
        <w:tc>
          <w:tcPr>
            <w:tcW w:w="58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8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Pop.</w:t>
            </w:r>
          </w:p>
        </w:tc>
        <w:tc>
          <w:tcPr>
            <w:tcW w:w="26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Con.</w:t>
            </w:r>
          </w:p>
        </w:tc>
        <w:tc>
          <w:tcPr>
            <w:tcW w:w="22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Iso.</w:t>
            </w:r>
          </w:p>
        </w:tc>
        <w:tc>
          <w:tcPr>
            <w:tcW w:w="4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Glo.</w:t>
            </w:r>
          </w:p>
        </w:tc>
      </w:tr>
      <w:tr w:rsidR="00B54527" w:rsidRPr="00EC5D51" w:rsidTr="00B54527">
        <w:trPr>
          <w:tblCellSpacing w:w="15" w:type="dxa"/>
        </w:trPr>
        <w:tc>
          <w:tcPr>
            <w:tcW w:w="14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EC5D51" w:rsidRDefault="00B54527"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F</w:t>
            </w:r>
          </w:p>
        </w:tc>
        <w:tc>
          <w:tcPr>
            <w:tcW w:w="28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EC5D51" w:rsidRDefault="00B54527"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1159</w:t>
            </w:r>
          </w:p>
        </w:tc>
        <w:tc>
          <w:tcPr>
            <w:tcW w:w="55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EC5D51" w:rsidRDefault="00B54527" w:rsidP="00EC5D51">
            <w:pPr>
              <w:spacing w:before="120" w:after="0" w:line="259" w:lineRule="auto"/>
              <w:jc w:val="both"/>
              <w:rPr>
                <w:rFonts w:ascii="Times New Roman" w:eastAsia="Calibri" w:hAnsi="Times New Roman"/>
                <w:b/>
                <w:bCs/>
                <w:i/>
                <w:sz w:val="16"/>
                <w:szCs w:val="16"/>
                <w:lang w:val="en-US"/>
              </w:rPr>
            </w:pPr>
            <w:r w:rsidRPr="00EC5D51">
              <w:rPr>
                <w:rFonts w:ascii="Times New Roman" w:eastAsia="Calibri" w:hAnsi="Times New Roman"/>
                <w:b/>
                <w:bCs/>
                <w:sz w:val="16"/>
                <w:szCs w:val="16"/>
                <w:lang w:val="en-US"/>
              </w:rPr>
              <w:t>Zingel zingel</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EC5D51" w:rsidRDefault="00B54527"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EC5D51" w:rsidRDefault="00B54527"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14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EC5D51" w:rsidRDefault="00B54527"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p</w:t>
            </w:r>
          </w:p>
        </w:tc>
        <w:tc>
          <w:tcPr>
            <w:tcW w:w="3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bottom"/>
          </w:tcPr>
          <w:p w:rsidR="00B54527" w:rsidRPr="00EC5D51" w:rsidRDefault="00B54527" w:rsidP="00B0609D">
            <w:pPr>
              <w:spacing w:before="120" w:after="0" w:line="259" w:lineRule="auto"/>
              <w:jc w:val="both"/>
              <w:rPr>
                <w:rFonts w:ascii="Times New Roman" w:eastAsia="Calibri" w:hAnsi="Times New Roman"/>
                <w:b/>
                <w:bCs/>
                <w:color w:val="FF0000"/>
                <w:sz w:val="16"/>
                <w:szCs w:val="16"/>
              </w:rPr>
            </w:pPr>
            <w:r w:rsidRPr="003C3B09">
              <w:rPr>
                <w:rFonts w:ascii="Times New Roman" w:hAnsi="Times New Roman"/>
                <w:b/>
                <w:bCs/>
                <w:color w:val="FF0000"/>
                <w:sz w:val="16"/>
                <w:szCs w:val="16"/>
              </w:rPr>
              <w:t>593180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bottom"/>
          </w:tcPr>
          <w:p w:rsidR="00B54527" w:rsidRPr="00EC5D51" w:rsidRDefault="00B54527" w:rsidP="00B0609D">
            <w:pPr>
              <w:spacing w:before="120" w:after="0" w:line="259" w:lineRule="auto"/>
              <w:jc w:val="both"/>
              <w:rPr>
                <w:rFonts w:ascii="Times New Roman" w:eastAsia="Calibri" w:hAnsi="Times New Roman"/>
                <w:b/>
                <w:bCs/>
                <w:color w:val="FF0000"/>
                <w:sz w:val="16"/>
                <w:szCs w:val="16"/>
              </w:rPr>
            </w:pPr>
            <w:r w:rsidRPr="003C3B09">
              <w:rPr>
                <w:rFonts w:ascii="Times New Roman" w:hAnsi="Times New Roman"/>
                <w:b/>
                <w:bCs/>
                <w:color w:val="FF0000"/>
                <w:sz w:val="16"/>
                <w:szCs w:val="16"/>
              </w:rPr>
              <w:t>593180</w:t>
            </w:r>
          </w:p>
        </w:tc>
        <w:tc>
          <w:tcPr>
            <w:tcW w:w="31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EC5D51" w:rsidRDefault="00B54527" w:rsidP="00B0609D">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color w:val="FF0000"/>
                <w:sz w:val="16"/>
                <w:szCs w:val="16"/>
              </w:rPr>
              <w:t>а</w:t>
            </w:r>
            <w:r w:rsidRPr="00EC5D51">
              <w:rPr>
                <w:rFonts w:ascii="Times New Roman" w:eastAsia="Calibri" w:hAnsi="Times New Roman"/>
                <w:b/>
                <w:bCs/>
                <w:color w:val="FF0000"/>
                <w:sz w:val="16"/>
                <w:szCs w:val="16"/>
                <w:lang w:val="en-GB"/>
              </w:rPr>
              <w:t xml:space="preserve">rea </w:t>
            </w:r>
          </w:p>
        </w:tc>
        <w:tc>
          <w:tcPr>
            <w:tcW w:w="24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3C3B09" w:rsidRDefault="00B54527" w:rsidP="00B0609D">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sz w:val="16"/>
                <w:szCs w:val="16"/>
                <w:lang w:val="en-US"/>
              </w:rPr>
              <w:t>R</w:t>
            </w:r>
          </w:p>
        </w:tc>
        <w:tc>
          <w:tcPr>
            <w:tcW w:w="58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3C3B09" w:rsidRDefault="00B54527" w:rsidP="00B0609D">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sz w:val="16"/>
                <w:szCs w:val="16"/>
                <w:lang w:val="en-US"/>
              </w:rPr>
              <w:t>G</w:t>
            </w:r>
          </w:p>
        </w:tc>
        <w:tc>
          <w:tcPr>
            <w:tcW w:w="38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3C3B09" w:rsidRDefault="00B54527" w:rsidP="00B0609D">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sz w:val="16"/>
                <w:szCs w:val="16"/>
                <w:lang w:val="en-US"/>
              </w:rPr>
              <w:t>C</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EC5D51" w:rsidRDefault="00B54527" w:rsidP="00B0609D">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А</w:t>
            </w:r>
          </w:p>
        </w:tc>
        <w:tc>
          <w:tcPr>
            <w:tcW w:w="22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3C3B09" w:rsidRDefault="00B54527" w:rsidP="00B0609D">
            <w:pPr>
              <w:spacing w:before="120" w:after="0" w:line="259" w:lineRule="auto"/>
              <w:jc w:val="both"/>
              <w:rPr>
                <w:rFonts w:ascii="Times New Roman" w:eastAsia="Calibri" w:hAnsi="Times New Roman"/>
                <w:b/>
                <w:bCs/>
                <w:color w:val="FF0000"/>
                <w:sz w:val="16"/>
                <w:szCs w:val="16"/>
                <w:lang w:val="en-US"/>
              </w:rPr>
            </w:pPr>
            <w:r w:rsidRPr="003C3B09">
              <w:rPr>
                <w:rFonts w:ascii="Times New Roman" w:eastAsia="Calibri" w:hAnsi="Times New Roman"/>
                <w:b/>
                <w:bCs/>
                <w:color w:val="FF0000"/>
                <w:sz w:val="16"/>
                <w:szCs w:val="16"/>
              </w:rPr>
              <w:t>C</w:t>
            </w:r>
          </w:p>
        </w:tc>
        <w:tc>
          <w:tcPr>
            <w:tcW w:w="4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54527" w:rsidRPr="003C3B09" w:rsidRDefault="00B54527" w:rsidP="00B0609D">
            <w:pPr>
              <w:spacing w:before="120" w:after="0" w:line="259" w:lineRule="auto"/>
              <w:jc w:val="both"/>
              <w:rPr>
                <w:rFonts w:ascii="Times New Roman" w:eastAsia="Calibri" w:hAnsi="Times New Roman"/>
                <w:b/>
                <w:bCs/>
                <w:sz w:val="16"/>
                <w:szCs w:val="16"/>
                <w:lang w:val="en-US"/>
              </w:rPr>
            </w:pPr>
            <w:r>
              <w:rPr>
                <w:rFonts w:ascii="Times New Roman" w:eastAsia="Calibri" w:hAnsi="Times New Roman"/>
                <w:b/>
                <w:bCs/>
                <w:sz w:val="16"/>
                <w:szCs w:val="16"/>
                <w:lang w:val="en-US"/>
              </w:rPr>
              <w:t>B</w:t>
            </w:r>
          </w:p>
        </w:tc>
      </w:tr>
    </w:tbl>
    <w:p w:rsidR="00EC5D51" w:rsidRPr="00EC5D51" w:rsidRDefault="00EC5D51" w:rsidP="00EC5D51">
      <w:pPr>
        <w:spacing w:after="160" w:line="240" w:lineRule="auto"/>
        <w:jc w:val="both"/>
        <w:rPr>
          <w:rFonts w:ascii="Times New Roman" w:eastAsia="Calibri" w:hAnsi="Times New Roman"/>
          <w:b/>
          <w:sz w:val="24"/>
          <w:szCs w:val="24"/>
        </w:rPr>
      </w:pPr>
    </w:p>
    <w:p w:rsidR="00EC5D51" w:rsidRPr="00EC5D51" w:rsidRDefault="004760C9" w:rsidP="00EC5D51">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8. Цитирана литература</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Големански, В. и др. (ред.) 2011. Червена книга на Република България. Том 2. Животни. ИБЕИ - БАН &amp; МОСВ, София. Електронно издание: Том II - Животни (bas.bg)</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Дренски, П. 1951. Рибите в България. Фауна на България II. С., БАН, 270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Информационна система за защитени зони от екологична мрежа НАТУРА 2000.</w:t>
      </w:r>
    </w:p>
    <w:p w:rsidR="00EC5D51" w:rsidRPr="00EC5D51" w:rsidRDefault="00EC5D51" w:rsidP="00F873CF">
      <w:pPr>
        <w:spacing w:after="0" w:line="259" w:lineRule="auto"/>
        <w:ind w:left="720" w:hanging="12"/>
        <w:jc w:val="both"/>
        <w:rPr>
          <w:rFonts w:ascii="Times New Roman" w:eastAsia="Calibri" w:hAnsi="Times New Roman"/>
          <w:sz w:val="24"/>
          <w:szCs w:val="24"/>
        </w:rPr>
      </w:pPr>
      <w:r w:rsidRPr="00EC5D51">
        <w:rPr>
          <w:rFonts w:ascii="Times New Roman" w:eastAsia="Calibri" w:hAnsi="Times New Roman"/>
          <w:sz w:val="24"/>
          <w:szCs w:val="24"/>
        </w:rPr>
        <w:lastRenderedPageBreak/>
        <w:t>http://natura2000.moew.government.bg/; http://natura2000.moew.government.bg/Home/Reports?reportType=Fishes</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1972. Ихтиофауна на р. Янтра. – Изв. на Зоолог. инст. с музей, 36: 149–182.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М. Живков. 1995. Рибите в България. С., "Гея-Либрис", 247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Моров, Т. 1931. Сладководните риби в България. С., "Художник", 93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https://ec.europa.eu/environment/nature/natura2000/management/docs/art6/BG_art_6_guide_jun_2019.pdf</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Шишков Г. 1939. Няколко думи за риболова по р. Искър. – Рибарски преглед, 9(8): 4–7.</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Bauer, C. Bobeldy, A., Lamberti G. 2006.  Predicting habitat use and trophic interactions of Eurasian ruffe, round gobies, and zebra mussels in nearshore areas of the Great Lakes. – Biol Invasions,  DOI 10.1007/s10530-006-9067-8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Bern Convention on the Conservation of European Wildlife and Natural Habitats. https://www.coe.int/en/web/bern-convention</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CEN - EN 14011, 2003. Water quality - Sampling of fish with electricity. Brussels, 16 p.3–680.</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Froese, R., D. Pauly. Editors. 2021. FishBase. World Wide Web electronic publication. www.fishbase.org, (06/2021): Search FishBase (mnhn.fr)</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IUCN 2021. The IUCN Red List of Threatened Species. Version 2021-2. </w:t>
      </w:r>
      <w:hyperlink r:id="rId179" w:history="1">
        <w:r w:rsidRPr="00EC5D51">
          <w:rPr>
            <w:rFonts w:ascii="Times New Roman" w:eastAsia="Calibri" w:hAnsi="Times New Roman"/>
            <w:color w:val="0563C1"/>
            <w:sz w:val="24"/>
            <w:szCs w:val="24"/>
            <w:u w:val="single"/>
          </w:rPr>
          <w:t>https://www.iucnredlist.org</w:t>
        </w:r>
      </w:hyperlink>
      <w:r w:rsidRPr="00EC5D51">
        <w:rPr>
          <w:rFonts w:ascii="Times New Roman" w:eastAsia="Calibri" w:hAnsi="Times New Roman"/>
          <w:sz w:val="24"/>
          <w:szCs w:val="24"/>
        </w:rPr>
        <w:t>.</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Juza T., Blabolil P., Baran R., Barton B.,  Cech M., Drastık V., Frouzova J., Holubova M., Ketelaars H., Kocvara L., Kubecka J., Muska M. Prchalova M., Rıha M., Sajdlova Z., Smejkal M.,Tuser M., Vasek M., Vejrık L., Vejrıkova I., Wagenvoort A., Zak J., Peterka J. 2018. Collapse of the native ruffe (Gymnocephalus cernua) population in the Biesbosch lakes (the Netherlands) owing to round goby (Neogobius melanostomus) invasion. Biol. Invasions, 20:1523–1535</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Kottelat, M., J. Freyhof, 2007. Handbook of European freshwater fishes. Publications Kottelat, Cornol and Freyhof, Berlin. 646 pp.</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lastRenderedPageBreak/>
        <w:t>Naseka, A., N. Bogutskaya, P. Banarescu. 1999. Gobio albipinnatus Lukasch, 1933. – In: Banarescu P. (Ed.), The Freshwater Fishes of Europe. Vol. 5 / I. Cyprinidae 2 / I. AULA-Verlag, Wiesbaden, 37–68.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Vassilev, M., L. Pehlivanov. 2005. Checklist of Bulgarian freshwater fishes. – Acta zool. bulg., 57(2): 161–190.Публичен регистър по екологични оценки - </w:t>
      </w:r>
      <w:hyperlink r:id="rId180" w:history="1">
        <w:r w:rsidRPr="00EC5D51">
          <w:rPr>
            <w:rFonts w:ascii="Times New Roman" w:eastAsia="Calibri" w:hAnsi="Times New Roman"/>
            <w:color w:val="0563C1"/>
            <w:sz w:val="24"/>
            <w:szCs w:val="24"/>
            <w:u w:val="single"/>
          </w:rPr>
          <w:t>http://registers.moew.government.bg/eo</w:t>
        </w:r>
      </w:hyperlink>
      <w:r w:rsidRPr="00EC5D51">
        <w:rPr>
          <w:rFonts w:ascii="Times New Roman" w:eastAsia="Calibri" w:hAnsi="Times New Roman"/>
          <w:sz w:val="24"/>
          <w:szCs w:val="24"/>
        </w:rPr>
        <w:t xml:space="preserve"> (Достъп на 27.09.2021)</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Публичен регистър по оценки за въздействие на околната среда </w:t>
      </w:r>
      <w:hyperlink r:id="rId181" w:history="1">
        <w:r w:rsidRPr="00EC5D51">
          <w:rPr>
            <w:rFonts w:ascii="Times New Roman" w:eastAsia="Calibri" w:hAnsi="Times New Roman"/>
            <w:color w:val="0563C1"/>
            <w:sz w:val="24"/>
            <w:szCs w:val="24"/>
            <w:u w:val="single"/>
          </w:rPr>
          <w:t>http://registers.moew.government.bg/ovos/</w:t>
        </w:r>
      </w:hyperlink>
      <w:r w:rsidRPr="00EC5D51">
        <w:rPr>
          <w:rFonts w:ascii="Times New Roman" w:eastAsia="Calibri" w:hAnsi="Times New Roman"/>
          <w:sz w:val="24"/>
          <w:szCs w:val="24"/>
        </w:rPr>
        <w:t xml:space="preserve"> (Достъп на 27.09.2021)</w:t>
      </w:r>
    </w:p>
    <w:p w:rsidR="00EC5D51" w:rsidRPr="00EC5D51" w:rsidRDefault="00EC5D51" w:rsidP="00EC5D51">
      <w:pPr>
        <w:spacing w:after="0" w:line="240"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EC5D51">
        <w:rPr>
          <w:rFonts w:ascii="Times New Roman" w:eastAsia="Calibri" w:hAnsi="Times New Roman"/>
          <w:color w:val="0563C1"/>
          <w:sz w:val="24"/>
          <w:szCs w:val="24"/>
          <w:u w:val="single"/>
        </w:rPr>
        <w:t>https://riew-pleven.eu/</w:t>
      </w:r>
    </w:p>
    <w:p w:rsidR="00EC5D51" w:rsidRPr="00EC5D51" w:rsidRDefault="00DE51FF" w:rsidP="00EC5D51">
      <w:pPr>
        <w:spacing w:after="160" w:line="240" w:lineRule="auto"/>
        <w:jc w:val="both"/>
        <w:rPr>
          <w:rFonts w:ascii="Times New Roman" w:eastAsia="Calibri" w:hAnsi="Times New Roman"/>
          <w:iCs/>
          <w:color w:val="0563C1"/>
          <w:sz w:val="24"/>
          <w:szCs w:val="24"/>
          <w:u w:val="single"/>
        </w:rPr>
      </w:pPr>
      <w:hyperlink r:id="rId182" w:history="1">
        <w:r w:rsidR="00EC5D51" w:rsidRPr="00EC5D51">
          <w:rPr>
            <w:rFonts w:ascii="Times New Roman" w:eastAsia="Calibri" w:hAnsi="Times New Roman"/>
            <w:iCs/>
            <w:color w:val="0563C1"/>
            <w:sz w:val="24"/>
            <w:szCs w:val="24"/>
            <w:u w:val="single"/>
          </w:rPr>
          <w:t>http://eea.government.bg/bg/bio/nsmbr/praktichesko-rakovodstvo-metodiki-za-monitoring-i-otsenka/Podhod_Dunav.pdf</w:t>
        </w:r>
      </w:hyperlink>
    </w:p>
    <w:p w:rsidR="00EC5D51" w:rsidRPr="00EC5D51" w:rsidRDefault="00EC5D51" w:rsidP="00EC5D51">
      <w:pPr>
        <w:spacing w:after="160" w:line="240" w:lineRule="auto"/>
        <w:jc w:val="both"/>
        <w:rPr>
          <w:rFonts w:ascii="Times New Roman" w:eastAsia="Calibri" w:hAnsi="Times New Roman"/>
          <w:sz w:val="24"/>
          <w:szCs w:val="24"/>
        </w:rPr>
      </w:pPr>
      <w:r w:rsidRPr="00EC5D51">
        <w:rPr>
          <w:rFonts w:ascii="Times New Roman" w:eastAsia="Calibri" w:hAnsi="Times New Roman"/>
          <w:i/>
          <w:sz w:val="24"/>
          <w:szCs w:val="24"/>
        </w:rPr>
        <w:t>Автори</w:t>
      </w:r>
      <w:r w:rsidRPr="00EC5D51">
        <w:rPr>
          <w:rFonts w:ascii="Times New Roman" w:eastAsia="Calibri" w:hAnsi="Times New Roman"/>
          <w:sz w:val="24"/>
          <w:szCs w:val="24"/>
        </w:rPr>
        <w:t>:</w:t>
      </w:r>
      <w:r w:rsidRPr="00EC5D51">
        <w:rPr>
          <w:rFonts w:ascii="Times New Roman" w:eastAsia="Calibri" w:hAnsi="Times New Roman"/>
          <w:b/>
          <w:sz w:val="24"/>
          <w:szCs w:val="24"/>
        </w:rPr>
        <w:t xml:space="preserve"> </w:t>
      </w:r>
      <w:r w:rsidRPr="00EC5D51">
        <w:rPr>
          <w:rFonts w:ascii="Times New Roman" w:eastAsia="Calibri" w:hAnsi="Times New Roman"/>
          <w:i/>
          <w:iCs/>
          <w:sz w:val="24"/>
          <w:szCs w:val="24"/>
        </w:rPr>
        <w:t xml:space="preserve">Апостолос </w:t>
      </w:r>
      <w:r w:rsidRPr="004760C9">
        <w:rPr>
          <w:rFonts w:ascii="Times New Roman" w:eastAsia="Calibri" w:hAnsi="Times New Roman"/>
          <w:iCs/>
          <w:sz w:val="24"/>
          <w:szCs w:val="24"/>
        </w:rPr>
        <w:t>Апостолу, Лъчезар Пехливанов, Стефан Казаков</w:t>
      </w:r>
    </w:p>
    <w:p w:rsidR="00EC5D51" w:rsidRPr="00EC5D51" w:rsidRDefault="00EC5D51" w:rsidP="00EC5D51">
      <w:pPr>
        <w:spacing w:after="160" w:line="240" w:lineRule="auto"/>
        <w:jc w:val="both"/>
        <w:rPr>
          <w:rFonts w:ascii="Times New Roman" w:eastAsia="Calibri" w:hAnsi="Times New Roman"/>
          <w:sz w:val="24"/>
          <w:szCs w:val="24"/>
        </w:rPr>
      </w:pPr>
    </w:p>
    <w:p w:rsidR="00EC5D51" w:rsidRDefault="00EC5D51" w:rsidP="0070678B">
      <w:pPr>
        <w:rPr>
          <w:rFonts w:ascii="Times New Roman" w:hAnsi="Times New Roman"/>
          <w:color w:val="1F497D" w:themeColor="text2"/>
          <w:sz w:val="28"/>
          <w:szCs w:val="28"/>
        </w:rPr>
      </w:pPr>
    </w:p>
    <w:p w:rsidR="003A4F26" w:rsidRDefault="003A4F26" w:rsidP="0070678B">
      <w:pPr>
        <w:rPr>
          <w:rFonts w:ascii="Times New Roman" w:hAnsi="Times New Roman"/>
          <w:b/>
          <w:color w:val="1F497D" w:themeColor="text2"/>
          <w:sz w:val="28"/>
          <w:szCs w:val="28"/>
          <w:u w:val="single"/>
        </w:rPr>
      </w:pPr>
    </w:p>
    <w:p w:rsidR="0070678B" w:rsidRPr="0070678B" w:rsidRDefault="0070678B" w:rsidP="004760C9">
      <w:pPr>
        <w:outlineLvl w:val="0"/>
        <w:rPr>
          <w:rFonts w:ascii="Times New Roman" w:hAnsi="Times New Roman"/>
          <w:b/>
          <w:color w:val="1F497D" w:themeColor="text2"/>
          <w:sz w:val="28"/>
          <w:szCs w:val="28"/>
          <w:u w:val="single"/>
        </w:rPr>
      </w:pPr>
      <w:bookmarkStart w:id="78" w:name="_Toc98838556"/>
      <w:r w:rsidRPr="0070678B">
        <w:rPr>
          <w:rFonts w:ascii="Times New Roman" w:hAnsi="Times New Roman"/>
          <w:b/>
          <w:color w:val="1F497D" w:themeColor="text2"/>
          <w:sz w:val="28"/>
          <w:szCs w:val="28"/>
          <w:u w:val="single"/>
        </w:rPr>
        <w:t>Земноводни и влечуги</w:t>
      </w:r>
      <w:bookmarkEnd w:id="78"/>
    </w:p>
    <w:p w:rsidR="00546875" w:rsidRDefault="00546875" w:rsidP="001033EC">
      <w:pPr>
        <w:rPr>
          <w:rFonts w:ascii="Times New Roman" w:hAnsi="Times New Roman"/>
          <w:color w:val="1F497D" w:themeColor="text2"/>
          <w:sz w:val="28"/>
          <w:szCs w:val="28"/>
        </w:rPr>
      </w:pPr>
    </w:p>
    <w:p w:rsidR="0070678B" w:rsidRDefault="00107719" w:rsidP="003A4F26">
      <w:pPr>
        <w:outlineLvl w:val="1"/>
        <w:rPr>
          <w:rFonts w:ascii="Times New Roman" w:hAnsi="Times New Roman"/>
          <w:i/>
          <w:color w:val="1F497D" w:themeColor="text2"/>
          <w:sz w:val="28"/>
          <w:szCs w:val="28"/>
        </w:rPr>
      </w:pPr>
      <w:bookmarkStart w:id="79" w:name="_Toc98838557"/>
      <w:r>
        <w:rPr>
          <w:rFonts w:ascii="Times New Roman" w:hAnsi="Times New Roman"/>
          <w:color w:val="1F497D" w:themeColor="text2"/>
          <w:sz w:val="28"/>
          <w:szCs w:val="28"/>
        </w:rPr>
        <w:t xml:space="preserve">Природозащитни цели за </w:t>
      </w:r>
      <w:r w:rsidR="001033EC" w:rsidRPr="001033EC">
        <w:rPr>
          <w:rFonts w:ascii="Times New Roman" w:hAnsi="Times New Roman"/>
          <w:color w:val="1F497D" w:themeColor="text2"/>
          <w:sz w:val="28"/>
          <w:szCs w:val="28"/>
        </w:rPr>
        <w:t xml:space="preserve">1188 </w:t>
      </w:r>
      <w:r w:rsidR="001033EC" w:rsidRPr="00107719">
        <w:rPr>
          <w:rFonts w:ascii="Times New Roman" w:hAnsi="Times New Roman"/>
          <w:i/>
          <w:color w:val="1F497D" w:themeColor="text2"/>
          <w:sz w:val="28"/>
          <w:szCs w:val="28"/>
        </w:rPr>
        <w:t>Bombina bombina</w:t>
      </w:r>
      <w:bookmarkEnd w:id="79"/>
    </w:p>
    <w:p w:rsidR="00D77A67" w:rsidRPr="00D77A67" w:rsidRDefault="00D77A67" w:rsidP="00D77A67">
      <w:pPr>
        <w:spacing w:after="0" w:line="240" w:lineRule="auto"/>
        <w:jc w:val="both"/>
        <w:rPr>
          <w:rFonts w:ascii="Times New Roman" w:eastAsiaTheme="minorHAnsi" w:hAnsi="Times New Roman"/>
          <w:sz w:val="24"/>
          <w:szCs w:val="24"/>
        </w:rPr>
      </w:pPr>
      <w:r w:rsidRPr="00D77A67">
        <w:rPr>
          <w:rFonts w:ascii="Times New Roman" w:eastAsiaTheme="minorHAnsi" w:hAnsi="Times New Roman"/>
          <w:b/>
          <w:sz w:val="24"/>
          <w:szCs w:val="24"/>
        </w:rPr>
        <w:t xml:space="preserve">1. Код и наименование на вида: </w:t>
      </w:r>
      <w:r w:rsidRPr="00D77A67">
        <w:rPr>
          <w:rFonts w:ascii="Times New Roman" w:eastAsiaTheme="minorHAnsi" w:hAnsi="Times New Roman"/>
          <w:sz w:val="24"/>
          <w:szCs w:val="24"/>
        </w:rPr>
        <w:t xml:space="preserve">1188 </w:t>
      </w:r>
      <w:r w:rsidRPr="00D77A67">
        <w:rPr>
          <w:rFonts w:ascii="Times New Roman" w:eastAsiaTheme="minorHAnsi" w:hAnsi="Times New Roman"/>
          <w:i/>
          <w:sz w:val="24"/>
          <w:szCs w:val="24"/>
        </w:rPr>
        <w:t>Bombina bombina</w:t>
      </w:r>
      <w:r w:rsidRPr="00D77A67">
        <w:rPr>
          <w:rFonts w:ascii="Times New Roman" w:eastAsiaTheme="minorHAnsi" w:hAnsi="Times New Roman"/>
          <w:sz w:val="24"/>
          <w:szCs w:val="24"/>
        </w:rPr>
        <w:t xml:space="preserve"> – червенокоремна бумка</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2. Кратка характеристика на целевия обект</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Дължината на тялото достига до 5 cm; крайниците са сравнително къси, а главата е по-широка, отколкото дълга. Гръбната страна на тялото обикновено е кафеникава и изпъстрена с тъмнозелени петна, които често са почти симетрични спрямо линията на гръбнака. Коремната страна е с оловносив до черен фон, по който нервномерно са разположени жълто-оранжеви до яркочервени петна; характерно е и наличието на множество дребни бели петънца, с черна точка в средата (Stojanov et al. 2011).</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Видът е разпространен само в низинните райони на България (под 400 m н.в.): Дунавската равнина (и частично в Предбалкана), Тракийската низина и спорадично по Черноморското крайбрежие. Обитава както стоящи водоеми, така и такива със слабо течение: блата, езера, микроязовири, реки, изкуствени канали, разливи, временни локви и др.; предпочита водоеми с обилна растителност (Бешков и Нанев 2002; Stojanov et al. 2011).</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Bombina bombina</w:t>
      </w:r>
      <w:r w:rsidRPr="00D77A67">
        <w:rPr>
          <w:rFonts w:ascii="Times New Roman" w:eastAsiaTheme="minorHAnsi" w:hAnsi="Times New Roman"/>
          <w:sz w:val="24"/>
          <w:szCs w:val="24"/>
        </w:rPr>
        <w:t xml:space="preserve"> е активна от март до началото на ноември. Размножителният период е през април и май, но може да продължи и по-дълго. Хранителният спектър на вида включва насекоми и други безгръбначни животни, които биват улавяни както във водата, така и на сушата. Активността е предимно дневна и сумрачна, но през </w:t>
      </w:r>
      <w:r w:rsidRPr="00D77A67">
        <w:rPr>
          <w:rFonts w:ascii="Times New Roman" w:eastAsiaTheme="minorHAnsi" w:hAnsi="Times New Roman"/>
          <w:sz w:val="24"/>
          <w:szCs w:val="24"/>
        </w:rPr>
        <w:lastRenderedPageBreak/>
        <w:t>размножителния период животните са активни и нощем. Хибернацията се осъществява на сушата (Бешков и Нанев 2002; Stojanov et al. 2011).</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3. Състояние на биогеографско ниво и разпространение в мрежата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Според националното докладване по Чл. 17 от Директива 92/43 през 2013 г. природозащи</w:t>
      </w:r>
      <w:r>
        <w:rPr>
          <w:rFonts w:ascii="Times New Roman" w:eastAsiaTheme="minorHAnsi" w:hAnsi="Times New Roman"/>
          <w:sz w:val="24"/>
          <w:szCs w:val="24"/>
        </w:rPr>
        <w:t>тното състояние (ПС) на вида в К</w:t>
      </w:r>
      <w:r w:rsidRPr="00D77A67">
        <w:rPr>
          <w:rFonts w:ascii="Times New Roman" w:eastAsiaTheme="minorHAnsi" w:hAnsi="Times New Roman"/>
          <w:sz w:val="24"/>
          <w:szCs w:val="24"/>
        </w:rPr>
        <w:t>онтиненталния биогеографски регион е благ</w:t>
      </w:r>
      <w:r>
        <w:rPr>
          <w:rFonts w:ascii="Times New Roman" w:eastAsiaTheme="minorHAnsi" w:hAnsi="Times New Roman"/>
          <w:sz w:val="24"/>
          <w:szCs w:val="24"/>
        </w:rPr>
        <w:t>оприятно (FV) по всички показатели за оценка, а в Ч</w:t>
      </w:r>
      <w:r w:rsidRPr="00D77A67">
        <w:rPr>
          <w:rFonts w:ascii="Times New Roman" w:eastAsiaTheme="minorHAnsi" w:hAnsi="Times New Roman"/>
          <w:sz w:val="24"/>
          <w:szCs w:val="24"/>
        </w:rPr>
        <w:t>ерноморския – неблагоприятно-незадоволително (U1) поради негативната оценка на бъдещите перспективи. Според докладването от 2019 г. ПС на вида е неизвестно (ХХ) и в двата биогеографски региона поради недостатъчност на данните за размера на популациите, местообитанията и бъдещите перспективи.</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Bombina bombina</w:t>
      </w:r>
      <w:r w:rsidRPr="00D77A67">
        <w:rPr>
          <w:rFonts w:ascii="Times New Roman" w:eastAsiaTheme="minorHAnsi" w:hAnsi="Times New Roman"/>
          <w:sz w:val="24"/>
          <w:szCs w:val="24"/>
        </w:rPr>
        <w:t xml:space="preserve"> фигурира в стандартните формуляри за данни на 122 защитени зони за местообитанията от мрежата Натура 2000 в България.</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4. Състояние на ниво защитена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В Стандартния формуляр на зоната са дадени следните оценки за </w:t>
      </w:r>
      <w:r w:rsidRPr="00D77A67">
        <w:rPr>
          <w:rFonts w:ascii="Times New Roman" w:eastAsiaTheme="minorHAnsi" w:hAnsi="Times New Roman"/>
          <w:i/>
          <w:sz w:val="24"/>
          <w:szCs w:val="24"/>
        </w:rPr>
        <w:t>Bombina bombina</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6975" w:type="dxa"/>
        <w:jc w:val="center"/>
        <w:tblLook w:val="04A0" w:firstRow="1" w:lastRow="0" w:firstColumn="1" w:lastColumn="0" w:noHBand="0" w:noVBand="1"/>
      </w:tblPr>
      <w:tblGrid>
        <w:gridCol w:w="617"/>
        <w:gridCol w:w="656"/>
        <w:gridCol w:w="1203"/>
        <w:gridCol w:w="614"/>
        <w:gridCol w:w="923"/>
        <w:gridCol w:w="1083"/>
        <w:gridCol w:w="677"/>
        <w:gridCol w:w="570"/>
        <w:gridCol w:w="636"/>
      </w:tblGrid>
      <w:tr w:rsidR="00D77A67" w:rsidRPr="00A805FE" w:rsidTr="008131C7">
        <w:trPr>
          <w:trHeight w:val="255"/>
          <w:jc w:val="center"/>
        </w:trPr>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Site assessment</w:t>
            </w:r>
          </w:p>
        </w:tc>
      </w:tr>
      <w:tr w:rsidR="00D77A67" w:rsidRPr="00A805FE" w:rsidTr="008131C7">
        <w:trPr>
          <w:trHeight w:val="255"/>
          <w:jc w:val="center"/>
        </w:trPr>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w:t>
            </w:r>
          </w:p>
        </w:tc>
      </w:tr>
      <w:tr w:rsidR="00D77A67" w:rsidRPr="00A805FE" w:rsidTr="008131C7">
        <w:trPr>
          <w:trHeight w:val="255"/>
          <w:jc w:val="center"/>
        </w:trPr>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Glo.</w:t>
            </w:r>
          </w:p>
        </w:tc>
      </w:tr>
      <w:tr w:rsidR="00D77A67" w:rsidRPr="00A805FE" w:rsidTr="008131C7">
        <w:trPr>
          <w:trHeight w:val="255"/>
          <w:jc w:val="center"/>
        </w:trPr>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5</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5</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R</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M</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Предвид характера на националния ареал на вида (по-голямата част попада в Дунавската равнина) е ясно, че всички защитени зони, включително „Сребърна“, които обхващат крайдунавските влажни зони са от съществено зн</w:t>
      </w:r>
      <w:r w:rsidR="008131C7">
        <w:rPr>
          <w:rFonts w:ascii="Times New Roman" w:eastAsiaTheme="minorHAnsi" w:hAnsi="Times New Roman"/>
          <w:sz w:val="24"/>
          <w:szCs w:val="24"/>
        </w:rPr>
        <w:t>ачение за опазването на вида в К</w:t>
      </w:r>
      <w:r w:rsidRPr="00D77A67">
        <w:rPr>
          <w:rFonts w:ascii="Times New Roman" w:eastAsiaTheme="minorHAnsi" w:hAnsi="Times New Roman"/>
          <w:sz w:val="24"/>
          <w:szCs w:val="24"/>
        </w:rPr>
        <w:t>онтиненталния биогеографски регион.</w:t>
      </w:r>
    </w:p>
    <w:p w:rsidR="00D77A67" w:rsidRPr="00D77A67" w:rsidRDefault="00D77A67" w:rsidP="00D77A67">
      <w:pPr>
        <w:spacing w:after="0" w:line="240" w:lineRule="auto"/>
        <w:jc w:val="both"/>
        <w:rPr>
          <w:rFonts w:ascii="Times New Roman" w:eastAsiaTheme="minorHAnsi" w:hAnsi="Times New Roman"/>
          <w:sz w:val="24"/>
          <w:szCs w:val="24"/>
          <w:highlight w:val="lightGray"/>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5. Анализ на наличната информация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На картата в работата на </w:t>
      </w:r>
      <w:r w:rsidRPr="00D77A67">
        <w:rPr>
          <w:rFonts w:ascii="Times New Roman" w:eastAsiaTheme="minorHAnsi" w:hAnsi="Times New Roman"/>
          <w:sz w:val="24"/>
          <w:szCs w:val="24"/>
          <w:lang w:val="en-US"/>
        </w:rPr>
        <w:t>Biserkov</w:t>
      </w:r>
      <w:r w:rsidRPr="00D77A67">
        <w:rPr>
          <w:rFonts w:ascii="Times New Roman" w:eastAsiaTheme="minorHAnsi" w:hAnsi="Times New Roman"/>
          <w:sz w:val="24"/>
          <w:szCs w:val="24"/>
        </w:rPr>
        <w:t xml:space="preserve"> </w:t>
      </w:r>
      <w:r w:rsidRPr="00D77A67">
        <w:rPr>
          <w:rFonts w:ascii="Times New Roman" w:eastAsiaTheme="minorHAnsi" w:hAnsi="Times New Roman"/>
          <w:sz w:val="24"/>
          <w:szCs w:val="24"/>
          <w:lang w:val="en-US"/>
        </w:rPr>
        <w:t xml:space="preserve">&amp; Naumov </w:t>
      </w:r>
      <w:r w:rsidRPr="00D77A67">
        <w:rPr>
          <w:rFonts w:ascii="Times New Roman" w:eastAsiaTheme="minorHAnsi" w:hAnsi="Times New Roman"/>
          <w:sz w:val="24"/>
          <w:szCs w:val="24"/>
        </w:rPr>
        <w:t>(201</w:t>
      </w:r>
      <w:r w:rsidRPr="00D77A67">
        <w:rPr>
          <w:rFonts w:ascii="Times New Roman" w:eastAsiaTheme="minorHAnsi" w:hAnsi="Times New Roman"/>
          <w:sz w:val="24"/>
          <w:szCs w:val="24"/>
          <w:lang w:val="en-US"/>
        </w:rPr>
        <w:t>2</w:t>
      </w:r>
      <w:r w:rsidRPr="00D77A67">
        <w:rPr>
          <w:rFonts w:ascii="Times New Roman" w:eastAsiaTheme="minorHAnsi" w:hAnsi="Times New Roman"/>
          <w:sz w:val="24"/>
          <w:szCs w:val="24"/>
        </w:rPr>
        <w:t>)</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са дадени 2</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локации на </w:t>
      </w:r>
      <w:r w:rsidRPr="00D77A67">
        <w:rPr>
          <w:rFonts w:ascii="Times New Roman" w:eastAsiaTheme="minorHAnsi" w:hAnsi="Times New Roman"/>
          <w:i/>
          <w:sz w:val="24"/>
          <w:szCs w:val="24"/>
        </w:rPr>
        <w:t>Bombina bombina</w:t>
      </w:r>
      <w:r w:rsidRPr="00D77A67">
        <w:rPr>
          <w:rFonts w:ascii="Times New Roman" w:eastAsiaTheme="minorHAnsi" w:hAnsi="Times New Roman"/>
          <w:sz w:val="24"/>
          <w:szCs w:val="24"/>
        </w:rPr>
        <w:t xml:space="preserve"> (попадащи в </w:t>
      </w:r>
      <w:r w:rsidRPr="00D77A67">
        <w:rPr>
          <w:rFonts w:ascii="Times New Roman" w:eastAsiaTheme="minorHAnsi" w:hAnsi="Times New Roman"/>
          <w:sz w:val="24"/>
          <w:szCs w:val="24"/>
          <w:lang w:val="en-US"/>
        </w:rPr>
        <w:t>2</w:t>
      </w:r>
      <w:r w:rsidRPr="00D77A67">
        <w:rPr>
          <w:rFonts w:ascii="Times New Roman" w:eastAsiaTheme="minorHAnsi" w:hAnsi="Times New Roman"/>
          <w:sz w:val="24"/>
          <w:szCs w:val="24"/>
        </w:rPr>
        <w:t xml:space="preserve"> квадрата</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от </w:t>
      </w:r>
      <w:r w:rsidRPr="00D77A67">
        <w:rPr>
          <w:rFonts w:ascii="Times New Roman" w:eastAsiaTheme="minorHAnsi" w:hAnsi="Times New Roman"/>
          <w:sz w:val="24"/>
          <w:szCs w:val="24"/>
          <w:lang w:val="en-US"/>
        </w:rPr>
        <w:t xml:space="preserve">UTM </w:t>
      </w:r>
      <w:r w:rsidRPr="00D77A67">
        <w:rPr>
          <w:rFonts w:ascii="Times New Roman" w:eastAsiaTheme="minorHAnsi" w:hAnsi="Times New Roman"/>
          <w:sz w:val="24"/>
          <w:szCs w:val="24"/>
        </w:rPr>
        <w:t>грид 1х1</w:t>
      </w:r>
      <w:r w:rsidRPr="00D77A67">
        <w:rPr>
          <w:rFonts w:ascii="Times New Roman" w:eastAsiaTheme="minorHAnsi" w:hAnsi="Times New Roman"/>
          <w:sz w:val="24"/>
          <w:szCs w:val="24"/>
          <w:lang w:val="en-US"/>
        </w:rPr>
        <w:t xml:space="preserve"> km</w:t>
      </w:r>
      <w:r w:rsidRPr="00D77A67">
        <w:rPr>
          <w:rFonts w:ascii="Times New Roman" w:eastAsiaTheme="minorHAnsi" w:hAnsi="Times New Roman"/>
          <w:sz w:val="24"/>
          <w:szCs w:val="24"/>
        </w:rPr>
        <w:t xml:space="preserve">) в територията на защитената зона, а Popgeorgiev </w:t>
      </w:r>
      <w:r w:rsidRPr="00D77A67">
        <w:rPr>
          <w:rFonts w:ascii="Times New Roman" w:eastAsiaTheme="minorHAnsi" w:hAnsi="Times New Roman"/>
          <w:sz w:val="24"/>
          <w:szCs w:val="24"/>
          <w:lang w:val="en-US"/>
        </w:rPr>
        <w:t xml:space="preserve">et al. </w:t>
      </w:r>
      <w:r w:rsidRPr="00D77A67">
        <w:rPr>
          <w:rFonts w:ascii="Times New Roman" w:eastAsiaTheme="minorHAnsi" w:hAnsi="Times New Roman"/>
          <w:sz w:val="24"/>
          <w:szCs w:val="24"/>
        </w:rPr>
        <w:t>(201</w:t>
      </w:r>
      <w:r w:rsidRPr="00D77A67">
        <w:rPr>
          <w:rFonts w:ascii="Times New Roman" w:eastAsiaTheme="minorHAnsi" w:hAnsi="Times New Roman"/>
          <w:sz w:val="24"/>
          <w:szCs w:val="24"/>
          <w:lang w:val="en-US"/>
        </w:rPr>
        <w:t>9</w:t>
      </w:r>
      <w:r w:rsidRPr="00D77A67">
        <w:rPr>
          <w:rFonts w:ascii="Times New Roman" w:eastAsiaTheme="minorHAnsi" w:hAnsi="Times New Roman"/>
          <w:sz w:val="24"/>
          <w:szCs w:val="24"/>
        </w:rPr>
        <w:t>) споменават и други четири квадрата, в които видът е установен. В специфичния доклад от 2013 г. по проект „Картиране и определяне на природозащитното състояние на природни местообитания и видове - фаза I“ (виж ИСЗЗЕМ Натура 2000) е посочено, че установените находища попадат в пет квадрата от грид 1х1</w:t>
      </w:r>
      <w:r w:rsidRPr="00D77A67">
        <w:rPr>
          <w:rFonts w:ascii="Times New Roman" w:eastAsiaTheme="minorHAnsi" w:hAnsi="Times New Roman"/>
          <w:sz w:val="24"/>
          <w:szCs w:val="24"/>
          <w:lang w:val="en-US"/>
        </w:rPr>
        <w:t xml:space="preserve"> km</w:t>
      </w:r>
      <w:r w:rsidRPr="00D77A67">
        <w:rPr>
          <w:rFonts w:ascii="Times New Roman" w:eastAsiaTheme="minorHAnsi" w:hAnsi="Times New Roman"/>
          <w:sz w:val="24"/>
          <w:szCs w:val="24"/>
        </w:rPr>
        <w:t xml:space="preserve"> </w:t>
      </w:r>
      <w:r w:rsidRPr="00D77A67">
        <w:rPr>
          <w:rFonts w:ascii="Times New Roman" w:eastAsiaTheme="minorHAnsi" w:hAnsi="Times New Roman"/>
          <w:sz w:val="24"/>
          <w:szCs w:val="24"/>
          <w:lang w:val="en-US"/>
        </w:rPr>
        <w:t>[</w:t>
      </w:r>
      <w:r w:rsidRPr="00D77A67">
        <w:rPr>
          <w:rFonts w:ascii="Times New Roman" w:eastAsiaTheme="minorHAnsi" w:hAnsi="Times New Roman"/>
          <w:sz w:val="24"/>
          <w:szCs w:val="24"/>
        </w:rPr>
        <w:t>три от тях съвпадат с дадените в горе</w:t>
      </w:r>
      <w:r>
        <w:rPr>
          <w:rFonts w:ascii="Times New Roman" w:eastAsiaTheme="minorHAnsi" w:hAnsi="Times New Roman"/>
          <w:sz w:val="24"/>
          <w:szCs w:val="24"/>
        </w:rPr>
        <w:t xml:space="preserve"> </w:t>
      </w:r>
      <w:r w:rsidRPr="00D77A67">
        <w:rPr>
          <w:rFonts w:ascii="Times New Roman" w:eastAsiaTheme="minorHAnsi" w:hAnsi="Times New Roman"/>
          <w:sz w:val="24"/>
          <w:szCs w:val="24"/>
        </w:rPr>
        <w:t>цитираните публикации)</w:t>
      </w:r>
      <w:r w:rsidRPr="00D77A67">
        <w:rPr>
          <w:rFonts w:ascii="Times New Roman" w:eastAsiaTheme="minorHAnsi" w:hAnsi="Times New Roman"/>
          <w:sz w:val="24"/>
          <w:szCs w:val="24"/>
          <w:lang w:val="en-US"/>
        </w:rPr>
        <w:t>]</w:t>
      </w:r>
      <w:r w:rsidRPr="00D77A67">
        <w:rPr>
          <w:rFonts w:ascii="Times New Roman" w:eastAsiaTheme="minorHAnsi" w:hAnsi="Times New Roman"/>
          <w:sz w:val="24"/>
          <w:szCs w:val="24"/>
        </w:rPr>
        <w:t xml:space="preserve">, а средната стойност на относителната численост на вида е 0,82 индивида на 1000 </w:t>
      </w:r>
      <w:r w:rsidRPr="00D77A67">
        <w:rPr>
          <w:rFonts w:ascii="Times New Roman" w:eastAsiaTheme="minorHAnsi" w:hAnsi="Times New Roman"/>
          <w:sz w:val="24"/>
          <w:szCs w:val="24"/>
          <w:lang w:val="en-US"/>
        </w:rPr>
        <w:t>m</w:t>
      </w:r>
      <w:r w:rsidRPr="00D77A67">
        <w:rPr>
          <w:rFonts w:ascii="Times New Roman" w:eastAsiaTheme="minorHAnsi" w:hAnsi="Times New Roman"/>
          <w:sz w:val="24"/>
          <w:szCs w:val="24"/>
        </w:rPr>
        <w:t>. Дадената обща площ на потенциалните местообитания (изчислена на база индуктивно моделиране) е 1415,88 ha, от които 78,20 ha (5,40% от територията на зоната) са категоризирани като слабо пригодни,  222,64 ha (15,38%) – като пригодни и 1115,04 ha (77,03%) – като оптимални. В същия доклад природозащитното състояние на вида в защитената зона е оценено като благоприятно.</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време на теренните изследвания през 2021 г. видът беше регистриран на няколко места в зоната (множество екземпляри), които общо попадат в четири квадрата</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(1х1 </w:t>
      </w:r>
      <w:r w:rsidRPr="00D77A67">
        <w:rPr>
          <w:rFonts w:ascii="Times New Roman" w:eastAsiaTheme="minorHAnsi" w:hAnsi="Times New Roman"/>
          <w:sz w:val="24"/>
          <w:szCs w:val="24"/>
          <w:lang w:val="en-US"/>
        </w:rPr>
        <w:t>km</w:t>
      </w:r>
      <w:r w:rsidRPr="00D77A67">
        <w:rPr>
          <w:rFonts w:ascii="Times New Roman" w:eastAsiaTheme="minorHAnsi" w:hAnsi="Times New Roman"/>
          <w:sz w:val="24"/>
          <w:szCs w:val="24"/>
        </w:rPr>
        <w:t>), като за три от квадратите няма предишни данни. По експертна преценка състоянието на потенциалните местообитания понастоящем е добро.</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6. Цели за подобряване/поддържане на природозащитното състояние на вида в зоната</w:t>
      </w:r>
    </w:p>
    <w:p w:rsidR="00D77A67" w:rsidRPr="00D77A67" w:rsidRDefault="00D77A67" w:rsidP="00D77A67">
      <w:pPr>
        <w:spacing w:after="0" w:line="240" w:lineRule="auto"/>
        <w:jc w:val="both"/>
        <w:rPr>
          <w:rFonts w:ascii="Times New Roman" w:eastAsiaTheme="minorHAnsi" w:hAnsi="Times New Roman"/>
          <w:sz w:val="24"/>
          <w:szCs w:val="24"/>
        </w:rPr>
      </w:pPr>
    </w:p>
    <w:tbl>
      <w:tblPr>
        <w:tblStyle w:val="TableGrid"/>
        <w:tblW w:w="9997" w:type="dxa"/>
        <w:tblLayout w:type="fixed"/>
        <w:tblLook w:val="04A0" w:firstRow="1" w:lastRow="0" w:firstColumn="1" w:lastColumn="0" w:noHBand="0" w:noVBand="1"/>
      </w:tblPr>
      <w:tblGrid>
        <w:gridCol w:w="1813"/>
        <w:gridCol w:w="1839"/>
        <w:gridCol w:w="1559"/>
        <w:gridCol w:w="2796"/>
        <w:gridCol w:w="1990"/>
      </w:tblGrid>
      <w:tr w:rsidR="00D77A67" w:rsidRPr="00A805FE" w:rsidTr="003A4F26">
        <w:trPr>
          <w:tblHeader/>
        </w:trPr>
        <w:tc>
          <w:tcPr>
            <w:tcW w:w="1813" w:type="dxa"/>
            <w:shd w:val="clear" w:color="auto" w:fill="DBE5F1" w:themeFill="accent1" w:themeFillTint="33"/>
          </w:tcPr>
          <w:p w:rsidR="00D77A67" w:rsidRPr="003A4F26" w:rsidRDefault="00D77A67" w:rsidP="00D77A67">
            <w:pPr>
              <w:spacing w:after="160"/>
              <w:jc w:val="both"/>
              <w:rPr>
                <w:rFonts w:ascii="Times New Roman" w:eastAsiaTheme="minorHAnsi" w:hAnsi="Times New Roman"/>
                <w:b/>
              </w:rPr>
            </w:pPr>
            <w:r w:rsidRPr="003A4F26">
              <w:rPr>
                <w:rFonts w:ascii="Times New Roman" w:eastAsiaTheme="minorHAnsi" w:hAnsi="Times New Roman"/>
                <w:b/>
              </w:rPr>
              <w:lastRenderedPageBreak/>
              <w:t>Параметър</w:t>
            </w:r>
          </w:p>
        </w:tc>
        <w:tc>
          <w:tcPr>
            <w:tcW w:w="1839"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Мерна единица</w:t>
            </w:r>
          </w:p>
        </w:tc>
        <w:tc>
          <w:tcPr>
            <w:tcW w:w="1559"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Целева стойност</w:t>
            </w:r>
          </w:p>
        </w:tc>
        <w:tc>
          <w:tcPr>
            <w:tcW w:w="2796"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Допълнителна информация</w:t>
            </w:r>
          </w:p>
        </w:tc>
        <w:tc>
          <w:tcPr>
            <w:tcW w:w="1990"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Специфична цел</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пространствен обхват</w:t>
            </w:r>
          </w:p>
        </w:tc>
        <w:tc>
          <w:tcPr>
            <w:tcW w:w="183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Брой квадрати 1х1 km с доказано присъствие на вида</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cstheme="minorBidi"/>
              </w:rPr>
              <w:t xml:space="preserve">Най-малко </w:t>
            </w:r>
            <w:r w:rsidRPr="00A805FE">
              <w:rPr>
                <w:rFonts w:ascii="Times New Roman" w:eastAsiaTheme="minorHAnsi" w:hAnsi="Times New Roman"/>
              </w:rPr>
              <w:t>11</w:t>
            </w:r>
          </w:p>
        </w:tc>
        <w:tc>
          <w:tcPr>
            <w:tcW w:w="2796"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Целевата стойност представлява броят на квадратите от географска мрежа с резолюция 1х1 km, в които видът е регистриран поне веднъж в периода 2010-2021 г. По експертна преценка, тази стойност (11) може да се приеме като минимална референтна стойност за благоприятно състояние на вида по този параметър.</w:t>
            </w:r>
          </w:p>
        </w:tc>
        <w:tc>
          <w:tcPr>
            <w:tcW w:w="199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пространствения обхват на популацията</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относителна численост</w:t>
            </w:r>
          </w:p>
        </w:tc>
        <w:tc>
          <w:tcPr>
            <w:tcW w:w="1839" w:type="dxa"/>
          </w:tcPr>
          <w:p w:rsidR="00D77A67" w:rsidRDefault="00D77A67" w:rsidP="00D77A67">
            <w:pPr>
              <w:spacing w:after="160"/>
              <w:rPr>
                <w:rFonts w:ascii="Times New Roman" w:eastAsiaTheme="minorHAnsi" w:hAnsi="Times New Roman"/>
                <w:lang w:val="bg-BG"/>
              </w:rPr>
            </w:pPr>
            <w:r w:rsidRPr="00A805FE">
              <w:rPr>
                <w:rFonts w:ascii="Times New Roman" w:eastAsiaTheme="minorHAnsi" w:hAnsi="Times New Roman"/>
              </w:rPr>
              <w:t>Брой индивиди на 1000 метра (Ab), изчислен по формулата: Ab = (N/L)*1000, където N е броят на наблюдаваните индивиди, а L е дължината на конкретния трансект в метри</w:t>
            </w:r>
          </w:p>
          <w:p w:rsidR="00881B9B" w:rsidRPr="00881B9B" w:rsidRDefault="00881B9B" w:rsidP="00D77A67">
            <w:pPr>
              <w:spacing w:after="160"/>
              <w:rPr>
                <w:rFonts w:ascii="Times New Roman" w:eastAsiaTheme="minorHAnsi" w:hAnsi="Times New Roman"/>
                <w:lang w:val="bg-BG"/>
              </w:rPr>
            </w:pPr>
            <w:r>
              <w:rPr>
                <w:rFonts w:ascii="Times New Roman" w:eastAsiaTheme="minorHAnsi" w:hAnsi="Times New Roman"/>
                <w:lang w:val="bg-BG"/>
              </w:rPr>
              <w:t>(</w:t>
            </w:r>
            <w:r w:rsidRPr="00F045E1">
              <w:rPr>
                <w:rFonts w:ascii="Times New Roman" w:eastAsiaTheme="minorHAnsi" w:hAnsi="Times New Roman"/>
                <w:lang w:val="bg-BG"/>
              </w:rPr>
              <w:t>виж методиката за мониторинг към НСМСБР</w:t>
            </w:r>
            <w:r>
              <w:rPr>
                <w:rFonts w:ascii="Times New Roman" w:eastAsiaTheme="minorHAnsi" w:hAnsi="Times New Roman"/>
                <w:lang w:val="bg-BG"/>
              </w:rPr>
              <w:t>)</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Неизвестна</w:t>
            </w:r>
          </w:p>
        </w:tc>
        <w:tc>
          <w:tcPr>
            <w:tcW w:w="2796"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числени данни са тези, събрани през 2011-2012 г., а изведената от тях средна стойност за относителната численост е 0,82 индивида на 1000 m. Според наблюденията през 2021 г., въпреки че не е правено отчитане на брой индивиди на единица маршрут, по експертна преценка относителната числеността вероятно значително надвишава стойността 0,82. С оглед на това относителната численост на популацията е възприета като неизвестна и е определена междинна цел.</w:t>
            </w:r>
          </w:p>
        </w:tc>
        <w:tc>
          <w:tcPr>
            <w:tcW w:w="199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Междинна цел: да се определи относителната численост на популацията чрез провеждане на целенасочени теренни изследвания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(площ): обща площ на потенциалните местообитания</w:t>
            </w:r>
          </w:p>
        </w:tc>
        <w:tc>
          <w:tcPr>
            <w:tcW w:w="183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Най-малко 1416 ha</w:t>
            </w:r>
          </w:p>
        </w:tc>
        <w:tc>
          <w:tcPr>
            <w:tcW w:w="2796"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 xml:space="preserve">Единствените данни за площта на потенциалните местообитания на вида в зоната са дадени в специфичния доклад от 2013 г. (виж ИСЗЗЕМ Натура 2000). Площта е изведена чрез индуктивен модел (на база комплекс от фактори, вкл. климатични) с висока статистическа достоверност, поради което дадената стойност (1416 ha) може да се приеме като минимална референтна стойност за благоприятно състояние на </w:t>
            </w:r>
            <w:r w:rsidRPr="00A805FE">
              <w:rPr>
                <w:rFonts w:ascii="Times New Roman" w:eastAsiaTheme="minorHAnsi" w:hAnsi="Times New Roman"/>
              </w:rPr>
              <w:lastRenderedPageBreak/>
              <w:t>вида по този параметър.</w:t>
            </w:r>
          </w:p>
        </w:tc>
        <w:tc>
          <w:tcPr>
            <w:tcW w:w="199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Поддържане площта на потенциалните местообитания</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lastRenderedPageBreak/>
              <w:t>Местообитание (площ): площ на</w:t>
            </w:r>
            <w:r w:rsidRPr="003A4F26">
              <w:rPr>
                <w:rFonts w:asciiTheme="minorHAnsi" w:eastAsiaTheme="minorHAnsi" w:hAnsiTheme="minorHAnsi" w:cstheme="minorBidi"/>
                <w:b/>
              </w:rPr>
              <w:t xml:space="preserve"> </w:t>
            </w:r>
            <w:r w:rsidRPr="003A4F26">
              <w:rPr>
                <w:rFonts w:ascii="Times New Roman" w:eastAsiaTheme="minorHAnsi" w:hAnsi="Times New Roman"/>
                <w:b/>
              </w:rPr>
              <w:t>подходящите за обитаване стоящи водоеми</w:t>
            </w:r>
          </w:p>
        </w:tc>
        <w:tc>
          <w:tcPr>
            <w:tcW w:w="183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Най-малко 878 ha</w:t>
            </w:r>
          </w:p>
        </w:tc>
        <w:tc>
          <w:tcPr>
            <w:tcW w:w="2796"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данни за площта на на подходящите за обитаване стоящи водоеми в зоната са дадени в специфичния доклад от 2013 г. (виж ИСЗЗЕМ Натура 2000), като посочената площ представлява 62,04% от площта на потенциалните местообитания в зоната, т.е. 878 ha (62,04% от 1415,88). В същия доклад състоянието на вида по този показател е оценено, като благоприятно.</w:t>
            </w:r>
          </w:p>
          <w:p w:rsidR="00D77A67" w:rsidRPr="00A805FE" w:rsidRDefault="00D77A67" w:rsidP="00D77A67">
            <w:pPr>
              <w:spacing w:after="160"/>
              <w:rPr>
                <w:rFonts w:ascii="Times New Roman" w:eastAsiaTheme="minorHAnsi" w:hAnsi="Times New Roman"/>
                <w:highlight w:val="yellow"/>
              </w:rPr>
            </w:pPr>
            <w:r w:rsidRPr="00A805FE">
              <w:rPr>
                <w:rFonts w:ascii="Times New Roman" w:eastAsiaTheme="minorHAnsi" w:hAnsi="Times New Roman"/>
              </w:rPr>
              <w:t>По експертна преценка, базирана на наблюденията през 2021 г., сегашната площ на подходящите за обитаване стоящи водоеми не се различава съществено от дадената в доклада.</w:t>
            </w:r>
          </w:p>
        </w:tc>
        <w:tc>
          <w:tcPr>
            <w:tcW w:w="199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площта на стоящите водоеми</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(структура и функции): свързаност на потенциалните местообитания</w:t>
            </w:r>
          </w:p>
        </w:tc>
        <w:tc>
          <w:tcPr>
            <w:tcW w:w="183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Обща дължина (в метри) на участъците от линейната транспортна инфраструктура (магистрали и пътища първи и/или втори клас), които пресичат потенциални местообитания на вида и представляват непреодолима или труднопреодолима преграда за същия</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0 m</w:t>
            </w:r>
          </w:p>
        </w:tc>
        <w:tc>
          <w:tcPr>
            <w:tcW w:w="2796"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Към 2021 г. през зоната не преминават магистрали и пътища първи и втори клас, т.е. състояние на вида по този параметър е благоприятно.</w:t>
            </w:r>
          </w:p>
        </w:tc>
        <w:tc>
          <w:tcPr>
            <w:tcW w:w="199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свързаността на потенциалните местообитания</w:t>
            </w:r>
          </w:p>
        </w:tc>
      </w:tr>
    </w:tbl>
    <w:p w:rsidR="00D77A67" w:rsidRPr="00D77A67" w:rsidRDefault="00D77A67" w:rsidP="00D77A67">
      <w:pPr>
        <w:spacing w:after="0" w:line="240" w:lineRule="auto"/>
        <w:jc w:val="both"/>
        <w:rPr>
          <w:rFonts w:ascii="Times New Roman" w:eastAsiaTheme="minorHAnsi" w:hAnsi="Times New Roman"/>
          <w:sz w:val="24"/>
          <w:szCs w:val="24"/>
          <w:highlight w:val="lightGray"/>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7. Необходимост от актуализация на СФ на защитената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Повечето европейски видове земноводни и влечуги не са пряко свързани с конкретни топографски обекти, поради което измерването на популациите им чрез </w:t>
      </w:r>
      <w:r w:rsidRPr="00D77A67">
        <w:rPr>
          <w:rFonts w:ascii="Times New Roman" w:eastAsiaTheme="minorHAnsi" w:hAnsi="Times New Roman"/>
          <w:sz w:val="24"/>
          <w:szCs w:val="24"/>
        </w:rPr>
        <w:lastRenderedPageBreak/>
        <w:t xml:space="preserve">брой находища изглежда неподходящо, още повече че много често всяка локация (GPS точка) на индивид бива интерпретирана като отделно находище, дори да се намира само на няколко метра от локацията на друг индивид. По този начин броят на т.нар. находища се доближава до броя на регистрациите на индивиди. Това води до некоректна оценка, т.е. такава която не отразява размера на популацията нито пространствено, нито като брой индивиди. Поради тази причина би трябвало или ясно да се дефинира понятието „находище“, или да се използва друга мерна единица. За </w:t>
      </w:r>
      <w:r w:rsidRPr="00D77A67">
        <w:rPr>
          <w:rFonts w:ascii="Times New Roman" w:eastAsiaTheme="minorHAnsi" w:hAnsi="Times New Roman"/>
          <w:i/>
          <w:sz w:val="24"/>
          <w:szCs w:val="24"/>
          <w:lang w:val="en-US"/>
        </w:rPr>
        <w:t>Bombina bombina</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 дефинирането на находище е силно затруднено, поради факта че видът обитава както стоящи водоеми (които могат да се определят като находища), така и канали, както и самата р. Дунав, а освен това има и сухоземна фаза. Що се отнася до реки/канали и сухоземни находки, дефиницията за находище би могла да бъде само условна и да се изразява в следното: „локация на индивид, отдалечена поне на [примерно] 500 м от друга такава локация“. Такова определение за находище обаче е само пространствено (т.е. дефинира се единствено чрез ХY координати), следователно е почти същото, като квадрат от метрична координатна система. От друга страна именно използването на квадрати от метрична географска мрежа, като мерна единица за популация в </w:t>
      </w:r>
      <w:r w:rsidR="005A0A3C">
        <w:rPr>
          <w:rFonts w:ascii="Times New Roman" w:eastAsiaTheme="minorHAnsi" w:hAnsi="Times New Roman"/>
          <w:sz w:val="24"/>
          <w:szCs w:val="24"/>
        </w:rPr>
        <w:t>СФ</w:t>
      </w:r>
      <w:r w:rsidRPr="00D77A67">
        <w:rPr>
          <w:rFonts w:ascii="Times New Roman" w:eastAsiaTheme="minorHAnsi" w:hAnsi="Times New Roman"/>
          <w:sz w:val="24"/>
          <w:szCs w:val="24"/>
        </w:rPr>
        <w:t>, изглежда много по-подходящо (поне за сравнително големи по площ зони, каквато е тук разглежданата), тъй като допустимите резолюции на мрежата са посочени в Справочния портал за Натура 2000, т.е. те не се нуждаят от субективни дефиниции. С оглед на изложеното дотук, мерните единици за популация на вида в зоната следва да се променят от брой находища (localities), на брой клетки с резолюция 1х1 км (grids1x1), което е максималната допустима резолюция. В този смисъл, както и предвид анализа на наличната информация, следва да се добавят и съответните числени стойности за броя квадрати.</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отношение категорията за плътност (Cat.) се налага промяна на оценката, тъй като според анализа на наличната информация изглежда, че видът е по-скоро „обичаен“ (С), отколкото „рядък“ (</w:t>
      </w:r>
      <w:r w:rsidRPr="00D77A67">
        <w:rPr>
          <w:rFonts w:ascii="Times New Roman" w:eastAsiaTheme="minorHAnsi" w:hAnsi="Times New Roman"/>
          <w:sz w:val="24"/>
          <w:szCs w:val="24"/>
          <w:lang w:val="en-US"/>
        </w:rPr>
        <w:t>R</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Предложените актуализации на СФ са както следва:</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9609" w:type="dxa"/>
        <w:tblLook w:val="04A0" w:firstRow="1" w:lastRow="0" w:firstColumn="1" w:lastColumn="0" w:noHBand="0" w:noVBand="1"/>
      </w:tblPr>
      <w:tblGrid>
        <w:gridCol w:w="2630"/>
        <w:gridCol w:w="617"/>
        <w:gridCol w:w="656"/>
        <w:gridCol w:w="1203"/>
        <w:gridCol w:w="614"/>
        <w:gridCol w:w="923"/>
        <w:gridCol w:w="1083"/>
        <w:gridCol w:w="677"/>
        <w:gridCol w:w="570"/>
        <w:gridCol w:w="636"/>
      </w:tblGrid>
      <w:tr w:rsidR="00D77A67" w:rsidRPr="00A805FE" w:rsidTr="008131C7">
        <w:trPr>
          <w:trHeight w:val="255"/>
          <w:tblHeader/>
        </w:trPr>
        <w:tc>
          <w:tcPr>
            <w:tcW w:w="2634" w:type="dxa"/>
          </w:tcPr>
          <w:p w:rsidR="00D77A67" w:rsidRPr="00A805FE" w:rsidRDefault="00D77A67" w:rsidP="00D77A67">
            <w:pPr>
              <w:jc w:val="both"/>
              <w:rPr>
                <w:rFonts w:ascii="Times New Roman" w:eastAsiaTheme="minorHAnsi" w:hAnsi="Times New Roman"/>
                <w:b/>
                <w:sz w:val="22"/>
                <w:szCs w:val="22"/>
              </w:rPr>
            </w:pPr>
          </w:p>
        </w:tc>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Site assessment</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b/>
                <w:sz w:val="22"/>
                <w:szCs w:val="22"/>
              </w:rPr>
            </w:pPr>
          </w:p>
        </w:tc>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b/>
                <w:sz w:val="22"/>
                <w:szCs w:val="22"/>
              </w:rPr>
            </w:pPr>
          </w:p>
        </w:tc>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Glo.</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Съществуваща оценка</w:t>
            </w:r>
          </w:p>
        </w:tc>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5</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5</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R</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M</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Актуализация</w:t>
            </w:r>
          </w:p>
        </w:tc>
        <w:tc>
          <w:tcPr>
            <w:tcW w:w="617"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11</w:t>
            </w:r>
          </w:p>
        </w:tc>
        <w:tc>
          <w:tcPr>
            <w:tcW w:w="656"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11</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grids1x1</w:t>
            </w:r>
          </w:p>
        </w:tc>
        <w:tc>
          <w:tcPr>
            <w:tcW w:w="610"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С</w:t>
            </w:r>
          </w:p>
        </w:tc>
        <w:tc>
          <w:tcPr>
            <w:tcW w:w="923"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М</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8. Цитирана литература</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Бешков, В., К. Нанев. 2002. Земноводни и влечуги в България. Pensoft, София-Москва, 120 с.</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Biserkov, V., B. Naumov. 2012. Changes after 1948 in the habitats of amphibians and reptiles in the area of the Srebarna lake biosphere reserve. – In: Uzunov, Y., B. Georgiev, E. Varadinova, N. Ivanova, L. Pehlivanov, V. Vasilev (Eds.) Ecosystems of the Biosphere Reserve Srebarna Lake. Professor Marin Drinov Academic Publishing House, Sofia, pp. 163-183.</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Popgeorgiev, G., B. Naumov, Y. Kornilev, V,Vergilov, M. Slavchev, S. Lukanov, A. Dyugmedzhiev, A. Stoyanov, D. Dobrev, N. Tzankov. 2019. Diversity and Distribution of Amphibians and Reptiles in the Bulgarian Part of the Lower Danube. – In: Shurulinkov, P., Z. Hubenov, S. Beshkov, G. Popgeorgiev (Eds.): Biodiversity of the Bulgarian-Romanian Section of the Lower Dnube. Nova Science Publishers, New York, pp. 283-314.</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lastRenderedPageBreak/>
        <w:t>Stojanov, A., N. Tzankov, B. Naumov. 2011. Die Amphibien und Reptilien Bulgariens. Frankfurt am Main, Chimaira, 588 pp.</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contextualSpacing/>
        <w:jc w:val="both"/>
        <w:rPr>
          <w:rFonts w:ascii="Times New Roman" w:eastAsiaTheme="minorHAnsi" w:hAnsi="Times New Roman"/>
          <w:sz w:val="24"/>
          <w:szCs w:val="24"/>
          <w:lang w:eastAsia="bg-BG"/>
        </w:rPr>
      </w:pPr>
      <w:r w:rsidRPr="00D77A67">
        <w:rPr>
          <w:rFonts w:ascii="Times New Roman" w:eastAsiaTheme="minorHAnsi" w:hAnsi="Times New Roman"/>
          <w:i/>
          <w:sz w:val="24"/>
          <w:szCs w:val="24"/>
          <w:lang w:eastAsia="bg-BG"/>
        </w:rPr>
        <w:t>Автори</w:t>
      </w:r>
      <w:r w:rsidRPr="00D77A67">
        <w:rPr>
          <w:rFonts w:ascii="Times New Roman" w:eastAsiaTheme="minorHAnsi" w:hAnsi="Times New Roman"/>
          <w:sz w:val="24"/>
          <w:szCs w:val="24"/>
          <w:lang w:eastAsia="bg-BG"/>
        </w:rPr>
        <w:t>: Борислав Наумов, Георги Георгиев, Георги Попгеоргиев, Димитър Плачийски</w:t>
      </w:r>
    </w:p>
    <w:p w:rsidR="00D77A67" w:rsidRPr="00D77A67" w:rsidRDefault="00D77A67" w:rsidP="00D77A67">
      <w:pPr>
        <w:spacing w:after="0" w:line="240" w:lineRule="auto"/>
        <w:jc w:val="both"/>
        <w:rPr>
          <w:rFonts w:ascii="Times New Roman" w:eastAsiaTheme="minorHAnsi" w:hAnsi="Times New Roman"/>
          <w:sz w:val="24"/>
          <w:szCs w:val="24"/>
        </w:rPr>
      </w:pPr>
    </w:p>
    <w:p w:rsidR="00107719" w:rsidRDefault="00107719" w:rsidP="001033EC">
      <w:pPr>
        <w:rPr>
          <w:rFonts w:ascii="Times New Roman" w:hAnsi="Times New Roman"/>
          <w:color w:val="1F497D" w:themeColor="text2"/>
          <w:sz w:val="28"/>
          <w:szCs w:val="28"/>
        </w:rPr>
      </w:pPr>
    </w:p>
    <w:p w:rsidR="001033EC" w:rsidRDefault="00107719" w:rsidP="003A4F26">
      <w:pPr>
        <w:outlineLvl w:val="1"/>
        <w:rPr>
          <w:rFonts w:ascii="Times New Roman" w:hAnsi="Times New Roman"/>
          <w:color w:val="1F497D" w:themeColor="text2"/>
          <w:sz w:val="28"/>
          <w:szCs w:val="28"/>
        </w:rPr>
      </w:pPr>
      <w:bookmarkStart w:id="80" w:name="_Toc98838558"/>
      <w:r>
        <w:rPr>
          <w:rFonts w:ascii="Times New Roman" w:hAnsi="Times New Roman"/>
          <w:color w:val="1F497D" w:themeColor="text2"/>
          <w:sz w:val="28"/>
          <w:szCs w:val="28"/>
        </w:rPr>
        <w:t xml:space="preserve">Природозащитни цели за </w:t>
      </w:r>
      <w:r w:rsidR="001033EC">
        <w:rPr>
          <w:rFonts w:ascii="Times New Roman" w:hAnsi="Times New Roman"/>
          <w:color w:val="1F497D" w:themeColor="text2"/>
          <w:sz w:val="28"/>
          <w:szCs w:val="28"/>
        </w:rPr>
        <w:t xml:space="preserve">5194 </w:t>
      </w:r>
      <w:r w:rsidR="001033EC" w:rsidRPr="00107719">
        <w:rPr>
          <w:rFonts w:ascii="Times New Roman" w:hAnsi="Times New Roman"/>
          <w:i/>
          <w:color w:val="1F497D" w:themeColor="text2"/>
          <w:sz w:val="28"/>
          <w:szCs w:val="28"/>
        </w:rPr>
        <w:t>Elaphe sauromates</w:t>
      </w:r>
      <w:bookmarkEnd w:id="80"/>
    </w:p>
    <w:p w:rsidR="00D77A67" w:rsidRPr="00D77A67" w:rsidRDefault="00D77A67" w:rsidP="00D77A67">
      <w:pPr>
        <w:spacing w:after="0" w:line="240" w:lineRule="auto"/>
        <w:jc w:val="both"/>
        <w:rPr>
          <w:rFonts w:ascii="Times New Roman" w:eastAsiaTheme="minorHAnsi" w:hAnsi="Times New Roman"/>
          <w:sz w:val="24"/>
          <w:szCs w:val="24"/>
        </w:rPr>
      </w:pPr>
      <w:r w:rsidRPr="00D77A67">
        <w:rPr>
          <w:rFonts w:ascii="Times New Roman" w:eastAsiaTheme="minorHAnsi" w:hAnsi="Times New Roman"/>
          <w:b/>
          <w:sz w:val="24"/>
          <w:szCs w:val="24"/>
        </w:rPr>
        <w:t>1. Код и наименование на вида</w:t>
      </w:r>
      <w:r w:rsidRPr="00D77A67">
        <w:rPr>
          <w:rFonts w:ascii="Times New Roman" w:eastAsiaTheme="minorHAnsi" w:hAnsi="Times New Roman"/>
          <w:sz w:val="24"/>
          <w:szCs w:val="24"/>
        </w:rPr>
        <w:t xml:space="preserve">: 5194 </w:t>
      </w:r>
      <w:r w:rsidRPr="00D77A67">
        <w:rPr>
          <w:rFonts w:ascii="Times New Roman" w:eastAsiaTheme="minorHAnsi" w:hAnsi="Times New Roman"/>
          <w:i/>
          <w:sz w:val="24"/>
          <w:szCs w:val="24"/>
        </w:rPr>
        <w:t>Elaphe sauromates</w:t>
      </w:r>
      <w:r w:rsidRPr="00D77A67">
        <w:rPr>
          <w:rFonts w:ascii="Times New Roman" w:eastAsiaTheme="minorHAnsi" w:hAnsi="Times New Roman"/>
          <w:sz w:val="24"/>
          <w:szCs w:val="24"/>
        </w:rPr>
        <w:t xml:space="preserve"> – пъстър смок</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2. Кратка характеристика на целевия обект</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Общата дължина на тялото достига до около 175 cm (Naumov et al. 2020). При възрастните животни гръбната страна е светложълта (понякога светлооранжева) с големи, напречно разположени, тъмни петна; в задтилната област има V-образно тъмно, а от окото до задния ъгъл на устата минава тъмна ивица. Коремът е жълтеникав, понякога с тъмни петънца. Окраската на младите е подобна на тази на възрастните, но е по-контрастна и основният фон на гръбната страна обикновено e светлосив (Stojanov et al. 2011).</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Видът е разпространен в равнините и най-ниските части на планините в Южна България (източно от Пазарджик), Черноморското крайбрежие, Дунавската равнина и източните части на Предбалкана до около 300, а по изключение и до 600 m н.в. (Stojanov et al. 2011). Обитава главно открити терени със степна растителност, както и разредени широколистни гори и храсталаци, но нерядко се среща и в силно овлажнени места, като бреговете на големи реки, блата и езера (Бешков и Нанев 2002; Stojanov et al. 2011).</w:t>
      </w:r>
    </w:p>
    <w:p w:rsidR="00D77A67" w:rsidRPr="00D77A67" w:rsidRDefault="00D77A67" w:rsidP="00D77A67">
      <w:pPr>
        <w:autoSpaceDE w:val="0"/>
        <w:autoSpaceDN w:val="0"/>
        <w:adjustRightInd w:val="0"/>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Elaphe sauromates</w:t>
      </w:r>
      <w:r w:rsidRPr="00D77A67">
        <w:rPr>
          <w:rFonts w:ascii="Times New Roman" w:eastAsiaTheme="minorHAnsi" w:hAnsi="Times New Roman"/>
          <w:sz w:val="24"/>
          <w:szCs w:val="24"/>
        </w:rPr>
        <w:t xml:space="preserve"> е активeн от април до октомври. Размножаването на вида у нас не е проучено, но в източните части на ареала копулацията е през май, а през юни-юли женската снася 4-16 яйца; малките се излюпват през август или септември. Хранителният спектър на вида включва главно дребни гризачи и птици, както и птичи яйца. Активността е изцяло дневна (Stojanov et al. 2011).</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3. Състояние на биогеографско ниво и разпространение в мрежата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 xml:space="preserve">Elaphe sauromates </w:t>
      </w:r>
      <w:r w:rsidRPr="00D77A67">
        <w:rPr>
          <w:rFonts w:ascii="Times New Roman" w:eastAsiaTheme="minorHAnsi" w:hAnsi="Times New Roman"/>
          <w:sz w:val="24"/>
          <w:szCs w:val="24"/>
        </w:rPr>
        <w:t>фигурира в Червената книга на България, в качеството на застрашен вид, а като отрицателно действащи фактори са посочени създаването на големи монокултурни блокове във втората половина на XX в. (и вследствие на това – премахване на синурите, горичките, храстите във валозите и др.), намаляването на площта на широколистните гори, залесяването с иглолистни, горските пожари, застрояването на черноморското крайбрежие, прегазването по пътищата, бракониерския улов и др. (Beshkov 2015).</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Според националното докладване по Чл. 17 от Директива 92/43 през 2013 г. природозащитното състояние</w:t>
      </w:r>
      <w:r w:rsidR="00DE58DC">
        <w:rPr>
          <w:rFonts w:ascii="Times New Roman" w:eastAsiaTheme="minorHAnsi" w:hAnsi="Times New Roman"/>
          <w:sz w:val="24"/>
          <w:szCs w:val="24"/>
        </w:rPr>
        <w:t xml:space="preserve"> (ПС) на вида и в К</w:t>
      </w:r>
      <w:r w:rsidRPr="00D77A67">
        <w:rPr>
          <w:rFonts w:ascii="Times New Roman" w:eastAsiaTheme="minorHAnsi" w:hAnsi="Times New Roman"/>
          <w:sz w:val="24"/>
          <w:szCs w:val="24"/>
        </w:rPr>
        <w:t>онтиненталния</w:t>
      </w:r>
      <w:r w:rsidR="00DE58DC">
        <w:rPr>
          <w:rFonts w:ascii="Times New Roman" w:eastAsiaTheme="minorHAnsi" w:hAnsi="Times New Roman"/>
          <w:sz w:val="24"/>
          <w:szCs w:val="24"/>
        </w:rPr>
        <w:t>, и в Ч</w:t>
      </w:r>
      <w:r w:rsidRPr="00D77A67">
        <w:rPr>
          <w:rFonts w:ascii="Times New Roman" w:eastAsiaTheme="minorHAnsi" w:hAnsi="Times New Roman"/>
          <w:sz w:val="24"/>
          <w:szCs w:val="24"/>
        </w:rPr>
        <w:t>ерноморския биогеографски регион е неблагоприятно-незадоволително (U1) поради негативната оценка на бъдещите перспективи, а общата тенденция е за влошаване на състоянието. Според докладването от 2019 г. ПС на вида също е неблагоприятно-незадоволително (U1) и в двата биогеографски региона поради негативните оценки по показателите за местообитание и бъдещи перспективи, а общата тенденция е неизвестна.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 xml:space="preserve">Elaphe sauromates </w:t>
      </w:r>
      <w:r w:rsidRPr="00D77A67">
        <w:rPr>
          <w:rFonts w:ascii="Times New Roman" w:eastAsiaTheme="minorHAnsi" w:hAnsi="Times New Roman"/>
          <w:sz w:val="24"/>
          <w:szCs w:val="24"/>
        </w:rPr>
        <w:t>фигурира в стандартните формуляри за данни на 140 защитени зони за местообитанията от мрежата Натура 2000 в България.</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lastRenderedPageBreak/>
        <w:t>4. Състояние на ниво защитена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В Стандартния формуляр на зоната са дадени следните оценки за </w:t>
      </w:r>
      <w:r w:rsidRPr="00D77A67">
        <w:rPr>
          <w:rFonts w:ascii="Times New Roman" w:eastAsiaTheme="minorHAnsi" w:hAnsi="Times New Roman"/>
          <w:i/>
          <w:sz w:val="24"/>
          <w:szCs w:val="24"/>
        </w:rPr>
        <w:t>Elaphe sauromates</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6975" w:type="dxa"/>
        <w:jc w:val="center"/>
        <w:tblLook w:val="04A0" w:firstRow="1" w:lastRow="0" w:firstColumn="1" w:lastColumn="0" w:noHBand="0" w:noVBand="1"/>
      </w:tblPr>
      <w:tblGrid>
        <w:gridCol w:w="617"/>
        <w:gridCol w:w="656"/>
        <w:gridCol w:w="1203"/>
        <w:gridCol w:w="614"/>
        <w:gridCol w:w="923"/>
        <w:gridCol w:w="1083"/>
        <w:gridCol w:w="677"/>
        <w:gridCol w:w="570"/>
        <w:gridCol w:w="636"/>
      </w:tblGrid>
      <w:tr w:rsidR="00D77A67" w:rsidRPr="00A805FE" w:rsidTr="008131C7">
        <w:trPr>
          <w:trHeight w:val="255"/>
          <w:jc w:val="center"/>
        </w:trPr>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Site assessment</w:t>
            </w:r>
          </w:p>
        </w:tc>
      </w:tr>
      <w:tr w:rsidR="00D77A67" w:rsidRPr="00A805FE" w:rsidTr="008131C7">
        <w:trPr>
          <w:trHeight w:val="255"/>
          <w:jc w:val="center"/>
        </w:trPr>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w:t>
            </w:r>
          </w:p>
        </w:tc>
      </w:tr>
      <w:tr w:rsidR="00D77A67" w:rsidRPr="00A805FE" w:rsidTr="008131C7">
        <w:trPr>
          <w:trHeight w:val="255"/>
          <w:jc w:val="center"/>
        </w:trPr>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Glo.</w:t>
            </w:r>
          </w:p>
        </w:tc>
      </w:tr>
      <w:tr w:rsidR="00D77A67" w:rsidRPr="00A805FE" w:rsidTr="008131C7">
        <w:trPr>
          <w:trHeight w:val="255"/>
          <w:jc w:val="center"/>
        </w:trPr>
        <w:tc>
          <w:tcPr>
            <w:tcW w:w="617" w:type="dxa"/>
            <w:noWrap/>
          </w:tcPr>
          <w:p w:rsidR="00D77A67" w:rsidRPr="00A805FE" w:rsidRDefault="00D77A67" w:rsidP="00D77A67">
            <w:pPr>
              <w:rPr>
                <w:rFonts w:ascii="Times New Roman" w:eastAsiaTheme="minorHAnsi" w:hAnsi="Times New Roman"/>
                <w:sz w:val="22"/>
                <w:szCs w:val="22"/>
              </w:rPr>
            </w:pPr>
          </w:p>
        </w:tc>
        <w:tc>
          <w:tcPr>
            <w:tcW w:w="656" w:type="dxa"/>
            <w:noWrap/>
          </w:tcPr>
          <w:p w:rsidR="00D77A67" w:rsidRPr="00A805FE" w:rsidRDefault="00D77A67" w:rsidP="00D77A67">
            <w:pPr>
              <w:rPr>
                <w:rFonts w:ascii="Times New Roman" w:eastAsiaTheme="minorHAnsi" w:hAnsi="Times New Roman"/>
                <w:sz w:val="22"/>
                <w:szCs w:val="22"/>
              </w:rPr>
            </w:pP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DD</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B</w:t>
            </w:r>
          </w:p>
        </w:tc>
      </w:tr>
    </w:tbl>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Предвид характера на националния ареал на вида (най-плътен в югоизточната част на страната и спорадичен в Дунавската равнина) е ясно, че ЗЗ „Сребърна“ не е от първостепенна важност за опазването му, но зоната е от значение за осигуряване </w:t>
      </w:r>
      <w:r w:rsidR="008131C7">
        <w:rPr>
          <w:rFonts w:ascii="Times New Roman" w:eastAsiaTheme="minorHAnsi" w:hAnsi="Times New Roman"/>
          <w:sz w:val="24"/>
          <w:szCs w:val="24"/>
        </w:rPr>
        <w:t>свързаността на мрежата в К</w:t>
      </w:r>
      <w:r w:rsidRPr="00D77A67">
        <w:rPr>
          <w:rFonts w:ascii="Times New Roman" w:eastAsiaTheme="minorHAnsi" w:hAnsi="Times New Roman"/>
          <w:sz w:val="24"/>
          <w:szCs w:val="24"/>
        </w:rPr>
        <w:t>онтиненталния биогеографски регион и конкретно – на защитените зони по протежение на р. Дунав.</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5. Анализ на наличната информация</w:t>
      </w:r>
    </w:p>
    <w:p w:rsidR="00D77A67" w:rsidRPr="00D77A67" w:rsidRDefault="00D77A67" w:rsidP="00D77A67">
      <w:pPr>
        <w:spacing w:after="0" w:line="240" w:lineRule="auto"/>
        <w:ind w:firstLine="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 xml:space="preserve">В работата на </w:t>
      </w:r>
      <w:r w:rsidRPr="00D77A67">
        <w:rPr>
          <w:rFonts w:ascii="Times New Roman" w:eastAsiaTheme="minorHAnsi" w:hAnsi="Times New Roman"/>
          <w:sz w:val="24"/>
          <w:szCs w:val="24"/>
          <w:lang w:val="en-US"/>
        </w:rPr>
        <w:t xml:space="preserve">Beshkov </w:t>
      </w:r>
      <w:r w:rsidRPr="00D77A67">
        <w:rPr>
          <w:rFonts w:ascii="Times New Roman" w:eastAsiaTheme="minorHAnsi" w:hAnsi="Times New Roman"/>
          <w:sz w:val="24"/>
          <w:szCs w:val="24"/>
        </w:rPr>
        <w:t xml:space="preserve">(1998) се споменава за присъствието на </w:t>
      </w:r>
      <w:r w:rsidRPr="00D77A67">
        <w:rPr>
          <w:rFonts w:ascii="Times New Roman" w:eastAsiaTheme="minorHAnsi" w:hAnsi="Times New Roman"/>
          <w:i/>
          <w:sz w:val="24"/>
          <w:szCs w:val="24"/>
        </w:rPr>
        <w:t>Elaphe sauromates</w:t>
      </w:r>
      <w:r w:rsidRPr="00D77A67">
        <w:rPr>
          <w:rFonts w:ascii="Times New Roman" w:eastAsiaTheme="minorHAnsi" w:hAnsi="Times New Roman"/>
          <w:sz w:val="24"/>
          <w:szCs w:val="24"/>
        </w:rPr>
        <w:t xml:space="preserve"> в територията на резерват „Сребърна“ </w:t>
      </w:r>
      <w:r w:rsidRPr="00D77A67">
        <w:rPr>
          <w:rFonts w:ascii="Times New Roman" w:eastAsiaTheme="minorHAnsi" w:hAnsi="Times New Roman"/>
          <w:sz w:val="24"/>
          <w:szCs w:val="24"/>
          <w:lang w:val="en-US"/>
        </w:rPr>
        <w:t>[</w:t>
      </w:r>
      <w:r w:rsidRPr="00D77A67">
        <w:rPr>
          <w:rFonts w:ascii="Times New Roman" w:eastAsiaTheme="minorHAnsi" w:hAnsi="Times New Roman"/>
          <w:sz w:val="24"/>
          <w:szCs w:val="24"/>
        </w:rPr>
        <w:t>същият попада изцяло в границите на ЗЗ „Сребърна“</w:t>
      </w:r>
      <w:r w:rsidRPr="00D77A67">
        <w:rPr>
          <w:rFonts w:ascii="Times New Roman" w:eastAsiaTheme="minorHAnsi" w:hAnsi="Times New Roman"/>
          <w:sz w:val="24"/>
          <w:szCs w:val="24"/>
          <w:lang w:val="en-US"/>
        </w:rPr>
        <w:t>]</w:t>
      </w:r>
      <w:r w:rsidRPr="00D77A67">
        <w:rPr>
          <w:rFonts w:ascii="Times New Roman" w:eastAsiaTheme="minorHAnsi" w:hAnsi="Times New Roman"/>
          <w:sz w:val="24"/>
          <w:szCs w:val="24"/>
        </w:rPr>
        <w:t>, но не е дадена информация за конкретни находища, които биха могли да се картират в грид 1х1</w:t>
      </w:r>
      <w:r w:rsidRPr="00D77A67">
        <w:rPr>
          <w:rFonts w:ascii="Times New Roman" w:eastAsiaTheme="minorHAnsi" w:hAnsi="Times New Roman"/>
          <w:sz w:val="24"/>
          <w:szCs w:val="24"/>
          <w:lang w:val="en-US"/>
        </w:rPr>
        <w:t xml:space="preserve"> km</w:t>
      </w:r>
      <w:r w:rsidRPr="00D77A67">
        <w:rPr>
          <w:rFonts w:ascii="Times New Roman" w:eastAsiaTheme="minorHAnsi" w:hAnsi="Times New Roman"/>
          <w:sz w:val="24"/>
          <w:szCs w:val="24"/>
        </w:rPr>
        <w:t>. В специфичния доклад от 2013 г. по проект „Картиране и определяне на природозащитното състояние на природни местообитания и видове - фаза I“ (виж ИСЗЗЕМ Натура 2000) няма данни за числеността на вида, а дадената обща площ на потенциалните местообитания (изчислена на база индуктивно моделиране) е 840,02 ha, от които 69,14 ha (4,78% от територията на зоната) са категоризирани като слабо пригодни,  337,40 ha (23,31%) – като пригодни и 433,47 ha (29,95%) – като оптимални. В същия доклад природозащитното състояние на вида в защитената зона е оценено като неблагоприятно-незадоволително, поради липса на данни за численост на популацията.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време на теренните изследвания през 2021 г. видът не беше регистриран в защитената зона. По експертна преценка състоянието на потенциалните местообитания е добро, а липсата на данни за намирането на вида в зоната вероятно се дължи на недостатъчна проученост (предвид скрития начин на живот и принципно ниската му численост), а не на реално отсътвие.</w:t>
      </w:r>
    </w:p>
    <w:p w:rsidR="00D77A67" w:rsidRPr="00D77A67" w:rsidRDefault="00D77A67" w:rsidP="00D77A67">
      <w:pPr>
        <w:spacing w:after="0" w:line="240" w:lineRule="auto"/>
        <w:jc w:val="both"/>
        <w:rPr>
          <w:rFonts w:ascii="Times New Roman" w:eastAsiaTheme="minorHAnsi" w:hAnsi="Times New Roman"/>
          <w:sz w:val="24"/>
          <w:szCs w:val="24"/>
          <w:highlight w:val="lightGray"/>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6. Цели за подобряване/поддържане на природозащитното състояние на вида в зоната</w:t>
      </w:r>
    </w:p>
    <w:p w:rsidR="00D77A67" w:rsidRPr="00D77A67" w:rsidRDefault="00D77A67" w:rsidP="00D77A67">
      <w:pPr>
        <w:spacing w:after="0" w:line="240" w:lineRule="auto"/>
        <w:jc w:val="both"/>
        <w:rPr>
          <w:rFonts w:ascii="Times New Roman" w:eastAsiaTheme="minorHAnsi" w:hAnsi="Times New Roman"/>
          <w:sz w:val="24"/>
          <w:szCs w:val="24"/>
          <w:lang w:val="en-US"/>
        </w:rPr>
      </w:pPr>
    </w:p>
    <w:tbl>
      <w:tblPr>
        <w:tblStyle w:val="TableGrid"/>
        <w:tblW w:w="9997" w:type="dxa"/>
        <w:tblLayout w:type="fixed"/>
        <w:tblLook w:val="04A0" w:firstRow="1" w:lastRow="0" w:firstColumn="1" w:lastColumn="0" w:noHBand="0" w:noVBand="1"/>
      </w:tblPr>
      <w:tblGrid>
        <w:gridCol w:w="1813"/>
        <w:gridCol w:w="1697"/>
        <w:gridCol w:w="1560"/>
        <w:gridCol w:w="2938"/>
        <w:gridCol w:w="1989"/>
      </w:tblGrid>
      <w:tr w:rsidR="00D77A67" w:rsidRPr="00A805FE" w:rsidTr="003A4F26">
        <w:trPr>
          <w:tblHeader/>
        </w:trPr>
        <w:tc>
          <w:tcPr>
            <w:tcW w:w="1813" w:type="dxa"/>
            <w:shd w:val="clear" w:color="auto" w:fill="DBE5F1" w:themeFill="accent1" w:themeFillTint="33"/>
          </w:tcPr>
          <w:p w:rsidR="00D77A67" w:rsidRPr="003A4F26" w:rsidRDefault="00D77A67" w:rsidP="00D77A67">
            <w:pPr>
              <w:spacing w:after="160"/>
              <w:jc w:val="both"/>
              <w:rPr>
                <w:rFonts w:ascii="Times New Roman" w:eastAsiaTheme="minorHAnsi" w:hAnsi="Times New Roman"/>
                <w:b/>
              </w:rPr>
            </w:pPr>
            <w:r w:rsidRPr="003A4F26">
              <w:rPr>
                <w:rFonts w:ascii="Times New Roman" w:eastAsiaTheme="minorHAnsi" w:hAnsi="Times New Roman"/>
                <w:b/>
              </w:rPr>
              <w:t>Параметър</w:t>
            </w:r>
          </w:p>
        </w:tc>
        <w:tc>
          <w:tcPr>
            <w:tcW w:w="1697"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Мерна единица</w:t>
            </w:r>
          </w:p>
        </w:tc>
        <w:tc>
          <w:tcPr>
            <w:tcW w:w="1560"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Целева стойност</w:t>
            </w:r>
          </w:p>
        </w:tc>
        <w:tc>
          <w:tcPr>
            <w:tcW w:w="2938"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Допълнителна информация</w:t>
            </w:r>
          </w:p>
        </w:tc>
        <w:tc>
          <w:tcPr>
            <w:tcW w:w="1989"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Специфична цел</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пространствен обхват</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Брой квадрати 1х1 km с доказано присъствие на вида</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Неизвестна</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Няма налични данни за присъствието и разпространението на вида в зоната, поради което е определена междинна цел.</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Междинна цел: да се определи пространственият обхват на популацията чрез провеждане на целенасочени теренни изследвания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 xml:space="preserve">Популация: </w:t>
            </w:r>
            <w:r w:rsidRPr="003A4F26">
              <w:rPr>
                <w:rFonts w:ascii="Times New Roman" w:eastAsiaTheme="minorHAnsi" w:hAnsi="Times New Roman"/>
                <w:b/>
              </w:rPr>
              <w:lastRenderedPageBreak/>
              <w:t>относителна численост</w:t>
            </w:r>
          </w:p>
        </w:tc>
        <w:tc>
          <w:tcPr>
            <w:tcW w:w="1697" w:type="dxa"/>
          </w:tcPr>
          <w:p w:rsidR="00D77A67" w:rsidRDefault="00D77A67" w:rsidP="00D77A67">
            <w:pPr>
              <w:spacing w:after="160"/>
              <w:rPr>
                <w:rFonts w:ascii="Times New Roman" w:eastAsiaTheme="minorHAnsi" w:hAnsi="Times New Roman"/>
                <w:lang w:val="bg-BG"/>
              </w:rPr>
            </w:pPr>
            <w:r w:rsidRPr="00A805FE">
              <w:rPr>
                <w:rFonts w:ascii="Times New Roman" w:eastAsiaTheme="minorHAnsi" w:hAnsi="Times New Roman"/>
              </w:rPr>
              <w:lastRenderedPageBreak/>
              <w:t xml:space="preserve">Брой индивиди </w:t>
            </w:r>
            <w:r w:rsidRPr="00A805FE">
              <w:rPr>
                <w:rFonts w:ascii="Times New Roman" w:eastAsiaTheme="minorHAnsi" w:hAnsi="Times New Roman"/>
              </w:rPr>
              <w:lastRenderedPageBreak/>
              <w:t>на 1000 метра (Ab), изчислен по формулата: Ab = (N/L)*1000, където N е броят на наблюдаваните индивиди, а L е дължината на трансекта в метри</w:t>
            </w:r>
          </w:p>
          <w:p w:rsidR="00881B9B" w:rsidRPr="00881B9B" w:rsidRDefault="00881B9B" w:rsidP="00D77A67">
            <w:pPr>
              <w:spacing w:after="160"/>
              <w:rPr>
                <w:rFonts w:ascii="Times New Roman" w:eastAsiaTheme="minorHAnsi" w:hAnsi="Times New Roman"/>
                <w:lang w:val="bg-BG"/>
              </w:rPr>
            </w:pPr>
            <w:r>
              <w:rPr>
                <w:rFonts w:ascii="Times New Roman" w:eastAsiaTheme="minorHAnsi" w:hAnsi="Times New Roman"/>
                <w:lang w:val="bg-BG"/>
              </w:rPr>
              <w:t>(</w:t>
            </w:r>
            <w:r w:rsidRPr="00F045E1">
              <w:rPr>
                <w:rFonts w:ascii="Times New Roman" w:eastAsiaTheme="minorHAnsi" w:hAnsi="Times New Roman"/>
                <w:lang w:val="bg-BG"/>
              </w:rPr>
              <w:t>виж методиката за мониторинг към НСМСБР</w:t>
            </w:r>
            <w:r>
              <w:rPr>
                <w:rFonts w:ascii="Times New Roman" w:eastAsiaTheme="minorHAnsi" w:hAnsi="Times New Roman"/>
                <w:lang w:val="bg-BG"/>
              </w:rPr>
              <w:t>)</w:t>
            </w:r>
          </w:p>
        </w:tc>
        <w:tc>
          <w:tcPr>
            <w:tcW w:w="1560" w:type="dxa"/>
          </w:tcPr>
          <w:p w:rsidR="00D77A67" w:rsidRPr="00A805FE" w:rsidRDefault="00D77A67" w:rsidP="00D77A67">
            <w:pPr>
              <w:spacing w:after="160"/>
              <w:rPr>
                <w:rFonts w:ascii="Times New Roman" w:eastAsiaTheme="minorHAnsi" w:hAnsi="Times New Roman" w:cstheme="minorBidi"/>
              </w:rPr>
            </w:pPr>
            <w:r w:rsidRPr="00A805FE">
              <w:rPr>
                <w:rFonts w:ascii="Times New Roman" w:eastAsiaTheme="minorHAnsi" w:hAnsi="Times New Roman"/>
              </w:rPr>
              <w:lastRenderedPageBreak/>
              <w:t>Неизвестна</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 xml:space="preserve">Няма налични данни за </w:t>
            </w:r>
            <w:r w:rsidRPr="00A805FE">
              <w:rPr>
                <w:rFonts w:ascii="Times New Roman" w:eastAsiaTheme="minorHAnsi" w:hAnsi="Times New Roman"/>
              </w:rPr>
              <w:lastRenderedPageBreak/>
              <w:t>относителната численост на популацията, поради което е определена междинна цел.</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 xml:space="preserve">Междинна цел: да </w:t>
            </w:r>
            <w:r w:rsidRPr="00A805FE">
              <w:rPr>
                <w:rFonts w:ascii="Times New Roman" w:eastAsiaTheme="minorHAnsi" w:hAnsi="Times New Roman"/>
              </w:rPr>
              <w:lastRenderedPageBreak/>
              <w:t>се определи относителната численост на популацията чрез провеждане на целенасочени теренни изследвания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lastRenderedPageBreak/>
              <w:t>Местообитание (площ): обща площ на потенциалните местообитания</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60" w:type="dxa"/>
          </w:tcPr>
          <w:p w:rsidR="00D77A67" w:rsidRPr="00A805FE" w:rsidRDefault="00D77A67" w:rsidP="00D77A67">
            <w:pPr>
              <w:spacing w:after="160"/>
              <w:rPr>
                <w:rFonts w:ascii="Times New Roman" w:eastAsiaTheme="minorHAnsi" w:hAnsi="Times New Roman" w:cstheme="minorBidi"/>
              </w:rPr>
            </w:pPr>
            <w:r w:rsidRPr="00A805FE">
              <w:rPr>
                <w:rFonts w:ascii="Times New Roman" w:eastAsiaTheme="minorHAnsi" w:hAnsi="Times New Roman"/>
              </w:rPr>
              <w:t>Най-малко 840 ha</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данни за площта на потенциалните местообитания на вида в зоната са дадени в специфичния доклад от 2013 г. (виж ИСЗЗЕМ Натура 2000). Площта е изведена чрез индуктивен модел (на база комплекс от фактори, вкл. климатични) с висока статистическа достоверност, поради което дадената стойност (840 ha) може да се приеме като минимална референтна стойност за благоприятно състояние на вида по този параметър.</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площта на потенциалните местообитания</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(площ): площ на разредени гори и храсталаци, пасища, ливади и запустели земеделски земи с дървета и храсти</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Неизвестна</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данни за площта на този тип местообитание на вида са дадени в специфичния доклад от 2013 г. (виж ИСЗЗЕМ Натура 2000), като посочената площ представлява 37,06% от площта на потенциалните местообитания в зоната, т.е. 311 ha (37,06% от 840,02). В същия доклад състоянието на вида по този показател е оценено, като благоприятно.</w:t>
            </w:r>
          </w:p>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 xml:space="preserve">Площта на този тип местообитание на вида към </w:t>
            </w:r>
            <w:r w:rsidRPr="00A805FE">
              <w:rPr>
                <w:rFonts w:ascii="Times New Roman" w:eastAsiaTheme="minorHAnsi" w:hAnsi="Times New Roman"/>
              </w:rPr>
              <w:lastRenderedPageBreak/>
              <w:t>2021 г. е неизвестна, поради което е определена междинна цел.</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Междинна цел: да се определи площта на разредените гори и храсталаци, пасища, ливади и запустели земеделски земи с дървета и храсти, чрез диснационни методи и верификация на терен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lastRenderedPageBreak/>
              <w:t>Местообитание (структура и функции): свързаност на потенциалните местообитания</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Обща дължина (в метри) на участъците от линейната транспортна инфраструктура (магистрали и пътища първи и/или втори клас), които пресичат потенциални местообитания на вида и представляват непреодолима или труднопреодолима преграда за същия</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0 m</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Към 2021 г. през зоната не преминават магистрали и пътища първи и втори клас, т.е. състояние на вида по този параметър е благоприятно.</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свързаността на потенциалните местообитания</w:t>
            </w:r>
          </w:p>
        </w:tc>
      </w:tr>
    </w:tbl>
    <w:p w:rsidR="00D77A67" w:rsidRPr="00D77A67" w:rsidRDefault="00D77A67" w:rsidP="00D77A67">
      <w:pPr>
        <w:spacing w:after="0" w:line="240" w:lineRule="auto"/>
        <w:jc w:val="both"/>
        <w:rPr>
          <w:rFonts w:ascii="Times New Roman" w:eastAsiaTheme="minorHAnsi" w:hAnsi="Times New Roman"/>
          <w:sz w:val="24"/>
          <w:szCs w:val="24"/>
          <w:highlight w:val="lightGray"/>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7. Необходимост от актуализация на СФ на защитената зона</w:t>
      </w:r>
    </w:p>
    <w:p w:rsidR="00D77A67" w:rsidRPr="00D77A67" w:rsidRDefault="00D77A67" w:rsidP="00D77A67">
      <w:pPr>
        <w:spacing w:after="0" w:line="240" w:lineRule="auto"/>
        <w:ind w:firstLine="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 xml:space="preserve">Повечето европейски видове земноводни и влечуги не са пряко свързани с конкретни топографски обекти, поради което измерването на популациите им чрез брой находища изглежда неподходящо, още повече че много често всяка локация (GPS точка) на индивид бива интерпретирана като отделно находище, дори да се намира само на няколко метра от локацията на друг индивид. По този начин броят на т.нар. находища се доближава до броя на регистрациите на индивиди. Това води до некоректна оценка, т.е. такава която не отразява размера на популацията нито пространствено, нито като брой индивиди. Поради тази причина би трябвало или ясно да се дефинира понятието „находище“, или да се използва друга мерна единица. За </w:t>
      </w:r>
      <w:r w:rsidRPr="00D77A67">
        <w:rPr>
          <w:rFonts w:ascii="Times New Roman" w:eastAsiaTheme="minorHAnsi" w:hAnsi="Times New Roman"/>
          <w:i/>
          <w:sz w:val="24"/>
          <w:szCs w:val="24"/>
          <w:lang w:val="en-US"/>
        </w:rPr>
        <w:t xml:space="preserve">Elaphe sauromates </w:t>
      </w:r>
      <w:r w:rsidRPr="00D77A67">
        <w:rPr>
          <w:rFonts w:ascii="Times New Roman" w:eastAsiaTheme="minorHAnsi" w:hAnsi="Times New Roman"/>
          <w:sz w:val="24"/>
          <w:szCs w:val="24"/>
        </w:rPr>
        <w:t xml:space="preserve"> дефиницията за находище би могла да бъде само условна и да се изразява в следното: „локация на индивид, отдалечена поне на [примерно] 500 м от друга такава локация“. Такова определение за находище обаче е само пространствено (т.е. дефинира се единствено чрез ХY координати), следователно е почти същото, като квадрат от метрична координатна система. От друга страна именно използването на квадрати от метрична географска мрежа, като мерна единица за популация в </w:t>
      </w:r>
      <w:r w:rsidR="005A0A3C">
        <w:rPr>
          <w:rFonts w:ascii="Times New Roman" w:eastAsiaTheme="minorHAnsi" w:hAnsi="Times New Roman"/>
          <w:sz w:val="24"/>
          <w:szCs w:val="24"/>
        </w:rPr>
        <w:t>СФ</w:t>
      </w:r>
      <w:r w:rsidRPr="00D77A67">
        <w:rPr>
          <w:rFonts w:ascii="Times New Roman" w:eastAsiaTheme="minorHAnsi" w:hAnsi="Times New Roman"/>
          <w:sz w:val="24"/>
          <w:szCs w:val="24"/>
        </w:rPr>
        <w:t>, изглежда много по-подходящо (поне за сравнително големи по площ зони, каквато е тук разглежданата), тъй като допустимите резолюции на мрежата са посочени в Справочния портал за Натура 2000, т.е. те не се нуждаят от субективни дефиниции. С оглед на изложеното дотук, мерните единици за популация на вида в зоната следва да се променят от брой находища (localities), на брой клетки с резолюция 1х1 км (grids1x1), което е максималната допустима резолюция.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Предложените актуализации на СФ са както следва:</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9609" w:type="dxa"/>
        <w:tblLook w:val="04A0" w:firstRow="1" w:lastRow="0" w:firstColumn="1" w:lastColumn="0" w:noHBand="0" w:noVBand="1"/>
      </w:tblPr>
      <w:tblGrid>
        <w:gridCol w:w="2630"/>
        <w:gridCol w:w="617"/>
        <w:gridCol w:w="656"/>
        <w:gridCol w:w="1203"/>
        <w:gridCol w:w="614"/>
        <w:gridCol w:w="923"/>
        <w:gridCol w:w="1083"/>
        <w:gridCol w:w="677"/>
        <w:gridCol w:w="570"/>
        <w:gridCol w:w="636"/>
      </w:tblGrid>
      <w:tr w:rsidR="00D77A67" w:rsidRPr="00A805FE" w:rsidTr="008131C7">
        <w:trPr>
          <w:trHeight w:val="255"/>
          <w:tblHeader/>
        </w:trPr>
        <w:tc>
          <w:tcPr>
            <w:tcW w:w="2634" w:type="dxa"/>
          </w:tcPr>
          <w:p w:rsidR="00D77A67" w:rsidRPr="00A805FE" w:rsidRDefault="00D77A67" w:rsidP="00D77A67">
            <w:pPr>
              <w:jc w:val="both"/>
              <w:rPr>
                <w:rFonts w:ascii="Times New Roman" w:eastAsiaTheme="minorHAnsi" w:hAnsi="Times New Roman"/>
                <w:sz w:val="22"/>
                <w:szCs w:val="22"/>
              </w:rPr>
            </w:pPr>
          </w:p>
        </w:tc>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Site assessment</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sz w:val="22"/>
                <w:szCs w:val="22"/>
              </w:rPr>
            </w:pPr>
          </w:p>
        </w:tc>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sz w:val="22"/>
                <w:szCs w:val="22"/>
              </w:rPr>
            </w:pPr>
          </w:p>
        </w:tc>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Glo.</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Съществуваща оценка</w:t>
            </w:r>
          </w:p>
        </w:tc>
        <w:tc>
          <w:tcPr>
            <w:tcW w:w="617" w:type="dxa"/>
            <w:noWrap/>
          </w:tcPr>
          <w:p w:rsidR="00D77A67" w:rsidRPr="00A805FE" w:rsidRDefault="00D77A67" w:rsidP="00D77A67">
            <w:pPr>
              <w:rPr>
                <w:rFonts w:ascii="Times New Roman" w:eastAsiaTheme="minorHAnsi" w:hAnsi="Times New Roman"/>
                <w:sz w:val="22"/>
                <w:szCs w:val="22"/>
              </w:rPr>
            </w:pPr>
          </w:p>
        </w:tc>
        <w:tc>
          <w:tcPr>
            <w:tcW w:w="656" w:type="dxa"/>
            <w:noWrap/>
          </w:tcPr>
          <w:p w:rsidR="00D77A67" w:rsidRPr="00A805FE" w:rsidRDefault="00D77A67" w:rsidP="00D77A67">
            <w:pPr>
              <w:rPr>
                <w:rFonts w:ascii="Times New Roman" w:eastAsiaTheme="minorHAnsi" w:hAnsi="Times New Roman"/>
                <w:sz w:val="22"/>
                <w:szCs w:val="22"/>
              </w:rPr>
            </w:pP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DD</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B</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Актуализация</w:t>
            </w:r>
          </w:p>
        </w:tc>
        <w:tc>
          <w:tcPr>
            <w:tcW w:w="617" w:type="dxa"/>
            <w:noWrap/>
          </w:tcPr>
          <w:p w:rsidR="00D77A67" w:rsidRPr="00A805FE" w:rsidRDefault="00D77A67" w:rsidP="00D77A67">
            <w:pPr>
              <w:rPr>
                <w:rFonts w:ascii="Times New Roman" w:eastAsiaTheme="minorHAnsi" w:hAnsi="Times New Roman"/>
                <w:sz w:val="22"/>
                <w:szCs w:val="22"/>
                <w:highlight w:val="yellow"/>
                <w:lang w:val="bg-BG"/>
              </w:rPr>
            </w:pPr>
          </w:p>
        </w:tc>
        <w:tc>
          <w:tcPr>
            <w:tcW w:w="656" w:type="dxa"/>
            <w:noWrap/>
          </w:tcPr>
          <w:p w:rsidR="00D77A67" w:rsidRPr="00A805FE" w:rsidRDefault="00D77A67" w:rsidP="00D77A67">
            <w:pPr>
              <w:rPr>
                <w:rFonts w:ascii="Times New Roman" w:eastAsiaTheme="minorHAnsi" w:hAnsi="Times New Roman"/>
                <w:sz w:val="22"/>
                <w:szCs w:val="22"/>
                <w:highlight w:val="yellow"/>
                <w:lang w:val="bg-BG"/>
              </w:rPr>
            </w:pPr>
          </w:p>
        </w:tc>
        <w:tc>
          <w:tcPr>
            <w:tcW w:w="1203" w:type="dxa"/>
            <w:noWrap/>
          </w:tcPr>
          <w:p w:rsidR="00D77A67" w:rsidRPr="00A805FE" w:rsidRDefault="00D77A67" w:rsidP="00D77A67">
            <w:pPr>
              <w:rPr>
                <w:rFonts w:ascii="Times New Roman" w:eastAsiaTheme="minorHAnsi" w:hAnsi="Times New Roman"/>
                <w:sz w:val="22"/>
                <w:szCs w:val="22"/>
                <w:highlight w:val="yellow"/>
              </w:rPr>
            </w:pPr>
            <w:r w:rsidRPr="00A805FE">
              <w:rPr>
                <w:rFonts w:ascii="Times New Roman" w:eastAsiaTheme="minorHAnsi" w:hAnsi="Times New Roman"/>
                <w:sz w:val="22"/>
                <w:szCs w:val="22"/>
              </w:rPr>
              <w:t>grids1x1</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DD</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B</w:t>
            </w:r>
          </w:p>
        </w:tc>
      </w:tr>
    </w:tbl>
    <w:p w:rsidR="00D77A67" w:rsidRPr="00D77A67" w:rsidRDefault="00D77A67" w:rsidP="00D77A67">
      <w:pPr>
        <w:spacing w:after="0" w:line="240" w:lineRule="auto"/>
        <w:jc w:val="both"/>
        <w:rPr>
          <w:rFonts w:ascii="Times New Roman" w:eastAsiaTheme="minorHAnsi" w:hAnsi="Times New Roman"/>
          <w:sz w:val="24"/>
          <w:szCs w:val="24"/>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8. Цитирана литература</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Бешков, В., К. Нанев. 2002. Земноводни и влечуги в България. Pensoft, София-Москва, 120 с.</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Beshkov, V. 1998. Classes Amphibia and Reptilia (Amphibians and Reptiles). – In: Michev et al. (eds.). Biodiversity of the Srebarna Biosphere Reserve. Checklist and bibliography. Sofia: Co-published by Context &amp; Pensoft: 85-86.</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Beshkov, V. 2015. Blotched Snake Elaphe sauromates (Pallas, 1814). – In: Golemanski, V. et al. (Eds.): Red Data Book of the Republic of Bulgaria. Volume 2. Animals. BAS &amp; MoEW, Sofia, p. 206.</w:t>
      </w:r>
    </w:p>
    <w:p w:rsidR="00D77A67" w:rsidRPr="00D77A67" w:rsidRDefault="00D77A67" w:rsidP="00D77A67">
      <w:pPr>
        <w:spacing w:after="0" w:line="240" w:lineRule="auto"/>
        <w:ind w:left="567" w:hanging="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Naumov, B., G. Popgerogiev, A. Dyugmedzhiev, V. Beshkov. 2020. On the Maximum Sizes in Snake Species (Reptilia: Serpentes) from Bulgaria. – Ecologia Balkanica, 12(2): 13-20.</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Stojanov, A., N. Tzankov, B. Naumov. 2011. Die Amphibien und Reptilien Bulgariens. Frankfurt am Main, Chimaira, 588 pp.</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sz w:val="24"/>
          <w:szCs w:val="24"/>
          <w:lang w:eastAsia="bg-BG"/>
        </w:rPr>
      </w:pPr>
      <w:r w:rsidRPr="00D77A67">
        <w:rPr>
          <w:rFonts w:ascii="Times New Roman" w:eastAsiaTheme="minorHAnsi" w:hAnsi="Times New Roman"/>
          <w:i/>
          <w:sz w:val="24"/>
          <w:szCs w:val="24"/>
          <w:lang w:eastAsia="bg-BG"/>
        </w:rPr>
        <w:t>Автори</w:t>
      </w:r>
      <w:r w:rsidRPr="00D77A67">
        <w:rPr>
          <w:rFonts w:ascii="Times New Roman" w:eastAsiaTheme="minorHAnsi" w:hAnsi="Times New Roman"/>
          <w:sz w:val="24"/>
          <w:szCs w:val="24"/>
          <w:lang w:eastAsia="bg-BG"/>
        </w:rPr>
        <w:t>: Борислав Наумов, Георги Георгиев, Георги Попгеоргиев, Димитър Плачийски</w:t>
      </w:r>
    </w:p>
    <w:p w:rsidR="00D77A67" w:rsidRPr="00D77A67" w:rsidRDefault="00D77A67" w:rsidP="00D77A67">
      <w:pPr>
        <w:spacing w:after="0" w:line="240" w:lineRule="auto"/>
        <w:jc w:val="both"/>
        <w:rPr>
          <w:rFonts w:ascii="Times New Roman" w:eastAsiaTheme="minorHAnsi" w:hAnsi="Times New Roman"/>
          <w:sz w:val="24"/>
          <w:szCs w:val="24"/>
        </w:rPr>
      </w:pPr>
    </w:p>
    <w:p w:rsidR="00107719" w:rsidRDefault="00107719" w:rsidP="001033EC">
      <w:pPr>
        <w:rPr>
          <w:rFonts w:ascii="Times New Roman" w:hAnsi="Times New Roman"/>
          <w:color w:val="1F497D" w:themeColor="text2"/>
          <w:sz w:val="28"/>
          <w:szCs w:val="28"/>
        </w:rPr>
      </w:pPr>
    </w:p>
    <w:p w:rsidR="001033EC" w:rsidRDefault="00107719" w:rsidP="003A4F26">
      <w:pPr>
        <w:outlineLvl w:val="1"/>
        <w:rPr>
          <w:rFonts w:ascii="Times New Roman" w:hAnsi="Times New Roman"/>
          <w:color w:val="1F497D" w:themeColor="text2"/>
          <w:sz w:val="28"/>
          <w:szCs w:val="28"/>
        </w:rPr>
      </w:pPr>
      <w:bookmarkStart w:id="81" w:name="_Toc98838559"/>
      <w:r>
        <w:rPr>
          <w:rFonts w:ascii="Times New Roman" w:hAnsi="Times New Roman"/>
          <w:color w:val="1F497D" w:themeColor="text2"/>
          <w:sz w:val="28"/>
          <w:szCs w:val="28"/>
        </w:rPr>
        <w:t xml:space="preserve">Природозащитни цели за </w:t>
      </w:r>
      <w:r w:rsidR="001033EC">
        <w:rPr>
          <w:rFonts w:ascii="Times New Roman" w:hAnsi="Times New Roman"/>
          <w:color w:val="1F497D" w:themeColor="text2"/>
          <w:sz w:val="28"/>
          <w:szCs w:val="28"/>
        </w:rPr>
        <w:t xml:space="preserve">1220 </w:t>
      </w:r>
      <w:r w:rsidR="001033EC" w:rsidRPr="00107719">
        <w:rPr>
          <w:rFonts w:ascii="Times New Roman" w:hAnsi="Times New Roman"/>
          <w:i/>
          <w:color w:val="1F497D" w:themeColor="text2"/>
          <w:sz w:val="28"/>
          <w:szCs w:val="28"/>
        </w:rPr>
        <w:t>Emys orbicularis</w:t>
      </w:r>
      <w:bookmarkEnd w:id="81"/>
    </w:p>
    <w:p w:rsidR="00D77A67" w:rsidRPr="00D77A67" w:rsidRDefault="00D77A67" w:rsidP="00D77A67">
      <w:pPr>
        <w:spacing w:after="0" w:line="240" w:lineRule="auto"/>
        <w:jc w:val="both"/>
        <w:rPr>
          <w:rFonts w:ascii="Times New Roman" w:eastAsiaTheme="minorHAnsi" w:hAnsi="Times New Roman"/>
          <w:sz w:val="24"/>
          <w:szCs w:val="24"/>
        </w:rPr>
      </w:pPr>
      <w:r w:rsidRPr="00D77A67">
        <w:rPr>
          <w:rFonts w:ascii="Times New Roman" w:eastAsiaTheme="minorHAnsi" w:hAnsi="Times New Roman"/>
          <w:b/>
          <w:sz w:val="24"/>
          <w:szCs w:val="24"/>
        </w:rPr>
        <w:t xml:space="preserve">1. Код и наименование на вида: </w:t>
      </w:r>
      <w:r w:rsidRPr="00D77A67">
        <w:rPr>
          <w:rFonts w:ascii="Times New Roman" w:eastAsiaTheme="minorHAnsi" w:hAnsi="Times New Roman"/>
          <w:sz w:val="24"/>
          <w:szCs w:val="24"/>
        </w:rPr>
        <w:t xml:space="preserve">1220 </w:t>
      </w:r>
      <w:r w:rsidRPr="00D77A67">
        <w:rPr>
          <w:rFonts w:ascii="Times New Roman" w:eastAsiaTheme="minorHAnsi" w:hAnsi="Times New Roman"/>
          <w:i/>
          <w:sz w:val="24"/>
          <w:szCs w:val="24"/>
        </w:rPr>
        <w:t>Emys orbicularis</w:t>
      </w:r>
      <w:r w:rsidRPr="00D77A67">
        <w:rPr>
          <w:rFonts w:ascii="Times New Roman" w:eastAsiaTheme="minorHAnsi" w:hAnsi="Times New Roman"/>
          <w:sz w:val="24"/>
          <w:szCs w:val="24"/>
        </w:rPr>
        <w:t xml:space="preserve"> – обикновена блатна костенурка</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2. Кратка характеристика на целевия обект</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Дължината на корубата обикновено не надвишава 20 cm, а формата ѝ при възрастните е издължено-овална, докато при съвсем младите е почти кръгла. Оцветяването и шарката на карапакса варират, като основният тон може да премине от маслиненозелен до почти черен; шарката се състои от жълтеникави точки и чертички, които обикновено излизат лъчеобразно от центровете на щитчетата към периферията; срещат се и почти черни индивиди без каквито и да било шарки. Пластронът е с охрено-жълт основен фон и различни по форма и големина тъмни петна, като може да стане почти черен (Stojanov et al. 2011; Цанков и др. 2014).</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Видът е повсеместно разпространен в България с изключение на средните и високите части на планините; вертикалният диапазон на разпространението достига до 1221 m н.в., но повечето от известните находища се намират под 500 m н.в. (Stojanov et al., 2011; Kornilev et al., 2017). По отношение на местообитанията видът е изключително пластичен и може да бъде наблюдаван във всевъзможни типове водоеми: реки, потоци, канали, блата, езера, язовири и микроязовири, рибарници, разливни зони, наводнени кариери, бракични води и лимани по морския бряг и др.; проявява много висока толерантност към замърсяване на обитаваните водоеми. Най-предпочитани са бавно</w:t>
      </w:r>
      <w:r w:rsidR="00A805FE">
        <w:rPr>
          <w:rFonts w:ascii="Times New Roman" w:eastAsiaTheme="minorHAnsi" w:hAnsi="Times New Roman"/>
          <w:sz w:val="24"/>
          <w:szCs w:val="24"/>
        </w:rPr>
        <w:t xml:space="preserve"> </w:t>
      </w:r>
      <w:r w:rsidRPr="00D77A67">
        <w:rPr>
          <w:rFonts w:ascii="Times New Roman" w:eastAsiaTheme="minorHAnsi" w:hAnsi="Times New Roman"/>
          <w:sz w:val="24"/>
          <w:szCs w:val="24"/>
        </w:rPr>
        <w:t xml:space="preserve">течащите реки с тинесто дъно, отводнителните канали и стоящите водоеми с обилна растителност, като в такива местообитания често се наблюдават големи струпвания на индивиди, припичащи се на слънце върху дънери, корени, камъни и др. (Stojanov et al., 2011; Цанков и др., 2014). Местата за яйцеснасяне представляват </w:t>
      </w:r>
      <w:r w:rsidRPr="00D77A67">
        <w:rPr>
          <w:rFonts w:ascii="Times New Roman" w:eastAsiaTheme="minorHAnsi" w:hAnsi="Times New Roman"/>
          <w:sz w:val="24"/>
          <w:szCs w:val="24"/>
        </w:rPr>
        <w:lastRenderedPageBreak/>
        <w:t>специфична част от местообитанията на вида. Те могат да се намират както в непосредствена близост до обитавания водоем, така и далеч от него, като понякога в търсене на подходящо място за снасяне женските се отдалечават на стотици метра, а като изключение и до 4 km, от обитавания водем (Бешков и Нанев 2002; Jablonski &amp; Jablonska 1998).</w:t>
      </w:r>
    </w:p>
    <w:p w:rsidR="00D77A67" w:rsidRPr="00D77A67" w:rsidRDefault="00D77A67" w:rsidP="00D77A67">
      <w:pPr>
        <w:spacing w:after="0" w:line="240" w:lineRule="auto"/>
        <w:ind w:firstLine="567"/>
        <w:jc w:val="both"/>
        <w:rPr>
          <w:rFonts w:ascii="Times New Roman" w:eastAsiaTheme="minorHAnsi" w:hAnsi="Times New Roman"/>
          <w:sz w:val="24"/>
          <w:szCs w:val="24"/>
          <w:highlight w:val="yellow"/>
        </w:rPr>
      </w:pPr>
      <w:r w:rsidRPr="00D77A67">
        <w:rPr>
          <w:rFonts w:ascii="Times New Roman" w:eastAsiaTheme="minorHAnsi" w:hAnsi="Times New Roman"/>
          <w:i/>
          <w:sz w:val="24"/>
          <w:szCs w:val="24"/>
        </w:rPr>
        <w:t>Emys orbicularis</w:t>
      </w:r>
      <w:r w:rsidRPr="00D77A67">
        <w:rPr>
          <w:rFonts w:ascii="Times New Roman" w:eastAsiaTheme="minorHAnsi" w:hAnsi="Times New Roman"/>
          <w:sz w:val="24"/>
          <w:szCs w:val="24"/>
        </w:rPr>
        <w:t xml:space="preserve"> е активна от март-април до октомври-ноември. Брачният период протича през април и май, а яйцеснасянето – от средата на май до началото на юли; броят на яйцата е между 4 и 10, но най-често 7-8 (Stojanov et al., 2011). Малките се излюпват след 65-100 дни, като нерядко остават да зимуват в гнездото и се появяват на повърхността през следващата пролет (Бешков и Нанев, 2002). Хранителният спектър на вида се състои главно от безгръбначни животни (насекоми, ракообразни, охлюви и др.), но включва също различни видове земноводни и риби, както и мърша; храненето става предимно във водата, въпреки че видът е способен да ловува и поглъща плячка и на сушата. Активността е предимно дневна, но са регистрирани и прояви на нощна активност; хибернацията се осъществява на дъното на водоемите, по-рядко на сушата (Stojanov et al., 2011).</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3. Състояние на биогеографско ниво и разпространение в мрежата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Според националното докладване по Чл. 17 от Директива 92/43 през 2013 г. природозащитното състояние (ПС) на вида е неблагоприятно-незадоволително (U1) във всеки от трите биогеографски региона, в които попада територията на страната, поради негативните оценки на бъдещите перспективи. Според докладването през 2019 г. ПС на вида е благоприятно (FV) и в трите биогеографски региона.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 xml:space="preserve">Emys orbicularis </w:t>
      </w:r>
      <w:r w:rsidRPr="00D77A67">
        <w:rPr>
          <w:rFonts w:ascii="Times New Roman" w:eastAsiaTheme="minorHAnsi" w:hAnsi="Times New Roman"/>
          <w:sz w:val="24"/>
          <w:szCs w:val="24"/>
        </w:rPr>
        <w:t>фигурира в стандартните формуляри за данни на 194 защитени зони за местообитанията от мрежата Натура 2000 в България.</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4. Състояние на ниво защитена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В Стандартния формуляр на зоната са дадени следните оценки за </w:t>
      </w:r>
      <w:r w:rsidRPr="00D77A67">
        <w:rPr>
          <w:rFonts w:ascii="Times New Roman" w:eastAsiaTheme="minorHAnsi" w:hAnsi="Times New Roman"/>
          <w:i/>
          <w:sz w:val="24"/>
          <w:szCs w:val="24"/>
        </w:rPr>
        <w:t>Emys orbicularis</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6975" w:type="dxa"/>
        <w:jc w:val="center"/>
        <w:tblLook w:val="04A0" w:firstRow="1" w:lastRow="0" w:firstColumn="1" w:lastColumn="0" w:noHBand="0" w:noVBand="1"/>
      </w:tblPr>
      <w:tblGrid>
        <w:gridCol w:w="617"/>
        <w:gridCol w:w="656"/>
        <w:gridCol w:w="1203"/>
        <w:gridCol w:w="614"/>
        <w:gridCol w:w="923"/>
        <w:gridCol w:w="1083"/>
        <w:gridCol w:w="677"/>
        <w:gridCol w:w="570"/>
        <w:gridCol w:w="636"/>
      </w:tblGrid>
      <w:tr w:rsidR="00D77A67" w:rsidRPr="00A805FE" w:rsidTr="008131C7">
        <w:trPr>
          <w:trHeight w:val="255"/>
          <w:jc w:val="center"/>
        </w:trPr>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Site assessment</w:t>
            </w:r>
          </w:p>
        </w:tc>
      </w:tr>
      <w:tr w:rsidR="00D77A67" w:rsidRPr="00A805FE" w:rsidTr="008131C7">
        <w:trPr>
          <w:trHeight w:val="255"/>
          <w:jc w:val="center"/>
        </w:trPr>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w:t>
            </w:r>
          </w:p>
        </w:tc>
      </w:tr>
      <w:tr w:rsidR="00D77A67" w:rsidRPr="00A805FE" w:rsidTr="008131C7">
        <w:trPr>
          <w:trHeight w:val="255"/>
          <w:jc w:val="center"/>
        </w:trPr>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Glo.</w:t>
            </w:r>
          </w:p>
        </w:tc>
      </w:tr>
      <w:tr w:rsidR="00D77A67" w:rsidRPr="00A805FE" w:rsidTr="008131C7">
        <w:trPr>
          <w:trHeight w:val="255"/>
          <w:jc w:val="center"/>
        </w:trPr>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7</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7</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R</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M</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Предвид характера на националния ареал на вида (широко разпространен в страната) е ясно, че ЗЗ „Сребърна“ не е от първостепенна важност за опазването му, но зоната е от значение за осигуря</w:t>
      </w:r>
      <w:r w:rsidR="008131C7">
        <w:rPr>
          <w:rFonts w:ascii="Times New Roman" w:eastAsiaTheme="minorHAnsi" w:hAnsi="Times New Roman"/>
          <w:sz w:val="24"/>
          <w:szCs w:val="24"/>
        </w:rPr>
        <w:t>ване свързаността на мрежата в К</w:t>
      </w:r>
      <w:r w:rsidRPr="00D77A67">
        <w:rPr>
          <w:rFonts w:ascii="Times New Roman" w:eastAsiaTheme="minorHAnsi" w:hAnsi="Times New Roman"/>
          <w:sz w:val="24"/>
          <w:szCs w:val="24"/>
        </w:rPr>
        <w:t>онтиненталния биогеографски регион и конкретно – на защитените зони по протежение на р. Дунав.</w:t>
      </w:r>
    </w:p>
    <w:p w:rsidR="00D77A67" w:rsidRPr="00D77A67" w:rsidRDefault="00D77A67" w:rsidP="00D77A67">
      <w:pPr>
        <w:spacing w:after="0" w:line="240" w:lineRule="auto"/>
        <w:jc w:val="both"/>
        <w:rPr>
          <w:rFonts w:ascii="Times New Roman" w:eastAsiaTheme="minorHAnsi" w:hAnsi="Times New Roman"/>
          <w:sz w:val="24"/>
          <w:szCs w:val="24"/>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5. Анализ на наличната информация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На картата в работата на </w:t>
      </w:r>
      <w:r w:rsidRPr="00D77A67">
        <w:rPr>
          <w:rFonts w:ascii="Times New Roman" w:eastAsiaTheme="minorHAnsi" w:hAnsi="Times New Roman"/>
          <w:sz w:val="24"/>
          <w:szCs w:val="24"/>
          <w:lang w:val="en-US"/>
        </w:rPr>
        <w:t>Biserkov</w:t>
      </w:r>
      <w:r w:rsidRPr="00D77A67">
        <w:rPr>
          <w:rFonts w:ascii="Times New Roman" w:eastAsiaTheme="minorHAnsi" w:hAnsi="Times New Roman"/>
          <w:sz w:val="24"/>
          <w:szCs w:val="24"/>
        </w:rPr>
        <w:t xml:space="preserve"> </w:t>
      </w:r>
      <w:r w:rsidRPr="00D77A67">
        <w:rPr>
          <w:rFonts w:ascii="Times New Roman" w:eastAsiaTheme="minorHAnsi" w:hAnsi="Times New Roman"/>
          <w:sz w:val="24"/>
          <w:szCs w:val="24"/>
          <w:lang w:val="en-US"/>
        </w:rPr>
        <w:t xml:space="preserve">&amp; Naumov </w:t>
      </w:r>
      <w:r w:rsidRPr="00D77A67">
        <w:rPr>
          <w:rFonts w:ascii="Times New Roman" w:eastAsiaTheme="minorHAnsi" w:hAnsi="Times New Roman"/>
          <w:sz w:val="24"/>
          <w:szCs w:val="24"/>
        </w:rPr>
        <w:t>(201</w:t>
      </w:r>
      <w:r w:rsidRPr="00D77A67">
        <w:rPr>
          <w:rFonts w:ascii="Times New Roman" w:eastAsiaTheme="minorHAnsi" w:hAnsi="Times New Roman"/>
          <w:sz w:val="24"/>
          <w:szCs w:val="24"/>
          <w:lang w:val="en-US"/>
        </w:rPr>
        <w:t>2</w:t>
      </w:r>
      <w:r w:rsidRPr="00D77A67">
        <w:rPr>
          <w:rFonts w:ascii="Times New Roman" w:eastAsiaTheme="minorHAnsi" w:hAnsi="Times New Roman"/>
          <w:sz w:val="24"/>
          <w:szCs w:val="24"/>
        </w:rPr>
        <w:t>)</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са дадени девет</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локации на </w:t>
      </w:r>
      <w:r w:rsidRPr="00D77A67">
        <w:rPr>
          <w:rFonts w:ascii="Times New Roman" w:eastAsiaTheme="minorHAnsi" w:hAnsi="Times New Roman"/>
          <w:i/>
          <w:sz w:val="24"/>
          <w:szCs w:val="24"/>
          <w:lang w:val="en-US"/>
        </w:rPr>
        <w:t>Emys orbicularis</w:t>
      </w:r>
      <w:r w:rsidRPr="00D77A67">
        <w:rPr>
          <w:rFonts w:ascii="Times New Roman" w:eastAsiaTheme="minorHAnsi" w:hAnsi="Times New Roman"/>
          <w:sz w:val="24"/>
          <w:szCs w:val="24"/>
        </w:rPr>
        <w:t xml:space="preserve"> (попадащи в шест квадрата</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от </w:t>
      </w:r>
      <w:r w:rsidRPr="00D77A67">
        <w:rPr>
          <w:rFonts w:ascii="Times New Roman" w:eastAsiaTheme="minorHAnsi" w:hAnsi="Times New Roman"/>
          <w:sz w:val="24"/>
          <w:szCs w:val="24"/>
          <w:lang w:val="en-US"/>
        </w:rPr>
        <w:t xml:space="preserve">UTM </w:t>
      </w:r>
      <w:r w:rsidRPr="00D77A67">
        <w:rPr>
          <w:rFonts w:ascii="Times New Roman" w:eastAsiaTheme="minorHAnsi" w:hAnsi="Times New Roman"/>
          <w:sz w:val="24"/>
          <w:szCs w:val="24"/>
        </w:rPr>
        <w:t>грид 1х1</w:t>
      </w:r>
      <w:r w:rsidRPr="00D77A67">
        <w:rPr>
          <w:rFonts w:ascii="Times New Roman" w:eastAsiaTheme="minorHAnsi" w:hAnsi="Times New Roman"/>
          <w:sz w:val="24"/>
          <w:szCs w:val="24"/>
          <w:lang w:val="en-US"/>
        </w:rPr>
        <w:t xml:space="preserve"> km</w:t>
      </w:r>
      <w:r w:rsidRPr="00D77A67">
        <w:rPr>
          <w:rFonts w:ascii="Times New Roman" w:eastAsiaTheme="minorHAnsi" w:hAnsi="Times New Roman"/>
          <w:sz w:val="24"/>
          <w:szCs w:val="24"/>
        </w:rPr>
        <w:t>) в територията на защитената зона, а Kornilev</w:t>
      </w:r>
      <w:r w:rsidRPr="00D77A67">
        <w:rPr>
          <w:rFonts w:ascii="Times New Roman" w:eastAsiaTheme="minorHAnsi" w:hAnsi="Times New Roman"/>
          <w:sz w:val="24"/>
          <w:szCs w:val="24"/>
          <w:lang w:val="en-US"/>
        </w:rPr>
        <w:t xml:space="preserve"> et al.</w:t>
      </w:r>
      <w:r w:rsidRPr="00D77A67">
        <w:rPr>
          <w:rFonts w:ascii="Times New Roman" w:eastAsiaTheme="minorHAnsi" w:hAnsi="Times New Roman"/>
          <w:sz w:val="24"/>
          <w:szCs w:val="24"/>
        </w:rPr>
        <w:t xml:space="preserve"> (201</w:t>
      </w:r>
      <w:r w:rsidRPr="00D77A67">
        <w:rPr>
          <w:rFonts w:ascii="Times New Roman" w:eastAsiaTheme="minorHAnsi" w:hAnsi="Times New Roman"/>
          <w:sz w:val="24"/>
          <w:szCs w:val="24"/>
          <w:lang w:val="en-US"/>
        </w:rPr>
        <w:t>7</w:t>
      </w:r>
      <w:r w:rsidRPr="00D77A67">
        <w:rPr>
          <w:rFonts w:ascii="Times New Roman" w:eastAsiaTheme="minorHAnsi" w:hAnsi="Times New Roman"/>
          <w:sz w:val="24"/>
          <w:szCs w:val="24"/>
        </w:rPr>
        <w:t xml:space="preserve">) споменават и други четири квадрата, в които видът е установен. В специфичния доклад от 2013 г. по проект „Картиране и определяне на природозащитното състояние на природни местообитания и видове - фаза I“ (виж ИСЗЗЕМ Натура 2000) е посочено, че средната стойност на относителната численост на вида е 0,67 индивида на 1000 </w:t>
      </w:r>
      <w:r w:rsidRPr="00D77A67">
        <w:rPr>
          <w:rFonts w:ascii="Times New Roman" w:eastAsiaTheme="minorHAnsi" w:hAnsi="Times New Roman"/>
          <w:sz w:val="24"/>
          <w:szCs w:val="24"/>
          <w:lang w:val="en-US"/>
        </w:rPr>
        <w:t>m</w:t>
      </w:r>
      <w:r w:rsidRPr="00D77A67">
        <w:rPr>
          <w:rFonts w:ascii="Times New Roman" w:eastAsiaTheme="minorHAnsi" w:hAnsi="Times New Roman"/>
          <w:sz w:val="24"/>
          <w:szCs w:val="24"/>
        </w:rPr>
        <w:t xml:space="preserve">, а дадената обща площ на потенциалните местообитания (изчислена на база индуктивно моделиране) е 1410,33 ha, от които 168,02 ha (11,61% от територията на зоната) са категоризирани като слабо пригодни,  310,19 ha (21,43%) – като пригодни и 932,12 ha (64,40%) – като оптимални. В същия </w:t>
      </w:r>
      <w:r w:rsidRPr="00D77A67">
        <w:rPr>
          <w:rFonts w:ascii="Times New Roman" w:eastAsiaTheme="minorHAnsi" w:hAnsi="Times New Roman"/>
          <w:sz w:val="24"/>
          <w:szCs w:val="24"/>
        </w:rPr>
        <w:lastRenderedPageBreak/>
        <w:t>доклад природозащитното състояние на вида в защитената зона е оценено като благоприятно.</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По време на теренните изследвания през 2021 г. видът беше регистриран на няколко места в зоната, които общо попадат в пет квадрат (1х1 </w:t>
      </w:r>
      <w:r w:rsidRPr="00D77A67">
        <w:rPr>
          <w:rFonts w:ascii="Times New Roman" w:eastAsiaTheme="minorHAnsi" w:hAnsi="Times New Roman"/>
          <w:sz w:val="24"/>
          <w:szCs w:val="24"/>
          <w:lang w:val="en-US"/>
        </w:rPr>
        <w:t>km</w:t>
      </w:r>
      <w:r w:rsidRPr="00D77A67">
        <w:rPr>
          <w:rFonts w:ascii="Times New Roman" w:eastAsiaTheme="minorHAnsi" w:hAnsi="Times New Roman"/>
          <w:sz w:val="24"/>
          <w:szCs w:val="24"/>
        </w:rPr>
        <w:t>), като за два от тях няма предишни данни. По експертна преценка състоянието на потенциалните местообитания понастоящем е добро.</w:t>
      </w:r>
    </w:p>
    <w:p w:rsidR="00D77A67" w:rsidRPr="00D77A67" w:rsidRDefault="00D77A67" w:rsidP="00D77A67">
      <w:pPr>
        <w:spacing w:after="0" w:line="240" w:lineRule="auto"/>
        <w:jc w:val="both"/>
        <w:rPr>
          <w:rFonts w:ascii="Times New Roman" w:eastAsiaTheme="minorHAnsi" w:hAnsi="Times New Roman"/>
          <w:sz w:val="24"/>
          <w:szCs w:val="24"/>
          <w:highlight w:val="lightGray"/>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6. Цели за подобряване/поддържане на природозащитното състояние на вида в зоната</w:t>
      </w:r>
    </w:p>
    <w:p w:rsidR="00D77A67" w:rsidRPr="00D77A67" w:rsidRDefault="00D77A67" w:rsidP="00D77A67">
      <w:pPr>
        <w:spacing w:after="0" w:line="240" w:lineRule="auto"/>
        <w:jc w:val="both"/>
        <w:rPr>
          <w:rFonts w:ascii="Times New Roman" w:eastAsiaTheme="minorHAnsi" w:hAnsi="Times New Roman"/>
          <w:sz w:val="24"/>
          <w:szCs w:val="24"/>
        </w:rPr>
      </w:pPr>
    </w:p>
    <w:tbl>
      <w:tblPr>
        <w:tblStyle w:val="TableGrid"/>
        <w:tblW w:w="9997" w:type="dxa"/>
        <w:tblLayout w:type="fixed"/>
        <w:tblLook w:val="04A0" w:firstRow="1" w:lastRow="0" w:firstColumn="1" w:lastColumn="0" w:noHBand="0" w:noVBand="1"/>
      </w:tblPr>
      <w:tblGrid>
        <w:gridCol w:w="1813"/>
        <w:gridCol w:w="1697"/>
        <w:gridCol w:w="1560"/>
        <w:gridCol w:w="2938"/>
        <w:gridCol w:w="1989"/>
      </w:tblGrid>
      <w:tr w:rsidR="00D77A67" w:rsidRPr="00A805FE" w:rsidTr="003A4F26">
        <w:trPr>
          <w:tblHeader/>
        </w:trPr>
        <w:tc>
          <w:tcPr>
            <w:tcW w:w="1813" w:type="dxa"/>
            <w:shd w:val="clear" w:color="auto" w:fill="DBE5F1" w:themeFill="accent1" w:themeFillTint="33"/>
          </w:tcPr>
          <w:p w:rsidR="00D77A67" w:rsidRPr="003A4F26" w:rsidRDefault="00D77A67" w:rsidP="00D77A67">
            <w:pPr>
              <w:spacing w:after="160"/>
              <w:jc w:val="both"/>
              <w:rPr>
                <w:rFonts w:ascii="Times New Roman" w:eastAsiaTheme="minorHAnsi" w:hAnsi="Times New Roman"/>
                <w:b/>
              </w:rPr>
            </w:pPr>
            <w:r w:rsidRPr="003A4F26">
              <w:rPr>
                <w:rFonts w:ascii="Times New Roman" w:eastAsiaTheme="minorHAnsi" w:hAnsi="Times New Roman"/>
                <w:b/>
              </w:rPr>
              <w:t>Параметър</w:t>
            </w:r>
          </w:p>
        </w:tc>
        <w:tc>
          <w:tcPr>
            <w:tcW w:w="1697"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Мерна единица</w:t>
            </w:r>
          </w:p>
        </w:tc>
        <w:tc>
          <w:tcPr>
            <w:tcW w:w="1560"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Целева стойност</w:t>
            </w:r>
          </w:p>
        </w:tc>
        <w:tc>
          <w:tcPr>
            <w:tcW w:w="2938"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Допълнителна информация</w:t>
            </w:r>
          </w:p>
        </w:tc>
        <w:tc>
          <w:tcPr>
            <w:tcW w:w="1989"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Специфична цел</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пространствен обхват</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Брой квадрати 1х1 km с доказано присъствие на вида</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cstheme="minorBidi"/>
              </w:rPr>
              <w:t xml:space="preserve">Най-малко </w:t>
            </w:r>
            <w:r w:rsidRPr="00A805FE">
              <w:rPr>
                <w:rFonts w:ascii="Times New Roman" w:eastAsiaTheme="minorHAnsi" w:hAnsi="Times New Roman"/>
              </w:rPr>
              <w:t>12</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Целевата стойност представлява броят на квадратите от географска мрежа с резолюция 1х1 km, в които видът е регистриран поне веднъж в периода 2010-2021 г. По експертна преценка, тази стойност (12) може да се приеме като минимална референтна стойност за благоприятно състояние на вида по този параметър.</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пространствения обхват на популацията</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относителна численост</w:t>
            </w:r>
          </w:p>
        </w:tc>
        <w:tc>
          <w:tcPr>
            <w:tcW w:w="1697" w:type="dxa"/>
          </w:tcPr>
          <w:p w:rsidR="00D77A67" w:rsidRDefault="00D77A67" w:rsidP="00D77A67">
            <w:pPr>
              <w:spacing w:after="160"/>
              <w:rPr>
                <w:rFonts w:ascii="Times New Roman" w:eastAsiaTheme="minorHAnsi" w:hAnsi="Times New Roman"/>
                <w:lang w:val="bg-BG"/>
              </w:rPr>
            </w:pPr>
            <w:r w:rsidRPr="00A805FE">
              <w:rPr>
                <w:rFonts w:ascii="Times New Roman" w:eastAsiaTheme="minorHAnsi" w:hAnsi="Times New Roman"/>
              </w:rPr>
              <w:t>Брой индивиди на 1000 метра (Ab), изчислен по формулата: Ab = (N/L)*1000, където N е броят на наблюдаваните индивиди, а L е дължината на трансекта в метри</w:t>
            </w:r>
          </w:p>
          <w:p w:rsidR="00881B9B" w:rsidRPr="00881B9B" w:rsidRDefault="00881B9B" w:rsidP="00D77A67">
            <w:pPr>
              <w:spacing w:after="160"/>
              <w:rPr>
                <w:rFonts w:ascii="Times New Roman" w:eastAsiaTheme="minorHAnsi" w:hAnsi="Times New Roman"/>
                <w:lang w:val="bg-BG"/>
              </w:rPr>
            </w:pPr>
            <w:r>
              <w:rPr>
                <w:rFonts w:ascii="Times New Roman" w:eastAsiaTheme="minorHAnsi" w:hAnsi="Times New Roman"/>
                <w:lang w:val="bg-BG"/>
              </w:rPr>
              <w:t>(</w:t>
            </w:r>
            <w:r w:rsidRPr="00F045E1">
              <w:rPr>
                <w:rFonts w:ascii="Times New Roman" w:eastAsiaTheme="minorHAnsi" w:hAnsi="Times New Roman"/>
                <w:lang w:val="bg-BG"/>
              </w:rPr>
              <w:t>виж методиката за мониторинг към НСМСБР</w:t>
            </w:r>
            <w:r>
              <w:rPr>
                <w:rFonts w:ascii="Times New Roman" w:eastAsiaTheme="minorHAnsi" w:hAnsi="Times New Roman"/>
                <w:lang w:val="bg-BG"/>
              </w:rPr>
              <w:t>)</w:t>
            </w:r>
          </w:p>
        </w:tc>
        <w:tc>
          <w:tcPr>
            <w:tcW w:w="1560" w:type="dxa"/>
          </w:tcPr>
          <w:p w:rsidR="00D77A67" w:rsidRPr="00A805FE" w:rsidRDefault="00D77A67" w:rsidP="00D77A67">
            <w:pPr>
              <w:spacing w:after="160"/>
              <w:rPr>
                <w:rFonts w:ascii="Times New Roman" w:eastAsiaTheme="minorHAnsi" w:hAnsi="Times New Roman" w:cstheme="minorBidi"/>
              </w:rPr>
            </w:pPr>
            <w:r w:rsidRPr="00A805FE">
              <w:rPr>
                <w:rFonts w:ascii="Times New Roman" w:eastAsiaTheme="minorHAnsi" w:hAnsi="Times New Roman"/>
              </w:rPr>
              <w:t>Неизвестна</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числени данни са тези, събрани през 2011-2012 г., а изведената от тях средна стойност за относителната численост е 0,67 индивида на 1000 m, и тази стойност е интерпретирана като показателна за благоприятно състояние в специфичния доклад от 2013 г. (виж ИСЗЗЕМ Натура 2000). Според наблюденията през 2021 г., въпреки че не е правено отчитане на брой индивиди на единица маршрут, по експертна преценка относителната числеността вероятно значително надвишава стойността 0,67. С оглед на това относителната численост на популацията е възприета като неизвестна и е определена междинна цел.</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Междинна цел: да се определи относителната численост на популацията чрез провеждане на целенасочени теренни изследвания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 xml:space="preserve">Местообитание (площ): обща </w:t>
            </w:r>
            <w:r w:rsidRPr="003A4F26">
              <w:rPr>
                <w:rFonts w:ascii="Times New Roman" w:eastAsiaTheme="minorHAnsi" w:hAnsi="Times New Roman"/>
                <w:b/>
              </w:rPr>
              <w:lastRenderedPageBreak/>
              <w:t>площ на потенциалните местообитания</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Хектар (ha)</w:t>
            </w:r>
          </w:p>
        </w:tc>
        <w:tc>
          <w:tcPr>
            <w:tcW w:w="1560" w:type="dxa"/>
          </w:tcPr>
          <w:p w:rsidR="00D77A67" w:rsidRPr="00A805FE" w:rsidRDefault="00D77A67" w:rsidP="00D77A67">
            <w:pPr>
              <w:spacing w:after="160"/>
              <w:rPr>
                <w:rFonts w:ascii="Times New Roman" w:eastAsiaTheme="minorHAnsi" w:hAnsi="Times New Roman" w:cstheme="minorBidi"/>
              </w:rPr>
            </w:pPr>
            <w:r w:rsidRPr="00A805FE">
              <w:rPr>
                <w:rFonts w:ascii="Times New Roman" w:eastAsiaTheme="minorHAnsi" w:hAnsi="Times New Roman"/>
              </w:rPr>
              <w:t xml:space="preserve">Най-малко </w:t>
            </w:r>
            <w:r w:rsidRPr="00A805FE">
              <w:rPr>
                <w:rFonts w:ascii="Times New Roman" w:eastAsiaTheme="minorHAnsi" w:hAnsi="Times New Roman"/>
              </w:rPr>
              <w:lastRenderedPageBreak/>
              <w:t>1410 ha</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 xml:space="preserve">Единствените данни за площта на потенциалните </w:t>
            </w:r>
            <w:r w:rsidRPr="00A805FE">
              <w:rPr>
                <w:rFonts w:ascii="Times New Roman" w:eastAsiaTheme="minorHAnsi" w:hAnsi="Times New Roman"/>
              </w:rPr>
              <w:lastRenderedPageBreak/>
              <w:t>местообитания на вида в зоната са дадени в специфичния доклад от 2013 г. (виж ИСЗЗЕМ Натура 2000). Площта е изведена чрез индуктивен модел (на база комплекс от фактори, вкл. климатични) с висока статистическа достоверност, поради което дадената стойност (1410 ha) може да се приеме като минимална референтна стойност за благоприятно състояние на вида по този параметър.</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 xml:space="preserve">Поддържане площта на </w:t>
            </w:r>
            <w:r w:rsidRPr="00A805FE">
              <w:rPr>
                <w:rFonts w:ascii="Times New Roman" w:eastAsiaTheme="minorHAnsi" w:hAnsi="Times New Roman"/>
              </w:rPr>
              <w:lastRenderedPageBreak/>
              <w:t>потенциалните местообитания</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lastRenderedPageBreak/>
              <w:t>Местообитание (площ): площ на</w:t>
            </w:r>
            <w:r w:rsidRPr="003A4F26">
              <w:rPr>
                <w:rFonts w:asciiTheme="minorHAnsi" w:eastAsiaTheme="minorHAnsi" w:hAnsiTheme="minorHAnsi" w:cstheme="minorBidi"/>
                <w:b/>
              </w:rPr>
              <w:t xml:space="preserve"> </w:t>
            </w:r>
            <w:r w:rsidRPr="003A4F26">
              <w:rPr>
                <w:rFonts w:ascii="Times New Roman" w:eastAsiaTheme="minorHAnsi" w:hAnsi="Times New Roman"/>
                <w:b/>
              </w:rPr>
              <w:t>подходящите за обитаване стоящи водоеми</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Най-малко 856 ha</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данни за площта на на подходящите за обитаване стоящи водоеми в зоната са дадени в специфичния доклад от 2013 г. (виж ИСЗЗЕМ Натура 2000), като посочената площ представлява 60,68% от площта на потенциалните местообитания в зоната, т.е. 856 ha (60,68% от 1410,33). В същия доклад състоянието на вида по този показател е оценено, като благоприятно.</w:t>
            </w:r>
          </w:p>
          <w:p w:rsidR="00D77A67" w:rsidRPr="00A805FE" w:rsidRDefault="00D77A67" w:rsidP="00D77A67">
            <w:pPr>
              <w:spacing w:after="160"/>
              <w:rPr>
                <w:rFonts w:ascii="Times New Roman" w:eastAsiaTheme="minorHAnsi" w:hAnsi="Times New Roman"/>
                <w:highlight w:val="yellow"/>
              </w:rPr>
            </w:pPr>
            <w:r w:rsidRPr="00A805FE">
              <w:rPr>
                <w:rFonts w:ascii="Times New Roman" w:eastAsiaTheme="minorHAnsi" w:hAnsi="Times New Roman"/>
              </w:rPr>
              <w:t>По експертна преценка, базирана на наблюденията през 2021 г., сегашната площ на подходящите за обитаване стоящи водоеми не се различава съществено от дадената в доклада.</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площта на стоящите водоеми</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(структура и функции): свързаност на потенциалните местообитания</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 xml:space="preserve">Обща дължина (в метри) на участъците от линейната транспортна инфраструктура (магистрали и пътища първи и/или втори клас), които пресичат потенциални местообитания </w:t>
            </w:r>
            <w:r w:rsidRPr="00A805FE">
              <w:rPr>
                <w:rFonts w:ascii="Times New Roman" w:eastAsiaTheme="minorHAnsi" w:hAnsi="Times New Roman"/>
              </w:rPr>
              <w:lastRenderedPageBreak/>
              <w:t>на вида и представляват непреодолима или труднопреодолима преграда за същия</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0 m</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Към 2021 г. през зоната не преминават магистрали и пътища първи и втори клас, т.е. състояние на вида по този параметър е благоприятно.</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свързаността на потенциалните местообитания</w:t>
            </w:r>
          </w:p>
        </w:tc>
      </w:tr>
    </w:tbl>
    <w:p w:rsidR="00D77A67" w:rsidRPr="00D77A67" w:rsidRDefault="00D77A67" w:rsidP="00D77A67">
      <w:pPr>
        <w:spacing w:after="0" w:line="240" w:lineRule="auto"/>
        <w:jc w:val="both"/>
        <w:rPr>
          <w:rFonts w:ascii="Times New Roman" w:eastAsiaTheme="minorHAnsi" w:hAnsi="Times New Roman"/>
          <w:sz w:val="24"/>
          <w:szCs w:val="24"/>
          <w:highlight w:val="lightGray"/>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7. Необходимост от актуализация на СФ на защитената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Повечето европейски видове земноводни и влечуги не са пряко свързани с конкретни топографски обекти, поради което измерването на популациите им чрез брой находища изглежда неподходящо, още повече че много често всяка локация (GPS точка) на индивид бива интерпретирана като отделно находище, дори да се намира само на няколко метра от локацията на друг индивид. По този начин броят на т.нар. находища се доближава до броя на регистрациите на индивиди. Това води до некоректна оценка, т.е. такава която не отразява размера на популацията нито пространствено, нито като брой индивиди. Поради тази причина би трябвало или ясно да се дефинира понятието „находище“, или да се използва друга мерна единица. За </w:t>
      </w:r>
      <w:r w:rsidRPr="00D77A67">
        <w:rPr>
          <w:rFonts w:ascii="Times New Roman" w:eastAsiaTheme="minorHAnsi" w:hAnsi="Times New Roman"/>
          <w:i/>
          <w:sz w:val="24"/>
          <w:szCs w:val="24"/>
          <w:lang w:val="en-US"/>
        </w:rPr>
        <w:t xml:space="preserve">Emys orbicularis </w:t>
      </w:r>
      <w:r w:rsidRPr="00D77A67">
        <w:rPr>
          <w:rFonts w:ascii="Times New Roman" w:eastAsiaTheme="minorHAnsi" w:hAnsi="Times New Roman"/>
          <w:sz w:val="24"/>
          <w:szCs w:val="24"/>
        </w:rPr>
        <w:t xml:space="preserve">дефинирането на находище е силно затруднено, поради факта че видът обитава както стоящи водоеми (които могат да се определят като находища), така и реки, канали и др. (вкл. самата р. Дунав), а а понякога се среща и на сушата, далеч от вода. Що се отнася до реки/канали и сухоземни находки, дефиницията за находище би могла да бъде само условна и да се изразява в следното: „локация на индивид, отдалечена поне на [примерно] 500 м от друга такава локация“. Такова определение за находище обаче е само пространствено (т.е. дефинира се единствено чрез ХY координати), следователно е почти същото, като квадрат от метрична координатна система. От друга страна именно използването на квадрати от метрична географска мрежа, като мерна единица за популация в </w:t>
      </w:r>
      <w:r w:rsidR="005A0A3C">
        <w:rPr>
          <w:rFonts w:ascii="Times New Roman" w:eastAsiaTheme="minorHAnsi" w:hAnsi="Times New Roman"/>
          <w:sz w:val="24"/>
          <w:szCs w:val="24"/>
        </w:rPr>
        <w:t>СФ</w:t>
      </w:r>
      <w:r w:rsidRPr="00D77A67">
        <w:rPr>
          <w:rFonts w:ascii="Times New Roman" w:eastAsiaTheme="minorHAnsi" w:hAnsi="Times New Roman"/>
          <w:sz w:val="24"/>
          <w:szCs w:val="24"/>
        </w:rPr>
        <w:t>, изглежда много по-подходящо (поне за сравнително големи по площ зони, каквато е тук разглежданата), тъй като допустимите резолюции на мрежата са посочени в Справочния портал за Натура 2000, т.е. те не се нуждаят от субективни дефиниции. С оглед на изложеното дотук, мерните единици за популация на вида в зоната следва да се променят от брой находища (localities), на брой клетки с резолюция 1х1 км (grids1x1), което е максималната допустима резолюция. В този смисъл, както и предвид анализа на наличната информация, следва да се добавят и съответните числени стойности за броя квадрати.</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отношение категорията за плътност (Cat.) се налага промяна на оценката, тъй като според анализа на наличната информация изглежда, че видът е по-скоро „обичаен“ (С), отколкото „рядък“ (</w:t>
      </w:r>
      <w:r w:rsidRPr="00D77A67">
        <w:rPr>
          <w:rFonts w:ascii="Times New Roman" w:eastAsiaTheme="minorHAnsi" w:hAnsi="Times New Roman"/>
          <w:sz w:val="24"/>
          <w:szCs w:val="24"/>
          <w:lang w:val="en-US"/>
        </w:rPr>
        <w:t>R</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Предложените актуализации на СФ са както следва:</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9609" w:type="dxa"/>
        <w:tblLook w:val="04A0" w:firstRow="1" w:lastRow="0" w:firstColumn="1" w:lastColumn="0" w:noHBand="0" w:noVBand="1"/>
      </w:tblPr>
      <w:tblGrid>
        <w:gridCol w:w="2630"/>
        <w:gridCol w:w="617"/>
        <w:gridCol w:w="656"/>
        <w:gridCol w:w="1203"/>
        <w:gridCol w:w="614"/>
        <w:gridCol w:w="923"/>
        <w:gridCol w:w="1083"/>
        <w:gridCol w:w="677"/>
        <w:gridCol w:w="570"/>
        <w:gridCol w:w="636"/>
      </w:tblGrid>
      <w:tr w:rsidR="00D77A67" w:rsidRPr="00A805FE" w:rsidTr="008131C7">
        <w:trPr>
          <w:trHeight w:val="255"/>
          <w:tblHeader/>
        </w:trPr>
        <w:tc>
          <w:tcPr>
            <w:tcW w:w="2634" w:type="dxa"/>
          </w:tcPr>
          <w:p w:rsidR="00D77A67" w:rsidRPr="00A805FE" w:rsidRDefault="00D77A67" w:rsidP="00D77A67">
            <w:pPr>
              <w:jc w:val="both"/>
              <w:rPr>
                <w:rFonts w:ascii="Times New Roman" w:eastAsiaTheme="minorHAnsi" w:hAnsi="Times New Roman"/>
                <w:sz w:val="22"/>
                <w:szCs w:val="22"/>
              </w:rPr>
            </w:pPr>
          </w:p>
        </w:tc>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Site assessment</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sz w:val="22"/>
                <w:szCs w:val="22"/>
              </w:rPr>
            </w:pPr>
          </w:p>
        </w:tc>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sz w:val="22"/>
                <w:szCs w:val="22"/>
              </w:rPr>
            </w:pPr>
          </w:p>
        </w:tc>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Glo.</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Съществуваща оценка</w:t>
            </w:r>
          </w:p>
        </w:tc>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7</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7</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R</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M</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Актуализация</w:t>
            </w:r>
          </w:p>
        </w:tc>
        <w:tc>
          <w:tcPr>
            <w:tcW w:w="617"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12</w:t>
            </w:r>
          </w:p>
        </w:tc>
        <w:tc>
          <w:tcPr>
            <w:tcW w:w="656"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12</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grids1x1</w:t>
            </w:r>
          </w:p>
        </w:tc>
        <w:tc>
          <w:tcPr>
            <w:tcW w:w="610"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С</w:t>
            </w:r>
          </w:p>
        </w:tc>
        <w:tc>
          <w:tcPr>
            <w:tcW w:w="923"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М</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8. Цитирана литература</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lastRenderedPageBreak/>
        <w:t>Бешков, В., К. Нанев. 2002. Земноводни и влечуги в България. Pensoft, София-Москва, 120 с.</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Цанков, Н., Г. Попгеоргиев, Б. Наумов, А. Стоянов, Ю. Корнилев, Б. Петров, А. Дюгмеджиев, В. Вергилов, Р. Драганова, С. Луканов, А. Вестерстрьом. 2014. Oпределител на земноводните и влечугите в природен парк „Витоша“. София, Дирекция на Природен парк „Витоша“, 248 с.</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Biserkov, V., B. Naumov. 2012. Changes after 1948 in the habitats of amphibians and reptiles in the area of the Srebarna lake biosphere reserve. – In: Uzunov, Y., B. Georgiev, E. Varadinova, N. Ivanova, L. Pehlivanov, V. Vasilev (Eds.) Ecosystems of the Biosphere Reserve Srebarna Lake. Professor Marin Drinov Academic Publishing House, Sofia, pp. 163-183.</w:t>
      </w:r>
    </w:p>
    <w:p w:rsidR="00D77A67" w:rsidRPr="00D77A67" w:rsidRDefault="00D77A67" w:rsidP="00D77A67">
      <w:pPr>
        <w:spacing w:after="0" w:line="240" w:lineRule="auto"/>
        <w:ind w:left="567" w:hanging="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Jablonski, A., S. Jablonska. 1998. Egg-laying in the European Pond Turtle, Emys orbicularis (L), in Leczynsko-Wlodawskie Lake District (East Poland). – Mertensiella, 10: 141-146.</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Kornilev, Y., G. Popgeorgiev, B. Naumov, A. Stoyanov, N. Tzankov. 2017. Updated Distribution and Ecological Requirements of the Native Freshwater Turtles in Bulgaria. – Acta zoologica bulgarica, Suppl. 10: 65-76.</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Stojanov, A., N. Tzankov, B. Naumov. 2011. Die Amphibien und Reptilien Bulgariens. Frankfurt am Main, Chimaira, 588 pp.</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contextualSpacing/>
        <w:jc w:val="both"/>
        <w:rPr>
          <w:rFonts w:ascii="Times New Roman" w:eastAsiaTheme="minorHAnsi" w:hAnsi="Times New Roman"/>
          <w:sz w:val="24"/>
          <w:szCs w:val="24"/>
          <w:lang w:eastAsia="bg-BG"/>
        </w:rPr>
      </w:pPr>
      <w:r w:rsidRPr="00D77A67">
        <w:rPr>
          <w:rFonts w:ascii="Times New Roman" w:eastAsiaTheme="minorHAnsi" w:hAnsi="Times New Roman"/>
          <w:i/>
          <w:sz w:val="24"/>
          <w:szCs w:val="24"/>
          <w:lang w:eastAsia="bg-BG"/>
        </w:rPr>
        <w:t>Автори</w:t>
      </w:r>
      <w:r w:rsidRPr="00D77A67">
        <w:rPr>
          <w:rFonts w:ascii="Times New Roman" w:eastAsiaTheme="minorHAnsi" w:hAnsi="Times New Roman"/>
          <w:sz w:val="24"/>
          <w:szCs w:val="24"/>
          <w:lang w:eastAsia="bg-BG"/>
        </w:rPr>
        <w:t>: Борислав Наумов, Георги Георгиев, Георги Попгеоргиев, Димитър Плачийски</w:t>
      </w:r>
    </w:p>
    <w:p w:rsidR="00107719" w:rsidRDefault="00107719" w:rsidP="001033EC">
      <w:pPr>
        <w:rPr>
          <w:rFonts w:ascii="Times New Roman" w:hAnsi="Times New Roman"/>
          <w:color w:val="1F497D" w:themeColor="text2"/>
          <w:sz w:val="28"/>
          <w:szCs w:val="28"/>
        </w:rPr>
      </w:pPr>
    </w:p>
    <w:p w:rsidR="001033EC" w:rsidRDefault="00107719" w:rsidP="003A4F26">
      <w:pPr>
        <w:outlineLvl w:val="1"/>
        <w:rPr>
          <w:rFonts w:ascii="Times New Roman" w:hAnsi="Times New Roman"/>
          <w:color w:val="1F497D" w:themeColor="text2"/>
          <w:sz w:val="28"/>
          <w:szCs w:val="28"/>
        </w:rPr>
      </w:pPr>
      <w:bookmarkStart w:id="82" w:name="_Toc98838560"/>
      <w:r>
        <w:rPr>
          <w:rFonts w:ascii="Times New Roman" w:hAnsi="Times New Roman"/>
          <w:color w:val="1F497D" w:themeColor="text2"/>
          <w:sz w:val="28"/>
          <w:szCs w:val="28"/>
        </w:rPr>
        <w:t xml:space="preserve">Природозащитни цели за </w:t>
      </w:r>
      <w:r w:rsidR="001033EC">
        <w:rPr>
          <w:rFonts w:ascii="Times New Roman" w:hAnsi="Times New Roman"/>
          <w:color w:val="1F497D" w:themeColor="text2"/>
          <w:sz w:val="28"/>
          <w:szCs w:val="28"/>
        </w:rPr>
        <w:t xml:space="preserve">1219 </w:t>
      </w:r>
      <w:r w:rsidR="001033EC" w:rsidRPr="00107719">
        <w:rPr>
          <w:rFonts w:ascii="Times New Roman" w:hAnsi="Times New Roman"/>
          <w:i/>
          <w:color w:val="1F497D" w:themeColor="text2"/>
          <w:sz w:val="28"/>
          <w:szCs w:val="28"/>
        </w:rPr>
        <w:t>Testudo graeca</w:t>
      </w:r>
      <w:bookmarkEnd w:id="82"/>
    </w:p>
    <w:p w:rsidR="00D77A67" w:rsidRPr="00D77A67" w:rsidRDefault="00D77A67" w:rsidP="00D77A67">
      <w:pPr>
        <w:spacing w:after="0" w:line="240" w:lineRule="auto"/>
        <w:jc w:val="both"/>
        <w:rPr>
          <w:rFonts w:ascii="Times New Roman" w:eastAsiaTheme="minorHAnsi" w:hAnsi="Times New Roman"/>
          <w:sz w:val="24"/>
          <w:szCs w:val="24"/>
        </w:rPr>
      </w:pPr>
      <w:r w:rsidRPr="00D77A67">
        <w:rPr>
          <w:rFonts w:ascii="Times New Roman" w:eastAsiaTheme="minorHAnsi" w:hAnsi="Times New Roman"/>
          <w:b/>
          <w:sz w:val="24"/>
          <w:szCs w:val="24"/>
        </w:rPr>
        <w:t xml:space="preserve">1. Код и наименование на вида: </w:t>
      </w:r>
      <w:r w:rsidRPr="00D77A67">
        <w:rPr>
          <w:rFonts w:ascii="Times New Roman" w:eastAsiaTheme="minorHAnsi" w:hAnsi="Times New Roman"/>
          <w:sz w:val="24"/>
          <w:szCs w:val="24"/>
        </w:rPr>
        <w:t xml:space="preserve">1219 </w:t>
      </w:r>
      <w:r w:rsidRPr="00D77A67">
        <w:rPr>
          <w:rFonts w:ascii="Times New Roman" w:eastAsiaTheme="minorHAnsi" w:hAnsi="Times New Roman"/>
          <w:i/>
          <w:sz w:val="24"/>
          <w:szCs w:val="24"/>
        </w:rPr>
        <w:t>Testudo graeca</w:t>
      </w:r>
      <w:r w:rsidRPr="00D77A67">
        <w:rPr>
          <w:rFonts w:ascii="Times New Roman" w:eastAsiaTheme="minorHAnsi" w:hAnsi="Times New Roman"/>
          <w:sz w:val="24"/>
          <w:szCs w:val="24"/>
        </w:rPr>
        <w:t xml:space="preserve"> – шипобедрена костенурка</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2. Кратка характеристика на целевия обект</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Дължината на корубата достига до около 30 cm (повечето екземпляри, намирани в последните години, са значително по-дребни), а като изключние и до 38,9 cm (Beshkov 1997). Шарката и оцветяването на карапакса варират, но най-често фоновият цвят е жълтеникав, като по латералните и маргиналните щитчета има диагонално разположени тъмни петна, а централните са почти изцяло тъмни; нерядко се срещат екземпляри, при които целият карапакс е почти черен. Пластронът също е с жълтеникав фон и с отделни тъмни петна, които понякога се сливат. На задната повърхност на бедрата има вроговени конични брадавици (Stojanov et al. 2011).</w:t>
      </w:r>
    </w:p>
    <w:p w:rsidR="00D77A67" w:rsidRPr="00D77A67" w:rsidRDefault="00D77A67" w:rsidP="00F873CF">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Видът е широко разпространен в България от морското равнище до около 600 m н.в. (на редица места и по-високо, като в Югозападна България достига и до 1300 m н.в.) с изключение на северозападната част на страната и високите полета на Западна България; в големи части от Тракийската низина и Дунавската равнина видът вече е изчезнал поради интензификацията на селското стопанство. Обитава главно открити терени (с тревиста и храстова растителност) и разредени широколистни гори, но по време на летните горещини навлиза в по-гъсти гори и влажни долове (Бешков и Нанев 2002; Stojanov et al. 2011).</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Testudo graeca</w:t>
      </w:r>
      <w:r w:rsidRPr="00D77A67">
        <w:rPr>
          <w:rFonts w:ascii="Times New Roman" w:eastAsiaTheme="minorHAnsi" w:hAnsi="Times New Roman"/>
          <w:sz w:val="24"/>
          <w:szCs w:val="24"/>
        </w:rPr>
        <w:t xml:space="preserve"> е активна от края на март до края на октомври. Брачният период протича основно през април и май. Яйцеснасянето обикновено е през юни и юли, като женската снася на два или три пъти по 2-8 почти кълбовидни яйца, които заравя на припечни места; като правило малките се излюпват след 70-100 дни, но в някои случаи остават да зимуват в гнездото и излизат на повърхността едва през следващата пролет. Хранителният спектър на вида се състои главно от тревисти растения, но включва също </w:t>
      </w:r>
      <w:r w:rsidRPr="00D77A67">
        <w:rPr>
          <w:rFonts w:ascii="Times New Roman" w:eastAsiaTheme="minorHAnsi" w:hAnsi="Times New Roman"/>
          <w:sz w:val="24"/>
          <w:szCs w:val="24"/>
        </w:rPr>
        <w:lastRenderedPageBreak/>
        <w:t>плодове, нерядко и безгръбначни животни (мекотели, червеи и др.), както и мърша. Активността е изцяло дневна, но са регистрирани и случайни прояви на нощна активност; хибернацията протича в почвата, най-често в дупки, изкопани от самите костенурки (Бешков и Нанев 2002; Stojanov et al. 2011).</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3. Състояние на биогеографско ниво и разпространение в мрежата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 xml:space="preserve">Testudo graeca </w:t>
      </w:r>
      <w:r w:rsidRPr="00D77A67">
        <w:rPr>
          <w:rFonts w:ascii="Times New Roman" w:eastAsiaTheme="minorHAnsi" w:hAnsi="Times New Roman"/>
          <w:sz w:val="24"/>
          <w:szCs w:val="24"/>
        </w:rPr>
        <w:t>фигурира в Червената книга на България, в качеството на застрашен вид, а като отрицателно действащи фактори са посочени земеделската дейност през последните десетилетия (създаване на уедрени блокове, напоителни системи, машинната обработка на земята), премахването на формите на микрорелефа, унищожаването на равнинните гори, събирането за храна от някои групи от населението и за „лечение“ (въпреки доказаната безполезност от това), строителството на магистрали, застрояването на Черноморското крайбрежие, горските пожари, заменянето на широколистните гори с иглолистни и др. (Beshkov 2015).</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Според националното докладване по Чл. 17 от Директива 92/43 през 2013 г. природозащитното състояние (ПС) на вида е неблаго</w:t>
      </w:r>
      <w:r w:rsidR="00DE58DC">
        <w:rPr>
          <w:rFonts w:ascii="Times New Roman" w:eastAsiaTheme="minorHAnsi" w:hAnsi="Times New Roman"/>
          <w:sz w:val="24"/>
          <w:szCs w:val="24"/>
        </w:rPr>
        <w:t>приятно-незадоволително (U1) в К</w:t>
      </w:r>
      <w:r w:rsidRPr="00D77A67">
        <w:rPr>
          <w:rFonts w:ascii="Times New Roman" w:eastAsiaTheme="minorHAnsi" w:hAnsi="Times New Roman"/>
          <w:sz w:val="24"/>
          <w:szCs w:val="24"/>
        </w:rPr>
        <w:t>онтиненталния биогеографски реги</w:t>
      </w:r>
      <w:r w:rsidR="00DE58DC">
        <w:rPr>
          <w:rFonts w:ascii="Times New Roman" w:eastAsiaTheme="minorHAnsi" w:hAnsi="Times New Roman"/>
          <w:sz w:val="24"/>
          <w:szCs w:val="24"/>
        </w:rPr>
        <w:t>он, неблагоприятно лошо (U2) в Ч</w:t>
      </w:r>
      <w:r w:rsidRPr="00D77A67">
        <w:rPr>
          <w:rFonts w:ascii="Times New Roman" w:eastAsiaTheme="minorHAnsi" w:hAnsi="Times New Roman"/>
          <w:sz w:val="24"/>
          <w:szCs w:val="24"/>
        </w:rPr>
        <w:t xml:space="preserve">ерноморския (негативни оценки по показателя за бъдещи перспективи и в двата </w:t>
      </w:r>
      <w:r w:rsidR="00DE58DC">
        <w:rPr>
          <w:rFonts w:ascii="Times New Roman" w:eastAsiaTheme="minorHAnsi" w:hAnsi="Times New Roman"/>
          <w:sz w:val="24"/>
          <w:szCs w:val="24"/>
        </w:rPr>
        <w:t>случая), и блатоприятно (FV) в А</w:t>
      </w:r>
      <w:r w:rsidRPr="00D77A67">
        <w:rPr>
          <w:rFonts w:ascii="Times New Roman" w:eastAsiaTheme="minorHAnsi" w:hAnsi="Times New Roman"/>
          <w:sz w:val="24"/>
          <w:szCs w:val="24"/>
        </w:rPr>
        <w:t>лпийския. Според докладването през 2019 г. ПС на вид</w:t>
      </w:r>
      <w:r w:rsidR="00DE58DC">
        <w:rPr>
          <w:rFonts w:ascii="Times New Roman" w:eastAsiaTheme="minorHAnsi" w:hAnsi="Times New Roman"/>
          <w:sz w:val="24"/>
          <w:szCs w:val="24"/>
        </w:rPr>
        <w:t>а е неблагоприятно лошо (U2) в Континенталния и Ч</w:t>
      </w:r>
      <w:r w:rsidRPr="00D77A67">
        <w:rPr>
          <w:rFonts w:ascii="Times New Roman" w:eastAsiaTheme="minorHAnsi" w:hAnsi="Times New Roman"/>
          <w:sz w:val="24"/>
          <w:szCs w:val="24"/>
        </w:rPr>
        <w:t>ерноморския регион (негативни оценки по показателите за местообитание и бъдещи перспективи), и неблаго</w:t>
      </w:r>
      <w:r w:rsidR="00DE58DC">
        <w:rPr>
          <w:rFonts w:ascii="Times New Roman" w:eastAsiaTheme="minorHAnsi" w:hAnsi="Times New Roman"/>
          <w:sz w:val="24"/>
          <w:szCs w:val="24"/>
        </w:rPr>
        <w:t>приятно-незадоволително (U1) в А</w:t>
      </w:r>
      <w:r w:rsidRPr="00D77A67">
        <w:rPr>
          <w:rFonts w:ascii="Times New Roman" w:eastAsiaTheme="minorHAnsi" w:hAnsi="Times New Roman"/>
          <w:sz w:val="24"/>
          <w:szCs w:val="24"/>
        </w:rPr>
        <w:t>лпийския (негативна оценка по показателя за бъдещи перспективи).</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 xml:space="preserve">Testudo graeca </w:t>
      </w:r>
      <w:r w:rsidRPr="00D77A67">
        <w:rPr>
          <w:rFonts w:ascii="Times New Roman" w:eastAsiaTheme="minorHAnsi" w:hAnsi="Times New Roman"/>
          <w:sz w:val="24"/>
          <w:szCs w:val="24"/>
        </w:rPr>
        <w:t>фигурира в стандартните формуляри за данни на 156 защитени зони за местообитанията от мрежата Натура 2000 в България.</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4. Състояние на ниво защитена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В Стандартния формуляр на зоната са дадени следните оценки за </w:t>
      </w:r>
      <w:r w:rsidRPr="00D77A67">
        <w:rPr>
          <w:rFonts w:ascii="Times New Roman" w:eastAsiaTheme="minorHAnsi" w:hAnsi="Times New Roman"/>
          <w:i/>
          <w:sz w:val="24"/>
          <w:szCs w:val="24"/>
        </w:rPr>
        <w:t>Testudo graeca</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6975" w:type="dxa"/>
        <w:jc w:val="center"/>
        <w:tblLook w:val="04A0" w:firstRow="1" w:lastRow="0" w:firstColumn="1" w:lastColumn="0" w:noHBand="0" w:noVBand="1"/>
      </w:tblPr>
      <w:tblGrid>
        <w:gridCol w:w="617"/>
        <w:gridCol w:w="656"/>
        <w:gridCol w:w="1203"/>
        <w:gridCol w:w="614"/>
        <w:gridCol w:w="923"/>
        <w:gridCol w:w="1083"/>
        <w:gridCol w:w="677"/>
        <w:gridCol w:w="570"/>
        <w:gridCol w:w="636"/>
      </w:tblGrid>
      <w:tr w:rsidR="00D77A67" w:rsidRPr="00A805FE" w:rsidTr="008131C7">
        <w:trPr>
          <w:trHeight w:val="255"/>
          <w:jc w:val="center"/>
        </w:trPr>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Site assessment</w:t>
            </w:r>
          </w:p>
        </w:tc>
      </w:tr>
      <w:tr w:rsidR="00D77A67" w:rsidRPr="00A805FE" w:rsidTr="008131C7">
        <w:trPr>
          <w:trHeight w:val="255"/>
          <w:jc w:val="center"/>
        </w:trPr>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w:t>
            </w:r>
          </w:p>
        </w:tc>
      </w:tr>
      <w:tr w:rsidR="00D77A67" w:rsidRPr="00A805FE" w:rsidTr="008131C7">
        <w:trPr>
          <w:trHeight w:val="255"/>
          <w:jc w:val="center"/>
        </w:trPr>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Glo.</w:t>
            </w:r>
          </w:p>
        </w:tc>
      </w:tr>
      <w:tr w:rsidR="00D77A67" w:rsidRPr="00A805FE" w:rsidTr="008131C7">
        <w:trPr>
          <w:trHeight w:val="255"/>
          <w:jc w:val="center"/>
        </w:trPr>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2</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2</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V</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ind w:firstLine="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Предвид характера на националния ареал на вида (най-плътен в нископланинските райони и силно разпокъсан в равнинните) е ясно, че ЗЗ „Сребърна“ не е от първостепенна важност за опазването му, но зоната е от значение за осигуря</w:t>
      </w:r>
      <w:r w:rsidR="008131C7">
        <w:rPr>
          <w:rFonts w:ascii="Times New Roman" w:eastAsiaTheme="minorHAnsi" w:hAnsi="Times New Roman"/>
          <w:sz w:val="24"/>
          <w:szCs w:val="24"/>
        </w:rPr>
        <w:t>ване свързаността на мрежата в К</w:t>
      </w:r>
      <w:r w:rsidRPr="00D77A67">
        <w:rPr>
          <w:rFonts w:ascii="Times New Roman" w:eastAsiaTheme="minorHAnsi" w:hAnsi="Times New Roman"/>
          <w:sz w:val="24"/>
          <w:szCs w:val="24"/>
        </w:rPr>
        <w:t>онтиненталния биогеографски регион и конкретно – на защитените зони по протежение на р. Дунав.</w:t>
      </w:r>
    </w:p>
    <w:p w:rsidR="00D77A67" w:rsidRPr="00D77A67" w:rsidRDefault="00D77A67" w:rsidP="00D77A67">
      <w:pPr>
        <w:spacing w:after="0" w:line="240" w:lineRule="auto"/>
        <w:jc w:val="both"/>
        <w:rPr>
          <w:rFonts w:ascii="Times New Roman" w:eastAsiaTheme="minorHAnsi" w:hAnsi="Times New Roman"/>
          <w:sz w:val="24"/>
          <w:szCs w:val="24"/>
          <w:highlight w:val="lightGray"/>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5. Анализ на наличната информация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На картата в работата на </w:t>
      </w:r>
      <w:r w:rsidRPr="00D77A67">
        <w:rPr>
          <w:rFonts w:ascii="Times New Roman" w:eastAsiaTheme="minorHAnsi" w:hAnsi="Times New Roman"/>
          <w:sz w:val="24"/>
          <w:szCs w:val="24"/>
          <w:lang w:val="en-US"/>
        </w:rPr>
        <w:t>Biserkov</w:t>
      </w:r>
      <w:r w:rsidRPr="00D77A67">
        <w:rPr>
          <w:rFonts w:ascii="Times New Roman" w:eastAsiaTheme="minorHAnsi" w:hAnsi="Times New Roman"/>
          <w:sz w:val="24"/>
          <w:szCs w:val="24"/>
        </w:rPr>
        <w:t xml:space="preserve"> </w:t>
      </w:r>
      <w:r w:rsidRPr="00D77A67">
        <w:rPr>
          <w:rFonts w:ascii="Times New Roman" w:eastAsiaTheme="minorHAnsi" w:hAnsi="Times New Roman"/>
          <w:sz w:val="24"/>
          <w:szCs w:val="24"/>
          <w:lang w:val="en-US"/>
        </w:rPr>
        <w:t xml:space="preserve">&amp; Naumov </w:t>
      </w:r>
      <w:r w:rsidRPr="00D77A67">
        <w:rPr>
          <w:rFonts w:ascii="Times New Roman" w:eastAsiaTheme="minorHAnsi" w:hAnsi="Times New Roman"/>
          <w:sz w:val="24"/>
          <w:szCs w:val="24"/>
        </w:rPr>
        <w:t>(201</w:t>
      </w:r>
      <w:r w:rsidRPr="00D77A67">
        <w:rPr>
          <w:rFonts w:ascii="Times New Roman" w:eastAsiaTheme="minorHAnsi" w:hAnsi="Times New Roman"/>
          <w:sz w:val="24"/>
          <w:szCs w:val="24"/>
          <w:lang w:val="en-US"/>
        </w:rPr>
        <w:t>2</w:t>
      </w:r>
      <w:r w:rsidRPr="00D77A67">
        <w:rPr>
          <w:rFonts w:ascii="Times New Roman" w:eastAsiaTheme="minorHAnsi" w:hAnsi="Times New Roman"/>
          <w:sz w:val="24"/>
          <w:szCs w:val="24"/>
        </w:rPr>
        <w:t>)</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са дадени 4</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локации на </w:t>
      </w:r>
      <w:r w:rsidRPr="00D77A67">
        <w:rPr>
          <w:rFonts w:ascii="Times New Roman" w:eastAsiaTheme="minorHAnsi" w:hAnsi="Times New Roman"/>
          <w:i/>
          <w:sz w:val="24"/>
          <w:szCs w:val="24"/>
          <w:lang w:val="en-US"/>
        </w:rPr>
        <w:t>Testudo graeca</w:t>
      </w:r>
      <w:r w:rsidRPr="00D77A67">
        <w:rPr>
          <w:rFonts w:ascii="Times New Roman" w:eastAsiaTheme="minorHAnsi" w:hAnsi="Times New Roman"/>
          <w:sz w:val="24"/>
          <w:szCs w:val="24"/>
        </w:rPr>
        <w:t xml:space="preserve"> (попадащи в 4 квадрата</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от </w:t>
      </w:r>
      <w:r w:rsidRPr="00D77A67">
        <w:rPr>
          <w:rFonts w:ascii="Times New Roman" w:eastAsiaTheme="minorHAnsi" w:hAnsi="Times New Roman"/>
          <w:sz w:val="24"/>
          <w:szCs w:val="24"/>
          <w:lang w:val="en-US"/>
        </w:rPr>
        <w:t xml:space="preserve">UTM </w:t>
      </w:r>
      <w:r w:rsidRPr="00D77A67">
        <w:rPr>
          <w:rFonts w:ascii="Times New Roman" w:eastAsiaTheme="minorHAnsi" w:hAnsi="Times New Roman"/>
          <w:sz w:val="24"/>
          <w:szCs w:val="24"/>
        </w:rPr>
        <w:t>грид 1х1</w:t>
      </w:r>
      <w:r w:rsidRPr="00D77A67">
        <w:rPr>
          <w:rFonts w:ascii="Times New Roman" w:eastAsiaTheme="minorHAnsi" w:hAnsi="Times New Roman"/>
          <w:sz w:val="24"/>
          <w:szCs w:val="24"/>
          <w:lang w:val="en-US"/>
        </w:rPr>
        <w:t xml:space="preserve"> km</w:t>
      </w:r>
      <w:r w:rsidRPr="00D77A67">
        <w:rPr>
          <w:rFonts w:ascii="Times New Roman" w:eastAsiaTheme="minorHAnsi" w:hAnsi="Times New Roman"/>
          <w:sz w:val="24"/>
          <w:szCs w:val="24"/>
        </w:rPr>
        <w:t xml:space="preserve">) в територията на защитената зона, а Popgeorgiev </w:t>
      </w:r>
      <w:r w:rsidRPr="00D77A67">
        <w:rPr>
          <w:rFonts w:ascii="Times New Roman" w:eastAsiaTheme="minorHAnsi" w:hAnsi="Times New Roman"/>
          <w:sz w:val="24"/>
          <w:szCs w:val="24"/>
          <w:lang w:val="en-US"/>
        </w:rPr>
        <w:t xml:space="preserve">et al. </w:t>
      </w:r>
      <w:r w:rsidRPr="00D77A67">
        <w:rPr>
          <w:rFonts w:ascii="Times New Roman" w:eastAsiaTheme="minorHAnsi" w:hAnsi="Times New Roman"/>
          <w:sz w:val="24"/>
          <w:szCs w:val="24"/>
        </w:rPr>
        <w:t>(201</w:t>
      </w:r>
      <w:r w:rsidRPr="00D77A67">
        <w:rPr>
          <w:rFonts w:ascii="Times New Roman" w:eastAsiaTheme="minorHAnsi" w:hAnsi="Times New Roman"/>
          <w:sz w:val="24"/>
          <w:szCs w:val="24"/>
          <w:lang w:val="en-US"/>
        </w:rPr>
        <w:t>9</w:t>
      </w:r>
      <w:r w:rsidRPr="00D77A67">
        <w:rPr>
          <w:rFonts w:ascii="Times New Roman" w:eastAsiaTheme="minorHAnsi" w:hAnsi="Times New Roman"/>
          <w:sz w:val="24"/>
          <w:szCs w:val="24"/>
        </w:rPr>
        <w:t xml:space="preserve">) споменават и други два квадрата, в които видът е установен. В специфичния доклад от 2013 г. по проект „Картиране и определяне на природозащитното състояние на природни местообитания и видове - фаза I“ (виж ИСЗЗЕМ Натура 2000) е посочено, че регистрираната стойност на относителната численост на вида е 0,22 индивида на 1000 </w:t>
      </w:r>
      <w:r w:rsidRPr="00D77A67">
        <w:rPr>
          <w:rFonts w:ascii="Times New Roman" w:eastAsiaTheme="minorHAnsi" w:hAnsi="Times New Roman"/>
          <w:sz w:val="24"/>
          <w:szCs w:val="24"/>
          <w:lang w:val="en-US"/>
        </w:rPr>
        <w:t>m</w:t>
      </w:r>
      <w:r w:rsidRPr="00D77A67">
        <w:rPr>
          <w:rFonts w:ascii="Times New Roman" w:eastAsiaTheme="minorHAnsi" w:hAnsi="Times New Roman"/>
          <w:sz w:val="24"/>
          <w:szCs w:val="24"/>
        </w:rPr>
        <w:t xml:space="preserve">, а дадената обща площ на потенциалните местообитания (изчислена на база индуктивно моделиране) е 623,21 ha, от които 593,63 ha (41,01% от територията на зоната) са категоризирани като слабо </w:t>
      </w:r>
      <w:r w:rsidRPr="00D77A67">
        <w:rPr>
          <w:rFonts w:ascii="Times New Roman" w:eastAsiaTheme="minorHAnsi" w:hAnsi="Times New Roman"/>
          <w:sz w:val="24"/>
          <w:szCs w:val="24"/>
        </w:rPr>
        <w:lastRenderedPageBreak/>
        <w:t>пригодни и  29,58 ha (2,04%) – като пригодни. В същия доклад природозащитното състояние на вида в защитената зона е оценено като неблагоприятно-незадоволително, поради малък брой намерени екземпляри и отсъствие на оптимални местообитания.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време на теренните изследвания през 2021 г. видът не беше регистриран в защитената зона. По експертна преценка състоянието на потенциалните местообитания понастоящем е добро.</w:t>
      </w:r>
    </w:p>
    <w:p w:rsidR="00D77A67" w:rsidRPr="00D77A67" w:rsidRDefault="00D77A67" w:rsidP="00D77A67">
      <w:pPr>
        <w:spacing w:after="0" w:line="240" w:lineRule="auto"/>
        <w:jc w:val="both"/>
        <w:rPr>
          <w:rFonts w:ascii="Times New Roman" w:eastAsiaTheme="minorHAnsi" w:hAnsi="Times New Roman"/>
          <w:sz w:val="24"/>
          <w:szCs w:val="24"/>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6. Цели за подобряване/поддържане на природозащитното състояние на вида в зоната</w:t>
      </w:r>
    </w:p>
    <w:p w:rsidR="00D77A67" w:rsidRPr="00D77A67" w:rsidRDefault="00D77A67" w:rsidP="00D77A67">
      <w:pPr>
        <w:spacing w:after="0" w:line="240" w:lineRule="auto"/>
        <w:jc w:val="both"/>
        <w:rPr>
          <w:rFonts w:ascii="Times New Roman" w:eastAsiaTheme="minorHAnsi" w:hAnsi="Times New Roman"/>
          <w:sz w:val="24"/>
          <w:szCs w:val="24"/>
        </w:rPr>
      </w:pPr>
    </w:p>
    <w:tbl>
      <w:tblPr>
        <w:tblStyle w:val="TableGrid"/>
        <w:tblW w:w="9997" w:type="dxa"/>
        <w:tblLayout w:type="fixed"/>
        <w:tblLook w:val="04A0" w:firstRow="1" w:lastRow="0" w:firstColumn="1" w:lastColumn="0" w:noHBand="0" w:noVBand="1"/>
      </w:tblPr>
      <w:tblGrid>
        <w:gridCol w:w="1813"/>
        <w:gridCol w:w="1697"/>
        <w:gridCol w:w="1560"/>
        <w:gridCol w:w="2938"/>
        <w:gridCol w:w="1989"/>
      </w:tblGrid>
      <w:tr w:rsidR="00D77A67" w:rsidRPr="00A805FE" w:rsidTr="003A4F26">
        <w:trPr>
          <w:tblHeader/>
        </w:trPr>
        <w:tc>
          <w:tcPr>
            <w:tcW w:w="1813" w:type="dxa"/>
            <w:shd w:val="clear" w:color="auto" w:fill="DBE5F1" w:themeFill="accent1" w:themeFillTint="33"/>
          </w:tcPr>
          <w:p w:rsidR="00D77A67" w:rsidRPr="003A4F26" w:rsidRDefault="00D77A67" w:rsidP="00D77A67">
            <w:pPr>
              <w:spacing w:after="160"/>
              <w:jc w:val="both"/>
              <w:rPr>
                <w:rFonts w:ascii="Times New Roman" w:eastAsiaTheme="minorHAnsi" w:hAnsi="Times New Roman"/>
                <w:b/>
              </w:rPr>
            </w:pPr>
            <w:r w:rsidRPr="003A4F26">
              <w:rPr>
                <w:rFonts w:ascii="Times New Roman" w:eastAsiaTheme="minorHAnsi" w:hAnsi="Times New Roman"/>
                <w:b/>
              </w:rPr>
              <w:t>Параметър</w:t>
            </w:r>
          </w:p>
        </w:tc>
        <w:tc>
          <w:tcPr>
            <w:tcW w:w="1697"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Мерна единица</w:t>
            </w:r>
          </w:p>
        </w:tc>
        <w:tc>
          <w:tcPr>
            <w:tcW w:w="1560"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Целева стойност</w:t>
            </w:r>
          </w:p>
        </w:tc>
        <w:tc>
          <w:tcPr>
            <w:tcW w:w="2938"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Допълнителна информация</w:t>
            </w:r>
          </w:p>
        </w:tc>
        <w:tc>
          <w:tcPr>
            <w:tcW w:w="1989"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Специфична цел</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пространствен обхват</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Брой квадрати 1х1 km с доказано присъствие на вида</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cstheme="minorBidi"/>
              </w:rPr>
              <w:t xml:space="preserve">Най-малко </w:t>
            </w:r>
            <w:r w:rsidRPr="00A805FE">
              <w:rPr>
                <w:rFonts w:ascii="Times New Roman" w:eastAsiaTheme="minorHAnsi" w:hAnsi="Times New Roman"/>
              </w:rPr>
              <w:t>6</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Целевата стойност представлява броят на квадратите от географска мрежа с резолюция 1х1 km, в които видът е регистриран поне веднъж в периода 2010-2021 г. По експертна преценка, тази стойност (6) може да се приеме като минимална референтна стойност за благоприятно състояние на вида по този параметър.</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пространствения обхват на популацията</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относителна численост</w:t>
            </w:r>
          </w:p>
        </w:tc>
        <w:tc>
          <w:tcPr>
            <w:tcW w:w="1697" w:type="dxa"/>
          </w:tcPr>
          <w:p w:rsidR="00D77A67" w:rsidRDefault="00D77A67" w:rsidP="00D77A67">
            <w:pPr>
              <w:spacing w:after="160"/>
              <w:rPr>
                <w:rFonts w:ascii="Times New Roman" w:eastAsiaTheme="minorHAnsi" w:hAnsi="Times New Roman"/>
                <w:lang w:val="bg-BG"/>
              </w:rPr>
            </w:pPr>
            <w:r w:rsidRPr="00A805FE">
              <w:rPr>
                <w:rFonts w:ascii="Times New Roman" w:eastAsiaTheme="minorHAnsi" w:hAnsi="Times New Roman"/>
              </w:rPr>
              <w:t>Брой индивиди на 1000 метра (Ab), изчислен по формулата: Ab = (N/L)*1000, където N е броят на наблюдаваните индивиди, а L е дължината на трансекта в метри</w:t>
            </w:r>
          </w:p>
          <w:p w:rsidR="00881B9B" w:rsidRPr="00881B9B" w:rsidRDefault="00881B9B" w:rsidP="00D77A67">
            <w:pPr>
              <w:spacing w:after="160"/>
              <w:rPr>
                <w:rFonts w:ascii="Times New Roman" w:eastAsiaTheme="minorHAnsi" w:hAnsi="Times New Roman"/>
                <w:lang w:val="bg-BG"/>
              </w:rPr>
            </w:pPr>
            <w:r>
              <w:rPr>
                <w:rFonts w:ascii="Times New Roman" w:eastAsiaTheme="minorHAnsi" w:hAnsi="Times New Roman"/>
                <w:lang w:val="bg-BG"/>
              </w:rPr>
              <w:t>(</w:t>
            </w:r>
            <w:r w:rsidRPr="00F045E1">
              <w:rPr>
                <w:rFonts w:ascii="Times New Roman" w:eastAsiaTheme="minorHAnsi" w:hAnsi="Times New Roman"/>
                <w:lang w:val="bg-BG"/>
              </w:rPr>
              <w:t>виж методиката за мониторинг към НСМСБР</w:t>
            </w:r>
            <w:r>
              <w:rPr>
                <w:rFonts w:ascii="Times New Roman" w:eastAsiaTheme="minorHAnsi" w:hAnsi="Times New Roman"/>
                <w:lang w:val="bg-BG"/>
              </w:rPr>
              <w:t>)</w:t>
            </w:r>
          </w:p>
        </w:tc>
        <w:tc>
          <w:tcPr>
            <w:tcW w:w="1560" w:type="dxa"/>
          </w:tcPr>
          <w:p w:rsidR="00D77A67" w:rsidRPr="00A805FE" w:rsidRDefault="00D77A67" w:rsidP="00D77A67">
            <w:pPr>
              <w:spacing w:after="160"/>
              <w:rPr>
                <w:rFonts w:ascii="Times New Roman" w:eastAsiaTheme="minorHAnsi" w:hAnsi="Times New Roman" w:cstheme="minorBidi"/>
              </w:rPr>
            </w:pPr>
            <w:r w:rsidRPr="00A805FE">
              <w:rPr>
                <w:rFonts w:ascii="Times New Roman" w:eastAsiaTheme="minorHAnsi" w:hAnsi="Times New Roman"/>
              </w:rPr>
              <w:t>Ab ≥ 0,22</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числени данни са тези, събрани през 2011-2012 г., а изведената от тях стойност за относителната численост е 0,22 индивида на 1000 m (виж ИСЗЗЕМ Натура 2000). По експертна преценка тази стойност може да се приеме като минимална референтна стойност за благоприятно състояние на вида по този параметър.</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числеността на популацията</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(площ): обща площ на потенциалните местообитания</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60" w:type="dxa"/>
          </w:tcPr>
          <w:p w:rsidR="00D77A67" w:rsidRPr="00A805FE" w:rsidRDefault="00D77A67" w:rsidP="00D77A67">
            <w:pPr>
              <w:spacing w:after="160"/>
              <w:rPr>
                <w:rFonts w:ascii="Times New Roman" w:eastAsiaTheme="minorHAnsi" w:hAnsi="Times New Roman" w:cstheme="minorBidi"/>
              </w:rPr>
            </w:pPr>
            <w:r w:rsidRPr="00A805FE">
              <w:rPr>
                <w:rFonts w:ascii="Times New Roman" w:eastAsiaTheme="minorHAnsi" w:hAnsi="Times New Roman"/>
              </w:rPr>
              <w:t>Най-малко 623 ha</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 xml:space="preserve">Единствените данни за площта на потенциалните местообитания на вида в зоната са дадени в специфичния доклад от 2013 г. (виж ИСЗЗЕМ Натура 2000). Площта е изведена чрез индуктивен модел (на база комплекс от фактори, </w:t>
            </w:r>
            <w:r w:rsidRPr="00A805FE">
              <w:rPr>
                <w:rFonts w:ascii="Times New Roman" w:eastAsiaTheme="minorHAnsi" w:hAnsi="Times New Roman"/>
              </w:rPr>
              <w:lastRenderedPageBreak/>
              <w:t>вкл. климатични) с висока статистическа достоверност, поради което дадената стойност (623 ha) може да се приеме като минимална референтна стойност за благоприятно състояние на вида по този параметър.</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Поддържане площта на потенциалните местообитания</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lastRenderedPageBreak/>
              <w:t>Местообитание (площ): площ на разредени гори и храсталаци, пасища, ливади и запустели земеделски земи с дървета и храсти</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Неизвестна</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данни за площта на този тип местообитание на вида са дадени в специфичния доклад от 2013 г. (виж ИСЗЗЕМ Натура 2000), като посочената площ представлява 45,37% от площта на потенциалните местообитания в зоната, т.е. 709 ha (45,37% от 623,21). В същия доклад състоянието на вида по този показател е оценено, като благоприятно.</w:t>
            </w:r>
          </w:p>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Площта на този тип местообитание на вида към 2021 г. е неизвестна, поради което е определена междинна цел.</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Междинна цел: да се определи площта на разредените гори и храсталаци, пасища, ливади и запустели земеделски земи с дървета и храсти, чрез диснационни методи и верификация на терен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(структура и функции): свързаност на потенциалните местообитания</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Обща дължина (в метри) на участъците от линейната транспортна инфраструктура (магистрали и пътища първи и/или втори клас), които пресичат потенциални местообитания на вида и представляват непреодолима или труднопреодолима преграда за същия</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0 m</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Към 2021 г. през зоната не преминават магистрали и пътища първи и втори клас, т.е. състояние на вида по този параметър е благоприятно.</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свързаността на потенциалните местообитания</w:t>
            </w:r>
          </w:p>
        </w:tc>
      </w:tr>
    </w:tbl>
    <w:p w:rsidR="00D77A67" w:rsidRPr="00D77A67" w:rsidRDefault="00D77A67" w:rsidP="00D77A67">
      <w:pPr>
        <w:spacing w:after="0" w:line="240" w:lineRule="auto"/>
        <w:jc w:val="both"/>
        <w:rPr>
          <w:rFonts w:ascii="Times New Roman" w:eastAsiaTheme="minorHAnsi" w:hAnsi="Times New Roman"/>
          <w:sz w:val="24"/>
          <w:szCs w:val="24"/>
          <w:highlight w:val="lightGray"/>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7. Необходимост от актуализация на СФ на защитената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lastRenderedPageBreak/>
        <w:t xml:space="preserve">Повечето европейски видове земноводни и влечуги не са пряко свързани с конкретни топографски обекти, поради което измерването на популациите им чрез брой находища изглежда неподходящо, още повече че много често всяка локация (GPS точка) на индивид бива интерпретирана като отделно находище, дори да се намира само на няколко метра от локацията на друг индивид. По този начин броят на т.нар. находища се доближава до броя на регистрациите на индивиди. Това води до некоректна оценка, т.е. такава която не отразява размера на популацията нито пространствено, нито като брой индивиди. Поради тази причина би трябвало или ясно да се дефинира понятието „находище“, или да се използва друга мерна единица. За </w:t>
      </w:r>
      <w:r w:rsidRPr="00D77A67">
        <w:rPr>
          <w:rFonts w:ascii="Times New Roman" w:eastAsiaTheme="minorHAnsi" w:hAnsi="Times New Roman"/>
          <w:i/>
          <w:sz w:val="24"/>
          <w:szCs w:val="24"/>
          <w:lang w:val="en-US"/>
        </w:rPr>
        <w:t xml:space="preserve">Testudo graeca </w:t>
      </w:r>
      <w:r w:rsidRPr="00D77A67">
        <w:rPr>
          <w:rFonts w:ascii="Times New Roman" w:eastAsiaTheme="minorHAnsi" w:hAnsi="Times New Roman"/>
          <w:sz w:val="24"/>
          <w:szCs w:val="24"/>
        </w:rPr>
        <w:t xml:space="preserve"> дефиницията за находище би могла да бъде само условна и да се изразява в следното: „локация на индивид, отдалечена поне на [примерно] 500 м от друга такава локация“. Такова определение за находище обаче е само пространствено (т.е. дефинира се единствено чрез ХY координати), следователно е почти същото, като квадрат от метрична координатна система. От друга страна именно използването на квадрати от метрична географска мрежа, като мерна единица за популация в </w:t>
      </w:r>
      <w:r w:rsidR="005A0A3C">
        <w:rPr>
          <w:rFonts w:ascii="Times New Roman" w:eastAsiaTheme="minorHAnsi" w:hAnsi="Times New Roman"/>
          <w:sz w:val="24"/>
          <w:szCs w:val="24"/>
        </w:rPr>
        <w:t>СФ</w:t>
      </w:r>
      <w:r w:rsidRPr="00D77A67">
        <w:rPr>
          <w:rFonts w:ascii="Times New Roman" w:eastAsiaTheme="minorHAnsi" w:hAnsi="Times New Roman"/>
          <w:sz w:val="24"/>
          <w:szCs w:val="24"/>
        </w:rPr>
        <w:t>, изглежда много по-подходящо (поне за сравнително големи по площ зони, каквато е тук разглежданата), тъй като допустимите резолюции на мрежата са посочени в Справочния портал за Натура 2000, т.е. те не се нуждаят от субективни дефиниции. С оглед на изложеното дотук, мерните единици за популация на вида в зоната следва да се променят от брой находища (localities), на брой клетки с резолюция 1х1 км (grids1x1), което е максималната допустима резолюция. В този смисъл, както и предвид анализа на наличната информация, следва да се добавят и съответните числени стойности за броя квадрати.</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отношение категорията за плътност (Cat.) се налага промяна на оценката, тъй като според анализа на наличната информация изглежда, че видът е по-скоро „рядък“ (</w:t>
      </w:r>
      <w:r w:rsidRPr="00D77A67">
        <w:rPr>
          <w:rFonts w:ascii="Times New Roman" w:eastAsiaTheme="minorHAnsi" w:hAnsi="Times New Roman"/>
          <w:sz w:val="24"/>
          <w:szCs w:val="24"/>
          <w:lang w:val="en-US"/>
        </w:rPr>
        <w:t>R</w:t>
      </w:r>
      <w:r w:rsidRPr="00D77A67">
        <w:rPr>
          <w:rFonts w:ascii="Times New Roman" w:eastAsiaTheme="minorHAnsi" w:hAnsi="Times New Roman"/>
          <w:sz w:val="24"/>
          <w:szCs w:val="24"/>
        </w:rPr>
        <w:t>), отколкото „много рядък“ (</w:t>
      </w:r>
      <w:r w:rsidRPr="00D77A67">
        <w:rPr>
          <w:rFonts w:ascii="Times New Roman" w:eastAsiaTheme="minorHAnsi" w:hAnsi="Times New Roman"/>
          <w:sz w:val="24"/>
          <w:szCs w:val="24"/>
          <w:lang w:val="en-US"/>
        </w:rPr>
        <w:t>V</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Предложените актуализации на СФ са както следва:</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9609" w:type="dxa"/>
        <w:tblLook w:val="04A0" w:firstRow="1" w:lastRow="0" w:firstColumn="1" w:lastColumn="0" w:noHBand="0" w:noVBand="1"/>
      </w:tblPr>
      <w:tblGrid>
        <w:gridCol w:w="2630"/>
        <w:gridCol w:w="617"/>
        <w:gridCol w:w="656"/>
        <w:gridCol w:w="1203"/>
        <w:gridCol w:w="614"/>
        <w:gridCol w:w="923"/>
        <w:gridCol w:w="1083"/>
        <w:gridCol w:w="677"/>
        <w:gridCol w:w="570"/>
        <w:gridCol w:w="636"/>
      </w:tblGrid>
      <w:tr w:rsidR="00D77A67" w:rsidRPr="00A805FE" w:rsidTr="008131C7">
        <w:trPr>
          <w:trHeight w:val="255"/>
          <w:tblHeader/>
        </w:trPr>
        <w:tc>
          <w:tcPr>
            <w:tcW w:w="2634" w:type="dxa"/>
          </w:tcPr>
          <w:p w:rsidR="00D77A67" w:rsidRPr="00A805FE" w:rsidRDefault="00D77A67" w:rsidP="00D77A67">
            <w:pPr>
              <w:jc w:val="both"/>
              <w:rPr>
                <w:rFonts w:ascii="Times New Roman" w:eastAsiaTheme="minorHAnsi" w:hAnsi="Times New Roman"/>
                <w:sz w:val="22"/>
                <w:szCs w:val="22"/>
              </w:rPr>
            </w:pPr>
          </w:p>
        </w:tc>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Site assessment</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sz w:val="22"/>
                <w:szCs w:val="22"/>
              </w:rPr>
            </w:pPr>
          </w:p>
        </w:tc>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sz w:val="22"/>
                <w:szCs w:val="22"/>
              </w:rPr>
            </w:pPr>
          </w:p>
        </w:tc>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Glo.</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Съществуваща оценка</w:t>
            </w:r>
          </w:p>
        </w:tc>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2</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2</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V</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Актуализация</w:t>
            </w:r>
          </w:p>
        </w:tc>
        <w:tc>
          <w:tcPr>
            <w:tcW w:w="617"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6</w:t>
            </w:r>
          </w:p>
        </w:tc>
        <w:tc>
          <w:tcPr>
            <w:tcW w:w="656"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6</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grids1x1</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R</w:t>
            </w:r>
          </w:p>
        </w:tc>
        <w:tc>
          <w:tcPr>
            <w:tcW w:w="923"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rPr>
              <w:t>P</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8. Цитирана литература</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Бешков, В., К. Нанев. 2002. Земноводни и влечуги в България. Pensoft, София-Москва, 120 с.</w:t>
      </w:r>
    </w:p>
    <w:p w:rsidR="00D77A67" w:rsidRPr="00D77A67" w:rsidRDefault="00D77A67" w:rsidP="00D77A67">
      <w:pPr>
        <w:spacing w:after="0" w:line="240" w:lineRule="auto"/>
        <w:ind w:left="567" w:hanging="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Beshkov, V. 1997. Record-sized tortoises, Testudo graeca ibera and Testudo hermani boettgeri, from Bulgaria. – Chelonian Conservation and Biology, 2(4): 593-596.</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Beshkov, V. 2015. Spur-thighed tortoise Testudo graeca ibera Pallas, 1814. – In: Golemanski, V. et al. (Eds.): Red Data Book of the Republic of Bulgaria. Volume 2. Animals. BAS &amp; MoEW, Sofia, p. 203.</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Biserkov, V., B. Naumov. 2012. Changes after 1948 in the habitats of amphibians and reptiles in the area of the Srebarna lake biosphere reserve. – In: Uzunov, Y., B. Georgiev, E. Varadinova, N. Ivanova, L. Pehlivanov, V. Vasilev (Eds.) Ecosystems of the Biosphere Reserve Srebarna Lake. Professor Marin Drinov Academic Publishing House, Sofia, pp. 163-183.</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Popgeorgiev, G., B. Naumov, Y. Kornilev, V,Vergilov, M. Slavchev, S. Lukanov, A. Dyugmedzhiev, A. Stoyanov, D. Dobrev, N. Tzankov. 2019. Diversity and Distribution of Amphibians and Reptiles in the Bulgarian Part of the Lower Danube. – In: </w:t>
      </w:r>
      <w:r w:rsidRPr="00D77A67">
        <w:rPr>
          <w:rFonts w:ascii="Times New Roman" w:eastAsiaTheme="minorHAnsi" w:hAnsi="Times New Roman"/>
          <w:sz w:val="24"/>
          <w:szCs w:val="24"/>
        </w:rPr>
        <w:lastRenderedPageBreak/>
        <w:t>Shurulinkov, P., Z. Hubenov, S. Beshkov, G. Popgeorgiev (Eds.): Biodiversity of the Bulgarian-Romanian Section of the Lower Dnube. Nova Science Publishers, New York, pp. 283-314.</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Stojanov, A., N. Tzankov, B. Naumov. 2011. Die Amphibien und Reptilien Bulgariens. Frankfurt am Main, Chimaira, 588 pp.</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contextualSpacing/>
        <w:jc w:val="both"/>
        <w:rPr>
          <w:rFonts w:ascii="Times New Roman" w:eastAsiaTheme="minorHAnsi" w:hAnsi="Times New Roman"/>
          <w:sz w:val="24"/>
          <w:szCs w:val="24"/>
          <w:lang w:eastAsia="bg-BG"/>
        </w:rPr>
      </w:pPr>
      <w:r w:rsidRPr="00D77A67">
        <w:rPr>
          <w:rFonts w:ascii="Times New Roman" w:eastAsiaTheme="minorHAnsi" w:hAnsi="Times New Roman"/>
          <w:i/>
          <w:sz w:val="24"/>
          <w:szCs w:val="24"/>
          <w:lang w:eastAsia="bg-BG"/>
        </w:rPr>
        <w:t>Автори</w:t>
      </w:r>
      <w:r w:rsidRPr="00D77A67">
        <w:rPr>
          <w:rFonts w:ascii="Times New Roman" w:eastAsiaTheme="minorHAnsi" w:hAnsi="Times New Roman"/>
          <w:sz w:val="24"/>
          <w:szCs w:val="24"/>
          <w:lang w:eastAsia="bg-BG"/>
        </w:rPr>
        <w:t>: Борислав Наумов, Георги Георгиев, Георги Попгеоргиев, Димитър Плачийски</w:t>
      </w:r>
    </w:p>
    <w:p w:rsidR="00D77A67" w:rsidRPr="00D77A67" w:rsidRDefault="00D77A67" w:rsidP="00D77A67">
      <w:pPr>
        <w:spacing w:after="0" w:line="240" w:lineRule="auto"/>
        <w:jc w:val="both"/>
        <w:rPr>
          <w:rFonts w:ascii="Times New Roman" w:eastAsiaTheme="minorHAnsi" w:hAnsi="Times New Roman"/>
          <w:sz w:val="24"/>
          <w:szCs w:val="24"/>
        </w:rPr>
      </w:pPr>
    </w:p>
    <w:p w:rsidR="00107719" w:rsidRDefault="00107719" w:rsidP="001033EC">
      <w:pPr>
        <w:rPr>
          <w:rFonts w:ascii="Times New Roman" w:hAnsi="Times New Roman"/>
          <w:color w:val="1F497D" w:themeColor="text2"/>
          <w:sz w:val="28"/>
          <w:szCs w:val="28"/>
        </w:rPr>
      </w:pPr>
    </w:p>
    <w:p w:rsidR="001033EC" w:rsidRDefault="00107719" w:rsidP="003A4F26">
      <w:pPr>
        <w:outlineLvl w:val="1"/>
        <w:rPr>
          <w:rFonts w:ascii="Times New Roman" w:hAnsi="Times New Roman"/>
          <w:color w:val="1F497D" w:themeColor="text2"/>
          <w:sz w:val="28"/>
          <w:szCs w:val="28"/>
        </w:rPr>
      </w:pPr>
      <w:bookmarkStart w:id="83" w:name="_Toc98838561"/>
      <w:r>
        <w:rPr>
          <w:rFonts w:ascii="Times New Roman" w:hAnsi="Times New Roman"/>
          <w:color w:val="1F497D" w:themeColor="text2"/>
          <w:sz w:val="28"/>
          <w:szCs w:val="28"/>
        </w:rPr>
        <w:t xml:space="preserve">Природозащитни цели за </w:t>
      </w:r>
      <w:r w:rsidR="001033EC">
        <w:rPr>
          <w:rFonts w:ascii="Times New Roman" w:hAnsi="Times New Roman"/>
          <w:color w:val="1F497D" w:themeColor="text2"/>
          <w:sz w:val="28"/>
          <w:szCs w:val="28"/>
        </w:rPr>
        <w:t xml:space="preserve">1217 </w:t>
      </w:r>
      <w:r w:rsidR="001033EC" w:rsidRPr="00107719">
        <w:rPr>
          <w:rFonts w:ascii="Times New Roman" w:hAnsi="Times New Roman"/>
          <w:i/>
          <w:color w:val="1F497D" w:themeColor="text2"/>
          <w:sz w:val="28"/>
          <w:szCs w:val="28"/>
        </w:rPr>
        <w:t>Testudo hermanni</w:t>
      </w:r>
      <w:bookmarkEnd w:id="83"/>
    </w:p>
    <w:p w:rsidR="00D77A67" w:rsidRPr="00D77A67" w:rsidRDefault="00D77A67" w:rsidP="00D77A67">
      <w:pPr>
        <w:spacing w:after="0" w:line="240" w:lineRule="auto"/>
        <w:jc w:val="both"/>
        <w:rPr>
          <w:rFonts w:ascii="Times New Roman" w:eastAsiaTheme="minorHAnsi" w:hAnsi="Times New Roman"/>
          <w:sz w:val="24"/>
          <w:szCs w:val="24"/>
        </w:rPr>
      </w:pPr>
      <w:r w:rsidRPr="00D77A67">
        <w:rPr>
          <w:rFonts w:ascii="Times New Roman" w:eastAsiaTheme="minorHAnsi" w:hAnsi="Times New Roman"/>
          <w:b/>
          <w:sz w:val="24"/>
          <w:szCs w:val="24"/>
        </w:rPr>
        <w:t xml:space="preserve">1. Код и наименование на вида: </w:t>
      </w:r>
      <w:r w:rsidRPr="00D77A67">
        <w:rPr>
          <w:rFonts w:ascii="Times New Roman" w:eastAsiaTheme="minorHAnsi" w:hAnsi="Times New Roman"/>
          <w:sz w:val="24"/>
          <w:szCs w:val="24"/>
        </w:rPr>
        <w:t xml:space="preserve">1217 </w:t>
      </w:r>
      <w:r w:rsidRPr="00D77A67">
        <w:rPr>
          <w:rFonts w:ascii="Times New Roman" w:eastAsiaTheme="minorHAnsi" w:hAnsi="Times New Roman"/>
          <w:i/>
          <w:sz w:val="24"/>
          <w:szCs w:val="24"/>
        </w:rPr>
        <w:t xml:space="preserve">Testudo hermanni </w:t>
      </w:r>
      <w:r w:rsidRPr="00D77A67">
        <w:rPr>
          <w:rFonts w:ascii="Times New Roman" w:eastAsiaTheme="minorHAnsi" w:hAnsi="Times New Roman"/>
          <w:sz w:val="24"/>
          <w:szCs w:val="24"/>
        </w:rPr>
        <w:t>– шипоопашата костенурка</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2. Кратка характеристика на целевия обект</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Дължината на корубата много рядко надвишава 30 cm (повечето екземпляри, намирани в последните години, са значително по-дребни), но по изключние достига и до 35,7 cm (Beshkov 1997). Шарката и оцветяването варират (има както доста тъмно оцветени, така и индивиди без почти никакво тъмно напетняване), но основният цвят на корубата обикновено е жълтеникав, като тъмните петна по страничните щитчета на карапакса са триъгълни, а тези по централните – надлъжни; пластронът няма подвижни части, а основният му цвят е идентичен с този на карапакса. Опашката завършва с рогов шип (Цанков и др. 2014).</w:t>
      </w:r>
    </w:p>
    <w:p w:rsidR="00D77A67" w:rsidRPr="00D77A67" w:rsidRDefault="00D77A67" w:rsidP="00D77A67">
      <w:pPr>
        <w:spacing w:after="0" w:line="240" w:lineRule="auto"/>
        <w:ind w:firstLine="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Видът е широко разпространен в България от морското равнище до около 600 m н.в. (на много места и по-високо, като в Югозападна България достига и до 1450 m н.в.), с изключение на високите полета на Западна България и най-североизточните райони на страната, където са намирани само единични екземпляри; в големи части от Тракийската низина и Дунавската равнина видът е изчезнал поради интензификацията на селското стопанство (Бешков и Нанев 2002; Stojanov et al. 2011). Обитава открити поляни, покрайнини на гори, каменисти ждрела с храстова растителност, разредени широколистни гори, дерета и др., като нерядко навлиза и в различен тип културни площи: лозя, ниви, градини и др. (Цанков и др. 2014).</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Testudo hermanni</w:t>
      </w:r>
      <w:r w:rsidRPr="00D77A67">
        <w:rPr>
          <w:rFonts w:ascii="Times New Roman" w:eastAsiaTheme="minorHAnsi" w:hAnsi="Times New Roman"/>
          <w:sz w:val="24"/>
          <w:szCs w:val="24"/>
        </w:rPr>
        <w:t xml:space="preserve"> е активна от края на март до края на октомври. Брачният период протича основно през април и май, но може да бъде и по-разтеглен, като есенните копулации също не са изключение (Stojanov et al. 2011; Цанков и др. 2014). Яйцеснасянето е главно през юни и юли, като женската снася на два или три пъти обикновено по 2-5 продълговати яйца, които заравя на сухи, припечни места (Бешков и Нанев 2002). Хранителният спектър на вида се състои главно от тревисти растения и плодове, но нерядко включва и безгръбначни животни (мекотели, червеи и др.), а в отделни случаи също екскременти и мърша. Активността е изцяло дневна, но са регистрирани и случайни прояви на нощна активност; хибернацията протича в почвата, най-често в дупки, изкопани от самите костенурки на сухи склонове, почти винаги с южно изложение (Бешков и Нанев 2002; Stojanov et al. 2011; Цанков и др. 2014).</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3. Състояние на биогеографско ниво и разпространение в мрежата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 xml:space="preserve">Testudo hermanni </w:t>
      </w:r>
      <w:r w:rsidRPr="00D77A67">
        <w:rPr>
          <w:rFonts w:ascii="Times New Roman" w:eastAsiaTheme="minorHAnsi" w:hAnsi="Times New Roman"/>
          <w:sz w:val="24"/>
          <w:szCs w:val="24"/>
        </w:rPr>
        <w:t xml:space="preserve">фигурира в Червената книга на България, в качеството на застрашен вид, а като отрицателно действащи фактори са посочени земеделската дейност през последните десетилетия (създаване на уедрени блокове, напоителни системи, машинната обработка на земята), премахването на формите на микрорелефа, унищожаването на равнинните гори; събирането за храна от населението и за „лечение“ </w:t>
      </w:r>
      <w:r w:rsidRPr="00D77A67">
        <w:rPr>
          <w:rFonts w:ascii="Times New Roman" w:eastAsiaTheme="minorHAnsi" w:hAnsi="Times New Roman"/>
          <w:sz w:val="24"/>
          <w:szCs w:val="24"/>
        </w:rPr>
        <w:lastRenderedPageBreak/>
        <w:t>(въпреки доказаната безполезност от това), големите инфраструктури строежи (магистрали, газопроводи и др.), застрояването на Черноморското крайбрежие, горските пожари, заменянето на широколистните гори с иглолистни и др. (Beshkov 2015).</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Според националното докладване по Чл. 17 от Директива 92/43 през 2013 г. природозащитното състояние (ПС) на вида е неблаго</w:t>
      </w:r>
      <w:r w:rsidR="00DE58DC">
        <w:rPr>
          <w:rFonts w:ascii="Times New Roman" w:eastAsiaTheme="minorHAnsi" w:hAnsi="Times New Roman"/>
          <w:sz w:val="24"/>
          <w:szCs w:val="24"/>
        </w:rPr>
        <w:t>приятно-незадоволително (U1) в К</w:t>
      </w:r>
      <w:r w:rsidRPr="00D77A67">
        <w:rPr>
          <w:rFonts w:ascii="Times New Roman" w:eastAsiaTheme="minorHAnsi" w:hAnsi="Times New Roman"/>
          <w:sz w:val="24"/>
          <w:szCs w:val="24"/>
        </w:rPr>
        <w:t>онтиненталния биогеографски реги</w:t>
      </w:r>
      <w:r w:rsidR="00DE58DC">
        <w:rPr>
          <w:rFonts w:ascii="Times New Roman" w:eastAsiaTheme="minorHAnsi" w:hAnsi="Times New Roman"/>
          <w:sz w:val="24"/>
          <w:szCs w:val="24"/>
        </w:rPr>
        <w:t>он, неблагоприятно лошо (U2) в Ч</w:t>
      </w:r>
      <w:r w:rsidRPr="00D77A67">
        <w:rPr>
          <w:rFonts w:ascii="Times New Roman" w:eastAsiaTheme="minorHAnsi" w:hAnsi="Times New Roman"/>
          <w:sz w:val="24"/>
          <w:szCs w:val="24"/>
        </w:rPr>
        <w:t xml:space="preserve">ерноморския (негативни оценки по показателя за бъдещи перспективи и в двата </w:t>
      </w:r>
      <w:r w:rsidR="00DE58DC">
        <w:rPr>
          <w:rFonts w:ascii="Times New Roman" w:eastAsiaTheme="minorHAnsi" w:hAnsi="Times New Roman"/>
          <w:sz w:val="24"/>
          <w:szCs w:val="24"/>
        </w:rPr>
        <w:t>случая), и блатоприятно (FV) в А</w:t>
      </w:r>
      <w:r w:rsidRPr="00D77A67">
        <w:rPr>
          <w:rFonts w:ascii="Times New Roman" w:eastAsiaTheme="minorHAnsi" w:hAnsi="Times New Roman"/>
          <w:sz w:val="24"/>
          <w:szCs w:val="24"/>
        </w:rPr>
        <w:t>лпийския. Според докладването през 2019 г. ПС на вида е неблагоприятно-незадоволително (U1) и в трите биогеографски региона (негативни оценки по показателите за популация, местоо</w:t>
      </w:r>
      <w:r w:rsidR="008131C7">
        <w:rPr>
          <w:rFonts w:ascii="Times New Roman" w:eastAsiaTheme="minorHAnsi" w:hAnsi="Times New Roman"/>
          <w:sz w:val="24"/>
          <w:szCs w:val="24"/>
        </w:rPr>
        <w:t>битание и бъдещи перспективи в К</w:t>
      </w:r>
      <w:r w:rsidRPr="00D77A67">
        <w:rPr>
          <w:rFonts w:ascii="Times New Roman" w:eastAsiaTheme="minorHAnsi" w:hAnsi="Times New Roman"/>
          <w:sz w:val="24"/>
          <w:szCs w:val="24"/>
        </w:rPr>
        <w:t>онтиненталния регион, по показателя за популация в черноморския и по показателите за ареал и бъдещи перспективи в алпийския).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 xml:space="preserve">Testudo hermanni </w:t>
      </w:r>
      <w:r w:rsidRPr="00D77A67">
        <w:rPr>
          <w:rFonts w:ascii="Times New Roman" w:eastAsiaTheme="minorHAnsi" w:hAnsi="Times New Roman"/>
          <w:sz w:val="24"/>
          <w:szCs w:val="24"/>
        </w:rPr>
        <w:t xml:space="preserve">фигурира в стандартните формуляри за данни на </w:t>
      </w:r>
      <w:r w:rsidRPr="00D77A67">
        <w:rPr>
          <w:rFonts w:ascii="Times New Roman" w:eastAsiaTheme="minorHAnsi" w:hAnsi="Times New Roman"/>
          <w:sz w:val="24"/>
          <w:szCs w:val="24"/>
          <w:lang w:val="en-US"/>
        </w:rPr>
        <w:t>180</w:t>
      </w:r>
      <w:r w:rsidRPr="00D77A67">
        <w:rPr>
          <w:rFonts w:ascii="Times New Roman" w:eastAsiaTheme="minorHAnsi" w:hAnsi="Times New Roman"/>
          <w:sz w:val="24"/>
          <w:szCs w:val="24"/>
        </w:rPr>
        <w:t xml:space="preserve"> защитени зони за местообитанията от мрежата Натура 2000 в България.</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4. Състояние на ниво защитена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В Стандартния формуляр на зоната са дадени следните оценки за </w:t>
      </w:r>
      <w:r w:rsidRPr="00D77A67">
        <w:rPr>
          <w:rFonts w:ascii="Times New Roman" w:eastAsiaTheme="minorHAnsi" w:hAnsi="Times New Roman"/>
          <w:i/>
          <w:sz w:val="24"/>
          <w:szCs w:val="24"/>
        </w:rPr>
        <w:t>Testudo hermanni</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6975" w:type="dxa"/>
        <w:jc w:val="center"/>
        <w:tblLook w:val="04A0" w:firstRow="1" w:lastRow="0" w:firstColumn="1" w:lastColumn="0" w:noHBand="0" w:noVBand="1"/>
      </w:tblPr>
      <w:tblGrid>
        <w:gridCol w:w="617"/>
        <w:gridCol w:w="656"/>
        <w:gridCol w:w="1203"/>
        <w:gridCol w:w="614"/>
        <w:gridCol w:w="923"/>
        <w:gridCol w:w="1083"/>
        <w:gridCol w:w="677"/>
        <w:gridCol w:w="570"/>
        <w:gridCol w:w="636"/>
      </w:tblGrid>
      <w:tr w:rsidR="00D77A67" w:rsidRPr="00A805FE" w:rsidTr="008131C7">
        <w:trPr>
          <w:trHeight w:val="255"/>
          <w:jc w:val="center"/>
        </w:trPr>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Site assessment</w:t>
            </w:r>
          </w:p>
        </w:tc>
      </w:tr>
      <w:tr w:rsidR="00D77A67" w:rsidRPr="00A805FE" w:rsidTr="008131C7">
        <w:trPr>
          <w:trHeight w:val="255"/>
          <w:jc w:val="center"/>
        </w:trPr>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w:t>
            </w:r>
          </w:p>
        </w:tc>
      </w:tr>
      <w:tr w:rsidR="00D77A67" w:rsidRPr="00A805FE" w:rsidTr="008131C7">
        <w:trPr>
          <w:trHeight w:val="255"/>
          <w:jc w:val="center"/>
        </w:trPr>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Glo.</w:t>
            </w:r>
          </w:p>
        </w:tc>
      </w:tr>
      <w:tr w:rsidR="00D77A67" w:rsidRPr="00A805FE" w:rsidTr="008131C7">
        <w:trPr>
          <w:trHeight w:val="255"/>
          <w:jc w:val="center"/>
        </w:trPr>
        <w:tc>
          <w:tcPr>
            <w:tcW w:w="617" w:type="dxa"/>
            <w:noWrap/>
          </w:tcPr>
          <w:p w:rsidR="00D77A67" w:rsidRPr="00A805FE" w:rsidRDefault="00D77A67" w:rsidP="00D77A67">
            <w:pPr>
              <w:rPr>
                <w:rFonts w:ascii="Times New Roman" w:eastAsiaTheme="minorHAnsi" w:hAnsi="Times New Roman"/>
                <w:sz w:val="22"/>
                <w:szCs w:val="22"/>
              </w:rPr>
            </w:pPr>
          </w:p>
        </w:tc>
        <w:tc>
          <w:tcPr>
            <w:tcW w:w="656" w:type="dxa"/>
            <w:noWrap/>
          </w:tcPr>
          <w:p w:rsidR="00D77A67" w:rsidRPr="00A805FE" w:rsidRDefault="00D77A67" w:rsidP="00D77A67">
            <w:pPr>
              <w:rPr>
                <w:rFonts w:ascii="Times New Roman" w:eastAsiaTheme="minorHAnsi" w:hAnsi="Times New Roman"/>
                <w:sz w:val="22"/>
                <w:szCs w:val="22"/>
              </w:rPr>
            </w:pP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DD</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Предвид характера на националния ареал на вида (най-плътен в нископланинските райони и силно разпокъсан в равнинните) е ясно, че ЗЗ „Сребърна“ не е от първостепенна важност за опазването му, но зоната е от значение за осигуря</w:t>
      </w:r>
      <w:r w:rsidR="008131C7">
        <w:rPr>
          <w:rFonts w:ascii="Times New Roman" w:eastAsiaTheme="minorHAnsi" w:hAnsi="Times New Roman"/>
          <w:sz w:val="24"/>
          <w:szCs w:val="24"/>
        </w:rPr>
        <w:t>ване свързаността на мрежата в К</w:t>
      </w:r>
      <w:r w:rsidRPr="00D77A67">
        <w:rPr>
          <w:rFonts w:ascii="Times New Roman" w:eastAsiaTheme="minorHAnsi" w:hAnsi="Times New Roman"/>
          <w:sz w:val="24"/>
          <w:szCs w:val="24"/>
        </w:rPr>
        <w:t>онтиненталния биогеографски регион и конкретно – на защитените зони по протежение на р. Дунав.</w:t>
      </w:r>
    </w:p>
    <w:p w:rsidR="00D77A67" w:rsidRPr="00D77A67" w:rsidRDefault="00D77A67" w:rsidP="00D77A67">
      <w:pPr>
        <w:spacing w:after="0" w:line="240" w:lineRule="auto"/>
        <w:jc w:val="both"/>
        <w:rPr>
          <w:rFonts w:ascii="Times New Roman" w:eastAsiaTheme="minorHAnsi" w:hAnsi="Times New Roman"/>
          <w:sz w:val="24"/>
          <w:szCs w:val="24"/>
          <w:highlight w:val="lightGray"/>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5. Анализ на наличната информация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На картата в работата на </w:t>
      </w:r>
      <w:r w:rsidRPr="00D77A67">
        <w:rPr>
          <w:rFonts w:ascii="Times New Roman" w:eastAsiaTheme="minorHAnsi" w:hAnsi="Times New Roman"/>
          <w:sz w:val="24"/>
          <w:szCs w:val="24"/>
          <w:lang w:val="en-US"/>
        </w:rPr>
        <w:t>Biserkov</w:t>
      </w:r>
      <w:r w:rsidRPr="00D77A67">
        <w:rPr>
          <w:rFonts w:ascii="Times New Roman" w:eastAsiaTheme="minorHAnsi" w:hAnsi="Times New Roman"/>
          <w:sz w:val="24"/>
          <w:szCs w:val="24"/>
        </w:rPr>
        <w:t xml:space="preserve"> </w:t>
      </w:r>
      <w:r w:rsidRPr="00D77A67">
        <w:rPr>
          <w:rFonts w:ascii="Times New Roman" w:eastAsiaTheme="minorHAnsi" w:hAnsi="Times New Roman"/>
          <w:sz w:val="24"/>
          <w:szCs w:val="24"/>
          <w:lang w:val="en-US"/>
        </w:rPr>
        <w:t xml:space="preserve">&amp; Naumov </w:t>
      </w:r>
      <w:r w:rsidRPr="00D77A67">
        <w:rPr>
          <w:rFonts w:ascii="Times New Roman" w:eastAsiaTheme="minorHAnsi" w:hAnsi="Times New Roman"/>
          <w:sz w:val="24"/>
          <w:szCs w:val="24"/>
        </w:rPr>
        <w:t>(201</w:t>
      </w:r>
      <w:r w:rsidRPr="00D77A67">
        <w:rPr>
          <w:rFonts w:ascii="Times New Roman" w:eastAsiaTheme="minorHAnsi" w:hAnsi="Times New Roman"/>
          <w:sz w:val="24"/>
          <w:szCs w:val="24"/>
          <w:lang w:val="en-US"/>
        </w:rPr>
        <w:t>2</w:t>
      </w:r>
      <w:r w:rsidRPr="00D77A67">
        <w:rPr>
          <w:rFonts w:ascii="Times New Roman" w:eastAsiaTheme="minorHAnsi" w:hAnsi="Times New Roman"/>
          <w:sz w:val="24"/>
          <w:szCs w:val="24"/>
        </w:rPr>
        <w:t>)</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е дадена една</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локация на </w:t>
      </w:r>
      <w:r w:rsidRPr="00D77A67">
        <w:rPr>
          <w:rFonts w:ascii="Times New Roman" w:eastAsiaTheme="minorHAnsi" w:hAnsi="Times New Roman"/>
          <w:i/>
          <w:sz w:val="24"/>
          <w:szCs w:val="24"/>
          <w:lang w:val="en-US"/>
        </w:rPr>
        <w:t>Testudo hermanni</w:t>
      </w:r>
      <w:r w:rsidRPr="00D77A67">
        <w:rPr>
          <w:rFonts w:ascii="Times New Roman" w:eastAsiaTheme="minorHAnsi" w:hAnsi="Times New Roman"/>
          <w:sz w:val="24"/>
          <w:szCs w:val="24"/>
        </w:rPr>
        <w:t xml:space="preserve"> (съответно 1 квадрат</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от </w:t>
      </w:r>
      <w:r w:rsidRPr="00D77A67">
        <w:rPr>
          <w:rFonts w:ascii="Times New Roman" w:eastAsiaTheme="minorHAnsi" w:hAnsi="Times New Roman"/>
          <w:sz w:val="24"/>
          <w:szCs w:val="24"/>
          <w:lang w:val="en-US"/>
        </w:rPr>
        <w:t xml:space="preserve">UTM </w:t>
      </w:r>
      <w:r w:rsidRPr="00D77A67">
        <w:rPr>
          <w:rFonts w:ascii="Times New Roman" w:eastAsiaTheme="minorHAnsi" w:hAnsi="Times New Roman"/>
          <w:sz w:val="24"/>
          <w:szCs w:val="24"/>
        </w:rPr>
        <w:t>грид 1х1</w:t>
      </w:r>
      <w:r w:rsidRPr="00D77A67">
        <w:rPr>
          <w:rFonts w:ascii="Times New Roman" w:eastAsiaTheme="minorHAnsi" w:hAnsi="Times New Roman"/>
          <w:sz w:val="24"/>
          <w:szCs w:val="24"/>
          <w:lang w:val="en-US"/>
        </w:rPr>
        <w:t xml:space="preserve"> km</w:t>
      </w:r>
      <w:r w:rsidRPr="00D77A67">
        <w:rPr>
          <w:rFonts w:ascii="Times New Roman" w:eastAsiaTheme="minorHAnsi" w:hAnsi="Times New Roman"/>
          <w:sz w:val="24"/>
          <w:szCs w:val="24"/>
        </w:rPr>
        <w:t>) в територията на защитената зона. В специфичния доклад от 2013 г. по проект „Картиране и определяне на природозащитното състояние на природни местообитания и видове - фаза I“ (виж ИСЗЗЕМ Натура 2000) няма данни за числеността на вида, а дадената обща площ на потенциалните местообитания (изчислена на база индуктивно моделиране) е 30,71 ha, от които 30,67 ha (2,12% от територията на зоната) са категоризирани като слабо пригодни и 0,04 ha (</w:t>
      </w:r>
      <w:r w:rsidRPr="00D77A67">
        <w:rPr>
          <w:rFonts w:ascii="Times New Roman" w:eastAsiaTheme="minorHAnsi" w:hAnsi="Times New Roman"/>
          <w:sz w:val="24"/>
          <w:szCs w:val="24"/>
          <w:lang w:val="en-US"/>
        </w:rPr>
        <w:t>&lt;</w:t>
      </w:r>
      <w:r w:rsidRPr="00D77A67">
        <w:rPr>
          <w:rFonts w:ascii="Times New Roman" w:eastAsiaTheme="minorHAnsi" w:hAnsi="Times New Roman"/>
          <w:sz w:val="24"/>
          <w:szCs w:val="24"/>
        </w:rPr>
        <w:t>0,01%) – като пригодни. В същия доклад природозащитното състояние на вида в защитената зона е оценено като неблагоприятно-незадоволително, поради липса на данни за численост на популацията и отсътвие на оптимални местообитания.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време на теренните изследвания през 2021 г. видът не беше регистриран в защитената зона. По експертна преценка липсата на данни за присъствие на вида в зоната може да се дължи както на недостатъчна проученост (предвид принципно ниската му численост на повечето места в равнините), така и на други фактори. Необходими са по-подробни изследвания за изясняване на ситуацията.</w:t>
      </w:r>
    </w:p>
    <w:p w:rsidR="00D77A67" w:rsidRPr="00D77A67" w:rsidRDefault="00D77A67" w:rsidP="00D77A67">
      <w:pPr>
        <w:spacing w:after="0" w:line="240" w:lineRule="auto"/>
        <w:jc w:val="both"/>
        <w:rPr>
          <w:rFonts w:ascii="Times New Roman" w:eastAsiaTheme="minorHAnsi" w:hAnsi="Times New Roman"/>
          <w:sz w:val="24"/>
          <w:szCs w:val="24"/>
          <w:highlight w:val="lightGray"/>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lastRenderedPageBreak/>
        <w:t>6. Цели за подобряване/поддържане на природозащитното състояние на вида в зоната</w:t>
      </w:r>
    </w:p>
    <w:p w:rsidR="00D77A67" w:rsidRPr="00D77A67" w:rsidRDefault="00D77A67" w:rsidP="00D77A67">
      <w:pPr>
        <w:spacing w:after="0" w:line="240" w:lineRule="auto"/>
        <w:jc w:val="both"/>
        <w:rPr>
          <w:rFonts w:ascii="Times New Roman" w:eastAsiaTheme="minorHAnsi" w:hAnsi="Times New Roman"/>
          <w:sz w:val="24"/>
          <w:szCs w:val="24"/>
          <w:lang w:val="en-US"/>
        </w:rPr>
      </w:pPr>
    </w:p>
    <w:tbl>
      <w:tblPr>
        <w:tblStyle w:val="TableGrid"/>
        <w:tblW w:w="9997" w:type="dxa"/>
        <w:tblLayout w:type="fixed"/>
        <w:tblLook w:val="04A0" w:firstRow="1" w:lastRow="0" w:firstColumn="1" w:lastColumn="0" w:noHBand="0" w:noVBand="1"/>
      </w:tblPr>
      <w:tblGrid>
        <w:gridCol w:w="1813"/>
        <w:gridCol w:w="1697"/>
        <w:gridCol w:w="1560"/>
        <w:gridCol w:w="2938"/>
        <w:gridCol w:w="1989"/>
      </w:tblGrid>
      <w:tr w:rsidR="00D77A67" w:rsidRPr="00A805FE" w:rsidTr="003A4F26">
        <w:trPr>
          <w:tblHeader/>
        </w:trPr>
        <w:tc>
          <w:tcPr>
            <w:tcW w:w="1813" w:type="dxa"/>
            <w:shd w:val="clear" w:color="auto" w:fill="DBE5F1" w:themeFill="accent1" w:themeFillTint="33"/>
          </w:tcPr>
          <w:p w:rsidR="00D77A67" w:rsidRPr="003A4F26" w:rsidRDefault="00D77A67" w:rsidP="00D77A67">
            <w:pPr>
              <w:spacing w:after="160"/>
              <w:jc w:val="both"/>
              <w:rPr>
                <w:rFonts w:ascii="Times New Roman" w:eastAsiaTheme="minorHAnsi" w:hAnsi="Times New Roman"/>
                <w:b/>
              </w:rPr>
            </w:pPr>
            <w:r w:rsidRPr="003A4F26">
              <w:rPr>
                <w:rFonts w:ascii="Times New Roman" w:eastAsiaTheme="minorHAnsi" w:hAnsi="Times New Roman"/>
                <w:b/>
              </w:rPr>
              <w:t>Параметър</w:t>
            </w:r>
          </w:p>
        </w:tc>
        <w:tc>
          <w:tcPr>
            <w:tcW w:w="1697"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Мерна единица</w:t>
            </w:r>
          </w:p>
        </w:tc>
        <w:tc>
          <w:tcPr>
            <w:tcW w:w="1560"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Целева стойност</w:t>
            </w:r>
          </w:p>
        </w:tc>
        <w:tc>
          <w:tcPr>
            <w:tcW w:w="2938"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Допълнителна информация</w:t>
            </w:r>
          </w:p>
        </w:tc>
        <w:tc>
          <w:tcPr>
            <w:tcW w:w="1989"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Специфична цел</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пространствен обхват</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Брой квадрати 1х1 km с доказано присъствие на вида</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Неизвестна</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Присъствието на вида е доказано за един квадрат от географска мрежа с резолюция 1х1 km.</w:t>
            </w:r>
          </w:p>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 експертна преценка е възможно както единствената известна локация на вида да е резултат на случайност, така и видът да бъде намерен на други места в зоната. С оглед на това е</w:t>
            </w:r>
            <w:r w:rsidRPr="00A805FE">
              <w:rPr>
                <w:rFonts w:asciiTheme="minorHAnsi" w:eastAsiaTheme="minorHAnsi" w:hAnsiTheme="minorHAnsi" w:cstheme="minorBidi"/>
              </w:rPr>
              <w:t xml:space="preserve"> </w:t>
            </w:r>
            <w:r w:rsidRPr="00A805FE">
              <w:rPr>
                <w:rFonts w:ascii="Times New Roman" w:eastAsiaTheme="minorHAnsi" w:hAnsi="Times New Roman"/>
              </w:rPr>
              <w:t>определена междинна цел.</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Междинна цел: да се определи пространственият обхват на популацията чрез провеждане на целенасочени теренни изследвания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относителна численост</w:t>
            </w:r>
          </w:p>
        </w:tc>
        <w:tc>
          <w:tcPr>
            <w:tcW w:w="1697" w:type="dxa"/>
          </w:tcPr>
          <w:p w:rsidR="00D77A67" w:rsidRDefault="00D77A67" w:rsidP="00D77A67">
            <w:pPr>
              <w:spacing w:after="160"/>
              <w:rPr>
                <w:rFonts w:ascii="Times New Roman" w:eastAsiaTheme="minorHAnsi" w:hAnsi="Times New Roman"/>
                <w:lang w:val="bg-BG"/>
              </w:rPr>
            </w:pPr>
            <w:r w:rsidRPr="00A805FE">
              <w:rPr>
                <w:rFonts w:ascii="Times New Roman" w:eastAsiaTheme="minorHAnsi" w:hAnsi="Times New Roman"/>
              </w:rPr>
              <w:t>Брой индивиди на 1000 метра (Ab), изчислен по формулата: Ab = (N/L)*1000, където N е броят на наблюдаваните индивиди, а L е дължината на трансекта в метри</w:t>
            </w:r>
          </w:p>
          <w:p w:rsidR="00881B9B" w:rsidRPr="00881B9B" w:rsidRDefault="00881B9B" w:rsidP="00D77A67">
            <w:pPr>
              <w:spacing w:after="160"/>
              <w:rPr>
                <w:rFonts w:ascii="Times New Roman" w:eastAsiaTheme="minorHAnsi" w:hAnsi="Times New Roman"/>
                <w:lang w:val="bg-BG"/>
              </w:rPr>
            </w:pPr>
            <w:r>
              <w:rPr>
                <w:rFonts w:ascii="Times New Roman" w:eastAsiaTheme="minorHAnsi" w:hAnsi="Times New Roman"/>
                <w:lang w:val="bg-BG"/>
              </w:rPr>
              <w:t>(</w:t>
            </w:r>
            <w:r w:rsidRPr="00F045E1">
              <w:rPr>
                <w:rFonts w:ascii="Times New Roman" w:eastAsiaTheme="minorHAnsi" w:hAnsi="Times New Roman"/>
                <w:lang w:val="bg-BG"/>
              </w:rPr>
              <w:t>виж методиката за мониторинг към НСМСБР</w:t>
            </w:r>
            <w:r>
              <w:rPr>
                <w:rFonts w:ascii="Times New Roman" w:eastAsiaTheme="minorHAnsi" w:hAnsi="Times New Roman"/>
                <w:lang w:val="bg-BG"/>
              </w:rPr>
              <w:t>)</w:t>
            </w:r>
          </w:p>
        </w:tc>
        <w:tc>
          <w:tcPr>
            <w:tcW w:w="1560" w:type="dxa"/>
          </w:tcPr>
          <w:p w:rsidR="00D77A67" w:rsidRPr="00A805FE" w:rsidRDefault="00D77A67" w:rsidP="00D77A67">
            <w:pPr>
              <w:spacing w:after="160"/>
              <w:rPr>
                <w:rFonts w:ascii="Times New Roman" w:eastAsiaTheme="minorHAnsi" w:hAnsi="Times New Roman" w:cstheme="minorBidi"/>
              </w:rPr>
            </w:pPr>
            <w:r w:rsidRPr="00A805FE">
              <w:rPr>
                <w:rFonts w:ascii="Times New Roman" w:eastAsiaTheme="minorHAnsi" w:hAnsi="Times New Roman"/>
              </w:rPr>
              <w:t>Неизвестна</w:t>
            </w:r>
          </w:p>
        </w:tc>
        <w:tc>
          <w:tcPr>
            <w:tcW w:w="2938" w:type="dxa"/>
          </w:tcPr>
          <w:p w:rsidR="00D77A67" w:rsidRPr="00A805FE" w:rsidRDefault="00D77A67" w:rsidP="00D77A67">
            <w:pPr>
              <w:spacing w:after="160"/>
              <w:rPr>
                <w:rFonts w:ascii="Times New Roman" w:eastAsiaTheme="minorHAnsi" w:hAnsi="Times New Roman"/>
                <w:highlight w:val="yellow"/>
              </w:rPr>
            </w:pPr>
            <w:r w:rsidRPr="00A805FE">
              <w:rPr>
                <w:rFonts w:ascii="Times New Roman" w:eastAsiaTheme="minorHAnsi" w:hAnsi="Times New Roman"/>
              </w:rPr>
              <w:t>Няма налични данни за относителната численост на популацията, поради което е определена междинна цел.</w:t>
            </w:r>
          </w:p>
        </w:tc>
        <w:tc>
          <w:tcPr>
            <w:tcW w:w="1989" w:type="dxa"/>
          </w:tcPr>
          <w:p w:rsidR="00D77A67" w:rsidRPr="00A805FE" w:rsidRDefault="00D77A67" w:rsidP="00D77A67">
            <w:pPr>
              <w:spacing w:after="160"/>
              <w:rPr>
                <w:rFonts w:ascii="Times New Roman" w:eastAsiaTheme="minorHAnsi" w:hAnsi="Times New Roman"/>
                <w:highlight w:val="yellow"/>
              </w:rPr>
            </w:pPr>
            <w:r w:rsidRPr="00A805FE">
              <w:rPr>
                <w:rFonts w:ascii="Times New Roman" w:eastAsiaTheme="minorHAnsi" w:hAnsi="Times New Roman"/>
              </w:rPr>
              <w:t>Междинна цел: да се определи относителната численост на популацията чрез провеждане на целенасочени теренни изследвания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(площ): обща площ на потенциалните местообитания</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60" w:type="dxa"/>
          </w:tcPr>
          <w:p w:rsidR="00D77A67" w:rsidRPr="00A805FE" w:rsidRDefault="00D77A67" w:rsidP="00D77A67">
            <w:pPr>
              <w:spacing w:after="160"/>
              <w:rPr>
                <w:rFonts w:ascii="Times New Roman" w:eastAsiaTheme="minorHAnsi" w:hAnsi="Times New Roman" w:cstheme="minorBidi"/>
              </w:rPr>
            </w:pPr>
            <w:r w:rsidRPr="00A805FE">
              <w:rPr>
                <w:rFonts w:ascii="Times New Roman" w:eastAsiaTheme="minorHAnsi" w:hAnsi="Times New Roman"/>
              </w:rPr>
              <w:t>Най-малко 31 ha</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 xml:space="preserve">Единствените данни за площта на потенциалните местообитания на вида в зоната са дадени в специфичния доклад от 2013 г. (виж ИСЗЗЕМ Натура 2000). Площта е изведена чрез индуктивен модел (на база комплекс от фактори, вкл. климатични) с висока статистическа достоверност, поради което дадената стойност (31 ha) може да се приеме като минимална референтна стойност за благоприятно състояние на </w:t>
            </w:r>
            <w:r w:rsidRPr="00A805FE">
              <w:rPr>
                <w:rFonts w:ascii="Times New Roman" w:eastAsiaTheme="minorHAnsi" w:hAnsi="Times New Roman"/>
              </w:rPr>
              <w:lastRenderedPageBreak/>
              <w:t>вида по този параметър.</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Поддържане площта на потенциалните местообитания</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lastRenderedPageBreak/>
              <w:t>Местообитание (площ): площ на разредени гори и храсталаци, пасища, ливади и запустели земеделски земи с дървета и храсти</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Неизвестна</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данни за площта на този тип местообитание на вида са дадени в специфичния доклад от 2013 г. (виж ИСЗЗЕМ Натура 2000), като посочената площ представлява 78,53% от площта на потенциалните местообитания в зоната, т.е. 24 ha (78,53% от 30,71). В същия доклад състоянието на вида по този показател е оценено, като благоприятно.</w:t>
            </w:r>
          </w:p>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Площта на този тип местообитание на вида към 2021 г. е неизвестна, поради което е определена междинна цел.</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Междинна цел: да се определи площта на разредените гори и храсталаци, пасища, ливади и запустели земеделски земи с дървета и храсти, чрез диснационни методи и верификация на терен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(структура и функции): свързаност на потенциалните местообитания</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Обща дължина (в метри) на участъците от линейната транспортна инфраструктура (магистрали и пътища първи и/или втори клас), които пресичат потенциални местообитания на вида и представляват непреодолима или труднопреодолима преграда за същия</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0 m</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Към 2021 г. през зоната не преминават магистрали и пътища първи и втори клас, т.е. състояние на вида по този параметър е благоприятно.</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свързаността на потенциалните местообитания</w:t>
            </w:r>
          </w:p>
        </w:tc>
      </w:tr>
    </w:tbl>
    <w:p w:rsidR="00D77A67" w:rsidRPr="00D77A67" w:rsidRDefault="00D77A67" w:rsidP="00D77A67">
      <w:pPr>
        <w:spacing w:after="0" w:line="240" w:lineRule="auto"/>
        <w:jc w:val="both"/>
        <w:rPr>
          <w:rFonts w:ascii="Times New Roman" w:eastAsiaTheme="minorHAnsi" w:hAnsi="Times New Roman"/>
          <w:sz w:val="24"/>
          <w:szCs w:val="24"/>
          <w:highlight w:val="lightGray"/>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7. Необходимост от актуализация на СФ на защитената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Повечето европейски видове земноводни и влечуги не са пряко свързани с конкретни топографски обекти, поради което измерването на популациите им чрез брой находища изглежда неподходящо, още повече че много често всяка локация (GPS точка) на индивид бива интерпретирана като отделно находище, дори да се намира само на няколко метра от локацията на друг индивид. По този начин броят на т.нар. находища се доближава до броя на регистрациите на индивиди. Това води до некоректна оценка, т.е. такава която не отразява размера на популацията нито </w:t>
      </w:r>
      <w:r w:rsidRPr="00D77A67">
        <w:rPr>
          <w:rFonts w:ascii="Times New Roman" w:eastAsiaTheme="minorHAnsi" w:hAnsi="Times New Roman"/>
          <w:sz w:val="24"/>
          <w:szCs w:val="24"/>
        </w:rPr>
        <w:lastRenderedPageBreak/>
        <w:t xml:space="preserve">пространствено, нито като брой индивиди. Поради тази причина би трябвало или ясно да се дефинира понятието „находище“, или да се използва друга мерна единица. За </w:t>
      </w:r>
      <w:r w:rsidRPr="00D77A67">
        <w:rPr>
          <w:rFonts w:ascii="Times New Roman" w:eastAsiaTheme="minorHAnsi" w:hAnsi="Times New Roman"/>
          <w:i/>
          <w:sz w:val="24"/>
          <w:szCs w:val="24"/>
          <w:lang w:val="en-US"/>
        </w:rPr>
        <w:t xml:space="preserve">Testudo hermanni </w:t>
      </w:r>
      <w:r w:rsidRPr="00D77A67">
        <w:rPr>
          <w:rFonts w:ascii="Times New Roman" w:eastAsiaTheme="minorHAnsi" w:hAnsi="Times New Roman"/>
          <w:sz w:val="24"/>
          <w:szCs w:val="24"/>
        </w:rPr>
        <w:t xml:space="preserve"> дефиницията за находище би могла да бъде само условна и да се изразява в следното: „локация на индивид, отдалечена поне на [примерно] 500 м от друга такава локация“. Такова определение за находище обаче е само пространствено (т.е. дефинира се единствено чрез ХY координати), следователно е почти същото, като квадрат от метрична координатна система. От друга страна именно използването на квадрати от метрична географска мрежа, като мерна единица за популация в </w:t>
      </w:r>
      <w:r w:rsidR="005A0A3C">
        <w:rPr>
          <w:rFonts w:ascii="Times New Roman" w:eastAsiaTheme="minorHAnsi" w:hAnsi="Times New Roman"/>
          <w:sz w:val="24"/>
          <w:szCs w:val="24"/>
        </w:rPr>
        <w:t>СФ</w:t>
      </w:r>
      <w:r w:rsidRPr="00D77A67">
        <w:rPr>
          <w:rFonts w:ascii="Times New Roman" w:eastAsiaTheme="minorHAnsi" w:hAnsi="Times New Roman"/>
          <w:sz w:val="24"/>
          <w:szCs w:val="24"/>
        </w:rPr>
        <w:t>, изглежда много по-подходящо (поне за сравнително големи по площ зони, каквато е тук разглежданата), тъй като допустимите резолюции на мрежата са посочени в Справочния портал за Натура 2000, т.е. те не се нуждаят от субективни дефиниции. С оглед на изложеното дотук, мерните единици за популация на вида в зоната следва да се променят от брой находища (localities), на брой клетки с резолюция 1х1 км (grids1x1), което е максималната допустима резолюция. В този смисъл, както и предвид анализа на наличната информация, следва да се добавят и съответните числени стойности за броя квадрати.</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Предложените актуализации на СФ са както следва:</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9609" w:type="dxa"/>
        <w:tblLook w:val="04A0" w:firstRow="1" w:lastRow="0" w:firstColumn="1" w:lastColumn="0" w:noHBand="0" w:noVBand="1"/>
      </w:tblPr>
      <w:tblGrid>
        <w:gridCol w:w="2434"/>
        <w:gridCol w:w="643"/>
        <w:gridCol w:w="683"/>
        <w:gridCol w:w="1203"/>
        <w:gridCol w:w="650"/>
        <w:gridCol w:w="963"/>
        <w:gridCol w:w="1097"/>
        <w:gridCol w:w="703"/>
        <w:gridCol w:w="583"/>
        <w:gridCol w:w="650"/>
      </w:tblGrid>
      <w:tr w:rsidR="00D77A67" w:rsidRPr="003A4F26" w:rsidTr="008131C7">
        <w:trPr>
          <w:trHeight w:val="255"/>
          <w:tblHeader/>
        </w:trPr>
        <w:tc>
          <w:tcPr>
            <w:tcW w:w="2434" w:type="dxa"/>
          </w:tcPr>
          <w:p w:rsidR="00D77A67" w:rsidRPr="003A4F26" w:rsidRDefault="00D77A67" w:rsidP="00D77A67">
            <w:pPr>
              <w:jc w:val="both"/>
              <w:rPr>
                <w:rFonts w:ascii="Times New Roman" w:eastAsiaTheme="minorHAnsi" w:hAnsi="Times New Roman"/>
                <w:sz w:val="22"/>
                <w:szCs w:val="22"/>
              </w:rPr>
            </w:pPr>
          </w:p>
        </w:tc>
        <w:tc>
          <w:tcPr>
            <w:tcW w:w="4142" w:type="dxa"/>
            <w:gridSpan w:val="5"/>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r w:rsidRPr="003A4F26">
              <w:rPr>
                <w:rFonts w:ascii="Times New Roman" w:eastAsiaTheme="minorHAnsi" w:hAnsi="Times New Roman"/>
                <w:b/>
                <w:sz w:val="22"/>
                <w:szCs w:val="22"/>
              </w:rPr>
              <w:t>Population in the site</w:t>
            </w:r>
          </w:p>
        </w:tc>
        <w:tc>
          <w:tcPr>
            <w:tcW w:w="3033" w:type="dxa"/>
            <w:gridSpan w:val="4"/>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r w:rsidRPr="003A4F26">
              <w:rPr>
                <w:rFonts w:ascii="Times New Roman" w:eastAsiaTheme="minorHAnsi" w:hAnsi="Times New Roman"/>
                <w:b/>
                <w:sz w:val="22"/>
                <w:szCs w:val="22"/>
              </w:rPr>
              <w:t>Site assessment</w:t>
            </w:r>
          </w:p>
        </w:tc>
      </w:tr>
      <w:tr w:rsidR="00D77A67" w:rsidRPr="003A4F26" w:rsidTr="008131C7">
        <w:trPr>
          <w:trHeight w:val="255"/>
        </w:trPr>
        <w:tc>
          <w:tcPr>
            <w:tcW w:w="2434" w:type="dxa"/>
          </w:tcPr>
          <w:p w:rsidR="00D77A67" w:rsidRPr="003A4F26" w:rsidRDefault="00D77A67" w:rsidP="00D77A67">
            <w:pPr>
              <w:jc w:val="both"/>
              <w:rPr>
                <w:rFonts w:ascii="Times New Roman" w:eastAsiaTheme="minorHAnsi" w:hAnsi="Times New Roman"/>
                <w:sz w:val="22"/>
                <w:szCs w:val="22"/>
              </w:rPr>
            </w:pPr>
          </w:p>
        </w:tc>
        <w:tc>
          <w:tcPr>
            <w:tcW w:w="1326" w:type="dxa"/>
            <w:gridSpan w:val="2"/>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lang w:val="bg-BG"/>
              </w:rPr>
            </w:pPr>
            <w:r w:rsidRPr="003A4F26">
              <w:rPr>
                <w:rFonts w:ascii="Times New Roman" w:eastAsiaTheme="minorHAnsi" w:hAnsi="Times New Roman"/>
                <w:b/>
                <w:sz w:val="22"/>
                <w:szCs w:val="22"/>
              </w:rPr>
              <w:t>Size</w:t>
            </w:r>
          </w:p>
        </w:tc>
        <w:tc>
          <w:tcPr>
            <w:tcW w:w="1203"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lang w:val="bg-BG"/>
              </w:rPr>
            </w:pPr>
            <w:r w:rsidRPr="003A4F26">
              <w:rPr>
                <w:rFonts w:ascii="Times New Roman" w:eastAsiaTheme="minorHAnsi" w:hAnsi="Times New Roman"/>
                <w:b/>
                <w:sz w:val="22"/>
                <w:szCs w:val="22"/>
              </w:rPr>
              <w:t>Unit</w:t>
            </w:r>
          </w:p>
        </w:tc>
        <w:tc>
          <w:tcPr>
            <w:tcW w:w="650"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r w:rsidRPr="003A4F26">
              <w:rPr>
                <w:rFonts w:ascii="Times New Roman" w:eastAsiaTheme="minorHAnsi" w:hAnsi="Times New Roman"/>
                <w:b/>
                <w:sz w:val="22"/>
                <w:szCs w:val="22"/>
              </w:rPr>
              <w:t>Cat.</w:t>
            </w:r>
          </w:p>
        </w:tc>
        <w:tc>
          <w:tcPr>
            <w:tcW w:w="963"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r w:rsidRPr="003A4F26">
              <w:rPr>
                <w:rFonts w:ascii="Times New Roman" w:eastAsiaTheme="minorHAnsi" w:hAnsi="Times New Roman"/>
                <w:b/>
                <w:sz w:val="22"/>
                <w:szCs w:val="22"/>
              </w:rPr>
              <w:t>D.qual.</w:t>
            </w:r>
          </w:p>
        </w:tc>
        <w:tc>
          <w:tcPr>
            <w:tcW w:w="1097"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r w:rsidRPr="003A4F26">
              <w:rPr>
                <w:rFonts w:ascii="Times New Roman" w:eastAsiaTheme="minorHAnsi" w:hAnsi="Times New Roman"/>
                <w:b/>
                <w:sz w:val="22"/>
                <w:szCs w:val="22"/>
              </w:rPr>
              <w:t>A/B/C/D</w:t>
            </w:r>
          </w:p>
        </w:tc>
        <w:tc>
          <w:tcPr>
            <w:tcW w:w="1936" w:type="dxa"/>
            <w:gridSpan w:val="3"/>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r w:rsidRPr="003A4F26">
              <w:rPr>
                <w:rFonts w:ascii="Times New Roman" w:eastAsiaTheme="minorHAnsi" w:hAnsi="Times New Roman"/>
                <w:b/>
                <w:sz w:val="22"/>
                <w:szCs w:val="22"/>
              </w:rPr>
              <w:t>A/B/C</w:t>
            </w:r>
          </w:p>
        </w:tc>
      </w:tr>
      <w:tr w:rsidR="00D77A67" w:rsidRPr="003A4F26" w:rsidTr="008131C7">
        <w:trPr>
          <w:trHeight w:val="255"/>
        </w:trPr>
        <w:tc>
          <w:tcPr>
            <w:tcW w:w="2434" w:type="dxa"/>
          </w:tcPr>
          <w:p w:rsidR="00D77A67" w:rsidRPr="003A4F26" w:rsidRDefault="00D77A67" w:rsidP="00D77A67">
            <w:pPr>
              <w:jc w:val="both"/>
              <w:rPr>
                <w:rFonts w:ascii="Times New Roman" w:eastAsiaTheme="minorHAnsi" w:hAnsi="Times New Roman"/>
                <w:sz w:val="22"/>
                <w:szCs w:val="22"/>
              </w:rPr>
            </w:pPr>
          </w:p>
        </w:tc>
        <w:tc>
          <w:tcPr>
            <w:tcW w:w="643"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r w:rsidRPr="003A4F26">
              <w:rPr>
                <w:rFonts w:ascii="Times New Roman" w:eastAsiaTheme="minorHAnsi" w:hAnsi="Times New Roman"/>
                <w:b/>
                <w:sz w:val="22"/>
                <w:szCs w:val="22"/>
              </w:rPr>
              <w:t>Min</w:t>
            </w:r>
          </w:p>
        </w:tc>
        <w:tc>
          <w:tcPr>
            <w:tcW w:w="683"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r w:rsidRPr="003A4F26">
              <w:rPr>
                <w:rFonts w:ascii="Times New Roman" w:eastAsiaTheme="minorHAnsi" w:hAnsi="Times New Roman"/>
                <w:b/>
                <w:sz w:val="22"/>
                <w:szCs w:val="22"/>
              </w:rPr>
              <w:t>Max</w:t>
            </w:r>
          </w:p>
        </w:tc>
        <w:tc>
          <w:tcPr>
            <w:tcW w:w="1203"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p>
        </w:tc>
        <w:tc>
          <w:tcPr>
            <w:tcW w:w="650"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p>
        </w:tc>
        <w:tc>
          <w:tcPr>
            <w:tcW w:w="963"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p>
        </w:tc>
        <w:tc>
          <w:tcPr>
            <w:tcW w:w="1097" w:type="dxa"/>
            <w:shd w:val="clear" w:color="auto" w:fill="D9D9D9" w:themeFill="background1" w:themeFillShade="D9"/>
            <w:noWrap/>
          </w:tcPr>
          <w:p w:rsidR="00D77A67" w:rsidRPr="003A4F26" w:rsidRDefault="00D77A67" w:rsidP="00D77A67">
            <w:pPr>
              <w:rPr>
                <w:rFonts w:ascii="Times New Roman" w:eastAsiaTheme="minorHAnsi" w:hAnsi="Times New Roman"/>
                <w:b/>
                <w:sz w:val="22"/>
                <w:szCs w:val="22"/>
              </w:rPr>
            </w:pPr>
            <w:r w:rsidRPr="003A4F26">
              <w:rPr>
                <w:rFonts w:ascii="Times New Roman" w:eastAsiaTheme="minorHAnsi" w:hAnsi="Times New Roman"/>
                <w:b/>
                <w:sz w:val="22"/>
                <w:szCs w:val="22"/>
              </w:rPr>
              <w:t>Pop.</w:t>
            </w:r>
          </w:p>
        </w:tc>
        <w:tc>
          <w:tcPr>
            <w:tcW w:w="703" w:type="dxa"/>
            <w:shd w:val="clear" w:color="auto" w:fill="D9D9D9" w:themeFill="background1" w:themeFillShade="D9"/>
            <w:noWrap/>
          </w:tcPr>
          <w:p w:rsidR="00D77A67" w:rsidRPr="003A4F26" w:rsidRDefault="00D77A67" w:rsidP="00D77A67">
            <w:pPr>
              <w:rPr>
                <w:rFonts w:ascii="Times New Roman" w:eastAsiaTheme="minorHAnsi" w:hAnsi="Times New Roman"/>
                <w:b/>
                <w:sz w:val="22"/>
                <w:szCs w:val="22"/>
              </w:rPr>
            </w:pPr>
            <w:r w:rsidRPr="003A4F26">
              <w:rPr>
                <w:rFonts w:ascii="Times New Roman" w:eastAsiaTheme="minorHAnsi" w:hAnsi="Times New Roman"/>
                <w:b/>
                <w:sz w:val="22"/>
                <w:szCs w:val="22"/>
              </w:rPr>
              <w:t>Con.</w:t>
            </w:r>
          </w:p>
        </w:tc>
        <w:tc>
          <w:tcPr>
            <w:tcW w:w="583" w:type="dxa"/>
            <w:shd w:val="clear" w:color="auto" w:fill="D9D9D9" w:themeFill="background1" w:themeFillShade="D9"/>
            <w:noWrap/>
          </w:tcPr>
          <w:p w:rsidR="00D77A67" w:rsidRPr="003A4F26" w:rsidRDefault="00D77A67" w:rsidP="00D77A67">
            <w:pPr>
              <w:rPr>
                <w:rFonts w:ascii="Times New Roman" w:eastAsiaTheme="minorHAnsi" w:hAnsi="Times New Roman"/>
                <w:b/>
                <w:sz w:val="22"/>
                <w:szCs w:val="22"/>
              </w:rPr>
            </w:pPr>
            <w:r w:rsidRPr="003A4F26">
              <w:rPr>
                <w:rFonts w:ascii="Times New Roman" w:eastAsiaTheme="minorHAnsi" w:hAnsi="Times New Roman"/>
                <w:b/>
                <w:sz w:val="22"/>
                <w:szCs w:val="22"/>
              </w:rPr>
              <w:t>Iso.</w:t>
            </w:r>
          </w:p>
        </w:tc>
        <w:tc>
          <w:tcPr>
            <w:tcW w:w="650" w:type="dxa"/>
            <w:shd w:val="clear" w:color="auto" w:fill="D9D9D9" w:themeFill="background1" w:themeFillShade="D9"/>
            <w:noWrap/>
          </w:tcPr>
          <w:p w:rsidR="00D77A67" w:rsidRPr="003A4F26" w:rsidRDefault="00D77A67" w:rsidP="00D77A67">
            <w:pPr>
              <w:rPr>
                <w:rFonts w:ascii="Times New Roman" w:eastAsiaTheme="minorHAnsi" w:hAnsi="Times New Roman"/>
                <w:b/>
                <w:sz w:val="22"/>
                <w:szCs w:val="22"/>
              </w:rPr>
            </w:pPr>
            <w:r w:rsidRPr="003A4F26">
              <w:rPr>
                <w:rFonts w:ascii="Times New Roman" w:eastAsiaTheme="minorHAnsi" w:hAnsi="Times New Roman"/>
                <w:b/>
                <w:sz w:val="22"/>
                <w:szCs w:val="22"/>
              </w:rPr>
              <w:t>Glo.</w:t>
            </w:r>
          </w:p>
        </w:tc>
      </w:tr>
      <w:tr w:rsidR="00D77A67" w:rsidRPr="003A4F26" w:rsidTr="008131C7">
        <w:trPr>
          <w:trHeight w:val="255"/>
        </w:trPr>
        <w:tc>
          <w:tcPr>
            <w:tcW w:w="2434" w:type="dxa"/>
          </w:tcPr>
          <w:p w:rsidR="00D77A67" w:rsidRPr="003A4F26" w:rsidRDefault="00D77A67" w:rsidP="00D77A67">
            <w:pPr>
              <w:rPr>
                <w:rFonts w:ascii="Times New Roman" w:eastAsiaTheme="minorHAnsi" w:hAnsi="Times New Roman"/>
                <w:sz w:val="22"/>
                <w:szCs w:val="22"/>
                <w:lang w:val="bg-BG"/>
              </w:rPr>
            </w:pPr>
            <w:r w:rsidRPr="003A4F26">
              <w:rPr>
                <w:rFonts w:ascii="Times New Roman" w:eastAsiaTheme="minorHAnsi" w:hAnsi="Times New Roman"/>
                <w:sz w:val="22"/>
                <w:szCs w:val="22"/>
                <w:lang w:val="bg-BG"/>
              </w:rPr>
              <w:t>Съществуваща оценка</w:t>
            </w:r>
          </w:p>
        </w:tc>
        <w:tc>
          <w:tcPr>
            <w:tcW w:w="643" w:type="dxa"/>
            <w:noWrap/>
          </w:tcPr>
          <w:p w:rsidR="00D77A67" w:rsidRPr="003A4F26" w:rsidRDefault="00D77A67" w:rsidP="00D77A67">
            <w:pPr>
              <w:rPr>
                <w:rFonts w:ascii="Times New Roman" w:eastAsiaTheme="minorHAnsi" w:hAnsi="Times New Roman"/>
                <w:sz w:val="22"/>
                <w:szCs w:val="22"/>
              </w:rPr>
            </w:pPr>
          </w:p>
        </w:tc>
        <w:tc>
          <w:tcPr>
            <w:tcW w:w="683" w:type="dxa"/>
            <w:noWrap/>
          </w:tcPr>
          <w:p w:rsidR="00D77A67" w:rsidRPr="003A4F26" w:rsidRDefault="00D77A67" w:rsidP="00D77A67">
            <w:pPr>
              <w:rPr>
                <w:rFonts w:ascii="Times New Roman" w:eastAsiaTheme="minorHAnsi" w:hAnsi="Times New Roman"/>
                <w:sz w:val="22"/>
                <w:szCs w:val="22"/>
              </w:rPr>
            </w:pPr>
          </w:p>
        </w:tc>
        <w:tc>
          <w:tcPr>
            <w:tcW w:w="1203"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localities</w:t>
            </w:r>
          </w:p>
        </w:tc>
        <w:tc>
          <w:tcPr>
            <w:tcW w:w="650"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P</w:t>
            </w:r>
          </w:p>
        </w:tc>
        <w:tc>
          <w:tcPr>
            <w:tcW w:w="963"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DD</w:t>
            </w:r>
          </w:p>
        </w:tc>
        <w:tc>
          <w:tcPr>
            <w:tcW w:w="1097"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C</w:t>
            </w:r>
          </w:p>
        </w:tc>
        <w:tc>
          <w:tcPr>
            <w:tcW w:w="703"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A</w:t>
            </w:r>
          </w:p>
        </w:tc>
        <w:tc>
          <w:tcPr>
            <w:tcW w:w="583"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C</w:t>
            </w:r>
          </w:p>
        </w:tc>
        <w:tc>
          <w:tcPr>
            <w:tcW w:w="650"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A</w:t>
            </w:r>
          </w:p>
        </w:tc>
      </w:tr>
      <w:tr w:rsidR="00D77A67" w:rsidRPr="003A4F26" w:rsidTr="008131C7">
        <w:trPr>
          <w:trHeight w:val="255"/>
        </w:trPr>
        <w:tc>
          <w:tcPr>
            <w:tcW w:w="2434" w:type="dxa"/>
          </w:tcPr>
          <w:p w:rsidR="00D77A67" w:rsidRPr="003A4F26" w:rsidRDefault="00D77A67" w:rsidP="00D77A67">
            <w:pPr>
              <w:rPr>
                <w:rFonts w:ascii="Times New Roman" w:eastAsiaTheme="minorHAnsi" w:hAnsi="Times New Roman"/>
                <w:sz w:val="22"/>
                <w:szCs w:val="22"/>
                <w:lang w:val="bg-BG"/>
              </w:rPr>
            </w:pPr>
            <w:r w:rsidRPr="003A4F26">
              <w:rPr>
                <w:rFonts w:ascii="Times New Roman" w:eastAsiaTheme="minorHAnsi" w:hAnsi="Times New Roman"/>
                <w:sz w:val="22"/>
                <w:szCs w:val="22"/>
                <w:lang w:val="bg-BG"/>
              </w:rPr>
              <w:t>Актуализация</w:t>
            </w:r>
          </w:p>
        </w:tc>
        <w:tc>
          <w:tcPr>
            <w:tcW w:w="643" w:type="dxa"/>
            <w:noWrap/>
          </w:tcPr>
          <w:p w:rsidR="00D77A67" w:rsidRPr="003A4F26" w:rsidRDefault="00D77A67" w:rsidP="00D77A67">
            <w:pPr>
              <w:rPr>
                <w:rFonts w:ascii="Times New Roman" w:eastAsiaTheme="minorHAnsi" w:hAnsi="Times New Roman"/>
                <w:sz w:val="22"/>
                <w:szCs w:val="22"/>
                <w:lang w:val="bg-BG"/>
              </w:rPr>
            </w:pPr>
            <w:r w:rsidRPr="003A4F26">
              <w:rPr>
                <w:rFonts w:ascii="Times New Roman" w:eastAsiaTheme="minorHAnsi" w:hAnsi="Times New Roman"/>
                <w:sz w:val="22"/>
                <w:szCs w:val="22"/>
                <w:lang w:val="bg-BG"/>
              </w:rPr>
              <w:t>1</w:t>
            </w:r>
          </w:p>
        </w:tc>
        <w:tc>
          <w:tcPr>
            <w:tcW w:w="683" w:type="dxa"/>
            <w:noWrap/>
          </w:tcPr>
          <w:p w:rsidR="00D77A67" w:rsidRPr="003A4F26" w:rsidRDefault="00D77A67" w:rsidP="00D77A67">
            <w:pPr>
              <w:rPr>
                <w:rFonts w:ascii="Times New Roman" w:eastAsiaTheme="minorHAnsi" w:hAnsi="Times New Roman"/>
                <w:sz w:val="22"/>
                <w:szCs w:val="22"/>
                <w:lang w:val="bg-BG"/>
              </w:rPr>
            </w:pPr>
            <w:r w:rsidRPr="003A4F26">
              <w:rPr>
                <w:rFonts w:ascii="Times New Roman" w:eastAsiaTheme="minorHAnsi" w:hAnsi="Times New Roman"/>
                <w:sz w:val="22"/>
                <w:szCs w:val="22"/>
                <w:lang w:val="bg-BG"/>
              </w:rPr>
              <w:t>1</w:t>
            </w:r>
          </w:p>
        </w:tc>
        <w:tc>
          <w:tcPr>
            <w:tcW w:w="1203"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grids1x1</w:t>
            </w:r>
          </w:p>
        </w:tc>
        <w:tc>
          <w:tcPr>
            <w:tcW w:w="650"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P</w:t>
            </w:r>
          </w:p>
        </w:tc>
        <w:tc>
          <w:tcPr>
            <w:tcW w:w="963"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DD</w:t>
            </w:r>
          </w:p>
        </w:tc>
        <w:tc>
          <w:tcPr>
            <w:tcW w:w="1097"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C</w:t>
            </w:r>
          </w:p>
        </w:tc>
        <w:tc>
          <w:tcPr>
            <w:tcW w:w="703"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A</w:t>
            </w:r>
          </w:p>
        </w:tc>
        <w:tc>
          <w:tcPr>
            <w:tcW w:w="583"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C</w:t>
            </w:r>
          </w:p>
        </w:tc>
        <w:tc>
          <w:tcPr>
            <w:tcW w:w="650"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8. Цитирана литература</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Бешков, В., К. Нанев. 2002. Земноводни и влечуги в България. Pensoft, София-Москва, 120 с.</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Цанков, Н., Г. Попгеоргиев, Б. Наумов, А. Стоянов, Ю. Корнилев, Б. Петров, А. Дюгмеджиев, В. Вергилов, Р. Драганова, С. Луканов, А. Вестерстрьом. 2014. Oпределител на земноводните и влечугите в природен парк „Витоша“. София, Дирекция на Природен парк „Витоша“, 248 с.</w:t>
      </w:r>
    </w:p>
    <w:p w:rsidR="00D77A67" w:rsidRPr="00D77A67" w:rsidRDefault="00D77A67" w:rsidP="00D77A67">
      <w:pPr>
        <w:spacing w:after="0" w:line="240" w:lineRule="auto"/>
        <w:ind w:left="567" w:hanging="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Beshkov, V. 1997. Record-sized tortoises, Testudo graeca ibera and Testudo hermani boettgeri, from Bulgaria. – Chelonian Conservation and Biology, 2(4): 593-596.</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Beshkov, V. 2015. Eastern Hermann’s Tortoise Eurotestudo hermanni boettgeri (Mojsisovics, 1889). – In: Golemanski, V. et al. (Eds.): Red Data Book of the Republic of Bulgaria. Volume 2. Animals. BAS &amp; MoEW, Sofia, p. 202.</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Biserkov, V., B. Naumov. 2012. Changes after 1948 in the habitats of amphibians and reptiles in the area of the Srebarna lake biosphere reserve. – In: Uzunov, Y., B. Georgiev, E. Varadinova, N. Ivanova, L. Pehlivanov, V. Vasilev (Eds.) Ecosystems of the Biosphere Reserve Srebarna Lake. Professor Marin Drinov Academic Publishing House, Sofia, pp. 163-183.</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Stojanov, A., N. Tzankov, B. Naumov. 2011. Die Amphibien und Reptilien Bulgariens. Frankfurt am Main, Chimaira, 588 pp.</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sz w:val="24"/>
          <w:szCs w:val="24"/>
          <w:lang w:eastAsia="bg-BG"/>
        </w:rPr>
      </w:pPr>
      <w:r w:rsidRPr="00D77A67">
        <w:rPr>
          <w:rFonts w:ascii="Times New Roman" w:eastAsiaTheme="minorHAnsi" w:hAnsi="Times New Roman"/>
          <w:i/>
          <w:sz w:val="24"/>
          <w:szCs w:val="24"/>
          <w:lang w:eastAsia="bg-BG"/>
        </w:rPr>
        <w:t>Автори</w:t>
      </w:r>
      <w:r w:rsidRPr="00D77A67">
        <w:rPr>
          <w:rFonts w:ascii="Times New Roman" w:eastAsiaTheme="minorHAnsi" w:hAnsi="Times New Roman"/>
          <w:sz w:val="24"/>
          <w:szCs w:val="24"/>
          <w:lang w:eastAsia="bg-BG"/>
        </w:rPr>
        <w:t>: Борислав Наумов, Георги Георгиев, Георги Попгеоргиев, Димитър Плачийски</w:t>
      </w:r>
    </w:p>
    <w:p w:rsidR="00D77A67" w:rsidRPr="00D77A67" w:rsidRDefault="00D77A67" w:rsidP="00D77A67">
      <w:pPr>
        <w:spacing w:after="0" w:line="240" w:lineRule="auto"/>
        <w:jc w:val="both"/>
        <w:rPr>
          <w:rFonts w:ascii="Times New Roman" w:eastAsiaTheme="minorHAnsi" w:hAnsi="Times New Roman"/>
          <w:sz w:val="24"/>
          <w:szCs w:val="24"/>
        </w:rPr>
      </w:pPr>
    </w:p>
    <w:p w:rsidR="00107719" w:rsidRDefault="00107719" w:rsidP="001033EC">
      <w:pPr>
        <w:rPr>
          <w:rFonts w:ascii="Times New Roman" w:hAnsi="Times New Roman"/>
          <w:color w:val="1F497D" w:themeColor="text2"/>
          <w:sz w:val="28"/>
          <w:szCs w:val="28"/>
        </w:rPr>
      </w:pPr>
    </w:p>
    <w:p w:rsidR="001033EC" w:rsidRDefault="00107719" w:rsidP="003A4F26">
      <w:pPr>
        <w:outlineLvl w:val="1"/>
        <w:rPr>
          <w:rFonts w:ascii="Times New Roman" w:hAnsi="Times New Roman"/>
          <w:color w:val="1F497D" w:themeColor="text2"/>
          <w:sz w:val="28"/>
          <w:szCs w:val="28"/>
        </w:rPr>
      </w:pPr>
      <w:bookmarkStart w:id="84" w:name="_Toc98838562"/>
      <w:r>
        <w:rPr>
          <w:rFonts w:ascii="Times New Roman" w:hAnsi="Times New Roman"/>
          <w:color w:val="1F497D" w:themeColor="text2"/>
          <w:sz w:val="28"/>
          <w:szCs w:val="28"/>
        </w:rPr>
        <w:t xml:space="preserve">Природозащитни цели за </w:t>
      </w:r>
      <w:r w:rsidR="001033EC">
        <w:rPr>
          <w:rFonts w:ascii="Times New Roman" w:hAnsi="Times New Roman"/>
          <w:color w:val="1F497D" w:themeColor="text2"/>
          <w:sz w:val="28"/>
          <w:szCs w:val="28"/>
        </w:rPr>
        <w:t xml:space="preserve">1993 </w:t>
      </w:r>
      <w:r w:rsidR="001033EC" w:rsidRPr="00107719">
        <w:rPr>
          <w:rFonts w:ascii="Times New Roman" w:hAnsi="Times New Roman"/>
          <w:i/>
          <w:color w:val="1F497D" w:themeColor="text2"/>
          <w:sz w:val="28"/>
          <w:szCs w:val="28"/>
        </w:rPr>
        <w:t>Triturus dobrogicus</w:t>
      </w:r>
      <w:bookmarkEnd w:id="84"/>
    </w:p>
    <w:p w:rsidR="00D77A67" w:rsidRPr="008131C7" w:rsidRDefault="00D77A67" w:rsidP="00D77A67">
      <w:pPr>
        <w:spacing w:after="0" w:line="240" w:lineRule="auto"/>
        <w:jc w:val="both"/>
        <w:rPr>
          <w:rFonts w:ascii="Times New Roman" w:eastAsiaTheme="minorHAnsi" w:hAnsi="Times New Roman"/>
          <w:sz w:val="24"/>
          <w:szCs w:val="24"/>
        </w:rPr>
      </w:pPr>
      <w:r w:rsidRPr="00D77A67">
        <w:rPr>
          <w:rFonts w:ascii="Times New Roman" w:eastAsiaTheme="minorHAnsi" w:hAnsi="Times New Roman"/>
          <w:b/>
          <w:sz w:val="24"/>
          <w:szCs w:val="24"/>
        </w:rPr>
        <w:lastRenderedPageBreak/>
        <w:t xml:space="preserve">1. Код и наименование на вида: </w:t>
      </w:r>
      <w:r w:rsidRPr="00D77A67">
        <w:rPr>
          <w:rFonts w:ascii="Times New Roman" w:eastAsiaTheme="minorHAnsi" w:hAnsi="Times New Roman"/>
          <w:sz w:val="24"/>
          <w:szCs w:val="24"/>
        </w:rPr>
        <w:t xml:space="preserve">1993 </w:t>
      </w:r>
      <w:r w:rsidRPr="00D77A67">
        <w:rPr>
          <w:rFonts w:ascii="Times New Roman" w:eastAsiaTheme="minorHAnsi" w:hAnsi="Times New Roman"/>
          <w:i/>
          <w:sz w:val="24"/>
          <w:szCs w:val="24"/>
        </w:rPr>
        <w:t>Triturus</w:t>
      </w:r>
      <w:r w:rsidRPr="00D77A67">
        <w:rPr>
          <w:rFonts w:ascii="Times New Roman" w:eastAsiaTheme="minorHAnsi" w:hAnsi="Times New Roman"/>
          <w:b/>
          <w:i/>
          <w:sz w:val="24"/>
          <w:szCs w:val="24"/>
        </w:rPr>
        <w:t xml:space="preserve"> </w:t>
      </w:r>
      <w:r w:rsidRPr="008131C7">
        <w:rPr>
          <w:rFonts w:ascii="Times New Roman" w:eastAsiaTheme="minorHAnsi" w:hAnsi="Times New Roman"/>
          <w:i/>
          <w:sz w:val="24"/>
          <w:szCs w:val="24"/>
        </w:rPr>
        <w:t>dobrogicus</w:t>
      </w:r>
      <w:r w:rsidRPr="008131C7">
        <w:rPr>
          <w:rFonts w:ascii="Times New Roman" w:eastAsiaTheme="minorHAnsi" w:hAnsi="Times New Roman"/>
          <w:sz w:val="24"/>
          <w:szCs w:val="24"/>
        </w:rPr>
        <w:t xml:space="preserve"> – дунавски гребенест тритон</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2. Кратка характеристика на целевия обект</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Общата дължина на тялото обикновено достига 12-14 cm при мъжките и 13-18 cm при женските. Тялото е сравнително дълго и тънко, а крайниците са къси. Гръбната страна е червеникавокафява, тъмно оранжева или сиво-черна, с множество овални черни петна. Коремът е жълт, оранжев или керемиденочервен, изпъстрен с дребни или едри тъмни, до черни петна, които понякога се сливат, образувайки една или две надлъжни ивици с неправилна форма. Гушата най-често е черна с множество дребни бели петънца. По време на размножителния период мъжките имат висок, остро назъбен гребен по дължината на гърба, повече или по-малко ясно отделен от опашния плавник (Stojanov et al. 2011).</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Разпространението на вида в България е силно ограничено, като почти всички известни находища се намират в непосредствена близост до р. Дунав (Naumov &amp; Biserkov 2013; Popgeorgiev et al. 2019); изключение представляват само непотвърдените данни за намирането на вида при Дуранкулак през първата половина на ХХ век (Gherghel &amp; Iftime 2009). Обитава различни типове водоеми, като езера, блата, изкуствени канали, реки с бавно течение и разливите им и др. (Stojanov et al. 2011).</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Начинът на живот на </w:t>
      </w:r>
      <w:r w:rsidRPr="00D77A67">
        <w:rPr>
          <w:rFonts w:ascii="Times New Roman" w:eastAsiaTheme="minorHAnsi" w:hAnsi="Times New Roman"/>
          <w:i/>
          <w:sz w:val="24"/>
          <w:szCs w:val="24"/>
        </w:rPr>
        <w:t>Triturus dobrogicus</w:t>
      </w:r>
      <w:r w:rsidRPr="00D77A67">
        <w:rPr>
          <w:rFonts w:ascii="Times New Roman" w:eastAsiaTheme="minorHAnsi" w:hAnsi="Times New Roman"/>
          <w:sz w:val="24"/>
          <w:szCs w:val="24"/>
        </w:rPr>
        <w:t xml:space="preserve"> в България е много слабо проучен. Няма конкретни данни нито за продължителността на размножителния период, нито за хранителния спектър на вида, въпреки че последният вероятно е много сходен с този на другите тритони и включва различни видове водни и наземни безгръбначни животни, както и яйца и ларви на земноводни. Масовото напускане на водните местообитания става през октомври-ноември, а хибернацията протича на сушата (Stojanov et al. 2011).</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3. Състояние на биогеографско ниво и разпространение в мрежата</w:t>
      </w:r>
    </w:p>
    <w:p w:rsidR="00D77A67" w:rsidRPr="00D77A67" w:rsidRDefault="00D77A67" w:rsidP="00DE58DC">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Triturus dobrogicus</w:t>
      </w:r>
      <w:r w:rsidRPr="00D77A67">
        <w:rPr>
          <w:rFonts w:ascii="Times New Roman" w:eastAsiaTheme="minorHAnsi" w:hAnsi="Times New Roman"/>
          <w:sz w:val="24"/>
          <w:szCs w:val="24"/>
        </w:rPr>
        <w:t xml:space="preserve"> фигурира в Червената книга на България, в качеството на уязвим вид, а като отрицателно действащи фактори са посочени пресушаването на много от крайдунавските блата и разливи, корекциите на най-долните течения на някои от българските дунавски притоци, замърсяването на някои от обитаваните водоеми с индустриални и битови отпадъци, нефтопродукти и др. (Beshkov 2015).</w:t>
      </w:r>
    </w:p>
    <w:p w:rsidR="00D77A67" w:rsidRPr="00D77A67" w:rsidRDefault="00D77A67" w:rsidP="00DE58DC">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Според националното докладване по Чл. 17 от Директива 92/43 през 2013 г. природозащи</w:t>
      </w:r>
      <w:r w:rsidR="00DE58DC">
        <w:rPr>
          <w:rFonts w:ascii="Times New Roman" w:eastAsiaTheme="minorHAnsi" w:hAnsi="Times New Roman"/>
          <w:sz w:val="24"/>
          <w:szCs w:val="24"/>
        </w:rPr>
        <w:t>тното състояние (ПС) на вида в К</w:t>
      </w:r>
      <w:r w:rsidRPr="00D77A67">
        <w:rPr>
          <w:rFonts w:ascii="Times New Roman" w:eastAsiaTheme="minorHAnsi" w:hAnsi="Times New Roman"/>
          <w:sz w:val="24"/>
          <w:szCs w:val="24"/>
        </w:rPr>
        <w:t>онтиненталния биогеографски регион е благоприятно (FV) по всич</w:t>
      </w:r>
      <w:r w:rsidR="00DE58DC">
        <w:rPr>
          <w:rFonts w:ascii="Times New Roman" w:eastAsiaTheme="minorHAnsi" w:hAnsi="Times New Roman"/>
          <w:sz w:val="24"/>
          <w:szCs w:val="24"/>
        </w:rPr>
        <w:t>ки показататели за оценка, а в Ч</w:t>
      </w:r>
      <w:r w:rsidRPr="00D77A67">
        <w:rPr>
          <w:rFonts w:ascii="Times New Roman" w:eastAsiaTheme="minorHAnsi" w:hAnsi="Times New Roman"/>
          <w:sz w:val="24"/>
          <w:szCs w:val="24"/>
        </w:rPr>
        <w:t>ерноморския – неизвестно (ХХ) поради липса на данни за популацията и за бъдещите перспективи. Според докладването от 2019 г.  ПС на вида е неблагоприятно-незадоволително (U1) и в двата биогеографски региона поради негативната оценка на бъдещите перспективи, а общата тенденция е за стабилно състояние.</w:t>
      </w:r>
    </w:p>
    <w:p w:rsidR="00D77A67" w:rsidRPr="00D77A67" w:rsidRDefault="00D77A67" w:rsidP="00DE58DC">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Triturus dobrogicus</w:t>
      </w:r>
      <w:r w:rsidRPr="00D77A67">
        <w:rPr>
          <w:rFonts w:ascii="Times New Roman" w:eastAsiaTheme="minorHAnsi" w:hAnsi="Times New Roman"/>
          <w:sz w:val="24"/>
          <w:szCs w:val="24"/>
        </w:rPr>
        <w:t xml:space="preserve"> фигурира в стандартните формуляри за данни на 42 защитени зони за местообитанията от мрежата Натура 2000 в България.</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4. Състояние на ниво защитена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В Стандартния формуляр на зоната са дадени следните оценки за </w:t>
      </w:r>
      <w:r w:rsidRPr="00D77A67">
        <w:rPr>
          <w:rFonts w:ascii="Times New Roman" w:eastAsiaTheme="minorHAnsi" w:hAnsi="Times New Roman"/>
          <w:i/>
          <w:sz w:val="24"/>
          <w:szCs w:val="24"/>
        </w:rPr>
        <w:t>Triturus dobrogicus</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6975" w:type="dxa"/>
        <w:jc w:val="center"/>
        <w:tblLook w:val="04A0" w:firstRow="1" w:lastRow="0" w:firstColumn="1" w:lastColumn="0" w:noHBand="0" w:noVBand="1"/>
      </w:tblPr>
      <w:tblGrid>
        <w:gridCol w:w="617"/>
        <w:gridCol w:w="656"/>
        <w:gridCol w:w="1203"/>
        <w:gridCol w:w="614"/>
        <w:gridCol w:w="923"/>
        <w:gridCol w:w="1083"/>
        <w:gridCol w:w="677"/>
        <w:gridCol w:w="570"/>
        <w:gridCol w:w="636"/>
      </w:tblGrid>
      <w:tr w:rsidR="00D77A67" w:rsidRPr="00A805FE" w:rsidTr="008131C7">
        <w:trPr>
          <w:trHeight w:val="255"/>
          <w:jc w:val="center"/>
        </w:trPr>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Site assessment</w:t>
            </w:r>
          </w:p>
        </w:tc>
      </w:tr>
      <w:tr w:rsidR="00D77A67" w:rsidRPr="00A805FE" w:rsidTr="008131C7">
        <w:trPr>
          <w:trHeight w:val="255"/>
          <w:jc w:val="center"/>
        </w:trPr>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w:t>
            </w:r>
          </w:p>
        </w:tc>
      </w:tr>
      <w:tr w:rsidR="00D77A67" w:rsidRPr="00A805FE" w:rsidTr="008131C7">
        <w:trPr>
          <w:trHeight w:val="255"/>
          <w:jc w:val="center"/>
        </w:trPr>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Glo.</w:t>
            </w:r>
          </w:p>
        </w:tc>
      </w:tr>
      <w:tr w:rsidR="00D77A67" w:rsidRPr="00A805FE" w:rsidTr="008131C7">
        <w:trPr>
          <w:trHeight w:val="255"/>
          <w:jc w:val="center"/>
        </w:trPr>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3</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3</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V</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ind w:firstLine="567"/>
        <w:jc w:val="both"/>
        <w:rPr>
          <w:rFonts w:ascii="Times New Roman" w:eastAsiaTheme="minorHAnsi" w:hAnsi="Times New Roman"/>
          <w:sz w:val="24"/>
          <w:szCs w:val="24"/>
        </w:rPr>
      </w:pP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lastRenderedPageBreak/>
        <w:t>Предвид характера на националния ареал на вида (среща се само по дунавското крайбрежие) е ясно, че всички защитени зони, включително „Сребърна“, които обхващат крайдунавските влажни зони са от съществено значение за опазването на вида.</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5. Анализ на наличната информация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На картата в работата на Biserkov &amp; Naumov (2012) са дадени 3 локации на </w:t>
      </w:r>
      <w:r w:rsidRPr="00D77A67">
        <w:rPr>
          <w:rFonts w:ascii="Times New Roman" w:eastAsiaTheme="minorHAnsi" w:hAnsi="Times New Roman"/>
          <w:i/>
          <w:sz w:val="24"/>
          <w:szCs w:val="24"/>
        </w:rPr>
        <w:t>Triturus dobrogicus</w:t>
      </w:r>
      <w:r w:rsidRPr="00D77A67">
        <w:rPr>
          <w:rFonts w:ascii="Times New Roman" w:eastAsiaTheme="minorHAnsi" w:hAnsi="Times New Roman"/>
          <w:sz w:val="24"/>
          <w:szCs w:val="24"/>
        </w:rPr>
        <w:t xml:space="preserve"> (попадащи в 2 квадрата от UTM грид 1х1 km) в територията на защитената зона, а Popgeorgiev et al. (2019) потвърждават присъствието на вида в същите квадрати. В специфичния доклад от 2013 г. по проект „Картиране и определяне на природозащитното състояние на природни местообитания и видове - фаза I“ (виж ИСЗЗЕМ Натура 2000) няма данни за числеността на вида, а дадената обща площ на потенциалните местообитания (изчислена на база индуктивно моделиране) е 1184,32 ha, от които 103,14 ha (7,13% от територията на зоната) са категоризирани като слабо пригодни,  109,73 ha (7,58%) – като пригодни и 971,46 ha (67,11%) – като оптимални. В същия доклад природозащитното състояние на вида в защитената зона е оценено като неблагоприятно-незадоволително, поради отсъствието на данни за популацията.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време на теренните изследвания през 2021 г. видът беше регистриран на едно място в зоната, съответно един квадрат (1х1 km), но различен от тези, за които има предишни данни. По експертна преценка състоянието на потенциалните местообитания понастоящем е добро.</w:t>
      </w:r>
    </w:p>
    <w:p w:rsidR="00D77A67" w:rsidRPr="00D77A67" w:rsidRDefault="00D77A67" w:rsidP="00D77A67">
      <w:pPr>
        <w:spacing w:after="0" w:line="240" w:lineRule="auto"/>
        <w:jc w:val="both"/>
        <w:rPr>
          <w:rFonts w:ascii="Times New Roman" w:eastAsiaTheme="minorHAnsi" w:hAnsi="Times New Roman"/>
          <w:sz w:val="24"/>
          <w:szCs w:val="24"/>
          <w:highlight w:val="lightGray"/>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6. Цели за подобряване/поддържане на природозащитното състояние на вида в зоната</w:t>
      </w:r>
    </w:p>
    <w:p w:rsidR="00D77A67" w:rsidRPr="00D77A67" w:rsidRDefault="00D77A67" w:rsidP="00D77A67">
      <w:pPr>
        <w:spacing w:after="0" w:line="240" w:lineRule="auto"/>
        <w:jc w:val="both"/>
        <w:rPr>
          <w:rFonts w:ascii="Times New Roman" w:eastAsiaTheme="minorHAnsi" w:hAnsi="Times New Roman"/>
          <w:sz w:val="24"/>
          <w:szCs w:val="24"/>
        </w:rPr>
      </w:pPr>
    </w:p>
    <w:tbl>
      <w:tblPr>
        <w:tblStyle w:val="TableGrid"/>
        <w:tblW w:w="9997" w:type="dxa"/>
        <w:tblLayout w:type="fixed"/>
        <w:tblLook w:val="04A0" w:firstRow="1" w:lastRow="0" w:firstColumn="1" w:lastColumn="0" w:noHBand="0" w:noVBand="1"/>
      </w:tblPr>
      <w:tblGrid>
        <w:gridCol w:w="1854"/>
        <w:gridCol w:w="1798"/>
        <w:gridCol w:w="1559"/>
        <w:gridCol w:w="2801"/>
        <w:gridCol w:w="1985"/>
      </w:tblGrid>
      <w:tr w:rsidR="00D77A67" w:rsidRPr="00A805FE" w:rsidTr="003A4F26">
        <w:trPr>
          <w:tblHeader/>
        </w:trPr>
        <w:tc>
          <w:tcPr>
            <w:tcW w:w="1854" w:type="dxa"/>
            <w:shd w:val="clear" w:color="auto" w:fill="DBE5F1" w:themeFill="accent1" w:themeFillTint="33"/>
          </w:tcPr>
          <w:p w:rsidR="00D77A67" w:rsidRPr="003A4F26" w:rsidRDefault="00D77A67" w:rsidP="00D77A67">
            <w:pPr>
              <w:spacing w:after="160"/>
              <w:jc w:val="both"/>
              <w:rPr>
                <w:rFonts w:ascii="Times New Roman" w:eastAsiaTheme="minorHAnsi" w:hAnsi="Times New Roman"/>
                <w:b/>
              </w:rPr>
            </w:pPr>
            <w:r w:rsidRPr="003A4F26">
              <w:rPr>
                <w:rFonts w:ascii="Times New Roman" w:eastAsiaTheme="minorHAnsi" w:hAnsi="Times New Roman"/>
                <w:b/>
              </w:rPr>
              <w:t>Параметър</w:t>
            </w:r>
          </w:p>
        </w:tc>
        <w:tc>
          <w:tcPr>
            <w:tcW w:w="1798"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Мерна единица</w:t>
            </w:r>
          </w:p>
        </w:tc>
        <w:tc>
          <w:tcPr>
            <w:tcW w:w="1559"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Целева стойност</w:t>
            </w:r>
          </w:p>
        </w:tc>
        <w:tc>
          <w:tcPr>
            <w:tcW w:w="2801"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Допълнителна информация</w:t>
            </w:r>
          </w:p>
        </w:tc>
        <w:tc>
          <w:tcPr>
            <w:tcW w:w="1985"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Специфична цел</w:t>
            </w:r>
          </w:p>
        </w:tc>
      </w:tr>
      <w:tr w:rsidR="00D77A67" w:rsidRPr="00A805FE" w:rsidTr="008131C7">
        <w:tc>
          <w:tcPr>
            <w:tcW w:w="1854"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пространствен обхват</w:t>
            </w:r>
          </w:p>
        </w:tc>
        <w:tc>
          <w:tcPr>
            <w:tcW w:w="179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Брой квадрати 1х1 km с доказано присъствие на вида</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cstheme="minorBidi"/>
              </w:rPr>
              <w:t>Най-малко 3</w:t>
            </w:r>
          </w:p>
        </w:tc>
        <w:tc>
          <w:tcPr>
            <w:tcW w:w="2801"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Целевата стойност представлява броят на квадратите от географска мрежа с резолюция 1х1 km, в които видът е регистриран поне веднъж в периода 2010-2021 г. По експертна преценка, тази стойност (3) може да се приеме като минимална референтна стойност за благоприятно състояние на вида по този параметър.</w:t>
            </w:r>
          </w:p>
        </w:tc>
        <w:tc>
          <w:tcPr>
            <w:tcW w:w="1985"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пространствения обхват на популацията</w:t>
            </w:r>
          </w:p>
        </w:tc>
      </w:tr>
      <w:tr w:rsidR="00D77A67" w:rsidRPr="00A805FE" w:rsidTr="008131C7">
        <w:tc>
          <w:tcPr>
            <w:tcW w:w="1854"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относителна численост</w:t>
            </w:r>
          </w:p>
        </w:tc>
        <w:tc>
          <w:tcPr>
            <w:tcW w:w="1798" w:type="dxa"/>
          </w:tcPr>
          <w:p w:rsidR="00D77A67" w:rsidRDefault="00D77A67" w:rsidP="00D77A67">
            <w:pPr>
              <w:spacing w:after="160"/>
              <w:rPr>
                <w:rFonts w:ascii="Times New Roman" w:eastAsiaTheme="minorHAnsi" w:hAnsi="Times New Roman"/>
                <w:lang w:val="bg-BG"/>
              </w:rPr>
            </w:pPr>
            <w:r w:rsidRPr="00A805FE">
              <w:rPr>
                <w:rFonts w:ascii="Times New Roman" w:eastAsiaTheme="minorHAnsi" w:hAnsi="Times New Roman"/>
              </w:rPr>
              <w:t xml:space="preserve">Брой индивиди на капаночас (Ab), изчислен по формулата: Ab = N/(T*H), където N е брой уловени индивиди, Т – брой поставени капани и Н – брой часове на </w:t>
            </w:r>
            <w:r w:rsidRPr="00A805FE">
              <w:rPr>
                <w:rFonts w:ascii="Times New Roman" w:eastAsiaTheme="minorHAnsi" w:hAnsi="Times New Roman"/>
              </w:rPr>
              <w:lastRenderedPageBreak/>
              <w:t>експониране</w:t>
            </w:r>
          </w:p>
          <w:p w:rsidR="00881B9B" w:rsidRPr="00881B9B" w:rsidRDefault="00881B9B" w:rsidP="00D77A67">
            <w:pPr>
              <w:spacing w:after="160"/>
              <w:rPr>
                <w:rFonts w:ascii="Times New Roman" w:eastAsiaTheme="minorHAnsi" w:hAnsi="Times New Roman"/>
                <w:lang w:val="bg-BG"/>
              </w:rPr>
            </w:pPr>
            <w:r>
              <w:rPr>
                <w:rFonts w:ascii="Times New Roman" w:eastAsiaTheme="minorHAnsi" w:hAnsi="Times New Roman"/>
                <w:lang w:val="bg-BG"/>
              </w:rPr>
              <w:t>(</w:t>
            </w:r>
            <w:r w:rsidRPr="00F045E1">
              <w:rPr>
                <w:rFonts w:ascii="Times New Roman" w:eastAsiaTheme="minorHAnsi" w:hAnsi="Times New Roman"/>
                <w:lang w:val="bg-BG"/>
              </w:rPr>
              <w:t>виж методиката за мониторинг към НСМСБР</w:t>
            </w:r>
            <w:r>
              <w:rPr>
                <w:rFonts w:ascii="Times New Roman" w:eastAsiaTheme="minorHAnsi" w:hAnsi="Times New Roman"/>
                <w:lang w:val="bg-BG"/>
              </w:rPr>
              <w:t>)</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Неизвестна</w:t>
            </w:r>
          </w:p>
        </w:tc>
        <w:tc>
          <w:tcPr>
            <w:tcW w:w="2801"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Няма налични данни за относителната численост на популацията, поради което е определена междинна цел.</w:t>
            </w:r>
          </w:p>
        </w:tc>
        <w:tc>
          <w:tcPr>
            <w:tcW w:w="1985"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Междинна цел: да се определи относителната численост на популацията чрез провеждане на целенасочени теренни изследвания до 2025 г.</w:t>
            </w:r>
          </w:p>
        </w:tc>
      </w:tr>
      <w:tr w:rsidR="00D77A67" w:rsidRPr="00A805FE" w:rsidTr="008131C7">
        <w:tc>
          <w:tcPr>
            <w:tcW w:w="1854"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lastRenderedPageBreak/>
              <w:t>Местообитание (площ): обща площ на потенциалните местообитания</w:t>
            </w:r>
          </w:p>
        </w:tc>
        <w:tc>
          <w:tcPr>
            <w:tcW w:w="179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Най-малко 1184 ha</w:t>
            </w:r>
          </w:p>
        </w:tc>
        <w:tc>
          <w:tcPr>
            <w:tcW w:w="2801"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данни за площта на потенциалните местообитания на вида в зоната са дадени в специфичния доклад от 2013 г. (виж ИСЗЗЕМ Натура 2000). Площта е изведена чрез индуктивен модел (на база комплекс от фактори, вкл. климатични) с висока статистическа достоверност, поради което дадената стойност (1184 ha) може да се приеме като минимална референтна стойност за благоприятно състояние на вида по този параметър.</w:t>
            </w:r>
          </w:p>
        </w:tc>
        <w:tc>
          <w:tcPr>
            <w:tcW w:w="1985"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площта на потенциалните местообитания</w:t>
            </w:r>
          </w:p>
        </w:tc>
      </w:tr>
      <w:tr w:rsidR="00D77A67" w:rsidRPr="00A805FE" w:rsidTr="008131C7">
        <w:tc>
          <w:tcPr>
            <w:tcW w:w="1854"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(площ): площ на</w:t>
            </w:r>
            <w:r w:rsidRPr="003A4F26">
              <w:rPr>
                <w:rFonts w:asciiTheme="minorHAnsi" w:eastAsiaTheme="minorHAnsi" w:hAnsiTheme="minorHAnsi" w:cstheme="minorBidi"/>
                <w:b/>
              </w:rPr>
              <w:t xml:space="preserve"> </w:t>
            </w:r>
            <w:r w:rsidRPr="003A4F26">
              <w:rPr>
                <w:rFonts w:ascii="Times New Roman" w:eastAsiaTheme="minorHAnsi" w:hAnsi="Times New Roman"/>
                <w:b/>
              </w:rPr>
              <w:t>подходящите за обитаване стоящи водоеми</w:t>
            </w:r>
          </w:p>
        </w:tc>
        <w:tc>
          <w:tcPr>
            <w:tcW w:w="179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Най-малко 878 ha</w:t>
            </w:r>
          </w:p>
        </w:tc>
        <w:tc>
          <w:tcPr>
            <w:tcW w:w="2801"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данни за площта на на подходящите за обитаване стоящи водоеми в зоната са дадени в специфичния доклад от 2013 г. (виж ИСЗЗЕМ Натура 2000), като посочената площ представлява 74,16% от площта на потенциалните местообитания в зоната, т.е. 878 ha (74,16% от 1184,32). В същия доклад състоянието на вида по този показател е оценено, като благоприятно.</w:t>
            </w:r>
          </w:p>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 експертна преценка, базирана на наблюденията през 2021 г., сегашната площ на подходящите за обитаване стоящи водоеми не се различава съществено от дадената в доклада.</w:t>
            </w:r>
          </w:p>
        </w:tc>
        <w:tc>
          <w:tcPr>
            <w:tcW w:w="1985"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площта на стоящите водоеми</w:t>
            </w:r>
          </w:p>
        </w:tc>
      </w:tr>
      <w:tr w:rsidR="00D77A67" w:rsidRPr="00A805FE" w:rsidTr="008131C7">
        <w:tc>
          <w:tcPr>
            <w:tcW w:w="1854"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 xml:space="preserve">Местообитание (структура и функции): </w:t>
            </w:r>
            <w:r w:rsidRPr="003A4F26">
              <w:rPr>
                <w:rFonts w:ascii="Times New Roman" w:eastAsiaTheme="minorHAnsi" w:hAnsi="Times New Roman"/>
                <w:b/>
              </w:rPr>
              <w:lastRenderedPageBreak/>
              <w:t>свързаност на потенциалните местообитания</w:t>
            </w:r>
          </w:p>
        </w:tc>
        <w:tc>
          <w:tcPr>
            <w:tcW w:w="179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 xml:space="preserve">Обща дължина (в метри) на участъците от </w:t>
            </w:r>
            <w:r w:rsidRPr="00A805FE">
              <w:rPr>
                <w:rFonts w:ascii="Times New Roman" w:eastAsiaTheme="minorHAnsi" w:hAnsi="Times New Roman"/>
              </w:rPr>
              <w:lastRenderedPageBreak/>
              <w:t>линейната транспортна инфраструктура (магистрали и пътища първи и/или втори клас), които пресичат потенциални местообитания на вида и представляват непреодолима или труднопреодолима преграда за същия</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0 m</w:t>
            </w:r>
          </w:p>
        </w:tc>
        <w:tc>
          <w:tcPr>
            <w:tcW w:w="2801"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 xml:space="preserve">Към 2021 г. през зоната не преминават магистрали и пътища първи и втори </w:t>
            </w:r>
            <w:r w:rsidRPr="00A805FE">
              <w:rPr>
                <w:rFonts w:ascii="Times New Roman" w:eastAsiaTheme="minorHAnsi" w:hAnsi="Times New Roman"/>
              </w:rPr>
              <w:lastRenderedPageBreak/>
              <w:t>клас, т.е. състояние на вида по този параметър е благоприятно.</w:t>
            </w:r>
          </w:p>
        </w:tc>
        <w:tc>
          <w:tcPr>
            <w:tcW w:w="1985"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 xml:space="preserve">Поддържане свързаността на потенциалните </w:t>
            </w:r>
            <w:r w:rsidRPr="00A805FE">
              <w:rPr>
                <w:rFonts w:ascii="Times New Roman" w:eastAsiaTheme="minorHAnsi" w:hAnsi="Times New Roman"/>
              </w:rPr>
              <w:lastRenderedPageBreak/>
              <w:t>местообитания</w:t>
            </w:r>
          </w:p>
        </w:tc>
      </w:tr>
    </w:tbl>
    <w:p w:rsidR="00D77A67" w:rsidRPr="00D77A67" w:rsidRDefault="00D77A67" w:rsidP="00D77A67">
      <w:pPr>
        <w:spacing w:after="0" w:line="240" w:lineRule="auto"/>
        <w:jc w:val="both"/>
        <w:rPr>
          <w:rFonts w:ascii="Times New Roman" w:eastAsiaTheme="minorHAnsi" w:hAnsi="Times New Roman"/>
          <w:b/>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7. Необходимост от актуализация на СФ на защитената зона</w:t>
      </w:r>
    </w:p>
    <w:p w:rsidR="00D77A67" w:rsidRPr="00D77A67" w:rsidRDefault="00D77A67" w:rsidP="00DE58DC">
      <w:pPr>
        <w:spacing w:after="0" w:line="240" w:lineRule="auto"/>
        <w:ind w:firstLine="709"/>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Повечето европейски видове земноводни и влечуги не са пряко свързани с конкретни топографски обекти, поради което измерването на популациите им чрез брой находища изглежда неподходящо, още повече че много често всяка локация (GPS точка) на индивид бива интерпретирана като отделно находище, дори да се намира само на няколко метра от локацията на друг индивид. По този начин броят на т.нар. находища се доближава до броя на регистрациите на индивиди. Това води до некоректна оценка, т.е. такава която не отразява размера на популацията нито пространствено, нито като брой индивиди. Поради тази причина би трябвало или ясно да се дефинира понятието „находище“, или да се използва друга мерна единица. За </w:t>
      </w:r>
      <w:r w:rsidRPr="00D77A67">
        <w:rPr>
          <w:rFonts w:ascii="Times New Roman" w:eastAsiaTheme="minorHAnsi" w:hAnsi="Times New Roman"/>
          <w:i/>
          <w:sz w:val="24"/>
          <w:szCs w:val="24"/>
        </w:rPr>
        <w:t>Triturus dobrogicus</w:t>
      </w:r>
      <w:r w:rsidRPr="00D77A67">
        <w:rPr>
          <w:rFonts w:ascii="Times New Roman" w:eastAsiaTheme="minorHAnsi" w:hAnsi="Times New Roman"/>
          <w:sz w:val="24"/>
          <w:szCs w:val="24"/>
        </w:rPr>
        <w:t xml:space="preserve">  дефинирането на находище е силно затруднено, поради факта че видът обитава както стоящи водоеми (които могат да се определят като находища), така и канали, както и самата р. Дунав, а освен това има и сухоземна фаза. Що се отнася до реки/канали и сухоземни находки, дефиницията за находище би могла да бъде само условна и да се изразява в следното: „локация на индивид, отдалечена поне на [примерно] 500 м от друга такава локация“. Такова определение за находище обаче е само пространствено (т.е. дефинира се единствено чрез ХY координати), следователно е почти същото, като квадрат от метрична координатна система. От друга страна именно използването на квадрати от метрична географска мрежа, като мерна единица за популация в </w:t>
      </w:r>
      <w:r w:rsidR="005A0A3C">
        <w:rPr>
          <w:rFonts w:ascii="Times New Roman" w:eastAsiaTheme="minorHAnsi" w:hAnsi="Times New Roman"/>
          <w:sz w:val="24"/>
          <w:szCs w:val="24"/>
        </w:rPr>
        <w:t>СФ</w:t>
      </w:r>
      <w:r w:rsidRPr="00D77A67">
        <w:rPr>
          <w:rFonts w:ascii="Times New Roman" w:eastAsiaTheme="minorHAnsi" w:hAnsi="Times New Roman"/>
          <w:sz w:val="24"/>
          <w:szCs w:val="24"/>
        </w:rPr>
        <w:t>, изглежда много по-подходящо (поне за сравнително големи по площ зони, каквато е тук разглежданата), тъй като допустимите резолюции на мрежата са посочени в Справочния портал за Натура 2000, т.е. те не се нуждаят от субективни дефиниции. С оглед на изложеното дотук, мерните единици за популация на вида в зоната следва да се променят от брой находища (localities), на брой клетки с резолюция 1х1 км (grids1x1), което е максималната допустима резолюция. В този смисъл, както и предвид анализа на наличната информация, следва да се добавят и съответните числени стойности за броя квадрати.</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отношение категорията за плътност (Cat.) се налага промяна на оценката, тъй като според анализа на наличната информация изглежда, че видът е по-скоро „рядък“ (R), отколкото „много рядък“ (V).</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lastRenderedPageBreak/>
        <w:t>По отношение степента на изолация (Iso.), вписаната във формуляра оценка е „С“ (= „неизолирана популация в рамките на разширен ареал“), но тя е неприемлива предвид факта, че зоната се намира на границата на видовия арела. Реалната ситуация отговаря само на дефиницията „неизолирана популация, но на границите на ареала“, т.е. оценка „В“.</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Предложените актуализации на СФ са както следва:</w:t>
      </w:r>
    </w:p>
    <w:p w:rsidR="00D77A67" w:rsidRPr="00D77A67" w:rsidRDefault="00D77A67" w:rsidP="00D77A67">
      <w:pPr>
        <w:spacing w:after="0" w:line="240" w:lineRule="auto"/>
        <w:jc w:val="both"/>
        <w:rPr>
          <w:rFonts w:ascii="Times New Roman" w:eastAsiaTheme="minorHAnsi" w:hAnsi="Times New Roman"/>
          <w:sz w:val="24"/>
          <w:szCs w:val="24"/>
        </w:rPr>
      </w:pPr>
    </w:p>
    <w:tbl>
      <w:tblPr>
        <w:tblStyle w:val="TableGrid1"/>
        <w:tblW w:w="9609" w:type="dxa"/>
        <w:tblLook w:val="04A0" w:firstRow="1" w:lastRow="0" w:firstColumn="1" w:lastColumn="0" w:noHBand="0" w:noVBand="1"/>
      </w:tblPr>
      <w:tblGrid>
        <w:gridCol w:w="2630"/>
        <w:gridCol w:w="617"/>
        <w:gridCol w:w="656"/>
        <w:gridCol w:w="1203"/>
        <w:gridCol w:w="614"/>
        <w:gridCol w:w="923"/>
        <w:gridCol w:w="1083"/>
        <w:gridCol w:w="677"/>
        <w:gridCol w:w="570"/>
        <w:gridCol w:w="636"/>
      </w:tblGrid>
      <w:tr w:rsidR="00D77A67" w:rsidRPr="00A805FE" w:rsidTr="008131C7">
        <w:trPr>
          <w:trHeight w:val="255"/>
          <w:tblHeader/>
        </w:trPr>
        <w:tc>
          <w:tcPr>
            <w:tcW w:w="2634" w:type="dxa"/>
          </w:tcPr>
          <w:p w:rsidR="00D77A67" w:rsidRPr="00A805FE" w:rsidRDefault="00D77A67" w:rsidP="00D77A67">
            <w:pPr>
              <w:jc w:val="both"/>
              <w:rPr>
                <w:rFonts w:ascii="Times New Roman" w:eastAsiaTheme="minorHAnsi" w:hAnsi="Times New Roman"/>
                <w:b/>
                <w:sz w:val="22"/>
                <w:szCs w:val="22"/>
              </w:rPr>
            </w:pPr>
          </w:p>
        </w:tc>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Site assessment</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b/>
                <w:sz w:val="22"/>
                <w:szCs w:val="22"/>
              </w:rPr>
            </w:pPr>
          </w:p>
        </w:tc>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b/>
                <w:sz w:val="22"/>
                <w:szCs w:val="22"/>
              </w:rPr>
            </w:pPr>
          </w:p>
        </w:tc>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Glo.</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Съществуваща оценка</w:t>
            </w:r>
          </w:p>
        </w:tc>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3</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3</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V</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Актуализация</w:t>
            </w:r>
          </w:p>
        </w:tc>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3</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3</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grids1x1</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R</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B</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8. Цитирана литература</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Beshkov, V. 2015. Danube Crested Newt Triturus dobrogicus (Kiritzescu, 1903). – In: Golemanski, V. et al. (Eds.): Red Data Book of the Republic of Bulgaria. Volume 2. Animals. BAS &amp; MoEW, Sofia, p. 301.</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Biserkov, V., B. Naumov. 2012. Changes after 1948 in the habitats of amphibians and reptiles in the area of the Srebarna lake biosphere reserve. – In: Uzunov, Y., B. Georgiev, E. Varadinova, N. Ivanova, L. Pehlivanov, V. Vasilev (Eds.) Ecosystems of the Biosphere Reserve Srebarna Lake. Professor Marin Drinov Academic Publishing House, Sofia, pp. 163-183.</w:t>
      </w:r>
    </w:p>
    <w:p w:rsidR="00D77A67" w:rsidRPr="00D77A67" w:rsidRDefault="00D77A67" w:rsidP="00D77A67">
      <w:pPr>
        <w:spacing w:after="0" w:line="240" w:lineRule="auto"/>
        <w:ind w:left="567" w:hanging="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Gherghel, I., A. Iftime. 2009. On the presence of the Danube crested newt, Triturus dobrogicus, at Durankulak Lake, Bulgaria. – North-Western Journal of Zoology, 5(1): 209-213.</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Naumov, B., V. Biserkov. 2013. On the Distribution and Subspecies Affiliation of Triturus dobrogicus (Amphibia: Salamandridae) in Bulgaria. – Acta zoologica bulgarica, 65(3): 307-313.</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Popgeorgiev, G., B. Naumov, Y. Kornilev, V,Vergilov, M. Slavchev, S. Lukanov, A. Dyugmedzhiev, A. Stoyanov, D. Dobrev, N. Tzankov. 2019. Diversity and Distribution of Amphibians and Reptiles in the Bulgarian Part of the Lower Danube. – In: Shurulinkov, P., Z. Hubenov, S. Beshkov, G. Popgeorgiev (Eds.): Biodiversity of the Bulgarian-Romanian Section of the Lower Dnube. Nova Science Publishers, New York, pp. 283-314.</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Stojanov, A., N. Tzankov, B. Naumov. 2011. Die Amphibien und Reptilien Bulgariens. Frankfurt am Main, Chimaira, 588 pp.</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contextualSpacing/>
        <w:jc w:val="both"/>
        <w:rPr>
          <w:rFonts w:ascii="Times New Roman" w:eastAsiaTheme="minorHAnsi" w:hAnsi="Times New Roman"/>
          <w:sz w:val="24"/>
          <w:szCs w:val="24"/>
          <w:lang w:eastAsia="bg-BG"/>
        </w:rPr>
      </w:pPr>
      <w:bookmarkStart w:id="85" w:name="_Toc86569946"/>
      <w:r w:rsidRPr="00D77A67">
        <w:rPr>
          <w:rFonts w:ascii="Times New Roman" w:eastAsiaTheme="minorHAnsi" w:hAnsi="Times New Roman"/>
          <w:i/>
          <w:sz w:val="24"/>
          <w:szCs w:val="24"/>
          <w:lang w:eastAsia="bg-BG"/>
        </w:rPr>
        <w:t>Автори</w:t>
      </w:r>
      <w:r w:rsidRPr="00D77A67">
        <w:rPr>
          <w:rFonts w:ascii="Times New Roman" w:eastAsiaTheme="minorHAnsi" w:hAnsi="Times New Roman"/>
          <w:sz w:val="24"/>
          <w:szCs w:val="24"/>
          <w:lang w:eastAsia="bg-BG"/>
        </w:rPr>
        <w:t xml:space="preserve">: Борислав Наумов, </w:t>
      </w:r>
      <w:bookmarkEnd w:id="85"/>
      <w:r w:rsidRPr="00D77A67">
        <w:rPr>
          <w:rFonts w:ascii="Times New Roman" w:eastAsiaTheme="minorHAnsi" w:hAnsi="Times New Roman"/>
          <w:sz w:val="24"/>
          <w:szCs w:val="24"/>
          <w:lang w:eastAsia="bg-BG"/>
        </w:rPr>
        <w:t>Георги Георгиев, Георги Попгеоргиев, Димитър Плачийски</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sz w:val="24"/>
          <w:szCs w:val="24"/>
        </w:rPr>
      </w:pPr>
    </w:p>
    <w:p w:rsidR="00107719" w:rsidRDefault="00107719" w:rsidP="001033EC">
      <w:pPr>
        <w:rPr>
          <w:rFonts w:ascii="Times New Roman" w:hAnsi="Times New Roman"/>
          <w:color w:val="1F497D" w:themeColor="text2"/>
          <w:sz w:val="28"/>
          <w:szCs w:val="28"/>
        </w:rPr>
      </w:pPr>
    </w:p>
    <w:p w:rsidR="001033EC" w:rsidRPr="001033EC" w:rsidRDefault="001033EC" w:rsidP="003A4F26">
      <w:pPr>
        <w:outlineLvl w:val="0"/>
        <w:rPr>
          <w:rFonts w:ascii="Times New Roman" w:hAnsi="Times New Roman"/>
          <w:b/>
          <w:color w:val="1F497D" w:themeColor="text2"/>
          <w:sz w:val="28"/>
          <w:szCs w:val="28"/>
          <w:u w:val="single"/>
        </w:rPr>
      </w:pPr>
      <w:bookmarkStart w:id="86" w:name="_Toc98838563"/>
      <w:r w:rsidRPr="001033EC">
        <w:rPr>
          <w:rFonts w:ascii="Times New Roman" w:hAnsi="Times New Roman"/>
          <w:b/>
          <w:color w:val="1F497D" w:themeColor="text2"/>
          <w:sz w:val="28"/>
          <w:szCs w:val="28"/>
          <w:u w:val="single"/>
        </w:rPr>
        <w:t>Бозайници</w:t>
      </w:r>
      <w:bookmarkEnd w:id="86"/>
    </w:p>
    <w:p w:rsidR="001033EC" w:rsidRDefault="00107719" w:rsidP="003A4F26">
      <w:pPr>
        <w:outlineLvl w:val="1"/>
        <w:rPr>
          <w:rFonts w:ascii="Times New Roman" w:hAnsi="Times New Roman"/>
          <w:i/>
          <w:color w:val="1F497D" w:themeColor="text2"/>
          <w:sz w:val="28"/>
          <w:szCs w:val="28"/>
        </w:rPr>
      </w:pPr>
      <w:bookmarkStart w:id="87" w:name="_Toc98838564"/>
      <w:r>
        <w:rPr>
          <w:rFonts w:ascii="Times New Roman" w:hAnsi="Times New Roman"/>
          <w:color w:val="1F497D" w:themeColor="text2"/>
          <w:sz w:val="28"/>
          <w:szCs w:val="28"/>
        </w:rPr>
        <w:t xml:space="preserve">Природозащитни цели за </w:t>
      </w:r>
      <w:r w:rsidR="001033EC">
        <w:rPr>
          <w:rFonts w:ascii="Times New Roman" w:hAnsi="Times New Roman"/>
          <w:color w:val="1F497D" w:themeColor="text2"/>
          <w:sz w:val="28"/>
          <w:szCs w:val="28"/>
        </w:rPr>
        <w:t xml:space="preserve">1355 </w:t>
      </w:r>
      <w:r w:rsidR="001033EC" w:rsidRPr="00107719">
        <w:rPr>
          <w:rFonts w:ascii="Times New Roman" w:hAnsi="Times New Roman"/>
          <w:i/>
          <w:color w:val="1F497D" w:themeColor="text2"/>
          <w:sz w:val="28"/>
          <w:szCs w:val="28"/>
        </w:rPr>
        <w:t>Lutra lutra</w:t>
      </w:r>
      <w:bookmarkEnd w:id="87"/>
    </w:p>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b/>
          <w:sz w:val="24"/>
          <w:szCs w:val="24"/>
          <w:lang w:eastAsia="bg-BG"/>
        </w:rPr>
        <w:t xml:space="preserve">1.Код и наименование на вида: </w:t>
      </w:r>
      <w:r w:rsidRPr="00EB75F6">
        <w:rPr>
          <w:rFonts w:ascii="Times New Roman" w:hAnsi="Times New Roman"/>
          <w:sz w:val="24"/>
          <w:szCs w:val="24"/>
          <w:lang w:eastAsia="bg-BG"/>
        </w:rPr>
        <w:t xml:space="preserve">1355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 Видра</w:t>
      </w:r>
    </w:p>
    <w:p w:rsidR="00EB75F6" w:rsidRPr="00EB75F6" w:rsidRDefault="00EB75F6" w:rsidP="00EB75F6">
      <w:pPr>
        <w:spacing w:before="120" w:after="0" w:line="240" w:lineRule="auto"/>
        <w:jc w:val="both"/>
        <w:rPr>
          <w:rFonts w:ascii="Times New Roman" w:hAnsi="Times New Roman"/>
          <w:b/>
          <w:sz w:val="24"/>
          <w:szCs w:val="24"/>
          <w:lang w:eastAsia="bg-BG"/>
        </w:rPr>
      </w:pPr>
      <w:r w:rsidRPr="00EB75F6">
        <w:rPr>
          <w:rFonts w:ascii="Times New Roman" w:hAnsi="Times New Roman"/>
          <w:b/>
          <w:sz w:val="24"/>
          <w:szCs w:val="24"/>
          <w:lang w:eastAsia="bg-BG"/>
        </w:rPr>
        <w:t>2. Кратка характеристика на целевия обект</w:t>
      </w:r>
    </w:p>
    <w:p w:rsidR="00EB75F6" w:rsidRPr="00EB75F6" w:rsidRDefault="00EB75F6" w:rsidP="00EB75F6">
      <w:pPr>
        <w:spacing w:after="0" w:line="240" w:lineRule="auto"/>
        <w:ind w:firstLine="708"/>
        <w:jc w:val="both"/>
        <w:rPr>
          <w:rFonts w:ascii="Times New Roman" w:hAnsi="Times New Roman"/>
          <w:sz w:val="24"/>
          <w:szCs w:val="24"/>
          <w:lang w:eastAsia="bg-BG"/>
        </w:rPr>
      </w:pPr>
      <w:r w:rsidRPr="00EB75F6">
        <w:rPr>
          <w:rFonts w:ascii="Times New Roman" w:hAnsi="Times New Roman"/>
          <w:sz w:val="24"/>
          <w:szCs w:val="24"/>
          <w:lang w:eastAsia="bg-BG"/>
        </w:rPr>
        <w:t>Видрата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е хищен бозайник от семейство Порови (Mustelidae). Притежава удължено тяло и мускулеста опашка. Тялото и главата са с обща дължина от </w:t>
      </w:r>
      <w:r w:rsidRPr="00EB75F6">
        <w:rPr>
          <w:rFonts w:ascii="Times New Roman" w:hAnsi="Times New Roman"/>
          <w:sz w:val="24"/>
          <w:szCs w:val="24"/>
          <w:lang w:eastAsia="bg-BG"/>
        </w:rPr>
        <w:lastRenderedPageBreak/>
        <w:t>около 594-699mm. Дължината на опашката 318-362mm. Теглото на възрастните видри е около 10kg. Окраската на гърба в шоколадово кафява, а коремът сив със сребрист оттенък. Лапите са с плавателна ципа (Kruuk 2006). Обитава сладководни и бракични водоеми у нас (Georgiev 2005, Георгиев, Кошев 2006). Храни се  основно с водни организми - риби, раци, жаби, понякога дребни бозайници и птици (Георгиев, Кошев 2006; Georgiev 2006, Георгиев 2008, Кошев 2009; Кошев и др. 2013). Предпочита запазени брегови ивици обрасли с дървесна и храстова растителност, където си прави бърлоги в корените им (Georgiev 2005, Георгиев 2008, Кошев и др. 2013). Видът е включен в Червената книга на България (ЧКБ), като „уязвим“ (Спиридонов, Спасов 2011).</w:t>
      </w:r>
    </w:p>
    <w:p w:rsidR="00EB75F6" w:rsidRPr="00EB75F6" w:rsidRDefault="00EB75F6" w:rsidP="00EB75F6">
      <w:pPr>
        <w:spacing w:before="120" w:after="0" w:line="240" w:lineRule="auto"/>
        <w:jc w:val="both"/>
        <w:rPr>
          <w:rFonts w:ascii="Times New Roman" w:hAnsi="Times New Roman"/>
          <w:b/>
          <w:sz w:val="24"/>
          <w:szCs w:val="24"/>
          <w:lang w:eastAsia="bg-BG"/>
        </w:rPr>
      </w:pPr>
      <w:r w:rsidRPr="00EB75F6">
        <w:rPr>
          <w:rFonts w:ascii="Times New Roman" w:hAnsi="Times New Roman"/>
          <w:b/>
          <w:sz w:val="24"/>
          <w:szCs w:val="24"/>
          <w:lang w:eastAsia="bg-BG"/>
        </w:rPr>
        <w:t xml:space="preserve">3. Състояние на биогеографско ниво и разпространение в мрежата </w:t>
      </w:r>
    </w:p>
    <w:p w:rsidR="00EB75F6" w:rsidRPr="00EB75F6" w:rsidRDefault="00EB75F6" w:rsidP="00EB75F6">
      <w:pPr>
        <w:spacing w:after="0" w:line="240" w:lineRule="auto"/>
        <w:ind w:firstLine="709"/>
        <w:jc w:val="both"/>
        <w:rPr>
          <w:rFonts w:ascii="Times New Roman" w:hAnsi="Times New Roman"/>
          <w:sz w:val="24"/>
          <w:szCs w:val="24"/>
          <w:u w:val="single"/>
          <w:lang w:eastAsia="bg-BG"/>
        </w:rPr>
      </w:pPr>
      <w:r w:rsidRPr="00EB75F6">
        <w:rPr>
          <w:rFonts w:ascii="Times New Roman" w:hAnsi="Times New Roman"/>
          <w:sz w:val="24"/>
          <w:szCs w:val="24"/>
          <w:lang w:eastAsia="bg-BG"/>
        </w:rPr>
        <w:t xml:space="preserve">При двете проучвания предмет на докладване съгласно чл. 17 от Директивата за местообитанията (92/43/ЕИО) видът е оценен по всички показатели и в трите биогеографски </w:t>
      </w:r>
      <w:r>
        <w:rPr>
          <w:rFonts w:ascii="Times New Roman" w:hAnsi="Times New Roman"/>
          <w:sz w:val="24"/>
          <w:szCs w:val="24"/>
          <w:lang w:eastAsia="bg-BG"/>
        </w:rPr>
        <w:t>региона</w:t>
      </w:r>
      <w:r w:rsidRPr="00EB75F6">
        <w:rPr>
          <w:rFonts w:ascii="Times New Roman" w:hAnsi="Times New Roman"/>
          <w:sz w:val="24"/>
          <w:szCs w:val="24"/>
          <w:lang w:eastAsia="bg-BG"/>
        </w:rPr>
        <w:t xml:space="preserve"> в „Благоприятно“ природозащитно състояние. Източник на информацията: </w:t>
      </w:r>
      <w:hyperlink r:id="rId183">
        <w:r w:rsidRPr="00EB75F6">
          <w:rPr>
            <w:rFonts w:ascii="Times New Roman" w:hAnsi="Times New Roman"/>
            <w:sz w:val="24"/>
            <w:szCs w:val="24"/>
            <w:u w:val="single"/>
            <w:lang w:eastAsia="bg-BG"/>
          </w:rPr>
          <w:t>https://nature-art17.eionet.europa.eu/article17/species/report/</w:t>
        </w:r>
      </w:hyperlink>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t xml:space="preserve">Според този доклад, основните негативни фактори върху видрата са следните: </w:t>
      </w:r>
    </w:p>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а) Натиск и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A31 – Отводняване на водоеми за използване като земеделска земя. M-Средна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C01 - Добив на минерали (напр. скали, метални руди, чакъл, пясък и др.). M-Средна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D02 - Хидроенергия (язовири, преграждане на водоемите, оттичане на реката), включително инфраструктура. M-Средна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F07 - Спорт, туризъм и развлечения.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F26 - Отводняване, мелиорация на земя и превръщане на влажни зони, блата, мочурища и т.н. в селища или зони за отдих.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F27 - Отводняване, мелиорация или преобразуване на влажни зони, блата, мочурища и др. в промишлени/търговски зони.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G06 - Събиране на сладководни риби и миди (развлекателни). M - Средно значение/въздействие.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G10 - Незаконна стрелба/убиване.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J01 - Замърсяване със смесени източници към повърхностни и подземни води. M - Средна значимост/въздействие.</w:t>
      </w:r>
    </w:p>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а) Заплаха и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A31 - Отводняване за използване като земеделска земя.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B27 - Промяна на хидрологичните условия или физическо изменение на водните обекти и отводняване за горското стопанство (включително язовири).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C01 - Добив на минерали (напр. скали, метални руди, чакъл, пясък и др.).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F07 - Спорт, туризъм и развлечения.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F27 - Отводняване, мелиорация или преобразуване на влажни зони, блата, мучурища и т.н. в промишлени/търговски зони.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G06 - Събиране на сладководни риби и миди (развлекателни). M - Средно значение/въздействие.</w:t>
      </w:r>
    </w:p>
    <w:p w:rsidR="00EB75F6" w:rsidRPr="00EB75F6" w:rsidRDefault="00EB75F6" w:rsidP="00EB75F6">
      <w:pPr>
        <w:spacing w:after="0" w:line="240" w:lineRule="auto"/>
        <w:ind w:firstLine="630"/>
        <w:jc w:val="both"/>
        <w:rPr>
          <w:rFonts w:ascii="Times New Roman" w:hAnsi="Times New Roman"/>
          <w:sz w:val="24"/>
          <w:szCs w:val="24"/>
          <w:lang w:eastAsia="bg-BG"/>
        </w:rPr>
      </w:pPr>
      <w:r w:rsidRPr="00EB75F6">
        <w:rPr>
          <w:rFonts w:ascii="Times New Roman" w:hAnsi="Times New Roman"/>
          <w:sz w:val="24"/>
          <w:szCs w:val="24"/>
          <w:lang w:eastAsia="bg-BG"/>
        </w:rPr>
        <w:t xml:space="preserve">Основните заплахи за вида могат да бъдат резюмирани до следните фактори (Георгиев, Кошев 2006,Georgiev 2007, Георгиев 2008, Георгиев и кол. 2011): </w:t>
      </w:r>
    </w:p>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lastRenderedPageBreak/>
        <w:t>1. Пряко въздействащи негативни антропогенни фактори.</w:t>
      </w:r>
    </w:p>
    <w:p w:rsidR="00EB75F6" w:rsidRPr="00EB75F6" w:rsidRDefault="00EB75F6" w:rsidP="00EB75F6">
      <w:pPr>
        <w:numPr>
          <w:ilvl w:val="0"/>
          <w:numId w:val="2"/>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Застрелване на екземпляри. Значимост критична.</w:t>
      </w:r>
    </w:p>
    <w:p w:rsidR="00EB75F6" w:rsidRPr="00EB75F6" w:rsidRDefault="00EB75F6" w:rsidP="00EB75F6">
      <w:pPr>
        <w:numPr>
          <w:ilvl w:val="0"/>
          <w:numId w:val="2"/>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Убиване с различни видове капани. Значимост критична.</w:t>
      </w:r>
    </w:p>
    <w:p w:rsidR="00EB75F6" w:rsidRPr="00EB75F6" w:rsidRDefault="00EB75F6" w:rsidP="00EB75F6">
      <w:pPr>
        <w:numPr>
          <w:ilvl w:val="0"/>
          <w:numId w:val="2"/>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Разкопаване на дупки и унищожаване на млади индивиди. Значимост средна до висока.</w:t>
      </w:r>
    </w:p>
    <w:p w:rsidR="00EB75F6" w:rsidRPr="00EB75F6" w:rsidRDefault="00EB75F6" w:rsidP="00EB75F6">
      <w:pPr>
        <w:numPr>
          <w:ilvl w:val="0"/>
          <w:numId w:val="2"/>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Убиване от автомобили на шосета. Значимост критична.</w:t>
      </w:r>
    </w:p>
    <w:p w:rsidR="00EB75F6" w:rsidRPr="00EB75F6" w:rsidRDefault="00EB75F6" w:rsidP="00EB75F6">
      <w:pPr>
        <w:numPr>
          <w:ilvl w:val="0"/>
          <w:numId w:val="2"/>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Удавяне в риболовни уреди. Значимост критична.</w:t>
      </w:r>
    </w:p>
    <w:p w:rsidR="00EB75F6" w:rsidRPr="00EB75F6" w:rsidRDefault="00EB75F6" w:rsidP="00EB75F6">
      <w:pPr>
        <w:numPr>
          <w:ilvl w:val="0"/>
          <w:numId w:val="2"/>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Убиване от кучета. Значимост висока.</w:t>
      </w:r>
    </w:p>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2. Косвено въздействащи негативни антропогенни фактори.</w:t>
      </w:r>
    </w:p>
    <w:p w:rsidR="00EB75F6" w:rsidRPr="00EB75F6" w:rsidRDefault="00EB75F6" w:rsidP="00EB75F6">
      <w:pPr>
        <w:numPr>
          <w:ilvl w:val="0"/>
          <w:numId w:val="3"/>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Разрушаване на местообитанията: добив на инертни материали, обезлесяване: сечи, опожаряване, паша, корекции на реки, строеж на ВЕЦ-ве. Значимост критична.</w:t>
      </w:r>
    </w:p>
    <w:p w:rsidR="00EB75F6" w:rsidRPr="00EB75F6" w:rsidRDefault="00EB75F6" w:rsidP="00EB75F6">
      <w:pPr>
        <w:numPr>
          <w:ilvl w:val="0"/>
          <w:numId w:val="3"/>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Замърсяване на водите. Значимост висока до критична.</w:t>
      </w:r>
    </w:p>
    <w:p w:rsidR="00EB75F6" w:rsidRPr="00EB75F6" w:rsidRDefault="00EB75F6" w:rsidP="00EB75F6">
      <w:pPr>
        <w:numPr>
          <w:ilvl w:val="0"/>
          <w:numId w:val="3"/>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Безпокойство. Значимост ниска.</w:t>
      </w:r>
    </w:p>
    <w:p w:rsidR="00EB75F6" w:rsidRPr="00EB75F6" w:rsidRDefault="00EB75F6" w:rsidP="00EB75F6">
      <w:pPr>
        <w:numPr>
          <w:ilvl w:val="0"/>
          <w:numId w:val="3"/>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Унищожаване на хранителната база. Значимост висока.</w:t>
      </w:r>
    </w:p>
    <w:p w:rsidR="00EB75F6" w:rsidRPr="00EB75F6" w:rsidRDefault="00EB75F6" w:rsidP="00EB75F6">
      <w:pPr>
        <w:numPr>
          <w:ilvl w:val="0"/>
          <w:numId w:val="3"/>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Пазарен интерес към кожи. Значимост ниска, но критична в отделни райони.</w:t>
      </w:r>
    </w:p>
    <w:p w:rsidR="00EB75F6" w:rsidRPr="00EB75F6" w:rsidRDefault="00EB75F6" w:rsidP="00EB75F6">
      <w:pPr>
        <w:numPr>
          <w:ilvl w:val="0"/>
          <w:numId w:val="3"/>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Интерес към органи от тялото със знахарска цел. Значимост ниска.</w:t>
      </w:r>
    </w:p>
    <w:p w:rsidR="00EB75F6" w:rsidRDefault="005E4B26" w:rsidP="005E4B26">
      <w:pPr>
        <w:spacing w:before="120" w:after="0" w:line="240" w:lineRule="auto"/>
        <w:ind w:firstLine="709"/>
        <w:jc w:val="both"/>
        <w:rPr>
          <w:rFonts w:ascii="Times New Roman" w:hAnsi="Times New Roman"/>
          <w:sz w:val="24"/>
          <w:szCs w:val="24"/>
          <w:lang w:eastAsia="bg-BG"/>
        </w:rPr>
      </w:pPr>
      <w:r w:rsidRPr="005E4B26">
        <w:rPr>
          <w:rFonts w:ascii="Times New Roman" w:hAnsi="Times New Roman"/>
          <w:sz w:val="24"/>
          <w:szCs w:val="24"/>
          <w:lang w:eastAsia="bg-BG"/>
        </w:rPr>
        <w:t xml:space="preserve">Видът е записан в Стандартните формуляри за данни на </w:t>
      </w:r>
      <w:r>
        <w:rPr>
          <w:rFonts w:ascii="Times New Roman" w:hAnsi="Times New Roman"/>
          <w:sz w:val="24"/>
          <w:szCs w:val="24"/>
          <w:lang w:eastAsia="bg-BG"/>
        </w:rPr>
        <w:t>162</w:t>
      </w:r>
      <w:r w:rsidRPr="005E4B26">
        <w:rPr>
          <w:rFonts w:ascii="Times New Roman" w:hAnsi="Times New Roman"/>
          <w:sz w:val="24"/>
          <w:szCs w:val="24"/>
          <w:lang w:eastAsia="bg-BG"/>
        </w:rPr>
        <w:t xml:space="preserve"> зони.</w:t>
      </w:r>
    </w:p>
    <w:p w:rsidR="005E4B26" w:rsidRPr="005E4B26" w:rsidRDefault="005E4B26" w:rsidP="005E4B26">
      <w:pPr>
        <w:spacing w:before="120" w:after="0" w:line="240" w:lineRule="auto"/>
        <w:ind w:firstLine="709"/>
        <w:jc w:val="both"/>
        <w:rPr>
          <w:rFonts w:ascii="Times New Roman" w:hAnsi="Times New Roman"/>
          <w:sz w:val="24"/>
          <w:szCs w:val="24"/>
          <w:lang w:eastAsia="bg-BG"/>
        </w:rPr>
      </w:pPr>
    </w:p>
    <w:p w:rsidR="00EB75F6" w:rsidRPr="00EB75F6" w:rsidRDefault="00EB75F6" w:rsidP="00EB75F6">
      <w:pPr>
        <w:spacing w:after="0" w:line="240" w:lineRule="auto"/>
        <w:jc w:val="both"/>
        <w:rPr>
          <w:rFonts w:ascii="Times New Roman" w:hAnsi="Times New Roman"/>
          <w:b/>
          <w:sz w:val="24"/>
          <w:szCs w:val="24"/>
          <w:lang w:eastAsia="bg-BG"/>
        </w:rPr>
      </w:pPr>
      <w:r w:rsidRPr="00EB75F6">
        <w:rPr>
          <w:rFonts w:ascii="Times New Roman" w:hAnsi="Times New Roman"/>
          <w:b/>
          <w:sz w:val="24"/>
          <w:szCs w:val="24"/>
          <w:lang w:eastAsia="bg-BG"/>
        </w:rPr>
        <w:t>4. Състояние на ниво защитена зона</w:t>
      </w:r>
    </w:p>
    <w:p w:rsidR="00EB75F6" w:rsidRPr="00EB75F6" w:rsidRDefault="00EB75F6" w:rsidP="00EB75F6">
      <w:pPr>
        <w:spacing w:after="0" w:line="240" w:lineRule="auto"/>
        <w:jc w:val="both"/>
        <w:rPr>
          <w:rFonts w:ascii="Times New Roman" w:hAnsi="Times New Roman"/>
          <w:b/>
          <w:sz w:val="24"/>
          <w:szCs w:val="24"/>
          <w:lang w:eastAsia="bg-BG"/>
        </w:rPr>
      </w:pPr>
    </w:p>
    <w:tbl>
      <w:tblPr>
        <w:tblW w:w="9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
        <w:gridCol w:w="673"/>
        <w:gridCol w:w="1136"/>
        <w:gridCol w:w="334"/>
        <w:gridCol w:w="495"/>
        <w:gridCol w:w="373"/>
        <w:gridCol w:w="596"/>
        <w:gridCol w:w="624"/>
        <w:gridCol w:w="606"/>
        <w:gridCol w:w="590"/>
        <w:gridCol w:w="858"/>
        <w:gridCol w:w="970"/>
        <w:gridCol w:w="635"/>
        <w:gridCol w:w="533"/>
        <w:gridCol w:w="590"/>
        <w:gridCol w:w="10"/>
      </w:tblGrid>
      <w:tr w:rsidR="00EB75F6" w:rsidRPr="00EB75F6" w:rsidTr="005A0A3C">
        <w:trPr>
          <w:trHeight w:val="413"/>
          <w:jc w:val="center"/>
        </w:trPr>
        <w:tc>
          <w:tcPr>
            <w:tcW w:w="3040" w:type="dxa"/>
            <w:gridSpan w:val="5"/>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Species</w:t>
            </w:r>
          </w:p>
        </w:tc>
        <w:tc>
          <w:tcPr>
            <w:tcW w:w="3647" w:type="dxa"/>
            <w:gridSpan w:val="6"/>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Population in the site</w:t>
            </w:r>
          </w:p>
        </w:tc>
        <w:tc>
          <w:tcPr>
            <w:tcW w:w="2738" w:type="dxa"/>
            <w:gridSpan w:val="5"/>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Site assessment</w:t>
            </w:r>
          </w:p>
        </w:tc>
      </w:tr>
      <w:tr w:rsidR="00EB75F6" w:rsidRPr="00EB75F6" w:rsidTr="005A0A3C">
        <w:trPr>
          <w:gridAfter w:val="1"/>
          <w:wAfter w:w="10" w:type="dxa"/>
          <w:trHeight w:val="413"/>
          <w:jc w:val="center"/>
        </w:trPr>
        <w:tc>
          <w:tcPr>
            <w:tcW w:w="402"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G</w:t>
            </w:r>
          </w:p>
        </w:tc>
        <w:tc>
          <w:tcPr>
            <w:tcW w:w="673"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Code</w:t>
            </w:r>
          </w:p>
        </w:tc>
        <w:tc>
          <w:tcPr>
            <w:tcW w:w="1136"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Scientific Name</w:t>
            </w:r>
          </w:p>
        </w:tc>
        <w:tc>
          <w:tcPr>
            <w:tcW w:w="334"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S</w:t>
            </w:r>
          </w:p>
        </w:tc>
        <w:tc>
          <w:tcPr>
            <w:tcW w:w="495"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NP</w:t>
            </w:r>
          </w:p>
        </w:tc>
        <w:tc>
          <w:tcPr>
            <w:tcW w:w="373"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T</w:t>
            </w:r>
          </w:p>
        </w:tc>
        <w:tc>
          <w:tcPr>
            <w:tcW w:w="1220" w:type="dxa"/>
            <w:gridSpan w:val="2"/>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Size</w:t>
            </w:r>
          </w:p>
        </w:tc>
        <w:tc>
          <w:tcPr>
            <w:tcW w:w="606"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Unit</w:t>
            </w:r>
          </w:p>
        </w:tc>
        <w:tc>
          <w:tcPr>
            <w:tcW w:w="590"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Cat.</w:t>
            </w:r>
          </w:p>
        </w:tc>
        <w:tc>
          <w:tcPr>
            <w:tcW w:w="858"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D.qual.</w:t>
            </w:r>
          </w:p>
        </w:tc>
        <w:tc>
          <w:tcPr>
            <w:tcW w:w="970" w:type="dxa"/>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A/B/C/D</w:t>
            </w:r>
          </w:p>
        </w:tc>
        <w:tc>
          <w:tcPr>
            <w:tcW w:w="1758" w:type="dxa"/>
            <w:gridSpan w:val="3"/>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A/B/C</w:t>
            </w:r>
          </w:p>
        </w:tc>
      </w:tr>
      <w:tr w:rsidR="00EB75F6" w:rsidRPr="00EB75F6" w:rsidTr="005A0A3C">
        <w:trPr>
          <w:gridAfter w:val="1"/>
          <w:wAfter w:w="10" w:type="dxa"/>
          <w:trHeight w:val="425"/>
          <w:jc w:val="center"/>
        </w:trPr>
        <w:tc>
          <w:tcPr>
            <w:tcW w:w="402"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673"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1136"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334"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495"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373"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596" w:type="dxa"/>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Min</w:t>
            </w:r>
          </w:p>
        </w:tc>
        <w:tc>
          <w:tcPr>
            <w:tcW w:w="624" w:type="dxa"/>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Max</w:t>
            </w:r>
          </w:p>
        </w:tc>
        <w:tc>
          <w:tcPr>
            <w:tcW w:w="606"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590"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858"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970" w:type="dxa"/>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Pop.</w:t>
            </w:r>
          </w:p>
        </w:tc>
        <w:tc>
          <w:tcPr>
            <w:tcW w:w="635" w:type="dxa"/>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Con.</w:t>
            </w:r>
          </w:p>
        </w:tc>
        <w:tc>
          <w:tcPr>
            <w:tcW w:w="533" w:type="dxa"/>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Iso.</w:t>
            </w:r>
          </w:p>
        </w:tc>
        <w:tc>
          <w:tcPr>
            <w:tcW w:w="590" w:type="dxa"/>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Glo.</w:t>
            </w:r>
          </w:p>
        </w:tc>
      </w:tr>
      <w:tr w:rsidR="00EB75F6" w:rsidRPr="00EB75F6" w:rsidTr="005A0A3C">
        <w:trPr>
          <w:gridAfter w:val="1"/>
          <w:wAfter w:w="10" w:type="dxa"/>
          <w:trHeight w:val="413"/>
          <w:jc w:val="center"/>
        </w:trPr>
        <w:tc>
          <w:tcPr>
            <w:tcW w:w="402"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М</w:t>
            </w:r>
          </w:p>
        </w:tc>
        <w:tc>
          <w:tcPr>
            <w:tcW w:w="673"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1355</w:t>
            </w:r>
          </w:p>
        </w:tc>
        <w:tc>
          <w:tcPr>
            <w:tcW w:w="1136" w:type="dxa"/>
            <w:shd w:val="clear" w:color="auto" w:fill="auto"/>
            <w:vAlign w:val="center"/>
          </w:tcPr>
          <w:p w:rsidR="00EB75F6" w:rsidRPr="00EB75F6" w:rsidRDefault="00EB75F6" w:rsidP="00EB75F6">
            <w:pPr>
              <w:spacing w:after="0" w:line="240" w:lineRule="auto"/>
              <w:jc w:val="both"/>
              <w:rPr>
                <w:rFonts w:ascii="Times New Roman" w:hAnsi="Times New Roman"/>
                <w:i/>
                <w:sz w:val="20"/>
                <w:szCs w:val="20"/>
                <w:lang w:eastAsia="bg-BG"/>
              </w:rPr>
            </w:pPr>
            <w:r w:rsidRPr="00EB75F6">
              <w:rPr>
                <w:rFonts w:ascii="Times New Roman" w:hAnsi="Times New Roman"/>
                <w:i/>
                <w:sz w:val="20"/>
                <w:szCs w:val="20"/>
                <w:lang w:eastAsia="bg-BG"/>
              </w:rPr>
              <w:t>Lutra lutra</w:t>
            </w:r>
          </w:p>
        </w:tc>
        <w:tc>
          <w:tcPr>
            <w:tcW w:w="334"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 xml:space="preserve">  </w:t>
            </w:r>
          </w:p>
        </w:tc>
        <w:tc>
          <w:tcPr>
            <w:tcW w:w="495"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 xml:space="preserve">  </w:t>
            </w:r>
          </w:p>
        </w:tc>
        <w:tc>
          <w:tcPr>
            <w:tcW w:w="373"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p</w:t>
            </w:r>
          </w:p>
        </w:tc>
        <w:tc>
          <w:tcPr>
            <w:tcW w:w="596"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2</w:t>
            </w:r>
          </w:p>
        </w:tc>
        <w:tc>
          <w:tcPr>
            <w:tcW w:w="624"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2</w:t>
            </w:r>
          </w:p>
        </w:tc>
        <w:tc>
          <w:tcPr>
            <w:tcW w:w="606"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i</w:t>
            </w:r>
          </w:p>
        </w:tc>
        <w:tc>
          <w:tcPr>
            <w:tcW w:w="590"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p>
        </w:tc>
        <w:tc>
          <w:tcPr>
            <w:tcW w:w="858"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G</w:t>
            </w:r>
          </w:p>
        </w:tc>
        <w:tc>
          <w:tcPr>
            <w:tcW w:w="970"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C</w:t>
            </w:r>
          </w:p>
        </w:tc>
        <w:tc>
          <w:tcPr>
            <w:tcW w:w="635"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A</w:t>
            </w:r>
          </w:p>
        </w:tc>
        <w:tc>
          <w:tcPr>
            <w:tcW w:w="533"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C</w:t>
            </w:r>
          </w:p>
        </w:tc>
        <w:tc>
          <w:tcPr>
            <w:tcW w:w="590"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A</w:t>
            </w:r>
          </w:p>
        </w:tc>
      </w:tr>
    </w:tbl>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b/>
          <w:sz w:val="24"/>
          <w:szCs w:val="24"/>
          <w:lang w:eastAsia="bg-BG"/>
        </w:rPr>
        <w:t xml:space="preserve">Източник: </w:t>
      </w:r>
      <w:r w:rsidRPr="00EB75F6">
        <w:rPr>
          <w:rFonts w:ascii="Times New Roman" w:hAnsi="Times New Roman"/>
          <w:sz w:val="24"/>
          <w:szCs w:val="24"/>
          <w:u w:val="single"/>
          <w:lang w:eastAsia="bg-BG"/>
        </w:rPr>
        <w:t>http://natura2000.moew.government.bg/Home/ProtectedSite?code=BG0000182&amp;siteType=HabitatDirective</w:t>
      </w:r>
      <w:r w:rsidRPr="00EB75F6">
        <w:rPr>
          <w:rFonts w:ascii="Times New Roman" w:hAnsi="Times New Roman"/>
          <w:sz w:val="24"/>
          <w:szCs w:val="24"/>
          <w:lang w:eastAsia="bg-BG"/>
        </w:rPr>
        <w:t>.</w:t>
      </w:r>
    </w:p>
    <w:p w:rsidR="00EB75F6" w:rsidRPr="00EB75F6" w:rsidRDefault="00EB75F6" w:rsidP="00EB75F6">
      <w:pPr>
        <w:spacing w:after="0" w:line="240" w:lineRule="auto"/>
        <w:rPr>
          <w:rFonts w:ascii="Times New Roman" w:hAnsi="Times New Roman"/>
          <w:sz w:val="24"/>
          <w:szCs w:val="24"/>
          <w:lang w:eastAsia="bg-BG"/>
        </w:rPr>
      </w:pPr>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t xml:space="preserve">Информацията в Стандартния формуляр (версия 12.2018) на защитената зона за вида е попълнена на база специфичния доклад за вида в зоната от 2013 г (Петров 2013). Качеството на данните за видрата е оценено като G - „добро“. Популацията е оценена в брой индивиди (2-2 мин-макс). Видът е типичен за зоната – С. Опазването на вида е оценено с „A) отлично опазване“. Изолираността на популацията е оценено с „C) не изолирана популация в широк обхват на разпространение“. Цялостна оценка на стойността на обекта за опазването на видрата попада в категорията „A) отлична стойност“. </w:t>
      </w:r>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t xml:space="preserve">Река Дунав е основен екокоридор за разпространение на вида в централна и югоизточна Европа. Поради тази причина всички защитени зони и водоеми по протежението на реката имат важно значение за опазването на вида. </w:t>
      </w:r>
    </w:p>
    <w:p w:rsidR="00EB75F6" w:rsidRPr="00EB75F6" w:rsidRDefault="00EB75F6" w:rsidP="00EB75F6">
      <w:pPr>
        <w:spacing w:after="0" w:line="240" w:lineRule="auto"/>
        <w:jc w:val="both"/>
        <w:rPr>
          <w:rFonts w:ascii="Times New Roman" w:hAnsi="Times New Roman"/>
          <w:sz w:val="24"/>
          <w:szCs w:val="24"/>
          <w:lang w:eastAsia="bg-BG"/>
        </w:rPr>
      </w:pPr>
    </w:p>
    <w:p w:rsidR="00EB75F6" w:rsidRPr="00EB75F6" w:rsidRDefault="00EB75F6" w:rsidP="00EB75F6">
      <w:pPr>
        <w:spacing w:after="0" w:line="240" w:lineRule="auto"/>
        <w:jc w:val="both"/>
        <w:rPr>
          <w:rFonts w:ascii="Times New Roman" w:hAnsi="Times New Roman"/>
          <w:b/>
          <w:sz w:val="24"/>
          <w:szCs w:val="24"/>
          <w:lang w:eastAsia="bg-BG"/>
        </w:rPr>
      </w:pPr>
      <w:r w:rsidRPr="00EB75F6">
        <w:rPr>
          <w:rFonts w:ascii="Times New Roman" w:hAnsi="Times New Roman"/>
          <w:b/>
          <w:sz w:val="24"/>
          <w:szCs w:val="24"/>
          <w:lang w:eastAsia="bg-BG"/>
        </w:rPr>
        <w:t>5. Анализ на наличната информация</w:t>
      </w:r>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t xml:space="preserve">Видът е регистриран през 2013г по време на проект „Картиране и определяне на природозащитното състояние на природни местообитания и видове - фаза I“, като заключението за състоянието на вида в зоната е благоприятно, поради доброто състояние на местообитанията и тяхната сравнително голяма площ, </w:t>
      </w:r>
    </w:p>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lastRenderedPageBreak/>
        <w:t xml:space="preserve">Приетата плътност на видрата в тази зона е 0,3 инд./км. Изчислената относителна численост е  2 индивида. (Петров 2013; Петров, Попов 2013). В стандартния формуляр присъства същата информация за численост на популацията. </w:t>
      </w:r>
    </w:p>
    <w:p w:rsidR="00EB75F6" w:rsidRPr="00EB75F6" w:rsidRDefault="00EB75F6" w:rsidP="00EB75F6">
      <w:pPr>
        <w:spacing w:after="0" w:line="240" w:lineRule="auto"/>
        <w:ind w:firstLine="706"/>
        <w:jc w:val="both"/>
        <w:rPr>
          <w:rFonts w:ascii="Times New Roman" w:hAnsi="Times New Roman"/>
          <w:sz w:val="24"/>
          <w:szCs w:val="24"/>
          <w:lang w:eastAsia="bg-BG"/>
        </w:rPr>
      </w:pPr>
      <w:r w:rsidRPr="00EB75F6">
        <w:rPr>
          <w:rFonts w:ascii="Times New Roman" w:hAnsi="Times New Roman"/>
          <w:sz w:val="24"/>
          <w:szCs w:val="24"/>
          <w:lang w:eastAsia="bg-BG"/>
        </w:rPr>
        <w:t>При полевото проучване през 2021г. по време на проекта за определяне на целите съгласно утвърдената методика (Кошев и др. 2013</w:t>
      </w:r>
      <w:r w:rsidR="00F873CF">
        <w:rPr>
          <w:rFonts w:ascii="Times New Roman" w:hAnsi="Times New Roman"/>
          <w:sz w:val="24"/>
          <w:szCs w:val="24"/>
          <w:lang w:eastAsia="bg-BG"/>
        </w:rPr>
        <w:t>, НСМСБР</w:t>
      </w:r>
      <w:r w:rsidRPr="00EB75F6">
        <w:rPr>
          <w:rFonts w:ascii="Times New Roman" w:hAnsi="Times New Roman"/>
          <w:sz w:val="24"/>
          <w:szCs w:val="24"/>
          <w:lang w:eastAsia="bg-BG"/>
        </w:rPr>
        <w:t>) са проучени 4 трансекта. В 2 от тях са регистрирани следи (екскременти и отпечатъци) на видра и данни за присъствие на вида. Установено е силно присъствие на рибари по изоставени от тях такъми, корди, кукички и др. Тази дейност освен възможността да нарани видри, често е съпроводена с бракониерство и незаконно убиване на видри. Според интервюирани случайно срещнати жители в езерото няма видри в езерото, а само в р. Дунав. По време на теренното проучване на брега на Дунава, не са открити  следи от жизнената дейност на видрата въпреки подходящите местообитания за това.</w:t>
      </w:r>
    </w:p>
    <w:p w:rsidR="00EB75F6" w:rsidRPr="00EB75F6" w:rsidRDefault="00EB75F6" w:rsidP="00EB75F6">
      <w:pPr>
        <w:spacing w:after="0" w:line="240" w:lineRule="auto"/>
        <w:ind w:firstLine="706"/>
        <w:jc w:val="both"/>
        <w:rPr>
          <w:rFonts w:ascii="Times New Roman" w:hAnsi="Times New Roman"/>
          <w:sz w:val="24"/>
          <w:szCs w:val="24"/>
          <w:lang w:eastAsia="bg-BG"/>
        </w:rPr>
      </w:pPr>
      <w:r w:rsidRPr="00EB75F6">
        <w:rPr>
          <w:rFonts w:ascii="Times New Roman" w:hAnsi="Times New Roman"/>
          <w:sz w:val="24"/>
          <w:szCs w:val="24"/>
          <w:lang w:eastAsia="bg-BG"/>
        </w:rPr>
        <w:t xml:space="preserve">Извършен е анализ на сигнали и контролна дейност (потенциално опасни заплахи за видрата) поместени на сайта на  РИОСВ-Русе за района на р. Дунав и прилежащите защитени зони за периода 2017-2021. </w:t>
      </w:r>
    </w:p>
    <w:p w:rsidR="00EB75F6" w:rsidRPr="00EB75F6" w:rsidRDefault="00EB75F6" w:rsidP="00EB75F6">
      <w:pPr>
        <w:spacing w:after="0" w:line="240" w:lineRule="auto"/>
        <w:ind w:firstLine="706"/>
        <w:jc w:val="both"/>
        <w:rPr>
          <w:rFonts w:ascii="Times New Roman" w:hAnsi="Times New Roman"/>
          <w:sz w:val="24"/>
          <w:szCs w:val="24"/>
          <w:lang w:eastAsia="bg-BG"/>
        </w:rPr>
      </w:pPr>
      <w:r w:rsidRPr="00EB75F6">
        <w:rPr>
          <w:rFonts w:ascii="Times New Roman" w:hAnsi="Times New Roman"/>
          <w:sz w:val="24"/>
          <w:szCs w:val="24"/>
          <w:lang w:eastAsia="bg-BG"/>
        </w:rPr>
        <w:t>Анализът показва силно негативно влияние върху резервата основно по три направления: бракониерски лов, бракониерски риболов и умишлено опожаряване. През 2018 констатираните с АУАН нарушения на режима на дейности на резерват „Езеро Сребърна“ са 10 броя. При извършен преглед на записи от системата за видеонаблюдение е установено седем лица са осъществили навлизане в територията на резервата с ловно оръжие. Същите са идентифицирани от РУ на МВР – Силистра и са им наложени глоби. На 15.03.2018 г. три лица са установени да извършват любителски риболов. Мястото не е сред регламентираните за дейността, поради което на лицата са съставени АУАН и наложени глоби (Отчет РИОСВ – Русе 2018).</w:t>
      </w:r>
    </w:p>
    <w:p w:rsidR="00EB75F6" w:rsidRPr="00EB75F6" w:rsidRDefault="00EB75F6" w:rsidP="00EB75F6">
      <w:pPr>
        <w:spacing w:after="0" w:line="240" w:lineRule="auto"/>
        <w:ind w:firstLine="706"/>
        <w:jc w:val="both"/>
        <w:rPr>
          <w:rFonts w:ascii="Times New Roman" w:hAnsi="Times New Roman"/>
          <w:sz w:val="24"/>
          <w:szCs w:val="24"/>
          <w:lang w:eastAsia="bg-BG"/>
        </w:rPr>
      </w:pPr>
      <w:r w:rsidRPr="00EB75F6">
        <w:rPr>
          <w:rFonts w:ascii="Times New Roman" w:hAnsi="Times New Roman"/>
          <w:sz w:val="24"/>
          <w:szCs w:val="24"/>
          <w:lang w:eastAsia="bg-BG"/>
        </w:rPr>
        <w:t>През 2019 г. в ПР „Сребърна” са възникнали 2 пожара, в резултат от умишлен палеж, дело на бракониери, които са искали да освободят от растителност площи, в които да пускат мрежи при покачването на водите на р. Дунав. През 2019г. са проведени няколко специализирани полицейски операции нарушенията на режима на дейности от бракониери, извършващи незаконен риболов с мрежи в резерват „Сребърна“. Само при едната от тях е задържан нарушител - на лицето е съставен АУАН. Съставени са два АУАН  на две лица, осъществили риболов с въдици и лодка във вътрешността на езерото (Отчет РИОСВ – Русе 2019).</w:t>
      </w:r>
    </w:p>
    <w:p w:rsidR="00EB75F6" w:rsidRPr="00EB75F6" w:rsidRDefault="00EB75F6" w:rsidP="00EB75F6">
      <w:pPr>
        <w:spacing w:after="0" w:line="240" w:lineRule="auto"/>
        <w:ind w:firstLine="706"/>
        <w:jc w:val="both"/>
        <w:rPr>
          <w:rFonts w:ascii="Times New Roman" w:hAnsi="Times New Roman"/>
          <w:sz w:val="24"/>
          <w:szCs w:val="24"/>
          <w:lang w:eastAsia="bg-BG"/>
        </w:rPr>
      </w:pPr>
      <w:r w:rsidRPr="00EB75F6">
        <w:rPr>
          <w:rFonts w:ascii="Times New Roman" w:hAnsi="Times New Roman"/>
          <w:sz w:val="24"/>
          <w:szCs w:val="24"/>
          <w:lang w:eastAsia="bg-BG"/>
        </w:rPr>
        <w:t>През 2020 г. са извършени три съвместни акции на РИОСВ-Русе с РУ на МВР – гр. Силистра за установяване и неутрализиране на нарушения на режимите на дейности в ПР „Сребърна” и по-конкретно за пресичане на незаконен риболов. При две от акциите са установени общо пет лица, осъществявали любителски риболов от плавателни съдове и на нерегламентирани места. На лицата са съставени АУАН и издадени наказателни постановления с административни наказания</w:t>
      </w:r>
    </w:p>
    <w:p w:rsidR="00EB75F6" w:rsidRPr="00EB75F6" w:rsidRDefault="00EB75F6" w:rsidP="00EB75F6">
      <w:pPr>
        <w:spacing w:after="0" w:line="240" w:lineRule="auto"/>
        <w:ind w:firstLine="706"/>
        <w:jc w:val="both"/>
        <w:rPr>
          <w:rFonts w:ascii="Times New Roman" w:hAnsi="Times New Roman"/>
          <w:sz w:val="24"/>
          <w:szCs w:val="24"/>
          <w:lang w:eastAsia="bg-BG"/>
        </w:rPr>
      </w:pPr>
      <w:r w:rsidRPr="00EB75F6">
        <w:rPr>
          <w:rFonts w:ascii="Times New Roman" w:hAnsi="Times New Roman"/>
          <w:sz w:val="24"/>
          <w:szCs w:val="24"/>
          <w:lang w:eastAsia="bg-BG"/>
        </w:rPr>
        <w:t>При трета акция през 2020г. е установено лице, осъществявало стопански риболов с мрежи във водите на езерото. Тъй като дейността представлява престъпление по смисъла на Наказателния кодекс, срещу лицето е повдигнато обвинение, което е приключило с осъдителна присъда „пробация”.</w:t>
      </w:r>
    </w:p>
    <w:p w:rsidR="00EB75F6" w:rsidRPr="00EB75F6" w:rsidRDefault="00EB75F6" w:rsidP="00EB75F6">
      <w:pPr>
        <w:spacing w:after="0" w:line="240" w:lineRule="auto"/>
        <w:ind w:firstLine="706"/>
        <w:jc w:val="both"/>
        <w:rPr>
          <w:rFonts w:ascii="Times New Roman" w:hAnsi="Times New Roman"/>
          <w:sz w:val="24"/>
          <w:szCs w:val="24"/>
          <w:lang w:eastAsia="bg-BG"/>
        </w:rPr>
      </w:pPr>
      <w:r w:rsidRPr="00EB75F6">
        <w:rPr>
          <w:rFonts w:ascii="Times New Roman" w:hAnsi="Times New Roman"/>
          <w:sz w:val="24"/>
          <w:szCs w:val="24"/>
          <w:lang w:eastAsia="bg-BG"/>
        </w:rPr>
        <w:t>Регистърът за екологични оценки (</w:t>
      </w:r>
      <w:hyperlink r:id="rId184">
        <w:r w:rsidRPr="00EB75F6">
          <w:rPr>
            <w:rFonts w:ascii="Times New Roman" w:hAnsi="Times New Roman"/>
            <w:sz w:val="24"/>
            <w:szCs w:val="24"/>
            <w:u w:val="single"/>
            <w:lang w:eastAsia="bg-BG"/>
          </w:rPr>
          <w:t>http://registers.moew.government.bg/eo</w:t>
        </w:r>
      </w:hyperlink>
      <w:r w:rsidRPr="00EB75F6">
        <w:rPr>
          <w:rFonts w:ascii="Times New Roman" w:hAnsi="Times New Roman"/>
          <w:sz w:val="24"/>
          <w:szCs w:val="24"/>
          <w:lang w:eastAsia="bg-BG"/>
        </w:rPr>
        <w:t>) попадащи в обхвата на защитената зона показва 2 досиета план/програми (Достъп на 27.09.2021), които са свързани с общински план програми за развитие на инфраструктурни проекти на ВиК мрежата. При първоначален повърхностен анализ, може да се каже, че няма сериозни негативни фактори, дори би имало положителен ефект върху чистотата на водите.</w:t>
      </w:r>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t xml:space="preserve">Потенциалното замърсяване на водите може да настъпи с отпадъци от млекопреработвателната промишленост, които при високи води (поройни дъждове)  </w:t>
      </w:r>
      <w:r w:rsidRPr="00EB75F6">
        <w:rPr>
          <w:rFonts w:ascii="Times New Roman" w:hAnsi="Times New Roman"/>
          <w:sz w:val="24"/>
          <w:szCs w:val="24"/>
          <w:lang w:eastAsia="bg-BG"/>
        </w:rPr>
        <w:lastRenderedPageBreak/>
        <w:t xml:space="preserve">могат да постъпят в ез. Сребърна. През 2012-2013 г. при проучване по проект "Картиране и определяне на природозащитното състояние на природни местообитания и видове - фаза I“ е установено нерегламентирано изхвърляне на отпадъчни продукти от млекопроизводството, които замърсяват местни водоеми на гр. Ситово (Й. Кошев – лични непубл. данни). През 2016 г. е постъпил основателен сигнал в РИОСВ за замърсени водоеми и починали селскостопански животни (крави) в района. Макар и свързани със суходолия, тези водоеми (до гр. Ситово) имат връзка с езерото Сребърна и при високи поройни дъждовни води, замърсяванията могат да постъпят в езерото. </w:t>
      </w:r>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t>Регистърът на оценки за въздействие на околната среда (</w:t>
      </w:r>
      <w:hyperlink r:id="rId185">
        <w:r w:rsidRPr="00EB75F6">
          <w:rPr>
            <w:rFonts w:ascii="Times New Roman" w:hAnsi="Times New Roman"/>
            <w:sz w:val="24"/>
            <w:szCs w:val="24"/>
            <w:u w:val="single"/>
            <w:lang w:eastAsia="bg-BG"/>
          </w:rPr>
          <w:t>http://registers.moew.government.bg/ovos/</w:t>
        </w:r>
      </w:hyperlink>
      <w:r w:rsidRPr="00EB75F6">
        <w:rPr>
          <w:rFonts w:ascii="Times New Roman" w:hAnsi="Times New Roman"/>
          <w:sz w:val="24"/>
          <w:szCs w:val="24"/>
          <w:lang w:eastAsia="bg-BG"/>
        </w:rPr>
        <w:t>) показва 11 актуални досиета по процедурата за ОВОС в района на защитената зона (Достъп на 27.09.2021). С най-силен негативен ефект са инвестиционни намерения подобни на „Техническа помощ за подобряване на условията за подобряване на условията за корабоплаване в общия българо-румънски участък на р. Дунав и съпътстващи проучвания“ (</w:t>
      </w:r>
      <w:hyperlink r:id="rId186">
        <w:r w:rsidRPr="00EB75F6">
          <w:rPr>
            <w:rFonts w:ascii="Times New Roman" w:hAnsi="Times New Roman"/>
            <w:sz w:val="24"/>
            <w:szCs w:val="24"/>
            <w:u w:val="single"/>
            <w:lang w:eastAsia="bg-BG"/>
          </w:rPr>
          <w:t>http://registers.moew.government.bg/ovos/lot/29818</w:t>
        </w:r>
      </w:hyperlink>
      <w:r w:rsidRPr="00EB75F6">
        <w:rPr>
          <w:rFonts w:ascii="Times New Roman" w:hAnsi="Times New Roman"/>
          <w:sz w:val="24"/>
          <w:szCs w:val="24"/>
          <w:lang w:eastAsia="bg-BG"/>
        </w:rPr>
        <w:t>).</w:t>
      </w:r>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t>В заключение може да се каже, че е установено засилено отрицателно антропогенно влияние върху видрата в ЗЗ „Сребърна“, което вероятно има и силен ефект върху нейната популацията, което показва ниският брой на регистрации на вида в зоната и установените от теренния екип доказателства за нерегламентиран риболов. Заплахите регистрирани масово от РИОСВ са основно няколко вида: редовно умишлен опожаряване с цел поставяне на риболовни мрежи, незаконен любителски и дори „стопански“ риболов, незаконен лов и др. Тези дейности водят до намаляване на числеността на вида. От потенциал на зоната от 2-3 възрастни индивида, считаме, че числеността е намаляла до 1-2 индивида, като в целите трябва да се заложи достигане на численост от 3 индивида.</w:t>
      </w:r>
    </w:p>
    <w:p w:rsidR="00EB75F6" w:rsidRPr="00EB75F6" w:rsidRDefault="00EB75F6" w:rsidP="00EB75F6">
      <w:pPr>
        <w:spacing w:after="0" w:line="240" w:lineRule="auto"/>
        <w:jc w:val="both"/>
        <w:rPr>
          <w:rFonts w:ascii="Times New Roman" w:hAnsi="Times New Roman"/>
          <w:b/>
          <w:sz w:val="24"/>
          <w:szCs w:val="24"/>
          <w:lang w:eastAsia="bg-BG"/>
        </w:rPr>
      </w:pPr>
    </w:p>
    <w:p w:rsidR="00EB75F6" w:rsidRPr="00EB75F6" w:rsidRDefault="00EB75F6" w:rsidP="00EB75F6">
      <w:pPr>
        <w:spacing w:after="0" w:line="240" w:lineRule="auto"/>
        <w:jc w:val="both"/>
        <w:rPr>
          <w:rFonts w:ascii="Times New Roman" w:hAnsi="Times New Roman"/>
          <w:b/>
          <w:sz w:val="24"/>
          <w:szCs w:val="24"/>
          <w:lang w:eastAsia="bg-BG"/>
        </w:rPr>
      </w:pPr>
      <w:r w:rsidRPr="00EB75F6">
        <w:rPr>
          <w:rFonts w:ascii="Times New Roman" w:hAnsi="Times New Roman"/>
          <w:b/>
          <w:sz w:val="24"/>
          <w:szCs w:val="24"/>
          <w:lang w:eastAsia="bg-BG"/>
        </w:rPr>
        <w:t>6. Цели за подобряване/поддържане на природозащитното състояние на вида в зоната</w:t>
      </w:r>
    </w:p>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Целите са формулирани по показатели, в таблицата по-долу.</w:t>
      </w:r>
    </w:p>
    <w:p w:rsidR="00EB75F6" w:rsidRPr="00EB75F6" w:rsidRDefault="00EB75F6" w:rsidP="00EB75F6">
      <w:pPr>
        <w:spacing w:after="0" w:line="240" w:lineRule="auto"/>
        <w:jc w:val="both"/>
        <w:rPr>
          <w:rFonts w:ascii="Times New Roman" w:hAnsi="Times New Roman"/>
          <w:sz w:val="24"/>
          <w:szCs w:val="24"/>
          <w:lang w:eastAsia="bg-BG"/>
        </w:rPr>
      </w:pPr>
    </w:p>
    <w:tbl>
      <w:tblPr>
        <w:tblW w:w="9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260"/>
        <w:gridCol w:w="1561"/>
        <w:gridCol w:w="2664"/>
        <w:gridCol w:w="2880"/>
      </w:tblGrid>
      <w:tr w:rsidR="00EB75F6" w:rsidRPr="00EB75F6" w:rsidTr="005A0A3C">
        <w:trPr>
          <w:jc w:val="center"/>
        </w:trPr>
        <w:tc>
          <w:tcPr>
            <w:tcW w:w="1440" w:type="dxa"/>
            <w:shd w:val="clear" w:color="auto" w:fill="DBE5F1"/>
            <w:vAlign w:val="center"/>
          </w:tcPr>
          <w:p w:rsidR="00EB75F6" w:rsidRPr="003A4F26" w:rsidRDefault="00EB75F6" w:rsidP="00EB75F6">
            <w:pPr>
              <w:widowControl w:val="0"/>
              <w:spacing w:after="0" w:line="240" w:lineRule="auto"/>
              <w:jc w:val="center"/>
              <w:rPr>
                <w:rFonts w:ascii="Times New Roman" w:hAnsi="Times New Roman"/>
                <w:b/>
                <w:lang w:eastAsia="bg-BG"/>
              </w:rPr>
            </w:pPr>
            <w:r w:rsidRPr="003A4F26">
              <w:rPr>
                <w:rFonts w:ascii="Times New Roman" w:hAnsi="Times New Roman"/>
                <w:b/>
                <w:lang w:eastAsia="bg-BG"/>
              </w:rPr>
              <w:t>Параметър</w:t>
            </w:r>
          </w:p>
        </w:tc>
        <w:tc>
          <w:tcPr>
            <w:tcW w:w="1260" w:type="dxa"/>
            <w:shd w:val="clear" w:color="auto" w:fill="DBE5F1"/>
            <w:vAlign w:val="center"/>
          </w:tcPr>
          <w:p w:rsidR="00EB75F6" w:rsidRPr="00EB75F6" w:rsidRDefault="00EB75F6" w:rsidP="00EB75F6">
            <w:pPr>
              <w:widowControl w:val="0"/>
              <w:spacing w:after="0" w:line="240" w:lineRule="auto"/>
              <w:jc w:val="center"/>
              <w:rPr>
                <w:rFonts w:ascii="Times New Roman" w:hAnsi="Times New Roman"/>
                <w:b/>
                <w:lang w:eastAsia="bg-BG"/>
              </w:rPr>
            </w:pPr>
            <w:r w:rsidRPr="00EB75F6">
              <w:rPr>
                <w:rFonts w:ascii="Times New Roman" w:hAnsi="Times New Roman"/>
                <w:b/>
                <w:lang w:eastAsia="bg-BG"/>
              </w:rPr>
              <w:t>Мерна единица</w:t>
            </w:r>
          </w:p>
        </w:tc>
        <w:tc>
          <w:tcPr>
            <w:tcW w:w="1561" w:type="dxa"/>
            <w:shd w:val="clear" w:color="auto" w:fill="DBE5F1"/>
            <w:vAlign w:val="center"/>
          </w:tcPr>
          <w:p w:rsidR="00EB75F6" w:rsidRPr="00EB75F6" w:rsidRDefault="00EB75F6" w:rsidP="00EB75F6">
            <w:pPr>
              <w:widowControl w:val="0"/>
              <w:spacing w:after="0" w:line="240" w:lineRule="auto"/>
              <w:jc w:val="center"/>
              <w:rPr>
                <w:rFonts w:ascii="Times New Roman" w:hAnsi="Times New Roman"/>
                <w:b/>
                <w:lang w:eastAsia="bg-BG"/>
              </w:rPr>
            </w:pPr>
            <w:r w:rsidRPr="00EB75F6">
              <w:rPr>
                <w:rFonts w:ascii="Times New Roman" w:hAnsi="Times New Roman"/>
                <w:b/>
                <w:lang w:eastAsia="bg-BG"/>
              </w:rPr>
              <w:t>Целева стойност</w:t>
            </w:r>
          </w:p>
        </w:tc>
        <w:tc>
          <w:tcPr>
            <w:tcW w:w="2664" w:type="dxa"/>
            <w:shd w:val="clear" w:color="auto" w:fill="DBE5F1"/>
            <w:vAlign w:val="center"/>
          </w:tcPr>
          <w:p w:rsidR="00EB75F6" w:rsidRPr="00EB75F6" w:rsidRDefault="00EB75F6" w:rsidP="00EB75F6">
            <w:pPr>
              <w:widowControl w:val="0"/>
              <w:spacing w:after="0" w:line="240" w:lineRule="auto"/>
              <w:jc w:val="center"/>
              <w:rPr>
                <w:rFonts w:ascii="Times New Roman" w:hAnsi="Times New Roman"/>
                <w:b/>
                <w:lang w:eastAsia="bg-BG"/>
              </w:rPr>
            </w:pPr>
            <w:r w:rsidRPr="00EB75F6">
              <w:rPr>
                <w:rFonts w:ascii="Times New Roman" w:hAnsi="Times New Roman"/>
                <w:b/>
                <w:lang w:eastAsia="bg-BG"/>
              </w:rPr>
              <w:t>Допълнителна информация.</w:t>
            </w:r>
          </w:p>
        </w:tc>
        <w:tc>
          <w:tcPr>
            <w:tcW w:w="2880" w:type="dxa"/>
            <w:shd w:val="clear" w:color="auto" w:fill="DBE5F1"/>
            <w:vAlign w:val="center"/>
          </w:tcPr>
          <w:p w:rsidR="00EB75F6" w:rsidRPr="00EB75F6" w:rsidRDefault="00EB75F6" w:rsidP="00EB75F6">
            <w:pPr>
              <w:widowControl w:val="0"/>
              <w:spacing w:after="0" w:line="240" w:lineRule="auto"/>
              <w:jc w:val="center"/>
              <w:rPr>
                <w:rFonts w:ascii="Times New Roman" w:hAnsi="Times New Roman"/>
                <w:b/>
                <w:lang w:eastAsia="bg-BG"/>
              </w:rPr>
            </w:pPr>
            <w:r w:rsidRPr="00EB75F6">
              <w:rPr>
                <w:rFonts w:ascii="Times New Roman" w:hAnsi="Times New Roman"/>
                <w:b/>
                <w:lang w:eastAsia="bg-BG"/>
              </w:rPr>
              <w:t>Специфични цели</w:t>
            </w:r>
          </w:p>
        </w:tc>
      </w:tr>
      <w:tr w:rsidR="00EB75F6" w:rsidRPr="00EB75F6" w:rsidTr="005A0A3C">
        <w:trPr>
          <w:jc w:val="center"/>
        </w:trPr>
        <w:tc>
          <w:tcPr>
            <w:tcW w:w="1440" w:type="dxa"/>
            <w:shd w:val="clear" w:color="auto" w:fill="auto"/>
          </w:tcPr>
          <w:p w:rsidR="00EB75F6" w:rsidRPr="003A4F26" w:rsidRDefault="00EB75F6" w:rsidP="00EB75F6">
            <w:pPr>
              <w:spacing w:after="0" w:line="240" w:lineRule="auto"/>
              <w:rPr>
                <w:rFonts w:ascii="Times New Roman" w:hAnsi="Times New Roman"/>
                <w:b/>
                <w:lang w:eastAsia="bg-BG"/>
              </w:rPr>
            </w:pPr>
            <w:r w:rsidRPr="003A4F26">
              <w:rPr>
                <w:rFonts w:ascii="Times New Roman" w:hAnsi="Times New Roman"/>
                <w:b/>
                <w:lang w:eastAsia="bg-BG"/>
              </w:rPr>
              <w:t>Размер на популацията</w:t>
            </w:r>
          </w:p>
        </w:tc>
        <w:tc>
          <w:tcPr>
            <w:tcW w:w="1260" w:type="dxa"/>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брой</w:t>
            </w:r>
          </w:p>
        </w:tc>
        <w:tc>
          <w:tcPr>
            <w:tcW w:w="1561" w:type="dxa"/>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 xml:space="preserve">Най-малко </w:t>
            </w:r>
          </w:p>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3 възрастни индивида</w:t>
            </w:r>
          </w:p>
        </w:tc>
        <w:tc>
          <w:tcPr>
            <w:tcW w:w="2664" w:type="dxa"/>
            <w:shd w:val="clear" w:color="auto" w:fill="auto"/>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Съгласно специфичния доклад, публикуван на страницата на Информационната система за защитените зони от екологичната мрежа Натура 2000 (Петров 2013).</w:t>
            </w:r>
          </w:p>
          <w:p w:rsidR="00EB75F6" w:rsidRPr="00EB75F6" w:rsidRDefault="00EB75F6" w:rsidP="00EB75F6">
            <w:pPr>
              <w:spacing w:after="0" w:line="240" w:lineRule="auto"/>
              <w:jc w:val="both"/>
              <w:rPr>
                <w:rFonts w:ascii="Times New Roman" w:hAnsi="Times New Roman"/>
                <w:lang w:eastAsia="bg-BG"/>
              </w:rPr>
            </w:pPr>
          </w:p>
        </w:tc>
        <w:tc>
          <w:tcPr>
            <w:tcW w:w="2880" w:type="dxa"/>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Конкретни дейности, които могат да се приемат за подобряване на природозащитното състояние са:</w:t>
            </w:r>
          </w:p>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 прекратяване и превенция на бракониерския лов и риболов.</w:t>
            </w:r>
          </w:p>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 по строг контрол на опожаряването и умишлените палежи.</w:t>
            </w:r>
          </w:p>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 xml:space="preserve">- поддържане на оптимално речно ниво. </w:t>
            </w:r>
          </w:p>
        </w:tc>
      </w:tr>
      <w:tr w:rsidR="00EB75F6" w:rsidRPr="00EB75F6" w:rsidTr="005A0A3C">
        <w:trPr>
          <w:jc w:val="center"/>
        </w:trPr>
        <w:tc>
          <w:tcPr>
            <w:tcW w:w="1440" w:type="dxa"/>
            <w:shd w:val="clear" w:color="auto" w:fill="auto"/>
          </w:tcPr>
          <w:p w:rsidR="00EB75F6" w:rsidRPr="003A4F26" w:rsidRDefault="00EB75F6" w:rsidP="00EB75F6">
            <w:pPr>
              <w:spacing w:after="0" w:line="240" w:lineRule="auto"/>
              <w:rPr>
                <w:rFonts w:ascii="Times New Roman" w:hAnsi="Times New Roman"/>
                <w:b/>
                <w:lang w:eastAsia="bg-BG"/>
              </w:rPr>
            </w:pPr>
            <w:r w:rsidRPr="003A4F26">
              <w:rPr>
                <w:rFonts w:ascii="Times New Roman" w:hAnsi="Times New Roman"/>
                <w:b/>
                <w:lang w:eastAsia="bg-BG"/>
              </w:rPr>
              <w:t xml:space="preserve">Площ на потенциалните местообитания в границите на </w:t>
            </w:r>
            <w:r w:rsidRPr="003A4F26">
              <w:rPr>
                <w:rFonts w:ascii="Times New Roman" w:hAnsi="Times New Roman"/>
                <w:b/>
                <w:lang w:eastAsia="bg-BG"/>
              </w:rPr>
              <w:lastRenderedPageBreak/>
              <w:t>защитената зона</w:t>
            </w:r>
          </w:p>
        </w:tc>
        <w:tc>
          <w:tcPr>
            <w:tcW w:w="1260" w:type="dxa"/>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lastRenderedPageBreak/>
              <w:t>ha</w:t>
            </w:r>
          </w:p>
        </w:tc>
        <w:tc>
          <w:tcPr>
            <w:tcW w:w="1561" w:type="dxa"/>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Най-малко     74,82 ha</w:t>
            </w:r>
          </w:p>
          <w:p w:rsidR="00EB75F6" w:rsidRPr="00EB75F6" w:rsidRDefault="00EB75F6" w:rsidP="00EB75F6">
            <w:pPr>
              <w:spacing w:after="0" w:line="240" w:lineRule="auto"/>
              <w:jc w:val="center"/>
              <w:rPr>
                <w:rFonts w:ascii="Times New Roman" w:hAnsi="Times New Roman"/>
                <w:lang w:eastAsia="bg-BG"/>
              </w:rPr>
            </w:pPr>
          </w:p>
        </w:tc>
        <w:tc>
          <w:tcPr>
            <w:tcW w:w="2664" w:type="dxa"/>
            <w:shd w:val="clear" w:color="auto" w:fill="auto"/>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 xml:space="preserve">Съгласно специфичния доклад, публикуван на страницата на Информационната система за защитените зони от екологичната мрежа Натура 2000 </w:t>
            </w:r>
            <w:r w:rsidRPr="00EB75F6">
              <w:rPr>
                <w:rFonts w:ascii="Times New Roman" w:hAnsi="Times New Roman"/>
                <w:lang w:eastAsia="bg-BG"/>
              </w:rPr>
              <w:lastRenderedPageBreak/>
              <w:t>(Петров 2013).</w:t>
            </w:r>
          </w:p>
        </w:tc>
        <w:tc>
          <w:tcPr>
            <w:tcW w:w="2880" w:type="dxa"/>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lastRenderedPageBreak/>
              <w:t>Поддържане на покритието с дървесно храстова растителност на бреговите ивици, което осигурява благоприятно състояние за видрата в зоната.</w:t>
            </w:r>
          </w:p>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 xml:space="preserve">Прекратяване на </w:t>
            </w:r>
            <w:r w:rsidRPr="00EB75F6">
              <w:rPr>
                <w:rFonts w:ascii="Times New Roman" w:hAnsi="Times New Roman"/>
                <w:lang w:eastAsia="bg-BG"/>
              </w:rPr>
              <w:lastRenderedPageBreak/>
              <w:t>опожаряването.</w:t>
            </w:r>
          </w:p>
        </w:tc>
      </w:tr>
      <w:tr w:rsidR="00EB75F6" w:rsidRPr="00EB75F6" w:rsidTr="005A0A3C">
        <w:trPr>
          <w:jc w:val="center"/>
        </w:trPr>
        <w:tc>
          <w:tcPr>
            <w:tcW w:w="1440" w:type="dxa"/>
            <w:shd w:val="clear" w:color="auto" w:fill="auto"/>
          </w:tcPr>
          <w:p w:rsidR="00EB75F6" w:rsidRPr="003A4F26" w:rsidRDefault="00EB75F6" w:rsidP="00EB75F6">
            <w:pPr>
              <w:spacing w:after="0" w:line="240" w:lineRule="auto"/>
              <w:rPr>
                <w:rFonts w:ascii="Times New Roman" w:hAnsi="Times New Roman"/>
                <w:b/>
                <w:lang w:eastAsia="bg-BG"/>
              </w:rPr>
            </w:pPr>
            <w:r w:rsidRPr="003A4F26">
              <w:rPr>
                <w:rFonts w:ascii="Times New Roman" w:hAnsi="Times New Roman"/>
                <w:b/>
                <w:lang w:eastAsia="bg-BG"/>
              </w:rPr>
              <w:lastRenderedPageBreak/>
              <w:t xml:space="preserve">Дължина и площ на речните участъци, подходящи за обитаване и площта на бреговете им </w:t>
            </w:r>
          </w:p>
        </w:tc>
        <w:tc>
          <w:tcPr>
            <w:tcW w:w="1260" w:type="dxa"/>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km</w:t>
            </w:r>
          </w:p>
          <w:p w:rsidR="00EB75F6" w:rsidRPr="00EB75F6" w:rsidRDefault="00EB75F6" w:rsidP="00EB75F6">
            <w:pPr>
              <w:spacing w:after="0" w:line="240" w:lineRule="auto"/>
              <w:jc w:val="center"/>
              <w:rPr>
                <w:rFonts w:ascii="Times New Roman" w:hAnsi="Times New Roman"/>
                <w:lang w:eastAsia="bg-BG"/>
              </w:rPr>
            </w:pPr>
          </w:p>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ha</w:t>
            </w:r>
          </w:p>
        </w:tc>
        <w:tc>
          <w:tcPr>
            <w:tcW w:w="1561" w:type="dxa"/>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участъците подходящи за обитаване от видрата са минимум 3,07 km, а площта на бреговете им e минимум 1,73 ha.</w:t>
            </w:r>
          </w:p>
        </w:tc>
        <w:tc>
          <w:tcPr>
            <w:tcW w:w="2664" w:type="dxa"/>
            <w:shd w:val="clear" w:color="auto" w:fill="auto"/>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Съгласно специфичния доклад, публикуван на страницата на Информационната система за защитените зони от екологичната мрежа Натура 2000 (Петров 2013).</w:t>
            </w:r>
          </w:p>
        </w:tc>
        <w:tc>
          <w:tcPr>
            <w:tcW w:w="2880" w:type="dxa"/>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Поддържане на дължината на речните участъци, подходящи за обитаване, в състояние което е благоприятно за видрата в зоната.</w:t>
            </w:r>
          </w:p>
        </w:tc>
      </w:tr>
      <w:tr w:rsidR="00EB75F6" w:rsidRPr="00EB75F6" w:rsidTr="005A0A3C">
        <w:trPr>
          <w:jc w:val="center"/>
        </w:trPr>
        <w:tc>
          <w:tcPr>
            <w:tcW w:w="1440" w:type="dxa"/>
            <w:shd w:val="clear" w:color="auto" w:fill="auto"/>
          </w:tcPr>
          <w:p w:rsidR="00EB75F6" w:rsidRPr="003A4F26" w:rsidRDefault="00EB75F6" w:rsidP="00EB75F6">
            <w:pPr>
              <w:spacing w:after="0" w:line="240" w:lineRule="auto"/>
              <w:rPr>
                <w:rFonts w:ascii="Times New Roman" w:hAnsi="Times New Roman"/>
                <w:b/>
                <w:lang w:eastAsia="bg-BG"/>
              </w:rPr>
            </w:pPr>
            <w:r w:rsidRPr="003A4F26">
              <w:rPr>
                <w:rFonts w:ascii="Times New Roman" w:hAnsi="Times New Roman"/>
                <w:b/>
                <w:lang w:eastAsia="bg-BG"/>
              </w:rPr>
              <w:t>Качество на водата – въз основа на екологични показатели (БЕК Макрозообентос, Фитобентос, Риби)</w:t>
            </w:r>
          </w:p>
        </w:tc>
        <w:tc>
          <w:tcPr>
            <w:tcW w:w="1260" w:type="dxa"/>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Клас на качество на водата</w:t>
            </w:r>
          </w:p>
        </w:tc>
        <w:tc>
          <w:tcPr>
            <w:tcW w:w="1561" w:type="dxa"/>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По-високо или равно на Клас 2</w:t>
            </w:r>
          </w:p>
        </w:tc>
        <w:tc>
          <w:tcPr>
            <w:tcW w:w="2664" w:type="dxa"/>
            <w:shd w:val="clear" w:color="auto" w:fill="auto"/>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 xml:space="preserve">Съгласно ПУРБ (https://wabd.bg/docs/plans/purb1621/04_Razdel_4_Monitoring.pdf). </w:t>
            </w:r>
          </w:p>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 xml:space="preserve">Има регистрирани сигнали за замърсяване на водите. </w:t>
            </w:r>
          </w:p>
        </w:tc>
        <w:tc>
          <w:tcPr>
            <w:tcW w:w="2880" w:type="dxa"/>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Поддържане на водните тела в добро хидрологично състояние, които осигуряват и достатъчна хранителна база за видрата.</w:t>
            </w:r>
          </w:p>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 xml:space="preserve">Мониторинг по РДВ.  </w:t>
            </w:r>
          </w:p>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Зачестени проверки за нерегламентирано изпускане на маслени, нефтени  и други отпадъци в река Дунав.</w:t>
            </w:r>
          </w:p>
        </w:tc>
      </w:tr>
      <w:tr w:rsidR="00EB75F6" w:rsidRPr="00EB75F6" w:rsidTr="005A0A3C">
        <w:trPr>
          <w:jc w:val="center"/>
        </w:trPr>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EB75F6" w:rsidRPr="003A4F26" w:rsidRDefault="00EB75F6" w:rsidP="00EB75F6">
            <w:pPr>
              <w:spacing w:after="0" w:line="240" w:lineRule="auto"/>
              <w:rPr>
                <w:rFonts w:ascii="Times New Roman" w:hAnsi="Times New Roman"/>
                <w:b/>
                <w:lang w:eastAsia="bg-BG"/>
              </w:rPr>
            </w:pPr>
            <w:r w:rsidRPr="003A4F26">
              <w:rPr>
                <w:rFonts w:ascii="Times New Roman" w:hAnsi="Times New Roman"/>
                <w:b/>
                <w:lang w:eastAsia="bg-BG"/>
              </w:rPr>
              <w:t>Екологичното състояние на в мониторингови точки на р. Дунав според докладите на JDS4 (Joint Danube Survey (JDS) и по-нови</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класове от 1 до 5</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По-високо или равно на Клас 2</w:t>
            </w:r>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Екологичното състояние на в мониторингови точки на р. Дунав според докладите на JDS4 (Joint Danube Survey (JDS) и по-нови.</w:t>
            </w:r>
          </w:p>
        </w:tc>
        <w:tc>
          <w:tcPr>
            <w:tcW w:w="2880" w:type="dxa"/>
            <w:tcBorders>
              <w:top w:val="single" w:sz="4" w:space="0" w:color="000000"/>
              <w:left w:val="single" w:sz="4" w:space="0" w:color="000000"/>
              <w:bottom w:val="single" w:sz="4" w:space="0" w:color="000000"/>
              <w:right w:val="single" w:sz="4" w:space="0" w:color="000000"/>
            </w:tcBorders>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Постигане целевата стойност по този параметър.</w:t>
            </w:r>
          </w:p>
        </w:tc>
      </w:tr>
    </w:tbl>
    <w:p w:rsidR="00EB75F6" w:rsidRPr="00EB75F6" w:rsidRDefault="00EB75F6" w:rsidP="00EB75F6">
      <w:pPr>
        <w:spacing w:after="0" w:line="240" w:lineRule="auto"/>
        <w:rPr>
          <w:rFonts w:ascii="Times New Roman" w:hAnsi="Times New Roman"/>
          <w:sz w:val="24"/>
          <w:szCs w:val="24"/>
          <w:lang w:eastAsia="bg-BG"/>
        </w:rPr>
      </w:pPr>
    </w:p>
    <w:p w:rsidR="00EB75F6" w:rsidRPr="00EB75F6" w:rsidRDefault="00EB75F6" w:rsidP="00EB75F6">
      <w:pPr>
        <w:spacing w:after="0" w:line="240" w:lineRule="auto"/>
        <w:jc w:val="both"/>
        <w:rPr>
          <w:rFonts w:ascii="Times New Roman" w:hAnsi="Times New Roman"/>
          <w:b/>
          <w:sz w:val="24"/>
          <w:szCs w:val="24"/>
          <w:lang w:eastAsia="bg-BG"/>
        </w:rPr>
      </w:pPr>
      <w:r w:rsidRPr="00EB75F6">
        <w:rPr>
          <w:rFonts w:ascii="Times New Roman" w:hAnsi="Times New Roman"/>
          <w:b/>
          <w:sz w:val="24"/>
          <w:szCs w:val="24"/>
          <w:lang w:eastAsia="bg-BG"/>
        </w:rPr>
        <w:t>7. Необходимост от актуализация на СФ на защитената зона</w:t>
      </w:r>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t xml:space="preserve">Необходима е промяна в СФ за зоната, поради констатираните силни негативни въздействия свързани със бракониерство, опожаряване и др. Поради тази причина стойността в „Опазване“ трябва да се промени на „B“. </w:t>
      </w:r>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t>По-принцип местообитанието предоставя добри условия за вида, затова броя на видрите трябва да бъде увеличен на 3.</w:t>
      </w:r>
    </w:p>
    <w:tbl>
      <w:tblPr>
        <w:tblW w:w="9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
        <w:gridCol w:w="673"/>
        <w:gridCol w:w="1136"/>
        <w:gridCol w:w="334"/>
        <w:gridCol w:w="495"/>
        <w:gridCol w:w="373"/>
        <w:gridCol w:w="596"/>
        <w:gridCol w:w="624"/>
        <w:gridCol w:w="606"/>
        <w:gridCol w:w="590"/>
        <w:gridCol w:w="858"/>
        <w:gridCol w:w="970"/>
        <w:gridCol w:w="635"/>
        <w:gridCol w:w="533"/>
        <w:gridCol w:w="590"/>
        <w:gridCol w:w="10"/>
      </w:tblGrid>
      <w:tr w:rsidR="00EB75F6" w:rsidRPr="003A4F26" w:rsidTr="005A0A3C">
        <w:trPr>
          <w:trHeight w:val="413"/>
          <w:jc w:val="center"/>
        </w:trPr>
        <w:tc>
          <w:tcPr>
            <w:tcW w:w="3040" w:type="dxa"/>
            <w:gridSpan w:val="5"/>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Species</w:t>
            </w:r>
          </w:p>
        </w:tc>
        <w:tc>
          <w:tcPr>
            <w:tcW w:w="3647" w:type="dxa"/>
            <w:gridSpan w:val="6"/>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Population in the site</w:t>
            </w:r>
          </w:p>
        </w:tc>
        <w:tc>
          <w:tcPr>
            <w:tcW w:w="2738" w:type="dxa"/>
            <w:gridSpan w:val="5"/>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Site assessment</w:t>
            </w:r>
          </w:p>
        </w:tc>
      </w:tr>
      <w:tr w:rsidR="00EB75F6" w:rsidRPr="003A4F26" w:rsidTr="005A0A3C">
        <w:trPr>
          <w:gridAfter w:val="1"/>
          <w:wAfter w:w="10" w:type="dxa"/>
          <w:trHeight w:val="413"/>
          <w:jc w:val="center"/>
        </w:trPr>
        <w:tc>
          <w:tcPr>
            <w:tcW w:w="402"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G</w:t>
            </w:r>
          </w:p>
        </w:tc>
        <w:tc>
          <w:tcPr>
            <w:tcW w:w="673"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Code</w:t>
            </w:r>
          </w:p>
        </w:tc>
        <w:tc>
          <w:tcPr>
            <w:tcW w:w="1136"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Scientific Name</w:t>
            </w:r>
          </w:p>
        </w:tc>
        <w:tc>
          <w:tcPr>
            <w:tcW w:w="334"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S</w:t>
            </w:r>
          </w:p>
        </w:tc>
        <w:tc>
          <w:tcPr>
            <w:tcW w:w="495"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NP</w:t>
            </w:r>
          </w:p>
        </w:tc>
        <w:tc>
          <w:tcPr>
            <w:tcW w:w="373"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T</w:t>
            </w:r>
          </w:p>
        </w:tc>
        <w:tc>
          <w:tcPr>
            <w:tcW w:w="1220" w:type="dxa"/>
            <w:gridSpan w:val="2"/>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Size</w:t>
            </w:r>
          </w:p>
        </w:tc>
        <w:tc>
          <w:tcPr>
            <w:tcW w:w="606"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Unit</w:t>
            </w:r>
          </w:p>
        </w:tc>
        <w:tc>
          <w:tcPr>
            <w:tcW w:w="590"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Cat.</w:t>
            </w:r>
          </w:p>
        </w:tc>
        <w:tc>
          <w:tcPr>
            <w:tcW w:w="858"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D.qual.</w:t>
            </w:r>
          </w:p>
        </w:tc>
        <w:tc>
          <w:tcPr>
            <w:tcW w:w="970" w:type="dxa"/>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A/B/C/D</w:t>
            </w:r>
          </w:p>
        </w:tc>
        <w:tc>
          <w:tcPr>
            <w:tcW w:w="1758" w:type="dxa"/>
            <w:gridSpan w:val="3"/>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A/B/C</w:t>
            </w:r>
          </w:p>
        </w:tc>
      </w:tr>
      <w:tr w:rsidR="00EB75F6" w:rsidRPr="003A4F26" w:rsidTr="005A0A3C">
        <w:trPr>
          <w:gridAfter w:val="1"/>
          <w:wAfter w:w="10" w:type="dxa"/>
          <w:trHeight w:val="425"/>
          <w:jc w:val="center"/>
        </w:trPr>
        <w:tc>
          <w:tcPr>
            <w:tcW w:w="402"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673"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1136"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334"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495"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373"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596" w:type="dxa"/>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Min</w:t>
            </w:r>
          </w:p>
        </w:tc>
        <w:tc>
          <w:tcPr>
            <w:tcW w:w="624" w:type="dxa"/>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Max</w:t>
            </w:r>
          </w:p>
        </w:tc>
        <w:tc>
          <w:tcPr>
            <w:tcW w:w="606"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590"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858"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970" w:type="dxa"/>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Pop.</w:t>
            </w:r>
          </w:p>
        </w:tc>
        <w:tc>
          <w:tcPr>
            <w:tcW w:w="635" w:type="dxa"/>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Con.</w:t>
            </w:r>
          </w:p>
        </w:tc>
        <w:tc>
          <w:tcPr>
            <w:tcW w:w="533" w:type="dxa"/>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Iso.</w:t>
            </w:r>
          </w:p>
        </w:tc>
        <w:tc>
          <w:tcPr>
            <w:tcW w:w="590" w:type="dxa"/>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Glo.</w:t>
            </w:r>
          </w:p>
        </w:tc>
      </w:tr>
      <w:tr w:rsidR="00EB75F6" w:rsidRPr="003A4F26" w:rsidTr="005A0A3C">
        <w:trPr>
          <w:gridAfter w:val="1"/>
          <w:wAfter w:w="10" w:type="dxa"/>
          <w:trHeight w:val="413"/>
          <w:jc w:val="center"/>
        </w:trPr>
        <w:tc>
          <w:tcPr>
            <w:tcW w:w="402"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М</w:t>
            </w:r>
          </w:p>
        </w:tc>
        <w:tc>
          <w:tcPr>
            <w:tcW w:w="673"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1355</w:t>
            </w:r>
          </w:p>
        </w:tc>
        <w:tc>
          <w:tcPr>
            <w:tcW w:w="1136" w:type="dxa"/>
            <w:shd w:val="clear" w:color="auto" w:fill="auto"/>
            <w:vAlign w:val="center"/>
          </w:tcPr>
          <w:p w:rsidR="00EB75F6" w:rsidRPr="003A4F26" w:rsidRDefault="00EB75F6" w:rsidP="00EB75F6">
            <w:pPr>
              <w:spacing w:after="0" w:line="240" w:lineRule="auto"/>
              <w:jc w:val="both"/>
              <w:rPr>
                <w:rFonts w:ascii="Times New Roman" w:hAnsi="Times New Roman"/>
                <w:i/>
                <w:sz w:val="20"/>
                <w:szCs w:val="20"/>
                <w:lang w:eastAsia="bg-BG"/>
              </w:rPr>
            </w:pPr>
            <w:r w:rsidRPr="003A4F26">
              <w:rPr>
                <w:rFonts w:ascii="Times New Roman" w:hAnsi="Times New Roman"/>
                <w:i/>
                <w:sz w:val="20"/>
                <w:szCs w:val="20"/>
                <w:lang w:eastAsia="bg-BG"/>
              </w:rPr>
              <w:t>Lutra lutra</w:t>
            </w:r>
          </w:p>
        </w:tc>
        <w:tc>
          <w:tcPr>
            <w:tcW w:w="334"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 xml:space="preserve">  </w:t>
            </w:r>
          </w:p>
        </w:tc>
        <w:tc>
          <w:tcPr>
            <w:tcW w:w="495"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 xml:space="preserve">  </w:t>
            </w:r>
          </w:p>
        </w:tc>
        <w:tc>
          <w:tcPr>
            <w:tcW w:w="373"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p</w:t>
            </w:r>
          </w:p>
        </w:tc>
        <w:tc>
          <w:tcPr>
            <w:tcW w:w="596"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2</w:t>
            </w:r>
          </w:p>
        </w:tc>
        <w:tc>
          <w:tcPr>
            <w:tcW w:w="624"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2</w:t>
            </w:r>
          </w:p>
        </w:tc>
        <w:tc>
          <w:tcPr>
            <w:tcW w:w="606"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i</w:t>
            </w:r>
          </w:p>
        </w:tc>
        <w:tc>
          <w:tcPr>
            <w:tcW w:w="590"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p>
        </w:tc>
        <w:tc>
          <w:tcPr>
            <w:tcW w:w="858"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G</w:t>
            </w:r>
          </w:p>
        </w:tc>
        <w:tc>
          <w:tcPr>
            <w:tcW w:w="970"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C</w:t>
            </w:r>
          </w:p>
        </w:tc>
        <w:tc>
          <w:tcPr>
            <w:tcW w:w="635"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A</w:t>
            </w:r>
          </w:p>
        </w:tc>
        <w:tc>
          <w:tcPr>
            <w:tcW w:w="533"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C</w:t>
            </w:r>
          </w:p>
        </w:tc>
        <w:tc>
          <w:tcPr>
            <w:tcW w:w="590"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A</w:t>
            </w:r>
          </w:p>
        </w:tc>
      </w:tr>
      <w:tr w:rsidR="00EB75F6" w:rsidRPr="003A4F26" w:rsidTr="005A0A3C">
        <w:trPr>
          <w:gridAfter w:val="1"/>
          <w:wAfter w:w="10" w:type="dxa"/>
          <w:trHeight w:val="413"/>
          <w:jc w:val="center"/>
        </w:trPr>
        <w:tc>
          <w:tcPr>
            <w:tcW w:w="402"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М</w:t>
            </w:r>
          </w:p>
        </w:tc>
        <w:tc>
          <w:tcPr>
            <w:tcW w:w="673"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1355</w:t>
            </w:r>
          </w:p>
        </w:tc>
        <w:tc>
          <w:tcPr>
            <w:tcW w:w="1136" w:type="dxa"/>
            <w:shd w:val="clear" w:color="auto" w:fill="auto"/>
            <w:vAlign w:val="center"/>
          </w:tcPr>
          <w:p w:rsidR="00EB75F6" w:rsidRPr="003A4F26" w:rsidRDefault="00EB75F6" w:rsidP="00EB75F6">
            <w:pPr>
              <w:spacing w:after="0" w:line="240" w:lineRule="auto"/>
              <w:jc w:val="both"/>
              <w:rPr>
                <w:rFonts w:ascii="Times New Roman" w:hAnsi="Times New Roman"/>
                <w:i/>
                <w:sz w:val="20"/>
                <w:szCs w:val="20"/>
                <w:lang w:eastAsia="bg-BG"/>
              </w:rPr>
            </w:pPr>
            <w:r w:rsidRPr="003A4F26">
              <w:rPr>
                <w:rFonts w:ascii="Times New Roman" w:hAnsi="Times New Roman"/>
                <w:i/>
                <w:sz w:val="20"/>
                <w:szCs w:val="20"/>
                <w:lang w:eastAsia="bg-BG"/>
              </w:rPr>
              <w:t>Lutra lutra</w:t>
            </w:r>
          </w:p>
        </w:tc>
        <w:tc>
          <w:tcPr>
            <w:tcW w:w="334"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 xml:space="preserve">  </w:t>
            </w:r>
          </w:p>
        </w:tc>
        <w:tc>
          <w:tcPr>
            <w:tcW w:w="495"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 xml:space="preserve">  </w:t>
            </w:r>
          </w:p>
        </w:tc>
        <w:tc>
          <w:tcPr>
            <w:tcW w:w="373"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p</w:t>
            </w:r>
          </w:p>
        </w:tc>
        <w:tc>
          <w:tcPr>
            <w:tcW w:w="596"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2</w:t>
            </w:r>
          </w:p>
        </w:tc>
        <w:tc>
          <w:tcPr>
            <w:tcW w:w="624" w:type="dxa"/>
            <w:shd w:val="clear" w:color="auto" w:fill="auto"/>
            <w:vAlign w:val="center"/>
          </w:tcPr>
          <w:p w:rsidR="00EB75F6" w:rsidRPr="003A4F26" w:rsidRDefault="00EB75F6" w:rsidP="00EB75F6">
            <w:pPr>
              <w:spacing w:after="0" w:line="240" w:lineRule="auto"/>
              <w:jc w:val="both"/>
              <w:rPr>
                <w:rFonts w:ascii="Times New Roman" w:hAnsi="Times New Roman"/>
                <w:b/>
                <w:sz w:val="20"/>
                <w:szCs w:val="20"/>
                <w:lang w:eastAsia="bg-BG"/>
              </w:rPr>
            </w:pPr>
            <w:r w:rsidRPr="003A4F26">
              <w:rPr>
                <w:rFonts w:ascii="Times New Roman" w:hAnsi="Times New Roman"/>
                <w:b/>
                <w:sz w:val="20"/>
                <w:szCs w:val="20"/>
                <w:lang w:eastAsia="bg-BG"/>
              </w:rPr>
              <w:t>3</w:t>
            </w:r>
          </w:p>
        </w:tc>
        <w:tc>
          <w:tcPr>
            <w:tcW w:w="606"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i</w:t>
            </w:r>
          </w:p>
        </w:tc>
        <w:tc>
          <w:tcPr>
            <w:tcW w:w="590"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p>
        </w:tc>
        <w:tc>
          <w:tcPr>
            <w:tcW w:w="858"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G</w:t>
            </w:r>
          </w:p>
        </w:tc>
        <w:tc>
          <w:tcPr>
            <w:tcW w:w="970"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C</w:t>
            </w:r>
          </w:p>
        </w:tc>
        <w:tc>
          <w:tcPr>
            <w:tcW w:w="635" w:type="dxa"/>
            <w:shd w:val="clear" w:color="auto" w:fill="auto"/>
            <w:vAlign w:val="center"/>
          </w:tcPr>
          <w:p w:rsidR="00EB75F6" w:rsidRPr="003A4F26" w:rsidRDefault="00EB75F6" w:rsidP="00EB75F6">
            <w:pPr>
              <w:spacing w:after="0" w:line="240" w:lineRule="auto"/>
              <w:jc w:val="both"/>
              <w:rPr>
                <w:rFonts w:ascii="Times New Roman" w:hAnsi="Times New Roman"/>
                <w:b/>
                <w:sz w:val="20"/>
                <w:szCs w:val="20"/>
                <w:lang w:eastAsia="bg-BG"/>
              </w:rPr>
            </w:pPr>
            <w:r w:rsidRPr="003A4F26">
              <w:rPr>
                <w:rFonts w:ascii="Times New Roman" w:hAnsi="Times New Roman"/>
                <w:b/>
                <w:sz w:val="20"/>
                <w:szCs w:val="20"/>
                <w:lang w:eastAsia="bg-BG"/>
              </w:rPr>
              <w:t>B</w:t>
            </w:r>
          </w:p>
        </w:tc>
        <w:tc>
          <w:tcPr>
            <w:tcW w:w="533"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C</w:t>
            </w:r>
          </w:p>
        </w:tc>
        <w:tc>
          <w:tcPr>
            <w:tcW w:w="590"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A</w:t>
            </w:r>
          </w:p>
        </w:tc>
      </w:tr>
    </w:tbl>
    <w:p w:rsidR="00EB75F6" w:rsidRPr="00EB75F6" w:rsidRDefault="00EB75F6" w:rsidP="00EB75F6">
      <w:pPr>
        <w:spacing w:after="0" w:line="240" w:lineRule="auto"/>
        <w:ind w:firstLine="709"/>
        <w:jc w:val="both"/>
        <w:rPr>
          <w:rFonts w:ascii="Times New Roman" w:hAnsi="Times New Roman"/>
          <w:sz w:val="24"/>
          <w:szCs w:val="24"/>
          <w:lang w:eastAsia="bg-BG"/>
        </w:rPr>
      </w:pPr>
    </w:p>
    <w:p w:rsidR="00EB75F6" w:rsidRPr="00EB75F6" w:rsidRDefault="00EB75F6" w:rsidP="00EB75F6">
      <w:pPr>
        <w:spacing w:after="0" w:line="240" w:lineRule="auto"/>
        <w:jc w:val="both"/>
        <w:rPr>
          <w:rFonts w:ascii="Times New Roman" w:hAnsi="Times New Roman"/>
          <w:b/>
          <w:sz w:val="24"/>
          <w:szCs w:val="24"/>
          <w:lang w:eastAsia="bg-BG"/>
        </w:rPr>
      </w:pPr>
      <w:r w:rsidRPr="00EB75F6">
        <w:rPr>
          <w:rFonts w:ascii="Times New Roman" w:hAnsi="Times New Roman"/>
          <w:b/>
          <w:sz w:val="24"/>
          <w:szCs w:val="24"/>
          <w:lang w:eastAsia="bg-BG"/>
        </w:rPr>
        <w:t>8. Цитирана литература</w:t>
      </w:r>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Георгиев</w:t>
      </w:r>
      <w:r>
        <w:rPr>
          <w:rFonts w:ascii="Times New Roman" w:hAnsi="Times New Roman"/>
          <w:sz w:val="24"/>
          <w:szCs w:val="24"/>
          <w:lang w:eastAsia="bg-BG"/>
        </w:rPr>
        <w:t>,</w:t>
      </w:r>
      <w:r w:rsidRPr="00EB75F6">
        <w:rPr>
          <w:rFonts w:ascii="Times New Roman" w:hAnsi="Times New Roman"/>
          <w:sz w:val="24"/>
          <w:szCs w:val="24"/>
          <w:lang w:eastAsia="bg-BG"/>
        </w:rPr>
        <w:t xml:space="preserve"> Д. 2008. Еколого-мониторингово проучване на видрата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L.) във водосборните басейни на реките Тунджа и Марица. Автореферат на дисертационен труд, Университетско Издателство “Паисий Хилендарски”, 40 с.</w:t>
      </w:r>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Георгиев</w:t>
      </w:r>
      <w:r>
        <w:rPr>
          <w:rFonts w:ascii="Times New Roman" w:hAnsi="Times New Roman"/>
          <w:sz w:val="24"/>
          <w:szCs w:val="24"/>
          <w:lang w:eastAsia="bg-BG"/>
        </w:rPr>
        <w:t>,</w:t>
      </w:r>
      <w:r w:rsidRPr="00EB75F6">
        <w:rPr>
          <w:rFonts w:ascii="Times New Roman" w:hAnsi="Times New Roman"/>
          <w:sz w:val="24"/>
          <w:szCs w:val="24"/>
          <w:lang w:eastAsia="bg-BG"/>
        </w:rPr>
        <w:t xml:space="preserve"> Д., И. Велчева, Г. Гечева, С. Петрова, И. Моллов. 2011. Замърсяване на водите и въздействие върху екосистемите. Университетско издателство „Паисий Хилендарски“, 151 с.</w:t>
      </w:r>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Георгиев</w:t>
      </w:r>
      <w:r>
        <w:rPr>
          <w:rFonts w:ascii="Times New Roman" w:hAnsi="Times New Roman"/>
          <w:sz w:val="24"/>
          <w:szCs w:val="24"/>
          <w:lang w:eastAsia="bg-BG"/>
        </w:rPr>
        <w:t>,</w:t>
      </w:r>
      <w:r w:rsidRPr="00EB75F6">
        <w:rPr>
          <w:rFonts w:ascii="Times New Roman" w:hAnsi="Times New Roman"/>
          <w:sz w:val="24"/>
          <w:szCs w:val="24"/>
          <w:lang w:eastAsia="bg-BG"/>
        </w:rPr>
        <w:t xml:space="preserve"> Д., Й. Кошев. 2006. Събиране и анализиране на наличните данни за местообитанията на видрата в България и участие в изготвянето на концепция за опазването и в България в рамките на NATURA 2000. Отчет по здание на МОСВ.1-12.</w:t>
      </w:r>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Кошев</w:t>
      </w:r>
      <w:r>
        <w:rPr>
          <w:rFonts w:ascii="Times New Roman" w:hAnsi="Times New Roman"/>
          <w:sz w:val="24"/>
          <w:szCs w:val="24"/>
          <w:lang w:eastAsia="bg-BG"/>
        </w:rPr>
        <w:t>,</w:t>
      </w:r>
      <w:r w:rsidRPr="00EB75F6">
        <w:rPr>
          <w:rFonts w:ascii="Times New Roman" w:hAnsi="Times New Roman"/>
          <w:sz w:val="24"/>
          <w:szCs w:val="24"/>
          <w:lang w:eastAsia="bg-BG"/>
        </w:rPr>
        <w:t xml:space="preserve"> Й. 2009. Видра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В: Зингстра, Х., Ковачев, А., Китнаес, К., Цонев, Р., Димова, Д., Цветков, П. (ред.) 2009. Ръководство за оценка на благоприятно природозащитно състояние за типове природни местообитания и видове по НАТУРА 2000 в България, стр. 619-623. Изд. Българска фондация Биоразнообразие, Геософт ЕООД, ИПК Родина, София, стр: 865.</w:t>
      </w:r>
    </w:p>
    <w:p w:rsidR="00EB75F6" w:rsidRDefault="00EB75F6" w:rsidP="00EB75F6">
      <w:pPr>
        <w:spacing w:after="0" w:line="240" w:lineRule="auto"/>
        <w:ind w:left="720" w:hanging="720"/>
        <w:jc w:val="both"/>
        <w:rPr>
          <w:rFonts w:ascii="Times New Roman" w:hAnsi="Times New Roman"/>
          <w:sz w:val="24"/>
          <w:szCs w:val="24"/>
          <w:u w:val="single"/>
          <w:lang w:eastAsia="bg-BG"/>
        </w:rPr>
      </w:pPr>
      <w:r w:rsidRPr="00EB75F6">
        <w:rPr>
          <w:rFonts w:ascii="Times New Roman" w:hAnsi="Times New Roman"/>
          <w:sz w:val="24"/>
          <w:szCs w:val="24"/>
          <w:lang w:eastAsia="bg-BG"/>
        </w:rPr>
        <w:t>Кошев</w:t>
      </w:r>
      <w:r>
        <w:rPr>
          <w:rFonts w:ascii="Times New Roman" w:hAnsi="Times New Roman"/>
          <w:sz w:val="24"/>
          <w:szCs w:val="24"/>
          <w:lang w:eastAsia="bg-BG"/>
        </w:rPr>
        <w:t>,</w:t>
      </w:r>
      <w:r w:rsidRPr="00EB75F6">
        <w:rPr>
          <w:rFonts w:ascii="Times New Roman" w:hAnsi="Times New Roman"/>
          <w:sz w:val="24"/>
          <w:szCs w:val="24"/>
          <w:lang w:eastAsia="bg-BG"/>
        </w:rPr>
        <w:t xml:space="preserve"> Й., Г. Гаврилов, Н. Цветкова, Р. Костова. 2013. Методика за мониторинг на видра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Проект "Теренни проучвания на разпространение на видове / оценка на състоянието на видове и хабитати на територията на цялата страна – I фаза". Договор № 2597/22.07.2013 г. „Теренни проучвания на разпространение и численост на бозайници (без китоподобни)“, 1-9. </w:t>
      </w:r>
      <w:hyperlink r:id="rId187">
        <w:r w:rsidRPr="00EB75F6">
          <w:rPr>
            <w:rFonts w:ascii="Times New Roman" w:hAnsi="Times New Roman"/>
            <w:sz w:val="24"/>
            <w:szCs w:val="24"/>
            <w:u w:val="single"/>
            <w:lang w:eastAsia="bg-BG"/>
          </w:rPr>
          <w:t>http://eea.government.bg/bg/bio/opos/activities-results/Lutralutra_MetodikazaMonitoring.pdf</w:t>
        </w:r>
      </w:hyperlink>
    </w:p>
    <w:p w:rsidR="00F873CF" w:rsidRPr="00EB75F6" w:rsidRDefault="00F873CF" w:rsidP="00F873CF">
      <w:pPr>
        <w:spacing w:after="0" w:line="240" w:lineRule="auto"/>
        <w:ind w:left="720" w:hanging="720"/>
        <w:jc w:val="both"/>
        <w:rPr>
          <w:rFonts w:ascii="Times New Roman" w:hAnsi="Times New Roman"/>
          <w:sz w:val="24"/>
          <w:szCs w:val="24"/>
          <w:u w:val="single"/>
          <w:lang w:eastAsia="bg-BG"/>
        </w:rPr>
      </w:pPr>
      <w:r w:rsidRPr="002A3E78">
        <w:rPr>
          <w:rFonts w:ascii="Times New Roman" w:hAnsi="Times New Roman"/>
          <w:sz w:val="24"/>
          <w:szCs w:val="24"/>
        </w:rPr>
        <w:t>НСМСБР</w:t>
      </w:r>
      <w:r>
        <w:rPr>
          <w:rFonts w:ascii="Times New Roman" w:hAnsi="Times New Roman"/>
          <w:sz w:val="24"/>
          <w:szCs w:val="24"/>
          <w:lang w:val="en-US"/>
        </w:rPr>
        <w:t xml:space="preserve">. </w:t>
      </w:r>
      <w:r w:rsidRPr="002A3E78">
        <w:rPr>
          <w:rFonts w:ascii="Times New Roman" w:hAnsi="Times New Roman"/>
          <w:sz w:val="24"/>
          <w:szCs w:val="24"/>
        </w:rPr>
        <w:t xml:space="preserve">Методика за мониторинг на видра </w:t>
      </w:r>
      <w:r w:rsidRPr="002A3E78">
        <w:rPr>
          <w:rFonts w:ascii="Times New Roman" w:hAnsi="Times New Roman"/>
          <w:sz w:val="24"/>
          <w:szCs w:val="24"/>
          <w:lang w:val="en-US"/>
        </w:rPr>
        <w:t>(</w:t>
      </w:r>
      <w:r w:rsidRPr="002A3E78">
        <w:rPr>
          <w:rFonts w:ascii="Times New Roman" w:hAnsi="Times New Roman"/>
          <w:i/>
          <w:sz w:val="24"/>
          <w:szCs w:val="24"/>
          <w:lang w:val="en-US"/>
        </w:rPr>
        <w:t>Lutra lutra</w:t>
      </w:r>
      <w:r w:rsidRPr="002A3E78">
        <w:rPr>
          <w:rFonts w:ascii="Times New Roman" w:hAnsi="Times New Roman"/>
          <w:sz w:val="24"/>
          <w:szCs w:val="24"/>
          <w:lang w:val="en-US"/>
        </w:rPr>
        <w:t xml:space="preserve">) </w:t>
      </w:r>
      <w:r w:rsidRPr="002A3E78">
        <w:rPr>
          <w:rFonts w:ascii="Times New Roman" w:hAnsi="Times New Roman"/>
          <w:sz w:val="24"/>
          <w:szCs w:val="24"/>
        </w:rPr>
        <w:t>към Националната система за мониторинг на състоянието на биологичното разнообразие (НСМСБР)</w:t>
      </w:r>
      <w:r>
        <w:rPr>
          <w:rFonts w:ascii="Times New Roman" w:hAnsi="Times New Roman"/>
          <w:sz w:val="24"/>
          <w:szCs w:val="24"/>
          <w:lang w:val="en-US"/>
        </w:rPr>
        <w:t>.</w:t>
      </w:r>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Петров</w:t>
      </w:r>
      <w:r>
        <w:rPr>
          <w:rFonts w:ascii="Times New Roman" w:hAnsi="Times New Roman"/>
          <w:sz w:val="24"/>
          <w:szCs w:val="24"/>
          <w:lang w:eastAsia="bg-BG"/>
        </w:rPr>
        <w:t>,</w:t>
      </w:r>
      <w:r w:rsidRPr="00EB75F6">
        <w:rPr>
          <w:rFonts w:ascii="Times New Roman" w:hAnsi="Times New Roman"/>
          <w:sz w:val="24"/>
          <w:szCs w:val="24"/>
          <w:lang w:eastAsia="bg-BG"/>
        </w:rPr>
        <w:t xml:space="preserve"> И. 2013. Доклад за разпространение и оценка на ПС на целеви вид 1355. Видра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в ЗЗ BG0000241 „Сребърна“. Проект „Картиране и определяне на природозащитното състояние на природни местообитания и видове – фаза І“. Обособена позиция 4: Картиране и определяне природозащитното състояние на бозайници, без прилепи. В интернет на адрес: </w:t>
      </w:r>
      <w:hyperlink r:id="rId188">
        <w:r w:rsidRPr="00EB75F6">
          <w:rPr>
            <w:rFonts w:ascii="Times New Roman" w:hAnsi="Times New Roman"/>
            <w:sz w:val="24"/>
            <w:szCs w:val="24"/>
            <w:u w:val="single"/>
            <w:lang w:eastAsia="bg-BG"/>
          </w:rPr>
          <w:t>http://natura2000.moew.government.bg/Home/Natura2000ProtectedSites</w:t>
        </w:r>
      </w:hyperlink>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Петров</w:t>
      </w:r>
      <w:r>
        <w:rPr>
          <w:rFonts w:ascii="Times New Roman" w:hAnsi="Times New Roman"/>
          <w:sz w:val="24"/>
          <w:szCs w:val="24"/>
          <w:lang w:eastAsia="bg-BG"/>
        </w:rPr>
        <w:t>,</w:t>
      </w:r>
      <w:r w:rsidRPr="00EB75F6">
        <w:rPr>
          <w:rFonts w:ascii="Times New Roman" w:hAnsi="Times New Roman"/>
          <w:sz w:val="24"/>
          <w:szCs w:val="24"/>
          <w:lang w:eastAsia="bg-BG"/>
        </w:rPr>
        <w:t xml:space="preserve"> И., В. Попов. 2013. Общ доклад за целеви вид: 1355. Видра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Обособена позиция 4: Картиране и определяне природозащитното състояние на бозайници, без прилепи. </w:t>
      </w:r>
      <w:hyperlink r:id="rId189">
        <w:r w:rsidRPr="00EB75F6">
          <w:rPr>
            <w:rFonts w:ascii="Times New Roman" w:hAnsi="Times New Roman"/>
            <w:sz w:val="24"/>
            <w:szCs w:val="24"/>
            <w:u w:val="single"/>
            <w:lang w:eastAsia="bg-BG"/>
          </w:rPr>
          <w:t>http://natura2000.moew.government.bg/PublicDownloads/Auto/SDF_REF_SPECIE...</w:t>
        </w:r>
      </w:hyperlink>
    </w:p>
    <w:p w:rsidR="00EB75F6" w:rsidRPr="00EB75F6" w:rsidRDefault="00EB75F6" w:rsidP="00EB75F6">
      <w:pPr>
        <w:spacing w:after="0" w:line="259"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 xml:space="preserve">Публичен регистър по екологични оценки - </w:t>
      </w:r>
      <w:hyperlink r:id="rId190">
        <w:r w:rsidRPr="00EB75F6">
          <w:rPr>
            <w:rFonts w:ascii="Times New Roman" w:hAnsi="Times New Roman"/>
            <w:sz w:val="24"/>
            <w:szCs w:val="24"/>
            <w:u w:val="single"/>
            <w:lang w:eastAsia="bg-BG"/>
          </w:rPr>
          <w:t>http://registers.moew.government.bg/eo</w:t>
        </w:r>
      </w:hyperlink>
      <w:r w:rsidRPr="00EB75F6">
        <w:rPr>
          <w:rFonts w:ascii="Times New Roman" w:hAnsi="Times New Roman"/>
          <w:sz w:val="24"/>
          <w:szCs w:val="24"/>
          <w:lang w:eastAsia="bg-BG"/>
        </w:rPr>
        <w:t xml:space="preserve"> (Достъп на 27.09.2021)</w:t>
      </w:r>
    </w:p>
    <w:p w:rsidR="00EB75F6" w:rsidRPr="00EB75F6" w:rsidRDefault="00EB75F6" w:rsidP="00EB75F6">
      <w:pPr>
        <w:spacing w:after="0" w:line="259"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 xml:space="preserve">Публичен регистър по оценки за въздействие на околната среда </w:t>
      </w:r>
      <w:hyperlink r:id="rId191">
        <w:r w:rsidRPr="00EB75F6">
          <w:rPr>
            <w:rFonts w:ascii="Times New Roman" w:hAnsi="Times New Roman"/>
            <w:sz w:val="24"/>
            <w:szCs w:val="24"/>
            <w:u w:val="single"/>
            <w:lang w:eastAsia="bg-BG"/>
          </w:rPr>
          <w:t>http://registers.moew.government.bg/ovos/</w:t>
        </w:r>
      </w:hyperlink>
      <w:r w:rsidRPr="00EB75F6">
        <w:rPr>
          <w:rFonts w:ascii="Times New Roman" w:hAnsi="Times New Roman"/>
          <w:sz w:val="24"/>
          <w:szCs w:val="24"/>
          <w:lang w:eastAsia="bg-BG"/>
        </w:rPr>
        <w:t xml:space="preserve"> (Достъп на 27.09.2021)</w:t>
      </w:r>
    </w:p>
    <w:p w:rsidR="00EB75F6" w:rsidRPr="00EB75F6" w:rsidRDefault="00EB75F6" w:rsidP="00EB75F6">
      <w:pPr>
        <w:spacing w:after="0" w:line="259"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ПУРБ. 2016. План за управление на речните басейни на ЗБР (2016-2021 г.). https://wabd.bg/docs/plans/purb1621/04_Razdel_4_Monitoring.pdf</w:t>
      </w:r>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РИОСВ – Русе (2017-2021). Анализ на част от контролна дейност и сигналите за нарушения в периода от месец Януари 2017 до месец Август 2021 публикувана на официалната интернет страница на РИОСВ-Русе:</w:t>
      </w:r>
      <w:r w:rsidRPr="00EB75F6">
        <w:rPr>
          <w:rFonts w:ascii="Times New Roman" w:hAnsi="Times New Roman"/>
          <w:sz w:val="24"/>
          <w:szCs w:val="24"/>
          <w:u w:val="single"/>
          <w:lang w:eastAsia="bg-BG"/>
        </w:rPr>
        <w:t xml:space="preserve"> </w:t>
      </w:r>
      <w:r w:rsidRPr="00EB75F6">
        <w:rPr>
          <w:rFonts w:ascii="Times New Roman" w:hAnsi="Times New Roman"/>
          <w:color w:val="000000"/>
          <w:sz w:val="24"/>
          <w:szCs w:val="24"/>
          <w:u w:val="single"/>
          <w:lang w:eastAsia="bg-BG"/>
        </w:rPr>
        <w:t>https://www.riosv-ruse.org/</w:t>
      </w:r>
    </w:p>
    <w:p w:rsidR="00EB75F6" w:rsidRPr="00EB75F6" w:rsidRDefault="00EB75F6" w:rsidP="00EB75F6">
      <w:pPr>
        <w:spacing w:after="0" w:line="240" w:lineRule="auto"/>
        <w:ind w:left="720" w:hanging="720"/>
        <w:jc w:val="both"/>
        <w:rPr>
          <w:rFonts w:ascii="Times New Roman" w:hAnsi="Times New Roman"/>
          <w:sz w:val="24"/>
          <w:szCs w:val="24"/>
          <w:u w:val="single"/>
          <w:lang w:eastAsia="bg-BG"/>
        </w:rPr>
      </w:pPr>
      <w:r w:rsidRPr="00EB75F6">
        <w:rPr>
          <w:rFonts w:ascii="Times New Roman" w:hAnsi="Times New Roman"/>
          <w:sz w:val="24"/>
          <w:szCs w:val="24"/>
          <w:lang w:eastAsia="bg-BG"/>
        </w:rPr>
        <w:t>Спиридонов</w:t>
      </w:r>
      <w:r>
        <w:rPr>
          <w:rFonts w:ascii="Times New Roman" w:hAnsi="Times New Roman"/>
          <w:sz w:val="24"/>
          <w:szCs w:val="24"/>
          <w:lang w:eastAsia="bg-BG"/>
        </w:rPr>
        <w:t>,</w:t>
      </w:r>
      <w:r w:rsidRPr="00EB75F6">
        <w:rPr>
          <w:rFonts w:ascii="Times New Roman" w:hAnsi="Times New Roman"/>
          <w:sz w:val="24"/>
          <w:szCs w:val="24"/>
          <w:lang w:eastAsia="bg-BG"/>
        </w:rPr>
        <w:t xml:space="preserve"> Ж., Н. Спасов. 2011. Видра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L., 1758. В: Големански, в . и др. (ред.) 2011. Червена книга на Република България. Том 2. Животни. ИБЕИ - БАН &amp; МОСВ, София. </w:t>
      </w:r>
      <w:hyperlink r:id="rId192">
        <w:r w:rsidRPr="00EB75F6">
          <w:rPr>
            <w:rFonts w:ascii="Times New Roman" w:hAnsi="Times New Roman"/>
            <w:sz w:val="24"/>
            <w:szCs w:val="24"/>
            <w:u w:val="single"/>
            <w:lang w:eastAsia="bg-BG"/>
          </w:rPr>
          <w:t>http://e-ecodb.bas.bg/rdb/en/vol2/Lulutra.html</w:t>
        </w:r>
      </w:hyperlink>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Georgiev</w:t>
      </w:r>
      <w:r>
        <w:rPr>
          <w:rFonts w:ascii="Times New Roman" w:hAnsi="Times New Roman"/>
          <w:sz w:val="24"/>
          <w:szCs w:val="24"/>
          <w:lang w:eastAsia="bg-BG"/>
        </w:rPr>
        <w:t>,</w:t>
      </w:r>
      <w:r w:rsidRPr="00EB75F6">
        <w:rPr>
          <w:rFonts w:ascii="Times New Roman" w:hAnsi="Times New Roman"/>
          <w:sz w:val="24"/>
          <w:szCs w:val="24"/>
          <w:lang w:eastAsia="bg-BG"/>
        </w:rPr>
        <w:t xml:space="preserve"> D. 2005. Habitats of the otter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L.) in some regions of Southern Bulgaria. IUCN Otter Specialist Group Bulletin, 22 (1): 6-13.</w:t>
      </w:r>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lastRenderedPageBreak/>
        <w:t>Georgiev</w:t>
      </w:r>
      <w:r>
        <w:rPr>
          <w:rFonts w:ascii="Times New Roman" w:hAnsi="Times New Roman"/>
          <w:sz w:val="24"/>
          <w:szCs w:val="24"/>
          <w:lang w:eastAsia="bg-BG"/>
        </w:rPr>
        <w:t>,</w:t>
      </w:r>
      <w:r w:rsidRPr="00EB75F6">
        <w:rPr>
          <w:rFonts w:ascii="Times New Roman" w:hAnsi="Times New Roman"/>
          <w:sz w:val="24"/>
          <w:szCs w:val="24"/>
          <w:lang w:eastAsia="bg-BG"/>
        </w:rPr>
        <w:t xml:space="preserve"> D. 2006. Diet of the otter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in different habitats of South-Eastern Bulgaria. IUCN Otter Specialist Group Bulletin, 23 (1): 4-10.</w:t>
      </w:r>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Georgiev</w:t>
      </w:r>
      <w:r>
        <w:rPr>
          <w:rFonts w:ascii="Times New Roman" w:hAnsi="Times New Roman"/>
          <w:sz w:val="24"/>
          <w:szCs w:val="24"/>
          <w:lang w:eastAsia="bg-BG"/>
        </w:rPr>
        <w:t>,</w:t>
      </w:r>
      <w:r w:rsidRPr="00EB75F6">
        <w:rPr>
          <w:rFonts w:ascii="Times New Roman" w:hAnsi="Times New Roman"/>
          <w:sz w:val="24"/>
          <w:szCs w:val="24"/>
          <w:lang w:eastAsia="bg-BG"/>
        </w:rPr>
        <w:t xml:space="preserve"> D. 2007. Otters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L.) mortalities in Southern Bulgaria - A case study. - IUCN Otter Specialist Group Bulletin, 24 (1): 36-40.</w:t>
      </w:r>
    </w:p>
    <w:p w:rsidR="00EB75F6" w:rsidRPr="00EB75F6" w:rsidRDefault="00EB75F6" w:rsidP="00EB75F6">
      <w:pPr>
        <w:spacing w:after="0" w:line="259" w:lineRule="auto"/>
        <w:ind w:left="720" w:hanging="720"/>
        <w:jc w:val="both"/>
        <w:rPr>
          <w:rFonts w:ascii="Times New Roman" w:hAnsi="Times New Roman"/>
          <w:sz w:val="24"/>
          <w:szCs w:val="24"/>
          <w:lang w:eastAsia="bg-BG"/>
        </w:rPr>
      </w:pPr>
      <w:r w:rsidRPr="00EB75F6">
        <w:rPr>
          <w:rFonts w:ascii="Times New Roman" w:hAnsi="Times New Roman"/>
          <w:sz w:val="24"/>
          <w:szCs w:val="24"/>
          <w:highlight w:val="white"/>
          <w:lang w:eastAsia="bg-BG"/>
        </w:rPr>
        <w:t xml:space="preserve">JDS4 (2019-2020). Scientific report: A shared analysis of the Danube river. </w:t>
      </w:r>
      <w:hyperlink r:id="rId193">
        <w:r w:rsidRPr="00EB75F6">
          <w:rPr>
            <w:rFonts w:ascii="Times New Roman" w:hAnsi="Times New Roman"/>
            <w:sz w:val="24"/>
            <w:szCs w:val="24"/>
            <w:highlight w:val="white"/>
            <w:u w:val="single"/>
            <w:lang w:eastAsia="bg-BG"/>
          </w:rPr>
          <w:t>http://www.danubesurvey.org/jds4/publications/scientific-report</w:t>
        </w:r>
      </w:hyperlink>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Kruuk</w:t>
      </w:r>
      <w:r>
        <w:rPr>
          <w:rFonts w:ascii="Times New Roman" w:hAnsi="Times New Roman"/>
          <w:sz w:val="24"/>
          <w:szCs w:val="24"/>
          <w:lang w:eastAsia="bg-BG"/>
        </w:rPr>
        <w:t>,</w:t>
      </w:r>
      <w:r w:rsidRPr="00EB75F6">
        <w:rPr>
          <w:rFonts w:ascii="Times New Roman" w:hAnsi="Times New Roman"/>
          <w:sz w:val="24"/>
          <w:szCs w:val="24"/>
          <w:lang w:eastAsia="bg-BG"/>
        </w:rPr>
        <w:t xml:space="preserve"> H. 2006. Otters: ecology, behaviour and conservation. Oxford University Press, 265 pp.</w:t>
      </w:r>
    </w:p>
    <w:p w:rsidR="00EB75F6" w:rsidRPr="00EB75F6" w:rsidRDefault="00EB75F6" w:rsidP="00EB75F6">
      <w:pPr>
        <w:spacing w:after="0" w:line="240" w:lineRule="auto"/>
        <w:ind w:left="720" w:hanging="720"/>
        <w:jc w:val="both"/>
        <w:rPr>
          <w:rFonts w:ascii="Times New Roman" w:hAnsi="Times New Roman"/>
          <w:b/>
          <w:sz w:val="24"/>
          <w:szCs w:val="24"/>
          <w:lang w:eastAsia="bg-BG"/>
        </w:rPr>
      </w:pPr>
    </w:p>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i/>
          <w:sz w:val="24"/>
          <w:szCs w:val="24"/>
          <w:lang w:eastAsia="bg-BG"/>
        </w:rPr>
        <w:t>Автори</w:t>
      </w:r>
      <w:r w:rsidRPr="00EB75F6">
        <w:rPr>
          <w:rFonts w:ascii="Times New Roman" w:hAnsi="Times New Roman"/>
          <w:sz w:val="24"/>
          <w:szCs w:val="24"/>
          <w:lang w:eastAsia="bg-BG"/>
        </w:rPr>
        <w:t>:</w:t>
      </w:r>
      <w:r w:rsidRPr="00EB75F6">
        <w:rPr>
          <w:rFonts w:ascii="Times New Roman" w:hAnsi="Times New Roman"/>
          <w:b/>
          <w:sz w:val="24"/>
          <w:szCs w:val="24"/>
          <w:lang w:eastAsia="bg-BG"/>
        </w:rPr>
        <w:t xml:space="preserve"> </w:t>
      </w:r>
      <w:r w:rsidRPr="00EB75F6">
        <w:rPr>
          <w:rFonts w:ascii="Times New Roman" w:hAnsi="Times New Roman"/>
          <w:sz w:val="24"/>
          <w:szCs w:val="24"/>
          <w:lang w:eastAsia="bg-BG"/>
        </w:rPr>
        <w:t>Йордан Кошев, Ма</w:t>
      </w:r>
      <w:r>
        <w:rPr>
          <w:rFonts w:ascii="Times New Roman" w:hAnsi="Times New Roman"/>
          <w:sz w:val="24"/>
          <w:szCs w:val="24"/>
          <w:lang w:eastAsia="bg-BG"/>
        </w:rPr>
        <w:t>рия Качамакова, Дилян Георгиев</w:t>
      </w:r>
    </w:p>
    <w:p w:rsidR="00EB75F6" w:rsidRPr="00EB75F6" w:rsidRDefault="00EB75F6" w:rsidP="00EB75F6">
      <w:pPr>
        <w:spacing w:after="0" w:line="240" w:lineRule="auto"/>
        <w:jc w:val="both"/>
        <w:rPr>
          <w:rFonts w:ascii="Times New Roman" w:eastAsia="Calibri" w:hAnsi="Times New Roman"/>
          <w:b/>
          <w:bCs/>
          <w:sz w:val="24"/>
          <w:szCs w:val="24"/>
        </w:rPr>
      </w:pPr>
    </w:p>
    <w:p w:rsidR="00EB75F6" w:rsidRDefault="00EB75F6" w:rsidP="001033EC">
      <w:pPr>
        <w:rPr>
          <w:rFonts w:ascii="Times New Roman" w:hAnsi="Times New Roman"/>
          <w:color w:val="1F497D" w:themeColor="text2"/>
          <w:sz w:val="28"/>
          <w:szCs w:val="28"/>
        </w:rPr>
      </w:pPr>
    </w:p>
    <w:p w:rsidR="001033EC" w:rsidRDefault="00107719" w:rsidP="003A4F26">
      <w:pPr>
        <w:outlineLvl w:val="1"/>
        <w:rPr>
          <w:rFonts w:ascii="Times New Roman" w:hAnsi="Times New Roman"/>
          <w:i/>
          <w:color w:val="1F497D" w:themeColor="text2"/>
          <w:sz w:val="28"/>
          <w:szCs w:val="28"/>
        </w:rPr>
      </w:pPr>
      <w:bookmarkStart w:id="88" w:name="_Toc98838565"/>
      <w:r>
        <w:rPr>
          <w:rFonts w:ascii="Times New Roman" w:hAnsi="Times New Roman"/>
          <w:color w:val="1F497D" w:themeColor="text2"/>
          <w:sz w:val="28"/>
          <w:szCs w:val="28"/>
        </w:rPr>
        <w:t xml:space="preserve">Природозащитни цели за </w:t>
      </w:r>
      <w:r w:rsidR="001033EC">
        <w:rPr>
          <w:rFonts w:ascii="Times New Roman" w:hAnsi="Times New Roman"/>
          <w:color w:val="1F497D" w:themeColor="text2"/>
          <w:sz w:val="28"/>
          <w:szCs w:val="28"/>
        </w:rPr>
        <w:t xml:space="preserve">1304 </w:t>
      </w:r>
      <w:r w:rsidR="001033EC" w:rsidRPr="00107719">
        <w:rPr>
          <w:rFonts w:ascii="Times New Roman" w:hAnsi="Times New Roman"/>
          <w:i/>
          <w:color w:val="1F497D" w:themeColor="text2"/>
          <w:sz w:val="28"/>
          <w:szCs w:val="28"/>
        </w:rPr>
        <w:t>Rhinolophus ferrumequinum</w:t>
      </w:r>
      <w:bookmarkEnd w:id="88"/>
    </w:p>
    <w:p w:rsidR="008131C7" w:rsidRPr="008131C7" w:rsidRDefault="008131C7" w:rsidP="008131C7">
      <w:pPr>
        <w:spacing w:before="120" w:after="120" w:line="240" w:lineRule="auto"/>
        <w:rPr>
          <w:rFonts w:ascii="Times New Roman" w:hAnsi="Times New Roman"/>
          <w:b/>
          <w:bCs/>
          <w:sz w:val="24"/>
          <w:szCs w:val="24"/>
          <w:lang w:eastAsia="bg-BG"/>
        </w:rPr>
      </w:pPr>
      <w:r w:rsidRPr="008131C7">
        <w:rPr>
          <w:rFonts w:ascii="Times New Roman" w:hAnsi="Times New Roman"/>
          <w:sz w:val="24"/>
          <w:szCs w:val="24"/>
          <w:lang w:eastAsia="bg-BG"/>
        </w:rPr>
        <w:t>1</w:t>
      </w:r>
      <w:r w:rsidRPr="008131C7">
        <w:rPr>
          <w:rFonts w:ascii="Times New Roman" w:hAnsi="Times New Roman"/>
          <w:b/>
          <w:sz w:val="24"/>
          <w:szCs w:val="24"/>
          <w:lang w:eastAsia="bg-BG"/>
        </w:rPr>
        <w:t>. Код и наименование на вида:</w:t>
      </w:r>
      <w:r w:rsidRPr="008131C7">
        <w:rPr>
          <w:rFonts w:ascii="Times New Roman" w:hAnsi="Times New Roman"/>
          <w:sz w:val="24"/>
          <w:szCs w:val="24"/>
          <w:lang w:eastAsia="bg-BG"/>
        </w:rPr>
        <w:t xml:space="preserve">  </w:t>
      </w:r>
      <w:r w:rsidRPr="008131C7">
        <w:rPr>
          <w:rFonts w:ascii="Times New Roman" w:hAnsi="Times New Roman"/>
          <w:sz w:val="24"/>
          <w:szCs w:val="24"/>
          <w:lang w:val="en-US" w:eastAsia="bg-BG"/>
        </w:rPr>
        <w:t xml:space="preserve">1304 </w:t>
      </w:r>
      <w:r w:rsidRPr="008131C7">
        <w:rPr>
          <w:rFonts w:ascii="Times New Roman" w:hAnsi="Times New Roman"/>
          <w:i/>
          <w:iCs/>
          <w:color w:val="000000"/>
          <w:sz w:val="24"/>
          <w:szCs w:val="24"/>
          <w:lang w:eastAsia="bg-BG"/>
        </w:rPr>
        <w:t xml:space="preserve">Rhinolophus ferrumequinum </w:t>
      </w:r>
      <w:r w:rsidRPr="008131C7">
        <w:rPr>
          <w:rFonts w:ascii="Times New Roman" w:hAnsi="Times New Roman"/>
          <w:color w:val="000000"/>
          <w:sz w:val="24"/>
          <w:szCs w:val="24"/>
          <w:lang w:eastAsia="bg-BG"/>
        </w:rPr>
        <w:t>(Schreber, 1774)  -</w:t>
      </w:r>
      <w:r w:rsidRPr="008131C7">
        <w:rPr>
          <w:rFonts w:ascii="Times New Roman" w:hAnsi="Times New Roman"/>
          <w:sz w:val="24"/>
          <w:szCs w:val="24"/>
          <w:lang w:eastAsia="bg-BG"/>
        </w:rPr>
        <w:t xml:space="preserve">Голям подковонос </w:t>
      </w:r>
    </w:p>
    <w:p w:rsidR="008131C7" w:rsidRPr="008131C7" w:rsidRDefault="008131C7" w:rsidP="008131C7">
      <w:pPr>
        <w:spacing w:before="120" w:after="0" w:line="240" w:lineRule="auto"/>
        <w:rPr>
          <w:rFonts w:ascii="Times New Roman" w:hAnsi="Times New Roman"/>
          <w:b/>
          <w:bCs/>
          <w:sz w:val="24"/>
          <w:szCs w:val="24"/>
          <w:lang w:eastAsia="bg-BG"/>
        </w:rPr>
      </w:pPr>
      <w:r w:rsidRPr="008131C7">
        <w:rPr>
          <w:rFonts w:ascii="Times New Roman" w:hAnsi="Times New Roman"/>
          <w:b/>
          <w:bCs/>
          <w:sz w:val="24"/>
          <w:szCs w:val="24"/>
          <w:lang w:eastAsia="bg-BG"/>
        </w:rPr>
        <w:t>2. Кратка характеристика на целевия обект</w:t>
      </w:r>
      <w:r w:rsidRPr="008131C7">
        <w:rPr>
          <w:rFonts w:ascii="Times New Roman" w:hAnsi="Times New Roman"/>
          <w:b/>
          <w:bCs/>
          <w:sz w:val="24"/>
          <w:szCs w:val="24"/>
          <w:lang w:val="en-GB" w:eastAsia="bg-BG"/>
        </w:rPr>
        <w:t xml:space="preserve"> </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Най-едрият наш подковонос. Окраската на козината е от сива до червеникавокафява, кремава на коремната страна. Мембраните и ушите са светлосивокафяви. Ушите са големи и заострени, без трагус, с широка кожна ивица в долната страна (антитрагус). Израстъкът на седлото е заоблено затъпен. Крилата са широки.</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В хранителния спектър преобладават едри твърдокрили (</w:t>
      </w:r>
      <w:r w:rsidRPr="008131C7">
        <w:rPr>
          <w:rFonts w:ascii="Times New Roman" w:hAnsi="Times New Roman"/>
          <w:i/>
          <w:sz w:val="24"/>
          <w:szCs w:val="24"/>
          <w:lang w:eastAsia="bg-BG"/>
        </w:rPr>
        <w:t>Coleoptera</w:t>
      </w:r>
      <w:r w:rsidRPr="008131C7">
        <w:rPr>
          <w:rFonts w:ascii="Times New Roman" w:hAnsi="Times New Roman"/>
          <w:sz w:val="24"/>
          <w:szCs w:val="24"/>
          <w:lang w:eastAsia="bg-BG"/>
        </w:rPr>
        <w:t xml:space="preserve">) и пеперуди </w:t>
      </w:r>
      <w:r w:rsidRPr="008131C7">
        <w:rPr>
          <w:rFonts w:ascii="Times New Roman" w:hAnsi="Times New Roman"/>
          <w:i/>
          <w:sz w:val="24"/>
          <w:szCs w:val="24"/>
          <w:lang w:eastAsia="bg-BG"/>
        </w:rPr>
        <w:t>(Lepidoptera</w:t>
      </w:r>
      <w:r w:rsidRPr="008131C7">
        <w:rPr>
          <w:rFonts w:ascii="Times New Roman" w:hAnsi="Times New Roman"/>
          <w:sz w:val="24"/>
          <w:szCs w:val="24"/>
          <w:lang w:eastAsia="bg-BG"/>
        </w:rPr>
        <w:t xml:space="preserve">, особено сем. </w:t>
      </w:r>
      <w:r w:rsidRPr="008131C7">
        <w:rPr>
          <w:rFonts w:ascii="Times New Roman" w:hAnsi="Times New Roman"/>
          <w:i/>
          <w:sz w:val="24"/>
          <w:szCs w:val="24"/>
          <w:lang w:eastAsia="bg-BG"/>
        </w:rPr>
        <w:t>Noctuidae</w:t>
      </w:r>
      <w:r w:rsidRPr="008131C7">
        <w:rPr>
          <w:rFonts w:ascii="Times New Roman" w:hAnsi="Times New Roman"/>
          <w:sz w:val="24"/>
          <w:szCs w:val="24"/>
          <w:lang w:eastAsia="bg-BG"/>
        </w:rPr>
        <w:t>) и в по-малка степен - ципокрили (</w:t>
      </w:r>
      <w:r w:rsidRPr="008131C7">
        <w:rPr>
          <w:rFonts w:ascii="Times New Roman" w:hAnsi="Times New Roman"/>
          <w:i/>
          <w:sz w:val="24"/>
          <w:szCs w:val="24"/>
          <w:lang w:eastAsia="bg-BG"/>
        </w:rPr>
        <w:t>Hymenoptera</w:t>
      </w:r>
      <w:r w:rsidRPr="008131C7">
        <w:rPr>
          <w:rFonts w:ascii="Times New Roman" w:hAnsi="Times New Roman"/>
          <w:sz w:val="24"/>
          <w:szCs w:val="24"/>
          <w:lang w:eastAsia="bg-BG"/>
        </w:rPr>
        <w:t>) и двукрили (</w:t>
      </w:r>
      <w:r w:rsidRPr="008131C7">
        <w:rPr>
          <w:rFonts w:ascii="Times New Roman" w:hAnsi="Times New Roman"/>
          <w:i/>
          <w:sz w:val="24"/>
          <w:szCs w:val="24"/>
          <w:lang w:eastAsia="bg-BG"/>
        </w:rPr>
        <w:t>Diptera</w:t>
      </w:r>
      <w:r w:rsidRPr="008131C7">
        <w:rPr>
          <w:rFonts w:ascii="Times New Roman" w:hAnsi="Times New Roman"/>
          <w:sz w:val="24"/>
          <w:szCs w:val="24"/>
          <w:lang w:eastAsia="bg-BG"/>
        </w:rPr>
        <w:t xml:space="preserve">). </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 xml:space="preserve">Женските се събират в размножителни колонии с численост до 200 екземпляра (рядко до 600). Раждат обикновено по едно малко през юни – началото на юли (Schober &amp; Grimmberger, 1997). Отглеждането на малките става в плитки пещери, скални струпвания, под покриви, в запустели сгради, руини, изкуствени галерии, където температурата е по-висока (Schober &amp; Grimmberger, 1997). Понякога обитаваните сгради са в близост до пещери, където се оттегля при лошо време. Размножителните колонии се разпадат в края на лятото и началото на есента. </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Успешното отглеждане на малките, респ. размерът на популацията имат пряка връзка с качеството на хранителното местообитание около размножителните колонии. Ловните местообитания обикновено са на до 4 - 10 km от размножителните убежища (Bontadina, 2002; Billington &amp; Rawlinson</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2006</w:t>
      </w:r>
      <w:r w:rsidRPr="008131C7">
        <w:rPr>
          <w:rFonts w:ascii="Times New Roman" w:hAnsi="Times New Roman"/>
          <w:sz w:val="24"/>
          <w:szCs w:val="24"/>
          <w:lang w:eastAsia="bg-BG"/>
        </w:rPr>
        <w:t>) и представляват постоянно използвани пасища</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(Ransome 1996), прекъсвани от масиви от широколистни гори, полезащитни пояси или синори от висо</w:t>
      </w:r>
      <w:r w:rsidRPr="008131C7">
        <w:rPr>
          <w:rFonts w:ascii="Times New Roman" w:hAnsi="Times New Roman"/>
          <w:sz w:val="24"/>
          <w:szCs w:val="24"/>
          <w:lang w:eastAsia="bg-BG"/>
        </w:rPr>
        <w:softHyphen/>
        <w:t>ки храсти (Bontadina, 2002).</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 xml:space="preserve"> Наличието на водни площи е благоприятно, особено ако крайбрежията са обрасли с дървесна растителност. </w:t>
      </w:r>
      <w:r w:rsidRPr="008131C7">
        <w:rPr>
          <w:rFonts w:ascii="Times New Roman" w:hAnsi="Times New Roman"/>
          <w:sz w:val="24"/>
          <w:szCs w:val="24"/>
          <w:lang w:val="en-GB" w:eastAsia="bg-BG"/>
        </w:rPr>
        <w:t xml:space="preserve">Тези местообитания осигуряват </w:t>
      </w:r>
      <w:r w:rsidRPr="008131C7">
        <w:rPr>
          <w:rFonts w:ascii="Times New Roman" w:hAnsi="Times New Roman"/>
          <w:sz w:val="24"/>
          <w:szCs w:val="24"/>
          <w:lang w:eastAsia="bg-BG"/>
        </w:rPr>
        <w:t>обилие на насекоми и линейни ландшафтни елементи (синури, живи плетове, полезащитни пояси, окрайнини на гори,  крайречни гори), които улесняват придвиждането на прилепите от дневните убежища до хранителните участъци.  Площта на местообитанията, използвани от колонията е ок. 700 ха (Bontadina, 2002).</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 xml:space="preserve"> Неподходящи местообитания са урбанизираните територии, орните полета, плантациите от иглолистни дървета. Видът е чувствителен към светлина и избягва осветени места и градски райони. Отделните индивиди използват хранителни участъци, които широко се припокриват. </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lastRenderedPageBreak/>
        <w:t xml:space="preserve">Хибернацията се осъществява от октомври до април (Schober &amp; Grimmberger, 1997) в подземни естествени и изкуствени галерии, като избира по-топлите техни части (7-11 °C) . Често се събужда и сменя мястото си в убежището. </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В България е обикновен и често срещан вид, известен от около 320 находища. Среща се в цялата страна, без най-високите части на планините. Повечето находища са между 100 и 500 m н.м.в. Обитава предимно карстови райони, обрасли с дървесна и храстова растителност</w:t>
      </w:r>
      <w:r w:rsidRPr="008131C7">
        <w:rPr>
          <w:rFonts w:ascii="Times New Roman" w:hAnsi="Times New Roman"/>
          <w:sz w:val="24"/>
          <w:szCs w:val="24"/>
          <w:lang w:val="en-GB" w:eastAsia="bg-BG"/>
        </w:rPr>
        <w:t xml:space="preserve"> (Popov, 2018)</w:t>
      </w:r>
      <w:r w:rsidRPr="008131C7">
        <w:rPr>
          <w:rFonts w:ascii="Times New Roman" w:hAnsi="Times New Roman"/>
          <w:sz w:val="24"/>
          <w:szCs w:val="24"/>
          <w:lang w:eastAsia="bg-BG"/>
        </w:rPr>
        <w:t>. Използва различни подземни убежища (пещери, изкуствени галерии, бункери, катакомби), мазета и тавани на жилищни постройки. Често големите подковоноси обитават едно и също убежище заедно с други пещеролюбиви видове - южен подковонос (</w:t>
      </w:r>
      <w:r w:rsidRPr="008131C7">
        <w:rPr>
          <w:rFonts w:ascii="Times New Roman" w:hAnsi="Times New Roman"/>
          <w:i/>
          <w:sz w:val="24"/>
          <w:szCs w:val="24"/>
          <w:lang w:eastAsia="bg-BG"/>
        </w:rPr>
        <w:t>Rhinolophus euryale</w:t>
      </w:r>
      <w:r w:rsidRPr="008131C7">
        <w:rPr>
          <w:rFonts w:ascii="Times New Roman" w:hAnsi="Times New Roman"/>
          <w:sz w:val="24"/>
          <w:szCs w:val="24"/>
          <w:lang w:eastAsia="bg-BG"/>
        </w:rPr>
        <w:t>), подковонос на Мехели (</w:t>
      </w:r>
      <w:r w:rsidRPr="008131C7">
        <w:rPr>
          <w:rFonts w:ascii="Times New Roman" w:hAnsi="Times New Roman"/>
          <w:i/>
          <w:sz w:val="24"/>
          <w:szCs w:val="24"/>
          <w:lang w:eastAsia="bg-BG"/>
        </w:rPr>
        <w:t>Rhinolophus mehelyi</w:t>
      </w:r>
      <w:r w:rsidRPr="008131C7">
        <w:rPr>
          <w:rFonts w:ascii="Times New Roman" w:hAnsi="Times New Roman"/>
          <w:sz w:val="24"/>
          <w:szCs w:val="24"/>
          <w:lang w:eastAsia="bg-BG"/>
        </w:rPr>
        <w:t>), средиземноморски подковонос (</w:t>
      </w:r>
      <w:r w:rsidRPr="008131C7">
        <w:rPr>
          <w:rFonts w:ascii="Times New Roman" w:hAnsi="Times New Roman"/>
          <w:i/>
          <w:sz w:val="24"/>
          <w:szCs w:val="24"/>
          <w:lang w:eastAsia="bg-BG"/>
        </w:rPr>
        <w:t>Rhinolophus blasii</w:t>
      </w:r>
      <w:r w:rsidRPr="008131C7">
        <w:rPr>
          <w:rFonts w:ascii="Times New Roman" w:hAnsi="Times New Roman"/>
          <w:sz w:val="24"/>
          <w:szCs w:val="24"/>
          <w:lang w:eastAsia="bg-BG"/>
        </w:rPr>
        <w:t>), трицветен нощник (</w:t>
      </w:r>
      <w:r w:rsidRPr="008131C7">
        <w:rPr>
          <w:rFonts w:ascii="Times New Roman" w:hAnsi="Times New Roman"/>
          <w:i/>
          <w:sz w:val="24"/>
          <w:szCs w:val="24"/>
          <w:lang w:eastAsia="bg-BG"/>
        </w:rPr>
        <w:t>Myotis emarginatus</w:t>
      </w:r>
      <w:r w:rsidRPr="008131C7">
        <w:rPr>
          <w:rFonts w:ascii="Times New Roman" w:hAnsi="Times New Roman"/>
          <w:sz w:val="24"/>
          <w:szCs w:val="24"/>
          <w:lang w:eastAsia="bg-BG"/>
        </w:rPr>
        <w:t>), голям нощник (</w:t>
      </w:r>
      <w:r w:rsidRPr="008131C7">
        <w:rPr>
          <w:rFonts w:ascii="Times New Roman" w:hAnsi="Times New Roman"/>
          <w:i/>
          <w:sz w:val="24"/>
          <w:szCs w:val="24"/>
          <w:lang w:eastAsia="bg-BG"/>
        </w:rPr>
        <w:t>M. myotis</w:t>
      </w:r>
      <w:r w:rsidRPr="008131C7">
        <w:rPr>
          <w:rFonts w:ascii="Times New Roman" w:hAnsi="Times New Roman"/>
          <w:sz w:val="24"/>
          <w:szCs w:val="24"/>
          <w:lang w:eastAsia="bg-BG"/>
        </w:rPr>
        <w:t>), остроух нощник (</w:t>
      </w:r>
      <w:r w:rsidRPr="008131C7">
        <w:rPr>
          <w:rFonts w:ascii="Times New Roman" w:hAnsi="Times New Roman"/>
          <w:i/>
          <w:sz w:val="24"/>
          <w:szCs w:val="24"/>
          <w:lang w:eastAsia="bg-BG"/>
        </w:rPr>
        <w:t>M. blythii</w:t>
      </w:r>
      <w:r w:rsidRPr="008131C7">
        <w:rPr>
          <w:rFonts w:ascii="Times New Roman" w:hAnsi="Times New Roman"/>
          <w:sz w:val="24"/>
          <w:szCs w:val="24"/>
          <w:lang w:eastAsia="bg-BG"/>
        </w:rPr>
        <w:t>), дългопръст нощник  (</w:t>
      </w:r>
      <w:r w:rsidRPr="008131C7">
        <w:rPr>
          <w:rFonts w:ascii="Times New Roman" w:hAnsi="Times New Roman"/>
          <w:i/>
          <w:sz w:val="24"/>
          <w:szCs w:val="24"/>
          <w:lang w:eastAsia="bg-BG"/>
        </w:rPr>
        <w:t>M. capaccinii</w:t>
      </w:r>
      <w:r w:rsidRPr="008131C7">
        <w:rPr>
          <w:rFonts w:ascii="Times New Roman" w:hAnsi="Times New Roman"/>
          <w:sz w:val="24"/>
          <w:szCs w:val="24"/>
          <w:lang w:eastAsia="bg-BG"/>
        </w:rPr>
        <w:t>) и пещерен дългокрил (</w:t>
      </w:r>
      <w:r w:rsidRPr="008131C7">
        <w:rPr>
          <w:rFonts w:ascii="Times New Roman" w:hAnsi="Times New Roman"/>
          <w:i/>
          <w:sz w:val="24"/>
          <w:szCs w:val="24"/>
          <w:lang w:eastAsia="bg-BG"/>
        </w:rPr>
        <w:t>Miniopterus</w:t>
      </w:r>
      <w:r w:rsidRPr="008131C7">
        <w:rPr>
          <w:rFonts w:ascii="Times New Roman" w:hAnsi="Times New Roman"/>
          <w:sz w:val="24"/>
          <w:szCs w:val="24"/>
          <w:lang w:eastAsia="bg-BG"/>
        </w:rPr>
        <w:t xml:space="preserve"> </w:t>
      </w:r>
      <w:r w:rsidRPr="008131C7">
        <w:rPr>
          <w:rFonts w:ascii="Times New Roman" w:hAnsi="Times New Roman"/>
          <w:i/>
          <w:sz w:val="24"/>
          <w:szCs w:val="24"/>
          <w:lang w:eastAsia="bg-BG"/>
        </w:rPr>
        <w:t>schreibersii</w:t>
      </w:r>
      <w:r w:rsidRPr="008131C7">
        <w:rPr>
          <w:rFonts w:ascii="Times New Roman" w:hAnsi="Times New Roman"/>
          <w:sz w:val="24"/>
          <w:szCs w:val="24"/>
          <w:lang w:eastAsia="bg-BG"/>
        </w:rPr>
        <w:t xml:space="preserve">). В България са известни около 15 размножителни колонии с численост над 100 екземпляра. Зимува поединично или в колонии, които могат да достигнат от 50 до 600-800 екземпляра. Почти във всяка българска пещера през зимата могат да бъдат наблюдавани един до няколко зимуващи големи подковоноси. В България, големият подковонос не извършва далечни миграции. Сезонните придвижвания между летните и зимни убежища са на разстояние от 20 до 95 km (Иванова, Попов, 2007). Общата численост на вида в България се изчислява на около 100 000 (Иванова, Попов, 2007). </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Видът не е включен в Червената книга на Република България (2011 г.).</w:t>
      </w:r>
    </w:p>
    <w:p w:rsidR="008131C7" w:rsidRPr="008131C7" w:rsidRDefault="008131C7" w:rsidP="008131C7">
      <w:pPr>
        <w:spacing w:before="120" w:after="120" w:line="240" w:lineRule="auto"/>
        <w:jc w:val="both"/>
        <w:rPr>
          <w:rFonts w:ascii="Times New Roman" w:hAnsi="Times New Roman"/>
          <w:sz w:val="24"/>
          <w:szCs w:val="24"/>
          <w:lang w:val="en-GB" w:eastAsia="bg-BG"/>
        </w:rPr>
      </w:pPr>
      <w:r w:rsidRPr="008131C7">
        <w:rPr>
          <w:rFonts w:ascii="Times New Roman" w:hAnsi="Times New Roman"/>
          <w:b/>
          <w:sz w:val="24"/>
          <w:szCs w:val="24"/>
          <w:lang w:eastAsia="bg-BG"/>
        </w:rPr>
        <w:t>3. Състояние на биогеографско ниво и разпространение в мрежата</w:t>
      </w:r>
      <w:r w:rsidRPr="008131C7">
        <w:rPr>
          <w:rFonts w:ascii="Times New Roman" w:hAnsi="Times New Roman"/>
          <w:sz w:val="24"/>
          <w:szCs w:val="24"/>
          <w:lang w:eastAsia="bg-BG"/>
        </w:rPr>
        <w:t xml:space="preserve"> </w:t>
      </w:r>
    </w:p>
    <w:p w:rsid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 xml:space="preserve">Съгласно докладването по чл. 17 на Директива за местообитанията през 2013 г. (за периода 2007-2012 г.) и през 2019 г. (за периода 2013-2018 г.), природозащитното състояние на вида е благоприятно по всички параметри. Съгласно докладването по чл. 17 от Директивата за местообитанията през 2019 г. заплахи с висока значимост в Алпийския и Черноморския </w:t>
      </w:r>
      <w:r w:rsidR="00F873CF">
        <w:rPr>
          <w:rFonts w:ascii="Times New Roman" w:hAnsi="Times New Roman"/>
          <w:sz w:val="24"/>
          <w:szCs w:val="24"/>
          <w:lang w:eastAsia="bg-BG"/>
        </w:rPr>
        <w:t>регион</w:t>
      </w:r>
      <w:r w:rsidRPr="008131C7">
        <w:rPr>
          <w:rFonts w:ascii="Times New Roman" w:hAnsi="Times New Roman"/>
          <w:sz w:val="24"/>
          <w:szCs w:val="24"/>
          <w:lang w:eastAsia="bg-BG"/>
        </w:rPr>
        <w:t xml:space="preserve"> са F07 - Спорт, туризъм и развлекателни дейности, H04 – Вандализъм или палежи и H06 - Затваряне или ограничен достъп до зона / местообитание. В Континенталния биогеографски </w:t>
      </w:r>
      <w:r w:rsidR="00F873CF">
        <w:rPr>
          <w:rFonts w:ascii="Times New Roman" w:hAnsi="Times New Roman"/>
          <w:sz w:val="24"/>
          <w:szCs w:val="24"/>
          <w:lang w:eastAsia="bg-BG"/>
        </w:rPr>
        <w:t>регион</w:t>
      </w:r>
      <w:r w:rsidRPr="008131C7">
        <w:rPr>
          <w:rFonts w:ascii="Times New Roman" w:hAnsi="Times New Roman"/>
          <w:sz w:val="24"/>
          <w:szCs w:val="24"/>
          <w:lang w:eastAsia="bg-BG"/>
        </w:rPr>
        <w:t xml:space="preserve"> значимите заплахи са F07 - Спорт, туризъм и развлекателни дейности, H04 – Вандализъм или палежи, H06 - Затваряне или ограничен достъп до зона / местообитание, F02 Изграждане или модификация (напр. на домакинства или населени места) в съществуващи градски или развлекателни зони, F05 – Създаване или развиване на спортна, туристическа или развлекателна инфраструктура (извън градски и развлекателни зони). </w:t>
      </w:r>
    </w:p>
    <w:p w:rsidR="001544FD" w:rsidRPr="000028B7" w:rsidRDefault="001544FD" w:rsidP="001544FD">
      <w:pPr>
        <w:spacing w:after="0" w:line="240" w:lineRule="auto"/>
        <w:ind w:firstLine="709"/>
        <w:jc w:val="both"/>
        <w:rPr>
          <w:rFonts w:ascii="Times New Roman" w:hAnsi="Times New Roman"/>
          <w:sz w:val="24"/>
          <w:szCs w:val="24"/>
          <w:lang w:eastAsia="bg-BG"/>
        </w:rPr>
      </w:pPr>
      <w:r>
        <w:rPr>
          <w:rFonts w:ascii="Times New Roman" w:hAnsi="Times New Roman"/>
          <w:sz w:val="24"/>
          <w:szCs w:val="24"/>
          <w:lang w:eastAsia="bg-BG"/>
        </w:rPr>
        <w:t>Видът е включен в Стандартните формуляри за данни на 142 защитени зони.</w:t>
      </w:r>
    </w:p>
    <w:p w:rsidR="008131C7" w:rsidRPr="008131C7" w:rsidRDefault="008131C7" w:rsidP="008131C7">
      <w:pPr>
        <w:tabs>
          <w:tab w:val="left" w:pos="1196"/>
        </w:tabs>
        <w:spacing w:before="120" w:after="120" w:line="240" w:lineRule="auto"/>
        <w:jc w:val="both"/>
        <w:rPr>
          <w:rFonts w:ascii="Times New Roman" w:hAnsi="Times New Roman"/>
          <w:sz w:val="24"/>
          <w:szCs w:val="24"/>
          <w:lang w:val="en-GB" w:eastAsia="bg-BG"/>
        </w:rPr>
      </w:pPr>
      <w:r w:rsidRPr="008131C7">
        <w:rPr>
          <w:rFonts w:ascii="Times New Roman" w:hAnsi="Times New Roman"/>
          <w:b/>
          <w:sz w:val="24"/>
          <w:szCs w:val="24"/>
          <w:lang w:eastAsia="bg-BG"/>
        </w:rPr>
        <w:t>4. Състояние на ниво защитена зона</w:t>
      </w:r>
      <w:r w:rsidRPr="008131C7">
        <w:rPr>
          <w:rFonts w:ascii="Times New Roman" w:hAnsi="Times New Roman"/>
          <w:sz w:val="24"/>
          <w:szCs w:val="24"/>
          <w:lang w:eastAsia="bg-BG"/>
        </w:rPr>
        <w:t xml:space="preserve"> </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В стандартния формуляр, популацията е оценена като незначителна  (</w:t>
      </w:r>
      <w:r w:rsidRPr="008131C7">
        <w:rPr>
          <w:rFonts w:ascii="Times New Roman" w:hAnsi="Times New Roman"/>
          <w:sz w:val="24"/>
          <w:szCs w:val="24"/>
          <w:lang w:val="en-GB" w:eastAsia="bg-BG"/>
        </w:rPr>
        <w:t>D</w:t>
      </w:r>
      <w:r w:rsidRPr="008131C7">
        <w:rPr>
          <w:rFonts w:ascii="Times New Roman" w:hAnsi="Times New Roman"/>
          <w:sz w:val="24"/>
          <w:szCs w:val="24"/>
          <w:lang w:eastAsia="bg-BG"/>
        </w:rPr>
        <w:t>)</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 xml:space="preserve">и не са дадени други оценки, свързани с опазването.  </w:t>
      </w:r>
    </w:p>
    <w:p w:rsidR="008131C7" w:rsidRPr="008131C7" w:rsidRDefault="008131C7" w:rsidP="008131C7">
      <w:pPr>
        <w:spacing w:before="120" w:after="120" w:line="240" w:lineRule="auto"/>
        <w:jc w:val="both"/>
        <w:rPr>
          <w:rFonts w:ascii="Times New Roman" w:hAnsi="Times New Roman"/>
          <w:sz w:val="24"/>
          <w:szCs w:val="24"/>
          <w:lang w:eastAsia="bg-BG"/>
        </w:rPr>
      </w:pPr>
      <w:r w:rsidRPr="008131C7">
        <w:rPr>
          <w:rFonts w:ascii="Times New Roman" w:hAnsi="Times New Roman"/>
          <w:sz w:val="24"/>
          <w:szCs w:val="24"/>
          <w:lang w:eastAsia="bg-BG"/>
        </w:rPr>
        <w:t xml:space="preserve">Таблица 1. Оценка на популацията и местообитанието на големия подковонос според стандартния формуляр на зона </w:t>
      </w:r>
      <w:r w:rsidRPr="008131C7">
        <w:rPr>
          <w:rFonts w:ascii="Times New Roman" w:hAnsi="Times New Roman"/>
          <w:sz w:val="24"/>
          <w:szCs w:val="24"/>
          <w:lang w:val="en-GB" w:eastAsia="bg-BG"/>
        </w:rPr>
        <w:t>BG0000</w:t>
      </w:r>
      <w:r w:rsidRPr="008131C7">
        <w:rPr>
          <w:rFonts w:ascii="Times New Roman" w:hAnsi="Times New Roman"/>
          <w:sz w:val="24"/>
          <w:szCs w:val="24"/>
          <w:lang w:eastAsia="bg-BG"/>
        </w:rPr>
        <w:t xml:space="preserve">241 </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Сребърна</w:t>
      </w:r>
    </w:p>
    <w:tbl>
      <w:tblPr>
        <w:tblW w:w="10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734"/>
        <w:gridCol w:w="1655"/>
        <w:gridCol w:w="408"/>
        <w:gridCol w:w="545"/>
        <w:gridCol w:w="404"/>
        <w:gridCol w:w="631"/>
        <w:gridCol w:w="746"/>
        <w:gridCol w:w="685"/>
        <w:gridCol w:w="637"/>
        <w:gridCol w:w="839"/>
        <w:gridCol w:w="950"/>
        <w:gridCol w:w="784"/>
        <w:gridCol w:w="522"/>
        <w:gridCol w:w="578"/>
      </w:tblGrid>
      <w:tr w:rsidR="008131C7" w:rsidRPr="00A805FE" w:rsidTr="00A805FE">
        <w:trPr>
          <w:jc w:val="center"/>
        </w:trPr>
        <w:tc>
          <w:tcPr>
            <w:tcW w:w="3779" w:type="dxa"/>
            <w:gridSpan w:val="5"/>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Species</w:t>
            </w:r>
          </w:p>
        </w:tc>
        <w:tc>
          <w:tcPr>
            <w:tcW w:w="3950" w:type="dxa"/>
            <w:gridSpan w:val="6"/>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Population in the site</w:t>
            </w:r>
          </w:p>
        </w:tc>
        <w:tc>
          <w:tcPr>
            <w:tcW w:w="2813" w:type="dxa"/>
            <w:gridSpan w:val="4"/>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Site assessment</w:t>
            </w:r>
          </w:p>
        </w:tc>
      </w:tr>
      <w:tr w:rsidR="00A805FE" w:rsidRPr="00A805FE" w:rsidTr="00A805FE">
        <w:trPr>
          <w:jc w:val="center"/>
        </w:trPr>
        <w:tc>
          <w:tcPr>
            <w:tcW w:w="426"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G</w:t>
            </w:r>
          </w:p>
        </w:tc>
        <w:tc>
          <w:tcPr>
            <w:tcW w:w="736"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Code</w:t>
            </w:r>
          </w:p>
        </w:tc>
        <w:tc>
          <w:tcPr>
            <w:tcW w:w="1660"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Scientific Name</w:t>
            </w:r>
          </w:p>
        </w:tc>
        <w:tc>
          <w:tcPr>
            <w:tcW w:w="410"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S</w:t>
            </w:r>
          </w:p>
        </w:tc>
        <w:tc>
          <w:tcPr>
            <w:tcW w:w="547"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NP</w:t>
            </w:r>
          </w:p>
        </w:tc>
        <w:tc>
          <w:tcPr>
            <w:tcW w:w="405"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T</w:t>
            </w:r>
          </w:p>
        </w:tc>
        <w:tc>
          <w:tcPr>
            <w:tcW w:w="1381" w:type="dxa"/>
            <w:gridSpan w:val="2"/>
            <w:shd w:val="clear" w:color="auto" w:fill="D9D9D9" w:themeFill="background1" w:themeFillShade="D9"/>
            <w:vAlign w:val="center"/>
          </w:tcPr>
          <w:p w:rsidR="008131C7" w:rsidRPr="00A805FE" w:rsidRDefault="008131C7" w:rsidP="008131C7">
            <w:pPr>
              <w:spacing w:before="120" w:after="120" w:line="240" w:lineRule="auto"/>
              <w:jc w:val="center"/>
              <w:rPr>
                <w:rFonts w:ascii="Times New Roman" w:hAnsi="Times New Roman"/>
                <w:b/>
                <w:sz w:val="20"/>
                <w:szCs w:val="20"/>
                <w:lang w:eastAsia="en-GB"/>
              </w:rPr>
            </w:pPr>
            <w:r w:rsidRPr="00A805FE">
              <w:rPr>
                <w:rFonts w:ascii="Times New Roman" w:hAnsi="Times New Roman"/>
                <w:b/>
                <w:sz w:val="20"/>
                <w:szCs w:val="20"/>
                <w:lang w:eastAsia="en-GB"/>
              </w:rPr>
              <w:t>Size</w:t>
            </w:r>
          </w:p>
        </w:tc>
        <w:tc>
          <w:tcPr>
            <w:tcW w:w="687"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Unit</w:t>
            </w:r>
          </w:p>
        </w:tc>
        <w:tc>
          <w:tcPr>
            <w:tcW w:w="638"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Cat.</w:t>
            </w:r>
          </w:p>
        </w:tc>
        <w:tc>
          <w:tcPr>
            <w:tcW w:w="839"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D.qual.</w:t>
            </w:r>
          </w:p>
        </w:tc>
        <w:tc>
          <w:tcPr>
            <w:tcW w:w="950" w:type="dxa"/>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A/B/C/D</w:t>
            </w:r>
          </w:p>
        </w:tc>
        <w:tc>
          <w:tcPr>
            <w:tcW w:w="1863" w:type="dxa"/>
            <w:gridSpan w:val="3"/>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A/B/C</w:t>
            </w:r>
          </w:p>
        </w:tc>
      </w:tr>
      <w:tr w:rsidR="00A805FE" w:rsidRPr="00A805FE" w:rsidTr="00A805FE">
        <w:trPr>
          <w:jc w:val="center"/>
        </w:trPr>
        <w:tc>
          <w:tcPr>
            <w:tcW w:w="426"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sz w:val="20"/>
                <w:szCs w:val="20"/>
                <w:lang w:eastAsia="en-GB"/>
              </w:rPr>
            </w:pPr>
          </w:p>
        </w:tc>
        <w:tc>
          <w:tcPr>
            <w:tcW w:w="736"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sz w:val="20"/>
                <w:szCs w:val="20"/>
                <w:lang w:eastAsia="en-GB"/>
              </w:rPr>
            </w:pPr>
          </w:p>
        </w:tc>
        <w:tc>
          <w:tcPr>
            <w:tcW w:w="1660"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sz w:val="20"/>
                <w:szCs w:val="20"/>
                <w:lang w:eastAsia="en-GB"/>
              </w:rPr>
            </w:pPr>
          </w:p>
        </w:tc>
        <w:tc>
          <w:tcPr>
            <w:tcW w:w="410"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sz w:val="20"/>
                <w:szCs w:val="20"/>
                <w:lang w:eastAsia="en-GB"/>
              </w:rPr>
            </w:pPr>
          </w:p>
        </w:tc>
        <w:tc>
          <w:tcPr>
            <w:tcW w:w="547"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p>
        </w:tc>
        <w:tc>
          <w:tcPr>
            <w:tcW w:w="405"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p>
        </w:tc>
        <w:tc>
          <w:tcPr>
            <w:tcW w:w="632" w:type="dxa"/>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Min</w:t>
            </w:r>
          </w:p>
        </w:tc>
        <w:tc>
          <w:tcPr>
            <w:tcW w:w="749" w:type="dxa"/>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Max</w:t>
            </w:r>
          </w:p>
        </w:tc>
        <w:tc>
          <w:tcPr>
            <w:tcW w:w="687"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p>
        </w:tc>
        <w:tc>
          <w:tcPr>
            <w:tcW w:w="638"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p>
        </w:tc>
        <w:tc>
          <w:tcPr>
            <w:tcW w:w="839"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p>
        </w:tc>
        <w:tc>
          <w:tcPr>
            <w:tcW w:w="950" w:type="dxa"/>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Pop.</w:t>
            </w:r>
          </w:p>
        </w:tc>
        <w:tc>
          <w:tcPr>
            <w:tcW w:w="788" w:type="dxa"/>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Con.</w:t>
            </w:r>
          </w:p>
        </w:tc>
        <w:tc>
          <w:tcPr>
            <w:tcW w:w="522" w:type="dxa"/>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Iso.</w:t>
            </w:r>
          </w:p>
        </w:tc>
        <w:tc>
          <w:tcPr>
            <w:tcW w:w="553" w:type="dxa"/>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Glo.</w:t>
            </w:r>
          </w:p>
        </w:tc>
      </w:tr>
      <w:tr w:rsidR="00A805FE" w:rsidRPr="00A805FE" w:rsidTr="00A805FE">
        <w:trPr>
          <w:jc w:val="center"/>
        </w:trPr>
        <w:tc>
          <w:tcPr>
            <w:tcW w:w="426"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eastAsia="en-GB"/>
              </w:rPr>
            </w:pPr>
            <w:r w:rsidRPr="00A805FE">
              <w:rPr>
                <w:rFonts w:ascii="Times New Roman" w:hAnsi="Times New Roman"/>
                <w:sz w:val="20"/>
                <w:szCs w:val="20"/>
                <w:lang w:eastAsia="en-GB"/>
              </w:rPr>
              <w:t>M</w:t>
            </w:r>
          </w:p>
        </w:tc>
        <w:tc>
          <w:tcPr>
            <w:tcW w:w="736"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eastAsia="en-GB"/>
              </w:rPr>
            </w:pPr>
            <w:r w:rsidRPr="00A805FE">
              <w:rPr>
                <w:rFonts w:ascii="Times New Roman" w:hAnsi="Times New Roman"/>
                <w:sz w:val="20"/>
                <w:szCs w:val="20"/>
                <w:lang w:val="en-US" w:eastAsia="bg-BG"/>
              </w:rPr>
              <w:t>1304</w:t>
            </w:r>
          </w:p>
        </w:tc>
        <w:tc>
          <w:tcPr>
            <w:tcW w:w="1660" w:type="dxa"/>
            <w:shd w:val="clear" w:color="auto" w:fill="auto"/>
            <w:vAlign w:val="center"/>
          </w:tcPr>
          <w:p w:rsidR="008131C7" w:rsidRPr="00A805FE" w:rsidRDefault="008131C7" w:rsidP="008131C7">
            <w:pPr>
              <w:spacing w:before="120" w:after="120" w:line="240" w:lineRule="auto"/>
              <w:jc w:val="both"/>
              <w:rPr>
                <w:rFonts w:ascii="Times New Roman" w:hAnsi="Times New Roman"/>
                <w:i/>
                <w:sz w:val="20"/>
                <w:szCs w:val="20"/>
                <w:lang w:eastAsia="en-GB"/>
              </w:rPr>
            </w:pPr>
            <w:r w:rsidRPr="00A805FE">
              <w:rPr>
                <w:rFonts w:ascii="Times New Roman" w:hAnsi="Times New Roman"/>
                <w:i/>
                <w:iCs/>
                <w:color w:val="000000"/>
                <w:sz w:val="20"/>
                <w:szCs w:val="20"/>
                <w:lang w:eastAsia="bg-BG"/>
              </w:rPr>
              <w:t>Rhinolophus ferrumequinum</w:t>
            </w:r>
          </w:p>
        </w:tc>
        <w:tc>
          <w:tcPr>
            <w:tcW w:w="410"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eastAsia="en-GB"/>
              </w:rPr>
            </w:pPr>
          </w:p>
        </w:tc>
        <w:tc>
          <w:tcPr>
            <w:tcW w:w="547"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eastAsia="en-GB"/>
              </w:rPr>
            </w:pPr>
          </w:p>
        </w:tc>
        <w:tc>
          <w:tcPr>
            <w:tcW w:w="405"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val="en-GB" w:eastAsia="en-GB"/>
              </w:rPr>
            </w:pPr>
            <w:r w:rsidRPr="00A805FE">
              <w:rPr>
                <w:rFonts w:ascii="Times New Roman" w:hAnsi="Times New Roman"/>
                <w:sz w:val="20"/>
                <w:szCs w:val="20"/>
                <w:lang w:val="en-GB" w:eastAsia="en-GB"/>
              </w:rPr>
              <w:t>p</w:t>
            </w:r>
          </w:p>
        </w:tc>
        <w:tc>
          <w:tcPr>
            <w:tcW w:w="632" w:type="dxa"/>
            <w:shd w:val="clear" w:color="auto" w:fill="auto"/>
            <w:vAlign w:val="center"/>
          </w:tcPr>
          <w:p w:rsidR="008131C7" w:rsidRPr="00A805FE" w:rsidRDefault="008131C7" w:rsidP="008131C7">
            <w:pPr>
              <w:spacing w:before="120" w:after="120" w:line="240" w:lineRule="auto"/>
              <w:jc w:val="center"/>
              <w:rPr>
                <w:rFonts w:ascii="Times New Roman" w:hAnsi="Times New Roman"/>
                <w:sz w:val="20"/>
                <w:szCs w:val="20"/>
                <w:lang w:eastAsia="en-GB"/>
              </w:rPr>
            </w:pPr>
            <w:r w:rsidRPr="00A805FE">
              <w:rPr>
                <w:rFonts w:ascii="Times New Roman" w:hAnsi="Times New Roman"/>
                <w:sz w:val="20"/>
                <w:szCs w:val="20"/>
                <w:lang w:eastAsia="en-GB"/>
              </w:rPr>
              <w:t>5</w:t>
            </w:r>
          </w:p>
        </w:tc>
        <w:tc>
          <w:tcPr>
            <w:tcW w:w="749" w:type="dxa"/>
            <w:shd w:val="clear" w:color="auto" w:fill="auto"/>
            <w:vAlign w:val="center"/>
          </w:tcPr>
          <w:p w:rsidR="008131C7" w:rsidRPr="00A805FE" w:rsidRDefault="008131C7" w:rsidP="008131C7">
            <w:pPr>
              <w:spacing w:before="120" w:after="120" w:line="240" w:lineRule="auto"/>
              <w:jc w:val="center"/>
              <w:rPr>
                <w:rFonts w:ascii="Times New Roman" w:hAnsi="Times New Roman"/>
                <w:sz w:val="20"/>
                <w:szCs w:val="20"/>
                <w:lang w:eastAsia="en-GB"/>
              </w:rPr>
            </w:pPr>
            <w:r w:rsidRPr="00A805FE">
              <w:rPr>
                <w:rFonts w:ascii="Times New Roman" w:hAnsi="Times New Roman"/>
                <w:sz w:val="20"/>
                <w:szCs w:val="20"/>
                <w:lang w:eastAsia="en-GB"/>
              </w:rPr>
              <w:t>10</w:t>
            </w:r>
          </w:p>
        </w:tc>
        <w:tc>
          <w:tcPr>
            <w:tcW w:w="687" w:type="dxa"/>
            <w:shd w:val="clear" w:color="auto" w:fill="auto"/>
            <w:vAlign w:val="center"/>
          </w:tcPr>
          <w:p w:rsidR="008131C7" w:rsidRPr="00A805FE" w:rsidRDefault="008131C7" w:rsidP="008131C7">
            <w:pPr>
              <w:spacing w:before="120" w:after="120" w:line="240" w:lineRule="auto"/>
              <w:jc w:val="center"/>
              <w:rPr>
                <w:rFonts w:ascii="Times New Roman" w:hAnsi="Times New Roman"/>
                <w:sz w:val="20"/>
                <w:szCs w:val="20"/>
                <w:lang w:val="en-GB" w:eastAsia="en-GB"/>
              </w:rPr>
            </w:pPr>
            <w:r w:rsidRPr="00A805FE">
              <w:rPr>
                <w:rFonts w:ascii="Times New Roman" w:hAnsi="Times New Roman"/>
                <w:sz w:val="20"/>
                <w:szCs w:val="20"/>
                <w:lang w:val="en-GB" w:eastAsia="en-GB"/>
              </w:rPr>
              <w:t>i</w:t>
            </w:r>
          </w:p>
        </w:tc>
        <w:tc>
          <w:tcPr>
            <w:tcW w:w="638"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val="en-GB" w:eastAsia="en-GB"/>
              </w:rPr>
            </w:pPr>
          </w:p>
        </w:tc>
        <w:tc>
          <w:tcPr>
            <w:tcW w:w="839"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val="en-GB" w:eastAsia="en-GB"/>
              </w:rPr>
            </w:pPr>
            <w:r w:rsidRPr="00A805FE">
              <w:rPr>
                <w:rFonts w:ascii="Times New Roman" w:hAnsi="Times New Roman"/>
                <w:sz w:val="20"/>
                <w:szCs w:val="20"/>
                <w:lang w:val="en-GB" w:eastAsia="en-GB"/>
              </w:rPr>
              <w:t>G</w:t>
            </w:r>
          </w:p>
        </w:tc>
        <w:tc>
          <w:tcPr>
            <w:tcW w:w="950"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val="en-GB" w:eastAsia="en-GB"/>
              </w:rPr>
            </w:pPr>
            <w:r w:rsidRPr="00A805FE">
              <w:rPr>
                <w:rFonts w:ascii="Times New Roman" w:hAnsi="Times New Roman"/>
                <w:sz w:val="20"/>
                <w:szCs w:val="20"/>
                <w:lang w:val="en-GB" w:eastAsia="en-GB"/>
              </w:rPr>
              <w:t>D</w:t>
            </w:r>
          </w:p>
        </w:tc>
        <w:tc>
          <w:tcPr>
            <w:tcW w:w="788"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val="en-GB" w:eastAsia="en-GB"/>
              </w:rPr>
            </w:pPr>
          </w:p>
        </w:tc>
        <w:tc>
          <w:tcPr>
            <w:tcW w:w="522"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val="en-GB" w:eastAsia="en-GB"/>
              </w:rPr>
            </w:pPr>
          </w:p>
        </w:tc>
        <w:tc>
          <w:tcPr>
            <w:tcW w:w="553"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val="en-GB" w:eastAsia="en-GB"/>
              </w:rPr>
            </w:pPr>
          </w:p>
        </w:tc>
      </w:tr>
    </w:tbl>
    <w:p w:rsidR="00A805FE" w:rsidRDefault="00A805FE" w:rsidP="008131C7">
      <w:pPr>
        <w:spacing w:after="0" w:line="240" w:lineRule="auto"/>
        <w:rPr>
          <w:rFonts w:ascii="Times New Roman" w:hAnsi="Times New Roman"/>
          <w:b/>
          <w:sz w:val="24"/>
          <w:szCs w:val="24"/>
          <w:lang w:eastAsia="zh-CN"/>
        </w:rPr>
      </w:pPr>
    </w:p>
    <w:p w:rsidR="008131C7" w:rsidRPr="008131C7" w:rsidRDefault="008131C7" w:rsidP="008131C7">
      <w:pPr>
        <w:spacing w:after="0" w:line="240" w:lineRule="auto"/>
        <w:rPr>
          <w:rFonts w:ascii="Times New Roman" w:hAnsi="Times New Roman"/>
          <w:b/>
          <w:sz w:val="24"/>
          <w:szCs w:val="24"/>
          <w:lang w:val="en-GB" w:eastAsia="zh-CN"/>
        </w:rPr>
      </w:pPr>
      <w:r w:rsidRPr="008131C7">
        <w:rPr>
          <w:rFonts w:ascii="Times New Roman" w:hAnsi="Times New Roman"/>
          <w:b/>
          <w:sz w:val="24"/>
          <w:szCs w:val="24"/>
          <w:lang w:eastAsia="zh-CN"/>
        </w:rPr>
        <w:t xml:space="preserve">5. Анализ на наличната информация </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 xml:space="preserve">Според доклад "Разпространение и оценка на ПС на целеви вид 1304. </w:t>
      </w:r>
      <w:r w:rsidRPr="008131C7">
        <w:rPr>
          <w:rFonts w:ascii="Times New Roman" w:hAnsi="Times New Roman"/>
          <w:i/>
          <w:sz w:val="24"/>
          <w:szCs w:val="24"/>
          <w:lang w:eastAsia="bg-BG"/>
        </w:rPr>
        <w:t>Rhinolophus ferrumequinum</w:t>
      </w:r>
      <w:r w:rsidRPr="008131C7">
        <w:rPr>
          <w:rFonts w:ascii="Times New Roman" w:hAnsi="Times New Roman"/>
          <w:sz w:val="24"/>
          <w:szCs w:val="24"/>
          <w:lang w:eastAsia="bg-BG"/>
        </w:rPr>
        <w:t xml:space="preserve"> (Голям подковонос) в ЗЗ BG0000241 „Сребърна“ (</w:t>
      </w:r>
      <w:hyperlink r:id="rId194" w:history="1">
        <w:r w:rsidRPr="008131C7">
          <w:rPr>
            <w:rFonts w:ascii="Times New Roman" w:hAnsi="Times New Roman"/>
            <w:color w:val="0000FF"/>
            <w:sz w:val="24"/>
            <w:szCs w:val="24"/>
            <w:u w:val="single"/>
            <w:lang w:eastAsia="bg-BG"/>
          </w:rPr>
          <w:t>http://natura2000.moew.government.bg/PublicDownloads/Auto/PS_SCI/BG0000241/BG0000241_PS_136_1.zip</w:t>
        </w:r>
      </w:hyperlink>
      <w:r w:rsidRPr="008131C7">
        <w:rPr>
          <w:rFonts w:ascii="Times New Roman" w:hAnsi="Times New Roman"/>
          <w:sz w:val="24"/>
          <w:szCs w:val="24"/>
          <w:lang w:eastAsia="bg-BG"/>
        </w:rPr>
        <w:t>)  е регистриран по косвени данни в близост до зоната -  в изоставена  сграда в с. Сребърна. Не са установени зимни находища. Площта на потенциално най-благоприятните местообитания е оценена на</w:t>
      </w:r>
      <w:r w:rsidRPr="008131C7">
        <w:rPr>
          <w:rFonts w:ascii="Times New Roman" w:hAnsi="Times New Roman"/>
          <w:b/>
          <w:sz w:val="24"/>
          <w:szCs w:val="24"/>
          <w:lang w:eastAsia="bg-BG"/>
        </w:rPr>
        <w:t xml:space="preserve"> </w:t>
      </w:r>
      <w:r w:rsidRPr="008131C7">
        <w:rPr>
          <w:rFonts w:ascii="Times New Roman" w:hAnsi="Times New Roman"/>
          <w:sz w:val="24"/>
          <w:szCs w:val="24"/>
          <w:lang w:eastAsia="bg-BG"/>
        </w:rPr>
        <w:t>80.8 ha (5.6</w:t>
      </w:r>
      <w:r w:rsidRPr="008131C7">
        <w:rPr>
          <w:rFonts w:ascii="Times New Roman" w:hAnsi="Times New Roman"/>
          <w:sz w:val="24"/>
          <w:szCs w:val="24"/>
          <w:lang w:val="en-US" w:eastAsia="bg-BG"/>
        </w:rPr>
        <w:t xml:space="preserve"> </w:t>
      </w:r>
      <w:r w:rsidRPr="008131C7">
        <w:rPr>
          <w:rFonts w:ascii="Times New Roman" w:hAnsi="Times New Roman"/>
          <w:sz w:val="24"/>
          <w:szCs w:val="24"/>
          <w:lang w:eastAsia="bg-BG"/>
        </w:rPr>
        <w:t>%</w:t>
      </w:r>
      <w:r w:rsidRPr="008131C7">
        <w:rPr>
          <w:rFonts w:ascii="Times New Roman" w:hAnsi="Times New Roman"/>
          <w:color w:val="000000"/>
          <w:sz w:val="24"/>
          <w:szCs w:val="24"/>
          <w:lang w:eastAsia="bg-BG"/>
        </w:rPr>
        <w:t xml:space="preserve"> от площта на защитената зона)</w:t>
      </w:r>
      <w:r w:rsidRPr="008131C7">
        <w:rPr>
          <w:rFonts w:ascii="Times New Roman" w:hAnsi="Times New Roman"/>
          <w:sz w:val="24"/>
          <w:szCs w:val="24"/>
          <w:lang w:eastAsia="bg-BG"/>
        </w:rPr>
        <w:t>. Площта на потенциално подходящите ловни местообитания е оценена на</w:t>
      </w:r>
      <w:r w:rsidRPr="008131C7">
        <w:rPr>
          <w:rFonts w:ascii="Times New Roman" w:hAnsi="Times New Roman"/>
          <w:b/>
          <w:sz w:val="24"/>
          <w:szCs w:val="24"/>
          <w:lang w:eastAsia="bg-BG"/>
        </w:rPr>
        <w:t xml:space="preserve"> </w:t>
      </w:r>
      <w:r w:rsidRPr="008131C7">
        <w:rPr>
          <w:rFonts w:ascii="Times New Roman" w:hAnsi="Times New Roman"/>
          <w:sz w:val="24"/>
          <w:szCs w:val="24"/>
          <w:lang w:eastAsia="bg-BG"/>
        </w:rPr>
        <w:t>163 ha</w:t>
      </w:r>
      <w:r w:rsidRPr="008131C7">
        <w:rPr>
          <w:rFonts w:ascii="Times New Roman" w:hAnsi="Times New Roman"/>
          <w:b/>
          <w:sz w:val="24"/>
          <w:szCs w:val="24"/>
          <w:lang w:eastAsia="bg-BG"/>
        </w:rPr>
        <w:t xml:space="preserve"> </w:t>
      </w:r>
      <w:r w:rsidRPr="008131C7">
        <w:rPr>
          <w:rFonts w:ascii="Times New Roman" w:hAnsi="Times New Roman"/>
          <w:sz w:val="24"/>
          <w:szCs w:val="24"/>
          <w:lang w:eastAsia="bg-BG"/>
        </w:rPr>
        <w:t>(11,3</w:t>
      </w:r>
      <w:r w:rsidRPr="008131C7">
        <w:rPr>
          <w:rFonts w:ascii="Times New Roman" w:hAnsi="Times New Roman"/>
          <w:b/>
          <w:sz w:val="24"/>
          <w:szCs w:val="24"/>
          <w:lang w:val="en-US" w:eastAsia="bg-BG"/>
        </w:rPr>
        <w:t xml:space="preserve"> </w:t>
      </w:r>
      <w:r w:rsidRPr="008131C7">
        <w:rPr>
          <w:rFonts w:ascii="Times New Roman" w:hAnsi="Times New Roman"/>
          <w:sz w:val="24"/>
          <w:szCs w:val="24"/>
          <w:lang w:eastAsia="bg-BG"/>
        </w:rPr>
        <w:t>%</w:t>
      </w:r>
      <w:r w:rsidRPr="008131C7">
        <w:rPr>
          <w:rFonts w:ascii="Times New Roman" w:hAnsi="Times New Roman"/>
          <w:color w:val="000000"/>
          <w:sz w:val="24"/>
          <w:szCs w:val="24"/>
          <w:lang w:eastAsia="bg-BG"/>
        </w:rPr>
        <w:t xml:space="preserve"> от площта на защитената зона)</w:t>
      </w:r>
      <w:r w:rsidRPr="008131C7">
        <w:rPr>
          <w:rFonts w:ascii="Times New Roman" w:hAnsi="Times New Roman"/>
          <w:sz w:val="24"/>
          <w:szCs w:val="24"/>
          <w:lang w:eastAsia="bg-BG"/>
        </w:rPr>
        <w:t>. Природозащитното състояние на големия подковонос в зоната е оценено на "неблагоприятно-незадоволително" поради липсата на информация за числеността през зимата.</w:t>
      </w:r>
    </w:p>
    <w:p w:rsidR="008131C7" w:rsidRPr="008131C7" w:rsidRDefault="008131C7" w:rsidP="008131C7">
      <w:pPr>
        <w:spacing w:after="0" w:line="240" w:lineRule="auto"/>
        <w:ind w:firstLine="709"/>
        <w:rPr>
          <w:rFonts w:ascii="Times New Roman" w:hAnsi="Times New Roman"/>
          <w:color w:val="000000"/>
          <w:sz w:val="24"/>
          <w:szCs w:val="24"/>
          <w:lang w:eastAsia="bg-BG"/>
        </w:rPr>
      </w:pPr>
      <w:r w:rsidRPr="008131C7">
        <w:rPr>
          <w:rFonts w:ascii="Times New Roman" w:hAnsi="Times New Roman"/>
          <w:color w:val="000000"/>
          <w:sz w:val="24"/>
          <w:szCs w:val="24"/>
          <w:lang w:eastAsia="bg-BG"/>
        </w:rPr>
        <w:t xml:space="preserve">През август 2021 г. са направени пилотни проучвания върху прилепите, чрез акустична регистрация (Приложение 1) в </w:t>
      </w:r>
      <w:r w:rsidRPr="008131C7">
        <w:rPr>
          <w:rFonts w:ascii="Times New Roman" w:hAnsi="Times New Roman"/>
          <w:color w:val="000000"/>
          <w:sz w:val="24"/>
          <w:szCs w:val="24"/>
          <w:lang w:val="en-GB" w:eastAsia="bg-BG"/>
        </w:rPr>
        <w:t>15</w:t>
      </w:r>
      <w:r w:rsidRPr="008131C7">
        <w:rPr>
          <w:rFonts w:ascii="Times New Roman" w:hAnsi="Times New Roman"/>
          <w:color w:val="000000"/>
          <w:sz w:val="24"/>
          <w:szCs w:val="24"/>
          <w:lang w:eastAsia="bg-BG"/>
        </w:rPr>
        <w:t xml:space="preserve"> района в зоната през периода </w:t>
      </w:r>
      <w:r w:rsidRPr="008131C7">
        <w:rPr>
          <w:rFonts w:ascii="Times New Roman" w:hAnsi="Times New Roman"/>
          <w:color w:val="000000"/>
          <w:sz w:val="24"/>
          <w:szCs w:val="24"/>
          <w:lang w:val="en-GB" w:eastAsia="bg-BG"/>
        </w:rPr>
        <w:t>25</w:t>
      </w:r>
      <w:r w:rsidRPr="008131C7">
        <w:rPr>
          <w:rFonts w:ascii="Times New Roman" w:hAnsi="Times New Roman"/>
          <w:color w:val="000000"/>
          <w:sz w:val="24"/>
          <w:szCs w:val="24"/>
          <w:lang w:eastAsia="bg-BG"/>
        </w:rPr>
        <w:t xml:space="preserve"> - </w:t>
      </w:r>
      <w:r w:rsidRPr="008131C7">
        <w:rPr>
          <w:rFonts w:ascii="Times New Roman" w:hAnsi="Times New Roman"/>
          <w:color w:val="000000"/>
          <w:sz w:val="24"/>
          <w:szCs w:val="24"/>
          <w:lang w:val="en-GB" w:eastAsia="bg-BG"/>
        </w:rPr>
        <w:t>28</w:t>
      </w:r>
      <w:r w:rsidRPr="008131C7">
        <w:rPr>
          <w:rFonts w:ascii="Times New Roman" w:hAnsi="Times New Roman"/>
          <w:color w:val="000000"/>
          <w:sz w:val="24"/>
          <w:szCs w:val="24"/>
          <w:lang w:eastAsia="bg-BG"/>
        </w:rPr>
        <w:t xml:space="preserve">.08.2021 и в два от тях </w:t>
      </w:r>
      <w:r w:rsidRPr="008131C7">
        <w:rPr>
          <w:rFonts w:ascii="Times New Roman" w:hAnsi="Times New Roman"/>
          <w:color w:val="000000"/>
          <w:sz w:val="24"/>
          <w:szCs w:val="24"/>
          <w:lang w:val="en-GB" w:eastAsia="bg-BG"/>
        </w:rPr>
        <w:t xml:space="preserve">e </w:t>
      </w:r>
      <w:r w:rsidRPr="008131C7">
        <w:rPr>
          <w:rFonts w:ascii="Times New Roman" w:hAnsi="Times New Roman"/>
          <w:color w:val="000000"/>
          <w:sz w:val="24"/>
          <w:szCs w:val="24"/>
          <w:lang w:eastAsia="bg-BG"/>
        </w:rPr>
        <w:t>регистриран голям подковонос (</w:t>
      </w:r>
      <w:r w:rsidRPr="008131C7">
        <w:rPr>
          <w:rFonts w:ascii="Times New Roman" w:hAnsi="Times New Roman"/>
          <w:i/>
          <w:color w:val="000000"/>
          <w:sz w:val="24"/>
          <w:szCs w:val="24"/>
          <w:lang w:val="en-GB" w:eastAsia="bg-BG"/>
        </w:rPr>
        <w:t>Rh. ferrumequinum</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GB" w:eastAsia="bg-BG"/>
        </w:rPr>
        <w:t xml:space="preserve"> (Приложение 1</w:t>
      </w:r>
      <w:r w:rsidRPr="008131C7">
        <w:rPr>
          <w:rFonts w:ascii="Times New Roman" w:hAnsi="Times New Roman"/>
          <w:color w:val="000000"/>
          <w:sz w:val="24"/>
          <w:szCs w:val="24"/>
          <w:lang w:eastAsia="bg-BG"/>
        </w:rPr>
        <w:t xml:space="preserve">). </w:t>
      </w:r>
    </w:p>
    <w:p w:rsidR="008131C7" w:rsidRPr="008131C7" w:rsidRDefault="008131C7" w:rsidP="008131C7">
      <w:pPr>
        <w:spacing w:after="0" w:line="240" w:lineRule="auto"/>
        <w:ind w:firstLine="709"/>
        <w:jc w:val="both"/>
        <w:rPr>
          <w:rFonts w:ascii="Times New Roman" w:hAnsi="Times New Roman"/>
          <w:color w:val="000000"/>
          <w:sz w:val="24"/>
          <w:szCs w:val="24"/>
          <w:lang w:val="en-GB" w:eastAsia="bg-BG"/>
        </w:rPr>
      </w:pPr>
      <w:r w:rsidRPr="008131C7">
        <w:rPr>
          <w:rFonts w:ascii="Times New Roman" w:hAnsi="Times New Roman"/>
          <w:sz w:val="24"/>
          <w:szCs w:val="24"/>
          <w:lang w:eastAsia="bg-BG"/>
        </w:rPr>
        <w:t xml:space="preserve">На основата на екологичните изисквания на големия подковонос е извършена нова оценка на подходящите местообитания в защитената зона, </w:t>
      </w:r>
      <w:r w:rsidRPr="008131C7">
        <w:rPr>
          <w:rFonts w:ascii="Times New Roman" w:hAnsi="Times New Roman"/>
          <w:color w:val="000000"/>
          <w:sz w:val="24"/>
          <w:szCs w:val="24"/>
          <w:lang w:eastAsia="bg-BG"/>
        </w:rPr>
        <w:t>идентифицирани чрез типове земно покритие</w:t>
      </w:r>
      <w:r w:rsidRPr="008131C7">
        <w:rPr>
          <w:rFonts w:ascii="Times New Roman" w:hAnsi="Times New Roman"/>
          <w:sz w:val="24"/>
          <w:szCs w:val="24"/>
          <w:lang w:eastAsia="bg-BG"/>
        </w:rPr>
        <w:t xml:space="preserve"> на Corine </w:t>
      </w:r>
      <w:r w:rsidRPr="008131C7">
        <w:rPr>
          <w:rFonts w:ascii="Times New Roman" w:hAnsi="Times New Roman"/>
          <w:sz w:val="24"/>
          <w:szCs w:val="24"/>
          <w:lang w:val="en-GB" w:eastAsia="bg-BG"/>
        </w:rPr>
        <w:t>L</w:t>
      </w:r>
      <w:r w:rsidRPr="008131C7">
        <w:rPr>
          <w:rFonts w:ascii="Times New Roman" w:hAnsi="Times New Roman"/>
          <w:sz w:val="24"/>
          <w:szCs w:val="24"/>
          <w:lang w:eastAsia="bg-BG"/>
        </w:rPr>
        <w:t>andcover 2018</w:t>
      </w:r>
      <w:r w:rsidRPr="008131C7">
        <w:rPr>
          <w:rFonts w:ascii="Times New Roman" w:hAnsi="Times New Roman"/>
          <w:color w:val="000000"/>
          <w:sz w:val="24"/>
          <w:szCs w:val="24"/>
          <w:lang w:eastAsia="bg-BG"/>
        </w:rPr>
        <w:t xml:space="preserve">, представящи </w:t>
      </w:r>
      <w:r w:rsidRPr="008131C7">
        <w:rPr>
          <w:rFonts w:ascii="Times New Roman" w:hAnsi="Times New Roman"/>
          <w:sz w:val="24"/>
          <w:szCs w:val="24"/>
          <w:lang w:eastAsia="bg-BG"/>
        </w:rPr>
        <w:t xml:space="preserve">пасища, широколистни гори, храсти, водни тела и влажни зони.   </w:t>
      </w:r>
      <w:r w:rsidRPr="008131C7">
        <w:rPr>
          <w:rFonts w:ascii="Times New Roman" w:hAnsi="Times New Roman"/>
          <w:color w:val="000000"/>
          <w:sz w:val="24"/>
          <w:szCs w:val="24"/>
          <w:lang w:eastAsia="bg-BG"/>
        </w:rPr>
        <w:t>Общата площ на хранителните местообитания е 1285.284 ха (Таблица</w:t>
      </w:r>
      <w:r w:rsidRPr="008131C7">
        <w:rPr>
          <w:rFonts w:ascii="Times New Roman" w:hAnsi="Times New Roman"/>
          <w:color w:val="000000"/>
          <w:sz w:val="24"/>
          <w:szCs w:val="24"/>
          <w:lang w:val="en-GB" w:eastAsia="bg-BG"/>
        </w:rPr>
        <w:t xml:space="preserve"> </w:t>
      </w:r>
      <w:r w:rsidRPr="008131C7">
        <w:rPr>
          <w:rFonts w:ascii="Times New Roman" w:hAnsi="Times New Roman"/>
          <w:color w:val="000000"/>
          <w:sz w:val="24"/>
          <w:szCs w:val="24"/>
          <w:lang w:eastAsia="bg-BG"/>
        </w:rPr>
        <w:t xml:space="preserve">2). </w:t>
      </w:r>
    </w:p>
    <w:p w:rsidR="008131C7" w:rsidRPr="008131C7" w:rsidRDefault="008131C7" w:rsidP="008131C7">
      <w:pPr>
        <w:spacing w:before="120" w:after="120" w:line="240" w:lineRule="auto"/>
        <w:jc w:val="both"/>
        <w:rPr>
          <w:rFonts w:ascii="Times New Roman" w:hAnsi="Times New Roman"/>
          <w:color w:val="000000"/>
          <w:sz w:val="24"/>
          <w:szCs w:val="24"/>
          <w:lang w:val="en-GB" w:eastAsia="bg-BG"/>
        </w:rPr>
      </w:pPr>
      <w:r w:rsidRPr="008131C7">
        <w:rPr>
          <w:rFonts w:ascii="Times New Roman" w:hAnsi="Times New Roman"/>
          <w:color w:val="000000"/>
          <w:sz w:val="24"/>
          <w:szCs w:val="24"/>
          <w:lang w:eastAsia="bg-BG"/>
        </w:rPr>
        <w:t>Таблица 2. Площи на типове земно покритие според Cor</w:t>
      </w:r>
      <w:r w:rsidRPr="008131C7">
        <w:rPr>
          <w:rFonts w:ascii="Times New Roman" w:hAnsi="Times New Roman"/>
          <w:color w:val="000000"/>
          <w:sz w:val="24"/>
          <w:szCs w:val="24"/>
          <w:lang w:val="en-GB" w:eastAsia="bg-BG"/>
        </w:rPr>
        <w:t>ine Land Cover 2018, представляващи подходящи местообитания за големия подковонос</w:t>
      </w:r>
      <w:r w:rsidRPr="008131C7">
        <w:rPr>
          <w:rFonts w:ascii="Times New Roman" w:hAnsi="Times New Roman"/>
          <w:color w:val="000000"/>
          <w:sz w:val="24"/>
          <w:szCs w:val="24"/>
          <w:lang w:eastAsia="bg-BG"/>
        </w:rPr>
        <w:t xml:space="preserve"> (</w:t>
      </w:r>
      <w:r w:rsidRPr="008131C7">
        <w:rPr>
          <w:rFonts w:ascii="Times New Roman" w:hAnsi="Times New Roman"/>
          <w:i/>
          <w:color w:val="000000"/>
          <w:sz w:val="24"/>
          <w:szCs w:val="24"/>
          <w:lang w:val="en-GB" w:eastAsia="bg-BG"/>
        </w:rPr>
        <w:t>Rhinolophus ferrumequinum</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GB" w:eastAsia="bg-BG"/>
        </w:rPr>
        <w:t xml:space="preserve"> в зона Сребърна</w:t>
      </w:r>
    </w:p>
    <w:tbl>
      <w:tblPr>
        <w:tblW w:w="4237" w:type="dxa"/>
        <w:jc w:val="center"/>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381"/>
        <w:gridCol w:w="1116"/>
      </w:tblGrid>
      <w:tr w:rsidR="008131C7" w:rsidRPr="008131C7" w:rsidTr="008131C7">
        <w:trPr>
          <w:trHeight w:val="300"/>
          <w:jc w:val="center"/>
        </w:trPr>
        <w:tc>
          <w:tcPr>
            <w:tcW w:w="956" w:type="dxa"/>
            <w:shd w:val="clear" w:color="auto" w:fill="D9D9D9" w:themeFill="background1" w:themeFillShade="D9"/>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Код CLC18</w:t>
            </w:r>
          </w:p>
        </w:tc>
        <w:tc>
          <w:tcPr>
            <w:tcW w:w="2381" w:type="dxa"/>
            <w:shd w:val="clear" w:color="auto" w:fill="D9D9D9" w:themeFill="background1" w:themeFillShade="D9"/>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 xml:space="preserve">тип земно покритие </w:t>
            </w:r>
          </w:p>
        </w:tc>
        <w:tc>
          <w:tcPr>
            <w:tcW w:w="900" w:type="dxa"/>
            <w:shd w:val="clear" w:color="auto" w:fill="D9D9D9" w:themeFill="background1" w:themeFillShade="D9"/>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Площ [ha]</w:t>
            </w:r>
          </w:p>
        </w:tc>
      </w:tr>
      <w:tr w:rsidR="008131C7" w:rsidRPr="008131C7" w:rsidTr="008131C7">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231</w:t>
            </w:r>
          </w:p>
        </w:tc>
        <w:tc>
          <w:tcPr>
            <w:tcW w:w="2381" w:type="dxa"/>
            <w:shd w:val="clear" w:color="auto" w:fill="auto"/>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пасища</w:t>
            </w:r>
          </w:p>
        </w:tc>
        <w:tc>
          <w:tcPr>
            <w:tcW w:w="900"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8.178</w:t>
            </w:r>
          </w:p>
        </w:tc>
      </w:tr>
      <w:tr w:rsidR="008131C7" w:rsidRPr="008131C7" w:rsidTr="008131C7">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311</w:t>
            </w:r>
          </w:p>
        </w:tc>
        <w:tc>
          <w:tcPr>
            <w:tcW w:w="2381" w:type="dxa"/>
            <w:shd w:val="clear" w:color="auto" w:fill="auto"/>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широколистни гори</w:t>
            </w:r>
          </w:p>
        </w:tc>
        <w:tc>
          <w:tcPr>
            <w:tcW w:w="900"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365.015</w:t>
            </w:r>
          </w:p>
        </w:tc>
      </w:tr>
      <w:tr w:rsidR="008131C7" w:rsidRPr="008131C7" w:rsidTr="008131C7">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324</w:t>
            </w:r>
          </w:p>
        </w:tc>
        <w:tc>
          <w:tcPr>
            <w:tcW w:w="2381" w:type="dxa"/>
            <w:shd w:val="clear" w:color="auto" w:fill="auto"/>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екотон гора-храсти</w:t>
            </w:r>
          </w:p>
        </w:tc>
        <w:tc>
          <w:tcPr>
            <w:tcW w:w="900"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65.329</w:t>
            </w:r>
          </w:p>
        </w:tc>
      </w:tr>
      <w:tr w:rsidR="008131C7" w:rsidRPr="008131C7" w:rsidTr="008131C7">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411</w:t>
            </w:r>
          </w:p>
        </w:tc>
        <w:tc>
          <w:tcPr>
            <w:tcW w:w="2381" w:type="dxa"/>
            <w:shd w:val="clear" w:color="auto" w:fill="auto"/>
            <w:noWrap/>
            <w:vAlign w:val="bottom"/>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блата</w:t>
            </w:r>
          </w:p>
        </w:tc>
        <w:tc>
          <w:tcPr>
            <w:tcW w:w="900"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561.387</w:t>
            </w:r>
          </w:p>
        </w:tc>
      </w:tr>
      <w:tr w:rsidR="008131C7" w:rsidRPr="008131C7" w:rsidTr="008131C7">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511</w:t>
            </w:r>
          </w:p>
        </w:tc>
        <w:tc>
          <w:tcPr>
            <w:tcW w:w="2381" w:type="dxa"/>
            <w:shd w:val="clear" w:color="auto" w:fill="auto"/>
            <w:noWrap/>
            <w:vAlign w:val="bottom"/>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реки</w:t>
            </w:r>
          </w:p>
        </w:tc>
        <w:tc>
          <w:tcPr>
            <w:tcW w:w="900"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97.910</w:t>
            </w:r>
          </w:p>
        </w:tc>
      </w:tr>
      <w:tr w:rsidR="008131C7" w:rsidRPr="008131C7" w:rsidTr="008131C7">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512</w:t>
            </w:r>
          </w:p>
        </w:tc>
        <w:tc>
          <w:tcPr>
            <w:tcW w:w="2381" w:type="dxa"/>
            <w:shd w:val="clear" w:color="auto" w:fill="auto"/>
            <w:noWrap/>
            <w:vAlign w:val="bottom"/>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стоящи води</w:t>
            </w:r>
          </w:p>
        </w:tc>
        <w:tc>
          <w:tcPr>
            <w:tcW w:w="900"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187.465</w:t>
            </w:r>
          </w:p>
        </w:tc>
      </w:tr>
      <w:tr w:rsidR="008131C7" w:rsidRPr="008131C7" w:rsidTr="008131C7">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p>
        </w:tc>
        <w:tc>
          <w:tcPr>
            <w:tcW w:w="2381" w:type="dxa"/>
            <w:shd w:val="clear" w:color="auto" w:fill="auto"/>
            <w:noWrap/>
            <w:vAlign w:val="bottom"/>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Общо</w:t>
            </w:r>
          </w:p>
        </w:tc>
        <w:tc>
          <w:tcPr>
            <w:tcW w:w="900"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1285.284</w:t>
            </w:r>
          </w:p>
        </w:tc>
      </w:tr>
    </w:tbl>
    <w:p w:rsidR="008131C7" w:rsidRPr="008131C7" w:rsidRDefault="008131C7" w:rsidP="008131C7">
      <w:pPr>
        <w:spacing w:after="0" w:line="240" w:lineRule="auto"/>
        <w:rPr>
          <w:rFonts w:ascii="Times New Roman" w:hAnsi="Times New Roman"/>
          <w:b/>
          <w:sz w:val="24"/>
          <w:szCs w:val="24"/>
          <w:lang w:eastAsia="bg-BG"/>
        </w:rPr>
      </w:pPr>
    </w:p>
    <w:p w:rsidR="008131C7" w:rsidRPr="008131C7" w:rsidRDefault="008131C7" w:rsidP="008131C7">
      <w:pPr>
        <w:spacing w:after="0" w:line="240" w:lineRule="auto"/>
        <w:rPr>
          <w:rFonts w:ascii="Times New Roman" w:hAnsi="Times New Roman"/>
          <w:b/>
          <w:sz w:val="24"/>
          <w:szCs w:val="24"/>
          <w:lang w:eastAsia="bg-BG"/>
        </w:rPr>
      </w:pPr>
      <w:r w:rsidRPr="008131C7">
        <w:rPr>
          <w:rFonts w:ascii="Times New Roman" w:hAnsi="Times New Roman"/>
          <w:b/>
          <w:sz w:val="24"/>
          <w:szCs w:val="24"/>
          <w:lang w:eastAsia="bg-BG"/>
        </w:rPr>
        <w:t>6. Цели за подобряване/поддържане на природозащитн</w:t>
      </w:r>
      <w:r w:rsidR="00F873CF">
        <w:rPr>
          <w:rFonts w:ascii="Times New Roman" w:hAnsi="Times New Roman"/>
          <w:b/>
          <w:sz w:val="24"/>
          <w:szCs w:val="24"/>
          <w:lang w:eastAsia="bg-BG"/>
        </w:rPr>
        <w:t>ото състояние на вида в зоната</w:t>
      </w:r>
    </w:p>
    <w:p w:rsidR="008131C7" w:rsidRPr="008131C7" w:rsidRDefault="008131C7" w:rsidP="003D13A8">
      <w:pPr>
        <w:spacing w:after="0" w:line="240" w:lineRule="auto"/>
        <w:ind w:firstLine="709"/>
        <w:jc w:val="both"/>
        <w:rPr>
          <w:rFonts w:ascii="Times New Roman" w:hAnsi="Times New Roman"/>
          <w:bCs/>
          <w:iCs/>
          <w:sz w:val="24"/>
          <w:szCs w:val="24"/>
          <w:lang w:eastAsia="bg-BG"/>
        </w:rPr>
      </w:pPr>
      <w:r w:rsidRPr="008131C7">
        <w:rPr>
          <w:rFonts w:ascii="Times New Roman" w:hAnsi="Times New Roman"/>
          <w:sz w:val="24"/>
          <w:szCs w:val="24"/>
          <w:lang w:eastAsia="bg-BG"/>
        </w:rPr>
        <w:t>Специфичните цели за вида в защитената зона са формулирани на основата на анализ на екологията на вида според направени научни изследвания в Европа (виж цитираната литература) и пилотните изследвания в зоната през август 2021. Параметрите и специфичните цели са представени в таблицата по-долу.</w:t>
      </w:r>
      <w:bookmarkStart w:id="89" w:name="_Hlk70282015"/>
    </w:p>
    <w:bookmarkEnd w:id="89"/>
    <w:p w:rsidR="008131C7" w:rsidRPr="008131C7" w:rsidRDefault="008131C7" w:rsidP="008131C7">
      <w:pPr>
        <w:spacing w:after="0" w:line="240" w:lineRule="auto"/>
        <w:rPr>
          <w:rFonts w:ascii="Times New Roman" w:hAnsi="Times New Roman"/>
          <w:sz w:val="24"/>
          <w:szCs w:val="24"/>
          <w:lang w:val="en-GB"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6"/>
        <w:gridCol w:w="2050"/>
        <w:gridCol w:w="1120"/>
        <w:gridCol w:w="1711"/>
        <w:gridCol w:w="1711"/>
      </w:tblGrid>
      <w:tr w:rsidR="008131C7" w:rsidRPr="003D13A8" w:rsidTr="003D13A8">
        <w:trPr>
          <w:tblHeader/>
        </w:trPr>
        <w:tc>
          <w:tcPr>
            <w:tcW w:w="2578" w:type="dxa"/>
            <w:shd w:val="clear" w:color="auto" w:fill="DBE5F1" w:themeFill="accent1" w:themeFillTint="33"/>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Параметър</w:t>
            </w:r>
          </w:p>
        </w:tc>
        <w:tc>
          <w:tcPr>
            <w:tcW w:w="2125" w:type="dxa"/>
            <w:shd w:val="clear" w:color="auto" w:fill="DBE5F1" w:themeFill="accent1" w:themeFillTint="33"/>
          </w:tcPr>
          <w:p w:rsidR="008131C7" w:rsidRPr="003D13A8" w:rsidRDefault="008131C7" w:rsidP="008131C7">
            <w:pPr>
              <w:spacing w:after="0" w:line="240" w:lineRule="auto"/>
              <w:rPr>
                <w:rFonts w:ascii="Times New Roman" w:hAnsi="Times New Roman"/>
                <w:b/>
                <w:lang w:eastAsia="bg-BG"/>
              </w:rPr>
            </w:pPr>
            <w:r w:rsidRPr="003D13A8">
              <w:rPr>
                <w:rFonts w:ascii="Times New Roman" w:hAnsi="Times New Roman"/>
                <w:b/>
                <w:lang w:eastAsia="bg-BG"/>
              </w:rPr>
              <w:t>Единица</w:t>
            </w:r>
          </w:p>
        </w:tc>
        <w:tc>
          <w:tcPr>
            <w:tcW w:w="1131" w:type="dxa"/>
            <w:shd w:val="clear" w:color="auto" w:fill="DBE5F1" w:themeFill="accent1" w:themeFillTint="33"/>
          </w:tcPr>
          <w:p w:rsidR="008131C7" w:rsidRPr="003D13A8" w:rsidRDefault="008131C7" w:rsidP="008131C7">
            <w:pPr>
              <w:spacing w:after="0" w:line="240" w:lineRule="auto"/>
              <w:rPr>
                <w:rFonts w:ascii="Times New Roman" w:hAnsi="Times New Roman"/>
                <w:b/>
                <w:lang w:eastAsia="bg-BG"/>
              </w:rPr>
            </w:pPr>
            <w:r w:rsidRPr="003D13A8">
              <w:rPr>
                <w:rFonts w:ascii="Times New Roman" w:hAnsi="Times New Roman"/>
                <w:b/>
                <w:lang w:eastAsia="bg-BG"/>
              </w:rPr>
              <w:t>Целева стойност</w:t>
            </w:r>
          </w:p>
        </w:tc>
        <w:tc>
          <w:tcPr>
            <w:tcW w:w="1727" w:type="dxa"/>
            <w:shd w:val="clear" w:color="auto" w:fill="DBE5F1" w:themeFill="accent1" w:themeFillTint="33"/>
          </w:tcPr>
          <w:p w:rsidR="008131C7" w:rsidRPr="003D13A8" w:rsidRDefault="008131C7" w:rsidP="008131C7">
            <w:pPr>
              <w:spacing w:after="0" w:line="240" w:lineRule="auto"/>
              <w:rPr>
                <w:rFonts w:ascii="Times New Roman" w:hAnsi="Times New Roman"/>
                <w:b/>
                <w:lang w:eastAsia="bg-BG"/>
              </w:rPr>
            </w:pPr>
            <w:r w:rsidRPr="003D13A8">
              <w:rPr>
                <w:rFonts w:ascii="Times New Roman" w:hAnsi="Times New Roman"/>
                <w:b/>
                <w:lang w:eastAsia="bg-BG"/>
              </w:rPr>
              <w:t>Допълнителна информация</w:t>
            </w:r>
          </w:p>
        </w:tc>
        <w:tc>
          <w:tcPr>
            <w:tcW w:w="1727" w:type="dxa"/>
            <w:shd w:val="clear" w:color="auto" w:fill="DBE5F1" w:themeFill="accent1" w:themeFillTint="33"/>
          </w:tcPr>
          <w:p w:rsidR="008131C7" w:rsidRPr="003D13A8" w:rsidRDefault="008131C7" w:rsidP="008131C7">
            <w:pPr>
              <w:spacing w:after="0" w:line="240" w:lineRule="auto"/>
              <w:rPr>
                <w:rFonts w:ascii="Times New Roman" w:hAnsi="Times New Roman"/>
                <w:b/>
                <w:lang w:eastAsia="bg-BG"/>
              </w:rPr>
            </w:pPr>
            <w:r w:rsidRPr="003D13A8">
              <w:rPr>
                <w:rFonts w:ascii="Times New Roman" w:hAnsi="Times New Roman"/>
                <w:b/>
                <w:lang w:eastAsia="bg-BG"/>
              </w:rPr>
              <w:t>Специфични цели</w:t>
            </w:r>
          </w:p>
        </w:tc>
      </w:tr>
      <w:tr w:rsidR="008131C7" w:rsidRPr="003D13A8" w:rsidTr="008131C7">
        <w:tc>
          <w:tcPr>
            <w:tcW w:w="2578"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Популация: Брой размножителни колонии/убежища</w:t>
            </w:r>
          </w:p>
        </w:tc>
        <w:tc>
          <w:tcPr>
            <w:tcW w:w="2125" w:type="dxa"/>
          </w:tcPr>
          <w:p w:rsidR="008131C7" w:rsidRPr="003D13A8" w:rsidRDefault="008131C7" w:rsidP="008131C7">
            <w:pPr>
              <w:spacing w:after="0" w:line="240" w:lineRule="auto"/>
              <w:rPr>
                <w:rFonts w:ascii="Times New Roman" w:hAnsi="Times New Roman"/>
                <w:lang w:val="en-GB" w:eastAsia="bg-BG"/>
              </w:rPr>
            </w:pPr>
            <w:r w:rsidRPr="003D13A8">
              <w:rPr>
                <w:rFonts w:ascii="Times New Roman" w:hAnsi="Times New Roman"/>
                <w:lang w:eastAsia="bg-BG"/>
              </w:rPr>
              <w:t>Брой</w:t>
            </w:r>
          </w:p>
        </w:tc>
        <w:tc>
          <w:tcPr>
            <w:tcW w:w="1131"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1</w:t>
            </w:r>
          </w:p>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Постоянен или нарастващ</w:t>
            </w:r>
          </w:p>
        </w:tc>
        <w:tc>
          <w:tcPr>
            <w:tcW w:w="1727"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 xml:space="preserve">Площта на подходящите местообитания дава възможност за съществуване </w:t>
            </w:r>
            <w:r w:rsidRPr="003D13A8">
              <w:rPr>
                <w:rFonts w:ascii="Times New Roman" w:hAnsi="Times New Roman"/>
                <w:lang w:eastAsia="bg-BG"/>
              </w:rPr>
              <w:lastRenderedPageBreak/>
              <w:t>поне на 1 размножителни колонии. Тъй като досега размножителни колонии не са регистрирани в зоната необходимо е формулиране на междинна цел за установяване на броя на размножителните колонии в защитената зона.</w:t>
            </w:r>
          </w:p>
        </w:tc>
        <w:tc>
          <w:tcPr>
            <w:tcW w:w="1727" w:type="dxa"/>
          </w:tcPr>
          <w:p w:rsidR="008131C7" w:rsidRPr="003D13A8" w:rsidRDefault="008131C7" w:rsidP="008131C7">
            <w:pPr>
              <w:spacing w:before="120" w:after="120" w:line="240" w:lineRule="auto"/>
              <w:jc w:val="both"/>
              <w:rPr>
                <w:rFonts w:ascii="Times New Roman" w:hAnsi="Times New Roman"/>
                <w:lang w:eastAsia="bg-BG"/>
              </w:rPr>
            </w:pPr>
            <w:r w:rsidRPr="003D13A8">
              <w:rPr>
                <w:rFonts w:ascii="Times New Roman" w:hAnsi="Times New Roman"/>
                <w:lang w:eastAsia="bg-BG"/>
              </w:rPr>
              <w:lastRenderedPageBreak/>
              <w:t xml:space="preserve">Междинна цел: Да се установи броят на размножителните колонии на вида в зоната </w:t>
            </w:r>
            <w:r w:rsidRPr="003D13A8">
              <w:rPr>
                <w:rFonts w:ascii="Times New Roman" w:hAnsi="Times New Roman"/>
                <w:lang w:eastAsia="bg-BG"/>
              </w:rPr>
              <w:lastRenderedPageBreak/>
              <w:t>до 2025 г.</w:t>
            </w:r>
          </w:p>
          <w:p w:rsidR="008131C7" w:rsidRPr="003D13A8" w:rsidRDefault="008131C7" w:rsidP="008131C7">
            <w:pPr>
              <w:spacing w:after="0" w:line="240" w:lineRule="auto"/>
              <w:rPr>
                <w:rFonts w:ascii="Times New Roman" w:hAnsi="Times New Roman"/>
                <w:lang w:eastAsia="bg-BG"/>
              </w:rPr>
            </w:pPr>
          </w:p>
        </w:tc>
      </w:tr>
      <w:tr w:rsidR="008131C7" w:rsidRPr="003D13A8" w:rsidTr="008131C7">
        <w:tc>
          <w:tcPr>
            <w:tcW w:w="2578"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lastRenderedPageBreak/>
              <w:t>Популация: Брой възрастни женски в размножителна колония/убежище</w:t>
            </w:r>
          </w:p>
        </w:tc>
        <w:tc>
          <w:tcPr>
            <w:tcW w:w="2125"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Брой</w:t>
            </w:r>
          </w:p>
        </w:tc>
        <w:tc>
          <w:tcPr>
            <w:tcW w:w="1131" w:type="dxa"/>
          </w:tcPr>
          <w:p w:rsidR="008131C7" w:rsidRPr="003D13A8" w:rsidRDefault="008131C7" w:rsidP="008131C7">
            <w:pPr>
              <w:spacing w:after="0" w:line="240" w:lineRule="auto"/>
              <w:rPr>
                <w:rFonts w:ascii="Times New Roman" w:hAnsi="Times New Roman"/>
                <w:lang w:val="en-GB" w:eastAsia="bg-BG"/>
              </w:rPr>
            </w:pPr>
            <w:r w:rsidRPr="003D13A8">
              <w:rPr>
                <w:rFonts w:ascii="Times New Roman" w:hAnsi="Times New Roman"/>
                <w:lang w:eastAsia="bg-BG"/>
              </w:rPr>
              <w:t>10 Постоянен или нарастващ</w:t>
            </w:r>
          </w:p>
        </w:tc>
        <w:tc>
          <w:tcPr>
            <w:tcW w:w="1727"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Зоната предоставя възможности за размножителни колонии, главно в сгради. Стойността кореспондира със субоптимален брой женски в размножителна колония. Тъй като досега размножителни колонии не са регистрирани  в зоната необходимо е формулиране на междинна цел за установяване на размножителните колонии и броят женски в тях.</w:t>
            </w:r>
          </w:p>
        </w:tc>
        <w:tc>
          <w:tcPr>
            <w:tcW w:w="1727" w:type="dxa"/>
          </w:tcPr>
          <w:p w:rsidR="008131C7" w:rsidRPr="003D13A8" w:rsidRDefault="008131C7" w:rsidP="008131C7">
            <w:pPr>
              <w:spacing w:before="120" w:after="120" w:line="240" w:lineRule="auto"/>
              <w:jc w:val="both"/>
              <w:rPr>
                <w:rFonts w:ascii="Times New Roman" w:hAnsi="Times New Roman"/>
                <w:lang w:eastAsia="bg-BG"/>
              </w:rPr>
            </w:pPr>
            <w:r w:rsidRPr="003D13A8">
              <w:rPr>
                <w:rFonts w:ascii="Times New Roman" w:hAnsi="Times New Roman"/>
                <w:lang w:eastAsia="bg-BG"/>
              </w:rPr>
              <w:t>Междинна цел: Да се установи броят на размножителните колонии и да се определи броят женски в тях до 2025 г.</w:t>
            </w:r>
          </w:p>
          <w:p w:rsidR="008131C7" w:rsidRPr="003D13A8" w:rsidRDefault="008131C7" w:rsidP="008131C7">
            <w:pPr>
              <w:spacing w:after="0" w:line="240" w:lineRule="auto"/>
              <w:rPr>
                <w:rFonts w:ascii="Times New Roman" w:hAnsi="Times New Roman"/>
                <w:lang w:val="en-GB" w:eastAsia="bg-BG"/>
              </w:rPr>
            </w:pPr>
          </w:p>
        </w:tc>
      </w:tr>
      <w:tr w:rsidR="008131C7" w:rsidRPr="003D13A8" w:rsidTr="008131C7">
        <w:tc>
          <w:tcPr>
            <w:tcW w:w="2578"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Местообитание на вида: Площ на подходящите/хранителните местообитания на вида</w:t>
            </w:r>
          </w:p>
        </w:tc>
        <w:tc>
          <w:tcPr>
            <w:tcW w:w="2125"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val="en-GB" w:eastAsia="bg-BG"/>
              </w:rPr>
              <w:t>ha</w:t>
            </w:r>
          </w:p>
        </w:tc>
        <w:tc>
          <w:tcPr>
            <w:tcW w:w="1131"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1300</w:t>
            </w:r>
          </w:p>
        </w:tc>
        <w:tc>
          <w:tcPr>
            <w:tcW w:w="1727"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en-GB"/>
              </w:rPr>
              <w:t xml:space="preserve">В резултат от GIS анализ, основан на прилагане  на екологични критерии </w:t>
            </w:r>
            <w:r w:rsidRPr="003D13A8">
              <w:rPr>
                <w:rFonts w:ascii="Times New Roman" w:hAnsi="Times New Roman"/>
                <w:lang w:eastAsia="en-GB"/>
              </w:rPr>
              <w:lastRenderedPageBreak/>
              <w:t>площта на подходящите местообитания е  ок. 1300 ха. Според проведените пилотни изследвания в зоната състоянието им като потенциални местообитания на прилепи е добро</w:t>
            </w:r>
          </w:p>
        </w:tc>
        <w:tc>
          <w:tcPr>
            <w:tcW w:w="1727"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lastRenderedPageBreak/>
              <w:t>Поддържане на благоприятното състояние  на подходящите местообитания</w:t>
            </w:r>
          </w:p>
        </w:tc>
      </w:tr>
      <w:tr w:rsidR="008131C7" w:rsidRPr="003D13A8" w:rsidTr="008131C7">
        <w:tc>
          <w:tcPr>
            <w:tcW w:w="2578"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lastRenderedPageBreak/>
              <w:t xml:space="preserve">Заплахи и влияния: Състояние на размножителните убежища, представляващи антропогенни структури </w:t>
            </w:r>
          </w:p>
        </w:tc>
        <w:tc>
          <w:tcPr>
            <w:tcW w:w="2125"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Стабилно/нестабилно</w:t>
            </w:r>
          </w:p>
        </w:tc>
        <w:tc>
          <w:tcPr>
            <w:tcW w:w="1131"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Стабилно</w:t>
            </w:r>
          </w:p>
        </w:tc>
        <w:tc>
          <w:tcPr>
            <w:tcW w:w="1727"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 xml:space="preserve">Видът е привързан към своите размножителни убежища и редовно ги обитава. От решаващо значение за стабилността на популацията на вида в защитената зона е състоянието на антропогенни структури, които той използва като размножителни убежища. В повечето случаи това са стари и изоставени сгради, които с времето се амортизират и рушат. Необходимо е укрепването им. То следва да се извърши изключително внимателно и съгласно най-добрата европейска </w:t>
            </w:r>
            <w:r w:rsidRPr="003D13A8">
              <w:rPr>
                <w:rFonts w:ascii="Times New Roman" w:hAnsi="Times New Roman"/>
                <w:lang w:eastAsia="bg-BG"/>
              </w:rPr>
              <w:lastRenderedPageBreak/>
              <w:t>практика, за да не се наруши микроклимата в убежището и то да бъде напуснато от колонията.</w:t>
            </w:r>
          </w:p>
        </w:tc>
        <w:tc>
          <w:tcPr>
            <w:tcW w:w="1727"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lastRenderedPageBreak/>
              <w:t>Подобряване на състоянието на убежища в антропогенни структури, в случай че бъдат открити такива</w:t>
            </w:r>
          </w:p>
        </w:tc>
      </w:tr>
    </w:tbl>
    <w:p w:rsidR="008131C7" w:rsidRPr="008131C7" w:rsidRDefault="008131C7" w:rsidP="008131C7">
      <w:pPr>
        <w:spacing w:after="0" w:line="240" w:lineRule="auto"/>
        <w:rPr>
          <w:rFonts w:ascii="Times New Roman" w:hAnsi="Times New Roman"/>
          <w:sz w:val="24"/>
          <w:szCs w:val="24"/>
          <w:lang w:val="en-GB" w:eastAsia="bg-BG"/>
        </w:rPr>
      </w:pPr>
    </w:p>
    <w:p w:rsidR="008131C7" w:rsidRPr="008131C7" w:rsidRDefault="008131C7" w:rsidP="008131C7">
      <w:pPr>
        <w:spacing w:before="120" w:after="120" w:line="240" w:lineRule="auto"/>
        <w:jc w:val="both"/>
        <w:rPr>
          <w:rFonts w:ascii="Times New Roman" w:hAnsi="Times New Roman"/>
          <w:b/>
          <w:sz w:val="24"/>
          <w:szCs w:val="24"/>
          <w:lang w:val="en-GB" w:eastAsia="bg-BG"/>
        </w:rPr>
      </w:pPr>
      <w:r w:rsidRPr="008131C7">
        <w:rPr>
          <w:rFonts w:ascii="Times New Roman" w:hAnsi="Times New Roman"/>
          <w:b/>
          <w:sz w:val="24"/>
          <w:szCs w:val="24"/>
          <w:lang w:val="en-GB" w:eastAsia="bg-BG"/>
        </w:rPr>
        <w:t xml:space="preserve">7. </w:t>
      </w:r>
      <w:r w:rsidR="00D945E2">
        <w:rPr>
          <w:rFonts w:ascii="Times New Roman" w:hAnsi="Times New Roman"/>
          <w:b/>
          <w:sz w:val="24"/>
          <w:szCs w:val="24"/>
          <w:lang w:eastAsia="bg-BG"/>
        </w:rPr>
        <w:t>Необходимост от промени в СФ за защитената зона</w:t>
      </w:r>
    </w:p>
    <w:p w:rsidR="008131C7" w:rsidRPr="008131C7" w:rsidRDefault="008131C7" w:rsidP="008131C7">
      <w:pPr>
        <w:spacing w:after="0" w:line="240" w:lineRule="auto"/>
        <w:rPr>
          <w:rFonts w:ascii="Times New Roman" w:hAnsi="Times New Roman"/>
          <w:sz w:val="24"/>
          <w:szCs w:val="24"/>
          <w:lang w:eastAsia="bg-BG"/>
        </w:rPr>
      </w:pPr>
      <w:r w:rsidRPr="008131C7">
        <w:rPr>
          <w:rFonts w:ascii="Times New Roman" w:hAnsi="Times New Roman"/>
          <w:sz w:val="24"/>
          <w:szCs w:val="24"/>
          <w:lang w:eastAsia="bg-BG"/>
        </w:rPr>
        <w:t>Не се предлагат промени в Стандартния формуляр</w:t>
      </w:r>
    </w:p>
    <w:p w:rsidR="00A805FE" w:rsidRDefault="00A805FE" w:rsidP="008131C7">
      <w:pPr>
        <w:spacing w:after="0" w:line="240" w:lineRule="auto"/>
        <w:rPr>
          <w:rFonts w:ascii="Times New Roman" w:hAnsi="Times New Roman"/>
          <w:b/>
          <w:sz w:val="24"/>
          <w:szCs w:val="24"/>
          <w:lang w:eastAsia="bg-BG"/>
        </w:rPr>
      </w:pPr>
    </w:p>
    <w:p w:rsidR="008131C7" w:rsidRPr="008131C7" w:rsidRDefault="008131C7" w:rsidP="008131C7">
      <w:pPr>
        <w:spacing w:after="0" w:line="240" w:lineRule="auto"/>
        <w:rPr>
          <w:rFonts w:ascii="Times New Roman" w:hAnsi="Times New Roman"/>
          <w:b/>
          <w:sz w:val="24"/>
          <w:szCs w:val="24"/>
          <w:lang w:eastAsia="bg-BG"/>
        </w:rPr>
      </w:pPr>
      <w:r w:rsidRPr="008131C7">
        <w:rPr>
          <w:rFonts w:ascii="Times New Roman" w:hAnsi="Times New Roman"/>
          <w:b/>
          <w:sz w:val="24"/>
          <w:szCs w:val="24"/>
          <w:lang w:val="en-GB" w:eastAsia="bg-BG"/>
        </w:rPr>
        <w:t xml:space="preserve">8. </w:t>
      </w:r>
      <w:r w:rsidRPr="008131C7">
        <w:rPr>
          <w:rFonts w:ascii="Times New Roman" w:hAnsi="Times New Roman"/>
          <w:b/>
          <w:sz w:val="24"/>
          <w:szCs w:val="24"/>
          <w:lang w:eastAsia="bg-BG"/>
        </w:rPr>
        <w:t>Цитирана литература</w:t>
      </w:r>
    </w:p>
    <w:p w:rsidR="008131C7" w:rsidRPr="008131C7" w:rsidRDefault="008131C7" w:rsidP="003D13A8">
      <w:pPr>
        <w:spacing w:after="0" w:line="240" w:lineRule="auto"/>
        <w:ind w:left="709" w:hanging="709"/>
        <w:jc w:val="both"/>
        <w:rPr>
          <w:rFonts w:ascii="Times New Roman" w:hAnsi="Times New Roman"/>
          <w:color w:val="000000"/>
          <w:sz w:val="24"/>
          <w:szCs w:val="24"/>
          <w:lang w:val="en-GB" w:eastAsia="bg-BG"/>
        </w:rPr>
      </w:pPr>
      <w:r w:rsidRPr="008131C7">
        <w:rPr>
          <w:rFonts w:ascii="Times New Roman" w:hAnsi="Times New Roman"/>
          <w:color w:val="000000"/>
          <w:sz w:val="24"/>
          <w:szCs w:val="24"/>
          <w:lang w:eastAsia="bg-BG"/>
        </w:rPr>
        <w:t>Иванова</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Т., Попов</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В. 2007. Разред Прилепи (Chiroptera). с. 89 - 162. В: Попов В. и др. Бозайниците важни за опазване в България . Dutch Mammal Society. Arnhem, The Netherlands. ISBN 978 - 90 - 73162 - 93 - 8.</w:t>
      </w:r>
    </w:p>
    <w:p w:rsidR="008131C7" w:rsidRPr="008131C7" w:rsidRDefault="008131C7" w:rsidP="003D13A8">
      <w:pPr>
        <w:spacing w:after="0" w:line="240" w:lineRule="auto"/>
        <w:ind w:left="709" w:hanging="709"/>
        <w:jc w:val="both"/>
        <w:rPr>
          <w:rFonts w:ascii="Times New Roman" w:hAnsi="Times New Roman"/>
          <w:color w:val="000000"/>
          <w:sz w:val="24"/>
          <w:szCs w:val="24"/>
          <w:lang w:val="en-GB" w:eastAsia="bg-BG"/>
        </w:rPr>
      </w:pPr>
      <w:r w:rsidRPr="008131C7">
        <w:rPr>
          <w:rFonts w:ascii="Times New Roman" w:hAnsi="Times New Roman"/>
          <w:sz w:val="24"/>
          <w:szCs w:val="24"/>
          <w:lang w:eastAsia="bg-BG"/>
        </w:rPr>
        <w:t>Billington</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G. &amp; Rawlinson</w:t>
      </w:r>
      <w:r w:rsidR="00D945E2">
        <w:rPr>
          <w:rFonts w:ascii="Times New Roman" w:hAnsi="Times New Roman"/>
          <w:sz w:val="24"/>
          <w:szCs w:val="24"/>
          <w:lang w:eastAsia="bg-BG"/>
        </w:rPr>
        <w:t>,</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M.</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D</w:t>
      </w:r>
      <w:r w:rsidRPr="008131C7">
        <w:rPr>
          <w:rFonts w:ascii="Times New Roman" w:hAnsi="Times New Roman"/>
          <w:sz w:val="24"/>
          <w:szCs w:val="24"/>
          <w:lang w:val="en-GB" w:eastAsia="bg-BG"/>
        </w:rPr>
        <w:t>.</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 xml:space="preserve">2006. </w:t>
      </w:r>
      <w:r w:rsidRPr="008131C7">
        <w:rPr>
          <w:rFonts w:ascii="Times New Roman" w:hAnsi="Times New Roman"/>
          <w:sz w:val="24"/>
          <w:szCs w:val="24"/>
          <w:lang w:eastAsia="bg-BG"/>
        </w:rPr>
        <w:t xml:space="preserve"> A review of horseshoe bats flight lines and feeding areas. CCW Science Report No. 755</w:t>
      </w:r>
      <w:r w:rsidRPr="008131C7">
        <w:rPr>
          <w:rFonts w:ascii="Times New Roman" w:hAnsi="Times New Roman"/>
          <w:sz w:val="24"/>
          <w:szCs w:val="24"/>
          <w:lang w:val="en-GB" w:eastAsia="bg-BG"/>
        </w:rPr>
        <w:t xml:space="preserve"> </w:t>
      </w:r>
      <w:hyperlink r:id="rId195" w:history="1">
        <w:r w:rsidRPr="008131C7">
          <w:rPr>
            <w:rFonts w:ascii="Times New Roman" w:hAnsi="Times New Roman"/>
            <w:color w:val="0000FF"/>
            <w:sz w:val="24"/>
            <w:szCs w:val="24"/>
            <w:u w:val="single"/>
            <w:lang w:val="en-GB" w:eastAsia="bg-BG"/>
          </w:rPr>
          <w:t>http://apps.fdean.gov.uk/_Assets/docs/Allocations%20examiner/Examination%20Docs/ED010%20Matter%201%20Statements/M1-176%20Priddis%20Docs%201-19/10_A_review_of_horseshoe_bats_flights_lines_and_feeding_areas_-_CCW_Science_Report_No._755_1.pdf</w:t>
        </w:r>
      </w:hyperlink>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lang w:eastAsia="bg-BG"/>
        </w:rPr>
        <w:t xml:space="preserve">Bontadina, F. 2002. Conservation ecology in the horseshoe bats </w:t>
      </w:r>
      <w:r w:rsidRPr="008131C7">
        <w:rPr>
          <w:rFonts w:ascii="Times New Roman" w:hAnsi="Times New Roman"/>
          <w:i/>
          <w:sz w:val="24"/>
          <w:szCs w:val="24"/>
          <w:lang w:eastAsia="bg-BG"/>
        </w:rPr>
        <w:t>Rhinolophus ferrumequinum</w:t>
      </w:r>
      <w:r w:rsidRPr="008131C7">
        <w:rPr>
          <w:rFonts w:ascii="Times New Roman" w:hAnsi="Times New Roman"/>
          <w:sz w:val="24"/>
          <w:szCs w:val="24"/>
          <w:lang w:eastAsia="bg-BG"/>
        </w:rPr>
        <w:t xml:space="preserve"> and </w:t>
      </w:r>
      <w:r w:rsidRPr="008131C7">
        <w:rPr>
          <w:rFonts w:ascii="Times New Roman" w:hAnsi="Times New Roman"/>
          <w:i/>
          <w:sz w:val="24"/>
          <w:szCs w:val="24"/>
          <w:lang w:eastAsia="bg-BG"/>
        </w:rPr>
        <w:t>Rhinolophus hipposideros</w:t>
      </w:r>
      <w:r w:rsidRPr="008131C7">
        <w:rPr>
          <w:rFonts w:ascii="Times New Roman" w:hAnsi="Times New Roman"/>
          <w:sz w:val="24"/>
          <w:szCs w:val="24"/>
          <w:lang w:eastAsia="bg-BG"/>
        </w:rPr>
        <w:t xml:space="preserve">. PhD Thesis, University of Bern </w:t>
      </w:r>
      <w:hyperlink r:id="rId196" w:history="1">
        <w:r w:rsidRPr="008131C7">
          <w:rPr>
            <w:rFonts w:ascii="Times New Roman" w:hAnsi="Times New Roman"/>
            <w:sz w:val="24"/>
            <w:szCs w:val="24"/>
            <w:lang w:eastAsia="bg-BG"/>
          </w:rPr>
          <w:t>http://www.swild.ch/Bontadina/PhD/</w:t>
        </w:r>
      </w:hyperlink>
    </w:p>
    <w:p w:rsidR="008131C7" w:rsidRPr="008131C7" w:rsidRDefault="008131C7" w:rsidP="003D13A8">
      <w:pPr>
        <w:spacing w:after="0" w:line="240" w:lineRule="auto"/>
        <w:ind w:left="709" w:hanging="709"/>
        <w:jc w:val="both"/>
        <w:rPr>
          <w:rFonts w:ascii="Times New Roman" w:hAnsi="Times New Roman"/>
          <w:sz w:val="24"/>
          <w:szCs w:val="24"/>
          <w:lang w:val="en-GB" w:eastAsia="bg-BG"/>
        </w:rPr>
      </w:pPr>
      <w:r w:rsidRPr="008131C7">
        <w:rPr>
          <w:rFonts w:ascii="Times New Roman" w:hAnsi="Times New Roman"/>
          <w:sz w:val="24"/>
          <w:szCs w:val="24"/>
          <w:lang w:eastAsia="bg-BG"/>
        </w:rPr>
        <w:t>Bontadina</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F</w:t>
      </w:r>
      <w:r w:rsidRPr="008131C7">
        <w:rPr>
          <w:rFonts w:ascii="Times New Roman" w:hAnsi="Times New Roman"/>
          <w:sz w:val="24"/>
          <w:szCs w:val="24"/>
          <w:lang w:val="en-GB" w:eastAsia="bg-BG"/>
        </w:rPr>
        <w:t>.</w:t>
      </w:r>
      <w:r w:rsidRPr="008131C7">
        <w:rPr>
          <w:rFonts w:ascii="Times New Roman" w:hAnsi="Times New Roman"/>
          <w:sz w:val="24"/>
          <w:szCs w:val="24"/>
          <w:lang w:eastAsia="bg-BG"/>
        </w:rPr>
        <w:t>, S</w:t>
      </w:r>
      <w:r w:rsidRPr="008131C7">
        <w:rPr>
          <w:rFonts w:ascii="Times New Roman" w:hAnsi="Times New Roman"/>
          <w:sz w:val="24"/>
          <w:szCs w:val="24"/>
          <w:lang w:val="en-GB" w:eastAsia="bg-BG"/>
        </w:rPr>
        <w:t>.</w:t>
      </w:r>
      <w:r w:rsidRPr="008131C7">
        <w:rPr>
          <w:rFonts w:ascii="Times New Roman" w:hAnsi="Times New Roman"/>
          <w:sz w:val="24"/>
          <w:szCs w:val="24"/>
          <w:lang w:eastAsia="bg-BG"/>
        </w:rPr>
        <w:t xml:space="preserve"> Gloor, T</w:t>
      </w:r>
      <w:r w:rsidRPr="008131C7">
        <w:rPr>
          <w:rFonts w:ascii="Times New Roman" w:hAnsi="Times New Roman"/>
          <w:sz w:val="24"/>
          <w:szCs w:val="24"/>
          <w:lang w:val="en-GB" w:eastAsia="bg-BG"/>
        </w:rPr>
        <w:t>.</w:t>
      </w:r>
      <w:r w:rsidRPr="008131C7">
        <w:rPr>
          <w:rFonts w:ascii="Times New Roman" w:hAnsi="Times New Roman"/>
          <w:sz w:val="24"/>
          <w:szCs w:val="24"/>
          <w:lang w:eastAsia="bg-BG"/>
        </w:rPr>
        <w:t xml:space="preserve"> Hotz, A</w:t>
      </w:r>
      <w:r w:rsidRPr="008131C7">
        <w:rPr>
          <w:rFonts w:ascii="Times New Roman" w:hAnsi="Times New Roman"/>
          <w:sz w:val="24"/>
          <w:szCs w:val="24"/>
          <w:lang w:val="en-GB" w:eastAsia="bg-BG"/>
        </w:rPr>
        <w:t>.</w:t>
      </w:r>
      <w:r w:rsidRPr="008131C7">
        <w:rPr>
          <w:rFonts w:ascii="Times New Roman" w:hAnsi="Times New Roman"/>
          <w:sz w:val="24"/>
          <w:szCs w:val="24"/>
          <w:lang w:eastAsia="bg-BG"/>
        </w:rPr>
        <w:t xml:space="preserve"> Beck, M</w:t>
      </w:r>
      <w:r w:rsidRPr="008131C7">
        <w:rPr>
          <w:rFonts w:ascii="Times New Roman" w:hAnsi="Times New Roman"/>
          <w:sz w:val="24"/>
          <w:szCs w:val="24"/>
          <w:lang w:val="en-GB" w:eastAsia="bg-BG"/>
        </w:rPr>
        <w:t>.</w:t>
      </w:r>
      <w:r w:rsidRPr="008131C7">
        <w:rPr>
          <w:rFonts w:ascii="Times New Roman" w:hAnsi="Times New Roman"/>
          <w:sz w:val="24"/>
          <w:szCs w:val="24"/>
          <w:lang w:eastAsia="bg-BG"/>
        </w:rPr>
        <w:t xml:space="preserve"> Lutz, E</w:t>
      </w:r>
      <w:r w:rsidRPr="008131C7">
        <w:rPr>
          <w:rFonts w:ascii="Times New Roman" w:hAnsi="Times New Roman"/>
          <w:sz w:val="24"/>
          <w:szCs w:val="24"/>
          <w:lang w:val="en-GB" w:eastAsia="bg-BG"/>
        </w:rPr>
        <w:t>.</w:t>
      </w:r>
      <w:r w:rsidRPr="008131C7">
        <w:rPr>
          <w:rFonts w:ascii="Times New Roman" w:hAnsi="Times New Roman"/>
          <w:sz w:val="24"/>
          <w:szCs w:val="24"/>
          <w:lang w:eastAsia="bg-BG"/>
        </w:rPr>
        <w:t xml:space="preserve"> Mühlethaler</w:t>
      </w:r>
      <w:r w:rsidRPr="008131C7">
        <w:rPr>
          <w:rFonts w:ascii="Times New Roman" w:hAnsi="Times New Roman"/>
          <w:sz w:val="24"/>
          <w:szCs w:val="24"/>
          <w:lang w:val="en-GB" w:eastAsia="bg-BG"/>
        </w:rPr>
        <w:t>. 2002.</w:t>
      </w:r>
      <w:r w:rsidRPr="008131C7">
        <w:rPr>
          <w:rFonts w:ascii="Times New Roman" w:hAnsi="Times New Roman"/>
          <w:sz w:val="24"/>
          <w:szCs w:val="24"/>
          <w:lang w:eastAsia="bg-BG"/>
        </w:rPr>
        <w:t xml:space="preserve"> Foraging range use by a colony of greater horseshoe bats </w:t>
      </w:r>
      <w:r w:rsidRPr="008131C7">
        <w:rPr>
          <w:rFonts w:ascii="Times New Roman" w:hAnsi="Times New Roman"/>
          <w:i/>
          <w:sz w:val="24"/>
          <w:szCs w:val="24"/>
          <w:lang w:eastAsia="bg-BG"/>
        </w:rPr>
        <w:t>Rhinolophus ferrumequinum</w:t>
      </w:r>
      <w:r w:rsidRPr="008131C7">
        <w:rPr>
          <w:rFonts w:ascii="Times New Roman" w:hAnsi="Times New Roman"/>
          <w:sz w:val="24"/>
          <w:szCs w:val="24"/>
          <w:lang w:eastAsia="bg-BG"/>
        </w:rPr>
        <w:t xml:space="preserve"> in the Swiss Alps: implications for landscape planning. Available from: </w:t>
      </w:r>
      <w:hyperlink r:id="rId197" w:history="1">
        <w:r w:rsidRPr="008131C7">
          <w:rPr>
            <w:rFonts w:ascii="Times New Roman" w:hAnsi="Times New Roman"/>
            <w:color w:val="0000FF"/>
            <w:sz w:val="24"/>
            <w:szCs w:val="24"/>
            <w:u w:val="single"/>
            <w:lang w:eastAsia="bg-BG"/>
          </w:rPr>
          <w:t>https://www.researchgate.net/publication/237563495_Foraging_range_use_by_a_colony_of_greater_horseshoe_bats_Rhinolophus_ferrumequinum_in_the_Swiss_Alps_implications_for_landscape_planning</w:t>
        </w:r>
      </w:hyperlink>
      <w:r w:rsidRPr="008131C7">
        <w:rPr>
          <w:rFonts w:ascii="Times New Roman" w:hAnsi="Times New Roman"/>
          <w:sz w:val="24"/>
          <w:szCs w:val="24"/>
          <w:lang w:eastAsia="bg-BG"/>
        </w:rPr>
        <w:t xml:space="preserve"> [accessed Oct 16 2021].</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shd w:val="clear" w:color="auto" w:fill="FFFFFF"/>
          <w:lang w:eastAsia="bg-BG"/>
        </w:rPr>
        <w:t>Popov, V. 2018. Bats in Bulgaria: Patterns of Species Distribution, Richness, Rarity, and Vulnerability Derived from Distribution Models</w:t>
      </w:r>
      <w:r w:rsidRPr="008131C7">
        <w:rPr>
          <w:rFonts w:ascii="Times New Roman" w:hAnsi="Times New Roman"/>
          <w:sz w:val="24"/>
          <w:szCs w:val="24"/>
          <w:shd w:val="clear" w:color="auto" w:fill="FFFFFF"/>
          <w:lang w:val="en-GB" w:eastAsia="bg-BG"/>
        </w:rPr>
        <w:t>.  pp. 751 - 854. In: H. Mikkola (ed.). Bats</w:t>
      </w:r>
      <w:r w:rsidRPr="008131C7">
        <w:rPr>
          <w:rFonts w:ascii="Times New Roman" w:hAnsi="Times New Roman"/>
          <w:sz w:val="24"/>
          <w:szCs w:val="24"/>
          <w:shd w:val="clear" w:color="auto" w:fill="FFFFFF"/>
          <w:lang w:eastAsia="bg-BG"/>
        </w:rPr>
        <w:t>.http://dx.doi.org/10.5772/intechopen.73623</w:t>
      </w:r>
    </w:p>
    <w:p w:rsidR="008131C7" w:rsidRPr="008131C7" w:rsidRDefault="008131C7" w:rsidP="003D13A8">
      <w:pPr>
        <w:spacing w:after="0" w:line="240" w:lineRule="auto"/>
        <w:ind w:left="709" w:hanging="709"/>
        <w:jc w:val="both"/>
        <w:rPr>
          <w:rFonts w:ascii="Times New Roman" w:hAnsi="Times New Roman"/>
          <w:sz w:val="24"/>
          <w:szCs w:val="24"/>
          <w:lang w:val="en-GB" w:eastAsia="bg-BG"/>
        </w:rPr>
      </w:pPr>
      <w:r w:rsidRPr="008131C7">
        <w:rPr>
          <w:rFonts w:ascii="Times New Roman" w:hAnsi="Times New Roman"/>
          <w:color w:val="000000"/>
          <w:sz w:val="24"/>
          <w:szCs w:val="24"/>
          <w:lang w:eastAsia="bg-BG"/>
        </w:rPr>
        <w:t xml:space="preserve">Ransome, R .D.  1996. The management of feeding areas for greater horseshoe bats. </w:t>
      </w:r>
      <w:r w:rsidRPr="008131C7">
        <w:rPr>
          <w:rFonts w:ascii="Times New Roman" w:hAnsi="Times New Roman"/>
          <w:i/>
          <w:iCs/>
          <w:color w:val="000000"/>
          <w:sz w:val="24"/>
          <w:szCs w:val="24"/>
          <w:lang w:eastAsia="bg-BG"/>
        </w:rPr>
        <w:t>English</w:t>
      </w:r>
      <w:r w:rsidRPr="008131C7">
        <w:rPr>
          <w:rFonts w:ascii="Times New Roman" w:hAnsi="Times New Roman"/>
          <w:color w:val="000000"/>
          <w:sz w:val="24"/>
          <w:szCs w:val="24"/>
          <w:lang w:eastAsia="bg-BG"/>
        </w:rPr>
        <w:br/>
      </w:r>
      <w:r w:rsidRPr="008131C7">
        <w:rPr>
          <w:rFonts w:ascii="Times New Roman" w:hAnsi="Times New Roman"/>
          <w:i/>
          <w:iCs/>
          <w:color w:val="000000"/>
          <w:sz w:val="24"/>
          <w:szCs w:val="24"/>
          <w:lang w:eastAsia="bg-BG"/>
        </w:rPr>
        <w:t xml:space="preserve">Nature Research Report </w:t>
      </w:r>
      <w:r w:rsidRPr="008131C7">
        <w:rPr>
          <w:rFonts w:ascii="Times New Roman" w:hAnsi="Times New Roman"/>
          <w:b/>
          <w:bCs/>
          <w:color w:val="000000"/>
          <w:sz w:val="24"/>
          <w:szCs w:val="24"/>
          <w:lang w:eastAsia="bg-BG"/>
        </w:rPr>
        <w:t>No. 174</w:t>
      </w:r>
      <w:r w:rsidRPr="008131C7">
        <w:rPr>
          <w:rFonts w:ascii="Times New Roman" w:hAnsi="Times New Roman"/>
          <w:color w:val="000000"/>
          <w:sz w:val="24"/>
          <w:szCs w:val="24"/>
          <w:lang w:eastAsia="bg-BG"/>
        </w:rPr>
        <w:t>: 1 – 74.</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lang w:eastAsia="bg-BG"/>
        </w:rPr>
        <w:t xml:space="preserve">Schober, W., Grimmberger, E., 1997. The Bats of Europe and North America. T.F.H. Publications, Neptune </w:t>
      </w:r>
    </w:p>
    <w:p w:rsidR="008131C7" w:rsidRPr="008131C7" w:rsidRDefault="008131C7" w:rsidP="008131C7">
      <w:pPr>
        <w:spacing w:after="0" w:line="240" w:lineRule="auto"/>
        <w:rPr>
          <w:rFonts w:ascii="Times New Roman" w:hAnsi="Times New Roman"/>
          <w:color w:val="000000"/>
          <w:sz w:val="24"/>
          <w:szCs w:val="24"/>
          <w:lang w:eastAsia="bg-BG"/>
        </w:rPr>
      </w:pPr>
    </w:p>
    <w:p w:rsidR="008131C7" w:rsidRPr="008131C7" w:rsidRDefault="008131C7" w:rsidP="008131C7">
      <w:pPr>
        <w:spacing w:before="120" w:after="120" w:line="240" w:lineRule="auto"/>
        <w:rPr>
          <w:rFonts w:ascii="Times New Roman" w:hAnsi="Times New Roman"/>
          <w:sz w:val="24"/>
          <w:szCs w:val="24"/>
          <w:lang w:eastAsia="bg-BG"/>
        </w:rPr>
      </w:pPr>
      <w:r w:rsidRPr="008131C7">
        <w:rPr>
          <w:rFonts w:ascii="Times New Roman" w:hAnsi="Times New Roman"/>
          <w:i/>
          <w:sz w:val="24"/>
          <w:szCs w:val="24"/>
          <w:lang w:eastAsia="bg-BG"/>
        </w:rPr>
        <w:t>Автори</w:t>
      </w:r>
      <w:r w:rsidRPr="008131C7">
        <w:rPr>
          <w:rFonts w:ascii="Times New Roman" w:hAnsi="Times New Roman"/>
          <w:sz w:val="24"/>
          <w:szCs w:val="24"/>
          <w:lang w:eastAsia="bg-BG"/>
        </w:rPr>
        <w:t>: Васил Попов, Вълко Бисерков</w:t>
      </w:r>
    </w:p>
    <w:p w:rsidR="008131C7" w:rsidRDefault="008131C7" w:rsidP="001033EC">
      <w:pPr>
        <w:rPr>
          <w:rFonts w:ascii="Times New Roman" w:hAnsi="Times New Roman"/>
          <w:color w:val="1F497D" w:themeColor="text2"/>
          <w:sz w:val="28"/>
          <w:szCs w:val="28"/>
        </w:rPr>
      </w:pPr>
    </w:p>
    <w:p w:rsidR="008131C7" w:rsidRPr="008131C7" w:rsidRDefault="00107719" w:rsidP="003A4F26">
      <w:pPr>
        <w:outlineLvl w:val="1"/>
        <w:rPr>
          <w:rFonts w:ascii="Times New Roman" w:hAnsi="Times New Roman"/>
          <w:i/>
          <w:iCs/>
          <w:color w:val="1F497D" w:themeColor="text2"/>
          <w:sz w:val="28"/>
          <w:szCs w:val="28"/>
          <w:lang w:eastAsia="bg-BG"/>
        </w:rPr>
      </w:pPr>
      <w:bookmarkStart w:id="90" w:name="_Toc98838566"/>
      <w:r w:rsidRPr="008131C7">
        <w:rPr>
          <w:rFonts w:ascii="Times New Roman" w:hAnsi="Times New Roman"/>
          <w:color w:val="1F497D" w:themeColor="text2"/>
          <w:sz w:val="28"/>
          <w:szCs w:val="28"/>
        </w:rPr>
        <w:t>Пр</w:t>
      </w:r>
      <w:r w:rsidR="008131C7" w:rsidRPr="008131C7">
        <w:rPr>
          <w:rFonts w:ascii="Times New Roman" w:hAnsi="Times New Roman"/>
          <w:color w:val="1F497D" w:themeColor="text2"/>
          <w:sz w:val="28"/>
          <w:szCs w:val="28"/>
          <w:lang w:eastAsia="bg-BG"/>
        </w:rPr>
        <w:t xml:space="preserve">иродозащитни цели за </w:t>
      </w:r>
      <w:r w:rsidR="008131C7" w:rsidRPr="008131C7">
        <w:rPr>
          <w:rFonts w:ascii="Times New Roman" w:hAnsi="Times New Roman"/>
          <w:color w:val="1F497D" w:themeColor="text2"/>
          <w:sz w:val="28"/>
          <w:szCs w:val="28"/>
          <w:lang w:val="en-US" w:eastAsia="bg-BG"/>
        </w:rPr>
        <w:t xml:space="preserve">1303 </w:t>
      </w:r>
      <w:r w:rsidR="008131C7" w:rsidRPr="008131C7">
        <w:rPr>
          <w:rFonts w:ascii="Times New Roman" w:hAnsi="Times New Roman"/>
          <w:i/>
          <w:iCs/>
          <w:color w:val="1F497D" w:themeColor="text2"/>
          <w:sz w:val="28"/>
          <w:szCs w:val="28"/>
          <w:lang w:eastAsia="bg-BG"/>
        </w:rPr>
        <w:t>Rhinolophus hipposideros</w:t>
      </w:r>
      <w:bookmarkEnd w:id="90"/>
    </w:p>
    <w:p w:rsidR="008131C7" w:rsidRPr="008131C7" w:rsidRDefault="008131C7" w:rsidP="008131C7">
      <w:pPr>
        <w:rPr>
          <w:rFonts w:ascii="Times New Roman" w:hAnsi="Times New Roman"/>
          <w:b/>
          <w:sz w:val="24"/>
          <w:szCs w:val="24"/>
          <w:lang w:eastAsia="bg-BG"/>
        </w:rPr>
      </w:pPr>
      <w:r>
        <w:rPr>
          <w:rFonts w:ascii="Times New Roman" w:hAnsi="Times New Roman"/>
          <w:iCs/>
          <w:color w:val="000000"/>
          <w:sz w:val="24"/>
          <w:szCs w:val="24"/>
          <w:lang w:eastAsia="bg-BG"/>
        </w:rPr>
        <w:t>1.</w:t>
      </w:r>
      <w:r w:rsidRPr="008131C7">
        <w:rPr>
          <w:rFonts w:ascii="Times New Roman" w:hAnsi="Times New Roman"/>
          <w:b/>
          <w:sz w:val="24"/>
          <w:szCs w:val="24"/>
          <w:lang w:eastAsia="bg-BG"/>
        </w:rPr>
        <w:t>. Код и наименование на вида</w:t>
      </w:r>
      <w:r>
        <w:rPr>
          <w:rFonts w:ascii="Times New Roman" w:hAnsi="Times New Roman"/>
          <w:b/>
          <w:sz w:val="24"/>
          <w:szCs w:val="24"/>
          <w:lang w:eastAsia="bg-BG"/>
        </w:rPr>
        <w:t xml:space="preserve">: </w:t>
      </w:r>
      <w:r w:rsidRPr="008131C7">
        <w:rPr>
          <w:rFonts w:ascii="Times New Roman" w:hAnsi="Times New Roman"/>
          <w:sz w:val="24"/>
          <w:szCs w:val="24"/>
          <w:lang w:val="en-US" w:eastAsia="bg-BG"/>
        </w:rPr>
        <w:t xml:space="preserve">1303 </w:t>
      </w:r>
      <w:r w:rsidRPr="008131C7">
        <w:rPr>
          <w:rFonts w:ascii="Times New Roman" w:hAnsi="Times New Roman"/>
          <w:i/>
          <w:iCs/>
          <w:color w:val="000000"/>
          <w:sz w:val="24"/>
          <w:szCs w:val="24"/>
          <w:lang w:eastAsia="bg-BG"/>
        </w:rPr>
        <w:t xml:space="preserve">Rhinolophus hipposideros </w:t>
      </w:r>
      <w:r w:rsidRPr="008131C7">
        <w:rPr>
          <w:rFonts w:ascii="Times New Roman" w:hAnsi="Times New Roman"/>
          <w:color w:val="000000"/>
          <w:sz w:val="24"/>
          <w:szCs w:val="24"/>
          <w:lang w:eastAsia="bg-BG"/>
        </w:rPr>
        <w:t>(Bechstein, 1800)</w:t>
      </w:r>
      <w:r w:rsidRPr="008131C7">
        <w:rPr>
          <w:rFonts w:ascii="Times New Roman" w:hAnsi="Times New Roman"/>
          <w:color w:val="000000"/>
          <w:sz w:val="24"/>
          <w:szCs w:val="24"/>
          <w:lang w:val="en-GB" w:eastAsia="bg-BG"/>
        </w:rPr>
        <w:t xml:space="preserve"> -</w:t>
      </w:r>
      <w:r w:rsidRPr="008131C7">
        <w:rPr>
          <w:rFonts w:ascii="Times New Roman" w:hAnsi="Times New Roman"/>
          <w:bCs/>
          <w:color w:val="000000"/>
          <w:sz w:val="24"/>
          <w:szCs w:val="24"/>
          <w:lang w:eastAsia="bg-BG"/>
        </w:rPr>
        <w:t xml:space="preserve"> Малък подковоно</w:t>
      </w:r>
    </w:p>
    <w:p w:rsidR="008131C7" w:rsidRPr="008131C7" w:rsidRDefault="008131C7" w:rsidP="008131C7">
      <w:pPr>
        <w:spacing w:before="120" w:after="120" w:line="240" w:lineRule="auto"/>
        <w:jc w:val="both"/>
        <w:rPr>
          <w:rFonts w:ascii="Times New Roman" w:hAnsi="Times New Roman"/>
          <w:b/>
          <w:bCs/>
          <w:sz w:val="24"/>
          <w:szCs w:val="24"/>
          <w:lang w:eastAsia="bg-BG"/>
        </w:rPr>
      </w:pPr>
      <w:r w:rsidRPr="008131C7">
        <w:rPr>
          <w:rFonts w:ascii="Times New Roman" w:hAnsi="Times New Roman"/>
          <w:b/>
          <w:bCs/>
          <w:sz w:val="24"/>
          <w:szCs w:val="24"/>
          <w:lang w:eastAsia="bg-BG"/>
        </w:rPr>
        <w:t xml:space="preserve">2. Кратка характеристика </w:t>
      </w:r>
      <w:r w:rsidR="00A805FE">
        <w:rPr>
          <w:rFonts w:ascii="Times New Roman" w:hAnsi="Times New Roman"/>
          <w:b/>
          <w:bCs/>
          <w:sz w:val="24"/>
          <w:szCs w:val="24"/>
          <w:lang w:eastAsia="bg-BG"/>
        </w:rPr>
        <w:t>на целевия обект</w:t>
      </w:r>
    </w:p>
    <w:p w:rsidR="008131C7" w:rsidRPr="008131C7" w:rsidRDefault="008131C7" w:rsidP="003D13A8">
      <w:pPr>
        <w:spacing w:after="0" w:line="240" w:lineRule="auto"/>
        <w:ind w:firstLine="709"/>
        <w:jc w:val="both"/>
        <w:rPr>
          <w:rFonts w:ascii="Times New Roman" w:eastAsia="Calibri" w:hAnsi="Times New Roman"/>
          <w:sz w:val="24"/>
          <w:szCs w:val="24"/>
          <w:lang w:val="en-GB" w:eastAsia="bg-BG"/>
        </w:rPr>
      </w:pPr>
      <w:r w:rsidRPr="008131C7">
        <w:rPr>
          <w:rFonts w:ascii="Times New Roman" w:hAnsi="Times New Roman"/>
          <w:sz w:val="24"/>
          <w:szCs w:val="24"/>
          <w:lang w:eastAsia="bg-BG"/>
        </w:rPr>
        <w:lastRenderedPageBreak/>
        <w:t xml:space="preserve">Малкият подковонос </w:t>
      </w:r>
      <w:r w:rsidRPr="008131C7">
        <w:rPr>
          <w:rFonts w:ascii="Times New Roman" w:eastAsia="Calibri" w:hAnsi="Times New Roman"/>
          <w:sz w:val="24"/>
          <w:szCs w:val="24"/>
          <w:lang w:eastAsia="bg-BG"/>
        </w:rPr>
        <w:t xml:space="preserve">е най-дребният от европейските подковоноси и един от най-дребните прилепи в Европа. Израстъкът на седлото е нисък, широко заоблен. Ухото, наведено напред, надминава върха на носа с около 5 mm. Антитрагусният дял е по-тесен, отколкото висок, достигащ по-високо от половината на ухото, горният му ръб е кос. Първата фаланга на четвъртия пръст е малко по-дълга от половината на втората. Окраската на тялото е сходна с тази при </w:t>
      </w:r>
      <w:r w:rsidRPr="008131C7">
        <w:rPr>
          <w:rFonts w:ascii="Times New Roman" w:eastAsia="Calibri" w:hAnsi="Times New Roman"/>
          <w:i/>
          <w:iCs/>
          <w:sz w:val="24"/>
          <w:szCs w:val="24"/>
          <w:lang w:eastAsia="bg-BG"/>
        </w:rPr>
        <w:t>Rhinolophus</w:t>
      </w:r>
      <w:r w:rsidRPr="008131C7" w:rsidDel="006F574A">
        <w:rPr>
          <w:rFonts w:ascii="Times New Roman" w:eastAsia="Calibri" w:hAnsi="Times New Roman"/>
          <w:i/>
          <w:iCs/>
          <w:sz w:val="24"/>
          <w:szCs w:val="24"/>
          <w:lang w:eastAsia="bg-BG"/>
        </w:rPr>
        <w:t xml:space="preserve"> </w:t>
      </w:r>
      <w:r w:rsidRPr="008131C7">
        <w:rPr>
          <w:rFonts w:ascii="Times New Roman" w:eastAsia="Calibri" w:hAnsi="Times New Roman"/>
          <w:i/>
          <w:iCs/>
          <w:sz w:val="24"/>
          <w:szCs w:val="24"/>
          <w:lang w:eastAsia="bg-BG"/>
        </w:rPr>
        <w:t>ferrumequinum</w:t>
      </w:r>
      <w:r w:rsidRPr="008131C7">
        <w:rPr>
          <w:rFonts w:ascii="Times New Roman" w:eastAsia="Calibri" w:hAnsi="Times New Roman"/>
          <w:sz w:val="24"/>
          <w:szCs w:val="24"/>
          <w:lang w:eastAsia="bg-BG"/>
        </w:rPr>
        <w:t xml:space="preserve">. </w:t>
      </w:r>
    </w:p>
    <w:p w:rsidR="008131C7" w:rsidRPr="008131C7" w:rsidRDefault="008131C7" w:rsidP="003D13A8">
      <w:pPr>
        <w:spacing w:after="0" w:line="240" w:lineRule="auto"/>
        <w:ind w:firstLine="709"/>
        <w:jc w:val="both"/>
        <w:rPr>
          <w:rFonts w:ascii="Times New Roman" w:eastAsia="Calibri" w:hAnsi="Times New Roman"/>
          <w:sz w:val="24"/>
          <w:szCs w:val="24"/>
          <w:lang w:eastAsia="bg-BG"/>
        </w:rPr>
      </w:pPr>
      <w:r w:rsidRPr="008131C7">
        <w:rPr>
          <w:rFonts w:ascii="Times New Roman" w:hAnsi="Times New Roman"/>
          <w:sz w:val="24"/>
          <w:szCs w:val="24"/>
          <w:lang w:eastAsia="bg-BG"/>
        </w:rPr>
        <w:t xml:space="preserve">Храни </w:t>
      </w:r>
      <w:r w:rsidRPr="008131C7">
        <w:rPr>
          <w:rFonts w:ascii="Times New Roman" w:hAnsi="Times New Roman"/>
          <w:sz w:val="24"/>
          <w:szCs w:val="24"/>
          <w:lang w:val="en-GB" w:eastAsia="bg-BG"/>
        </w:rPr>
        <w:t xml:space="preserve">се </w:t>
      </w:r>
      <w:r w:rsidRPr="008131C7">
        <w:rPr>
          <w:rFonts w:ascii="Times New Roman" w:hAnsi="Times New Roman"/>
          <w:sz w:val="24"/>
          <w:szCs w:val="24"/>
          <w:lang w:eastAsia="bg-BG"/>
        </w:rPr>
        <w:t>най-често с дребни насекоми от разред Двукрили (</w:t>
      </w:r>
      <w:r w:rsidRPr="008131C7">
        <w:rPr>
          <w:rFonts w:ascii="Times New Roman" w:hAnsi="Times New Roman"/>
          <w:i/>
          <w:iCs/>
          <w:sz w:val="24"/>
          <w:szCs w:val="24"/>
          <w:lang w:eastAsia="bg-BG"/>
        </w:rPr>
        <w:t>Diptera</w:t>
      </w:r>
      <w:r w:rsidRPr="008131C7">
        <w:rPr>
          <w:rFonts w:ascii="Times New Roman" w:hAnsi="Times New Roman"/>
          <w:sz w:val="24"/>
          <w:szCs w:val="24"/>
          <w:lang w:eastAsia="bg-BG"/>
        </w:rPr>
        <w:t>), Пеперуди (</w:t>
      </w:r>
      <w:r w:rsidRPr="008131C7">
        <w:rPr>
          <w:rFonts w:ascii="Times New Roman" w:hAnsi="Times New Roman"/>
          <w:i/>
          <w:iCs/>
          <w:sz w:val="24"/>
          <w:szCs w:val="24"/>
          <w:lang w:eastAsia="bg-BG"/>
        </w:rPr>
        <w:t>Lepidoptera, Nematocera</w:t>
      </w:r>
      <w:r w:rsidRPr="008131C7">
        <w:rPr>
          <w:rFonts w:ascii="Times New Roman" w:hAnsi="Times New Roman"/>
          <w:sz w:val="24"/>
          <w:szCs w:val="24"/>
          <w:lang w:eastAsia="bg-BG"/>
        </w:rPr>
        <w:t>), Мрежокрили (</w:t>
      </w:r>
      <w:r w:rsidRPr="008131C7">
        <w:rPr>
          <w:rFonts w:ascii="Times New Roman" w:hAnsi="Times New Roman"/>
          <w:i/>
          <w:iCs/>
          <w:sz w:val="24"/>
          <w:szCs w:val="24"/>
          <w:lang w:eastAsia="bg-BG"/>
        </w:rPr>
        <w:t>Neuroptera</w:t>
      </w:r>
      <w:r w:rsidRPr="008131C7">
        <w:rPr>
          <w:rFonts w:ascii="Times New Roman" w:hAnsi="Times New Roman"/>
          <w:sz w:val="24"/>
          <w:szCs w:val="24"/>
          <w:lang w:eastAsia="bg-BG"/>
        </w:rPr>
        <w:t xml:space="preserve">). </w:t>
      </w:r>
      <w:r w:rsidRPr="008131C7">
        <w:rPr>
          <w:rFonts w:ascii="Times New Roman" w:eastAsia="Calibri" w:hAnsi="Times New Roman"/>
          <w:sz w:val="24"/>
          <w:szCs w:val="24"/>
          <w:lang w:eastAsia="bg-BG"/>
        </w:rPr>
        <w:t xml:space="preserve">Повечето от тях са нощни, бавно и ниско летящи. </w:t>
      </w:r>
      <w:r w:rsidRPr="008131C7">
        <w:rPr>
          <w:rFonts w:ascii="Times New Roman" w:hAnsi="Times New Roman"/>
          <w:sz w:val="24"/>
          <w:szCs w:val="24"/>
          <w:lang w:eastAsia="bg-BG"/>
        </w:rPr>
        <w:t xml:space="preserve">Лови ги в полет, но може да ги събира и от листа или от земната повърхност. В състава на храната се наблюдават значими сезонни вариации. </w:t>
      </w:r>
      <w:r w:rsidRPr="008131C7">
        <w:rPr>
          <w:rFonts w:ascii="Times New Roman" w:eastAsia="Calibri" w:hAnsi="Times New Roman"/>
          <w:sz w:val="24"/>
          <w:szCs w:val="24"/>
          <w:lang w:eastAsia="bg-BG"/>
        </w:rPr>
        <w:t>Храненето е неселективно (</w:t>
      </w:r>
      <w:bookmarkStart w:id="91" w:name="_Hlk76384225"/>
      <w:r w:rsidRPr="008131C7">
        <w:rPr>
          <w:rFonts w:ascii="Times New Roman" w:hAnsi="Times New Roman"/>
          <w:sz w:val="24"/>
          <w:szCs w:val="24"/>
          <w:lang w:eastAsia="bg-BG"/>
        </w:rPr>
        <w:t>McAney &amp; Fairley, 1989</w:t>
      </w:r>
      <w:bookmarkEnd w:id="91"/>
      <w:r w:rsidRPr="008131C7">
        <w:rPr>
          <w:rFonts w:ascii="Times New Roman" w:hAnsi="Times New Roman"/>
          <w:sz w:val="24"/>
          <w:szCs w:val="24"/>
          <w:lang w:eastAsia="bg-BG"/>
        </w:rPr>
        <w:t>)</w:t>
      </w:r>
    </w:p>
    <w:p w:rsidR="008131C7" w:rsidRPr="008131C7" w:rsidRDefault="008131C7" w:rsidP="003D13A8">
      <w:pPr>
        <w:spacing w:after="0" w:line="240" w:lineRule="auto"/>
        <w:ind w:firstLine="709"/>
        <w:jc w:val="both"/>
        <w:rPr>
          <w:rFonts w:ascii="Times New Roman" w:eastAsia="Calibri" w:hAnsi="Times New Roman"/>
          <w:sz w:val="24"/>
          <w:szCs w:val="24"/>
          <w:lang w:eastAsia="bg-BG"/>
        </w:rPr>
      </w:pPr>
      <w:r w:rsidRPr="008131C7">
        <w:rPr>
          <w:rFonts w:ascii="Times New Roman" w:eastAsia="Calibri" w:hAnsi="Times New Roman"/>
          <w:sz w:val="24"/>
          <w:szCs w:val="24"/>
          <w:lang w:eastAsia="bg-BG"/>
        </w:rPr>
        <w:t xml:space="preserve">Формира размножителни колонии през май - юни в </w:t>
      </w:r>
      <w:r w:rsidRPr="008131C7">
        <w:rPr>
          <w:rFonts w:ascii="Times New Roman" w:hAnsi="Times New Roman"/>
          <w:sz w:val="24"/>
          <w:szCs w:val="24"/>
          <w:lang w:eastAsia="bg-BG"/>
        </w:rPr>
        <w:t xml:space="preserve">топли тавани, мазета на жилищни постройки, малки пещери, по-рядко в скални цепки. </w:t>
      </w:r>
      <w:r w:rsidRPr="008131C7">
        <w:rPr>
          <w:rFonts w:ascii="Times New Roman" w:eastAsia="Calibri" w:hAnsi="Times New Roman"/>
          <w:sz w:val="24"/>
          <w:szCs w:val="24"/>
          <w:lang w:eastAsia="bg-BG"/>
        </w:rPr>
        <w:t xml:space="preserve">Женските раждат по едно малко между средата на юни и юли </w:t>
      </w:r>
      <w:r w:rsidRPr="008131C7">
        <w:rPr>
          <w:rFonts w:ascii="Times New Roman" w:hAnsi="Times New Roman"/>
          <w:sz w:val="24"/>
          <w:szCs w:val="24"/>
          <w:lang w:eastAsia="bg-BG"/>
        </w:rPr>
        <w:t>(</w:t>
      </w:r>
      <w:r w:rsidRPr="008131C7">
        <w:rPr>
          <w:rFonts w:ascii="Times New Roman" w:eastAsia="Calibri" w:hAnsi="Times New Roman"/>
          <w:sz w:val="24"/>
          <w:szCs w:val="24"/>
          <w:lang w:eastAsia="bg-BG"/>
        </w:rPr>
        <w:t xml:space="preserve">Gaiser, 1965). </w:t>
      </w:r>
    </w:p>
    <w:p w:rsidR="008131C7" w:rsidRP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hAnsi="Times New Roman"/>
          <w:color w:val="000000"/>
          <w:sz w:val="24"/>
          <w:szCs w:val="24"/>
          <w:lang w:eastAsia="bg-BG"/>
        </w:rPr>
        <w:t>Х</w:t>
      </w:r>
      <w:r w:rsidRPr="008131C7">
        <w:rPr>
          <w:rFonts w:ascii="Times New Roman" w:hAnsi="Times New Roman"/>
          <w:color w:val="000000"/>
          <w:sz w:val="24"/>
          <w:szCs w:val="24"/>
          <w:lang w:val="en-GB" w:eastAsia="bg-BG"/>
        </w:rPr>
        <w:t>ран</w:t>
      </w:r>
      <w:r w:rsidRPr="008131C7">
        <w:rPr>
          <w:rFonts w:ascii="Times New Roman" w:hAnsi="Times New Roman"/>
          <w:color w:val="000000"/>
          <w:sz w:val="24"/>
          <w:szCs w:val="24"/>
          <w:lang w:eastAsia="bg-BG"/>
        </w:rPr>
        <w:t>и се</w:t>
      </w:r>
      <w:r w:rsidRPr="008131C7">
        <w:rPr>
          <w:rFonts w:ascii="Times New Roman" w:hAnsi="Times New Roman"/>
          <w:color w:val="000000"/>
          <w:sz w:val="24"/>
          <w:szCs w:val="24"/>
          <w:lang w:val="en-GB" w:eastAsia="bg-BG"/>
        </w:rPr>
        <w:t xml:space="preserve"> предимно в гъстr широколистн</w:t>
      </w:r>
      <w:r w:rsidRPr="008131C7">
        <w:rPr>
          <w:rFonts w:ascii="Times New Roman" w:hAnsi="Times New Roman"/>
          <w:color w:val="000000"/>
          <w:sz w:val="24"/>
          <w:szCs w:val="24"/>
          <w:lang w:eastAsia="bg-BG"/>
        </w:rPr>
        <w:t>и</w:t>
      </w:r>
      <w:r w:rsidRPr="008131C7">
        <w:rPr>
          <w:rFonts w:ascii="Times New Roman" w:hAnsi="Times New Roman"/>
          <w:color w:val="000000"/>
          <w:sz w:val="24"/>
          <w:szCs w:val="24"/>
          <w:lang w:val="en-GB" w:eastAsia="bg-BG"/>
        </w:rPr>
        <w:t xml:space="preserve"> гор</w:t>
      </w:r>
      <w:r w:rsidRPr="008131C7">
        <w:rPr>
          <w:rFonts w:ascii="Times New Roman" w:hAnsi="Times New Roman"/>
          <w:color w:val="000000"/>
          <w:sz w:val="24"/>
          <w:szCs w:val="24"/>
          <w:lang w:eastAsia="bg-BG"/>
        </w:rPr>
        <w:t xml:space="preserve">и, райони </w:t>
      </w:r>
      <w:r w:rsidRPr="008131C7">
        <w:rPr>
          <w:rFonts w:ascii="Times New Roman" w:hAnsi="Times New Roman"/>
          <w:color w:val="000000"/>
          <w:sz w:val="24"/>
          <w:szCs w:val="24"/>
          <w:lang w:val="en-GB" w:eastAsia="bg-BG"/>
        </w:rPr>
        <w:t xml:space="preserve"> с влажн</w:t>
      </w:r>
      <w:r w:rsidRPr="008131C7">
        <w:rPr>
          <w:rFonts w:ascii="Times New Roman" w:hAnsi="Times New Roman"/>
          <w:color w:val="000000"/>
          <w:sz w:val="24"/>
          <w:szCs w:val="24"/>
          <w:lang w:eastAsia="bg-BG"/>
        </w:rPr>
        <w:t>и</w:t>
      </w:r>
      <w:r w:rsidRPr="008131C7">
        <w:rPr>
          <w:rFonts w:ascii="Times New Roman" w:hAnsi="Times New Roman"/>
          <w:color w:val="000000"/>
          <w:sz w:val="24"/>
          <w:szCs w:val="24"/>
          <w:lang w:val="en-GB" w:eastAsia="bg-BG"/>
        </w:rPr>
        <w:t xml:space="preserve"> гор</w:t>
      </w:r>
      <w:r w:rsidRPr="008131C7">
        <w:rPr>
          <w:rFonts w:ascii="Times New Roman" w:hAnsi="Times New Roman"/>
          <w:color w:val="000000"/>
          <w:sz w:val="24"/>
          <w:szCs w:val="24"/>
          <w:lang w:eastAsia="bg-BG"/>
        </w:rPr>
        <w:t>и</w:t>
      </w:r>
      <w:r w:rsidRPr="008131C7">
        <w:rPr>
          <w:rFonts w:ascii="Times New Roman" w:hAnsi="Times New Roman"/>
          <w:color w:val="000000"/>
          <w:sz w:val="24"/>
          <w:szCs w:val="24"/>
          <w:lang w:val="en-GB" w:eastAsia="bg-BG"/>
        </w:rPr>
        <w:t>, крайбрежна растителност и паркови площи</w:t>
      </w:r>
      <w:r w:rsidRPr="008131C7">
        <w:rPr>
          <w:rFonts w:ascii="Times New Roman" w:hAnsi="Times New Roman"/>
          <w:color w:val="000000"/>
          <w:sz w:val="24"/>
          <w:szCs w:val="24"/>
          <w:lang w:eastAsia="bg-BG"/>
        </w:rPr>
        <w:t xml:space="preserve"> </w:t>
      </w:r>
      <w:r w:rsidRPr="008131C7">
        <w:rPr>
          <w:rFonts w:ascii="Times New Roman" w:hAnsi="Times New Roman"/>
          <w:sz w:val="24"/>
          <w:szCs w:val="24"/>
          <w:lang w:eastAsia="bg-BG"/>
        </w:rPr>
        <w:t>(</w:t>
      </w:r>
      <w:r w:rsidRPr="008131C7">
        <w:rPr>
          <w:rFonts w:ascii="Times New Roman" w:eastAsia="Calibri" w:hAnsi="Times New Roman"/>
          <w:sz w:val="24"/>
          <w:szCs w:val="24"/>
          <w:lang w:eastAsia="bg-BG"/>
        </w:rPr>
        <w:t xml:space="preserve">Racey, 1998; </w:t>
      </w:r>
      <w:r w:rsidRPr="008131C7">
        <w:rPr>
          <w:rFonts w:ascii="Times New Roman" w:hAnsi="Times New Roman"/>
          <w:sz w:val="24"/>
          <w:szCs w:val="24"/>
          <w:lang w:eastAsia="bg-BG"/>
        </w:rPr>
        <w:t>Reiter, 2004</w:t>
      </w:r>
      <w:r w:rsidRPr="008131C7">
        <w:rPr>
          <w:rFonts w:ascii="Times New Roman" w:eastAsia="Calibri" w:hAnsi="Times New Roman"/>
          <w:sz w:val="24"/>
          <w:szCs w:val="24"/>
          <w:lang w:eastAsia="bg-BG"/>
        </w:rPr>
        <w:t>)</w:t>
      </w:r>
      <w:r w:rsidRPr="008131C7">
        <w:rPr>
          <w:rFonts w:ascii="Times New Roman" w:hAnsi="Times New Roman"/>
          <w:color w:val="000000"/>
          <w:sz w:val="24"/>
          <w:szCs w:val="24"/>
          <w:lang w:val="en-GB" w:eastAsia="bg-BG"/>
        </w:rPr>
        <w:t xml:space="preserve">. </w:t>
      </w:r>
      <w:r w:rsidRPr="008131C7">
        <w:rPr>
          <w:rFonts w:ascii="Times New Roman" w:hAnsi="Times New Roman"/>
          <w:color w:val="000000"/>
          <w:sz w:val="24"/>
          <w:szCs w:val="24"/>
          <w:lang w:eastAsia="bg-BG"/>
        </w:rPr>
        <w:t>И</w:t>
      </w:r>
      <w:r w:rsidRPr="008131C7">
        <w:rPr>
          <w:rFonts w:ascii="Times New Roman" w:hAnsi="Times New Roman"/>
          <w:color w:val="000000"/>
          <w:sz w:val="24"/>
          <w:szCs w:val="24"/>
          <w:lang w:val="en-GB" w:eastAsia="bg-BG"/>
        </w:rPr>
        <w:t>збягва открити площи</w:t>
      </w:r>
      <w:r w:rsidRPr="008131C7">
        <w:rPr>
          <w:rFonts w:ascii="Times New Roman" w:hAnsi="Times New Roman"/>
          <w:color w:val="000000"/>
          <w:sz w:val="24"/>
          <w:szCs w:val="24"/>
          <w:lang w:eastAsia="bg-BG"/>
        </w:rPr>
        <w:t xml:space="preserve"> </w:t>
      </w:r>
      <w:r w:rsidRPr="008131C7">
        <w:rPr>
          <w:rFonts w:ascii="Times New Roman" w:hAnsi="Times New Roman"/>
          <w:sz w:val="24"/>
          <w:szCs w:val="24"/>
          <w:lang w:eastAsia="bg-BG"/>
        </w:rPr>
        <w:t>(McAney &amp; Fairley 1989).</w:t>
      </w:r>
      <w:r w:rsidRPr="008131C7">
        <w:rPr>
          <w:rFonts w:ascii="Times New Roman" w:hAnsi="Times New Roman"/>
          <w:color w:val="000000"/>
          <w:sz w:val="24"/>
          <w:szCs w:val="24"/>
          <w:lang w:eastAsia="bg-BG"/>
        </w:rPr>
        <w:t xml:space="preserve"> И</w:t>
      </w:r>
      <w:r w:rsidRPr="008131C7">
        <w:rPr>
          <w:rFonts w:ascii="Times New Roman" w:hAnsi="Times New Roman"/>
          <w:color w:val="000000"/>
          <w:sz w:val="24"/>
          <w:szCs w:val="24"/>
          <w:lang w:val="en-GB" w:eastAsia="bg-BG"/>
        </w:rPr>
        <w:t xml:space="preserve">зползва </w:t>
      </w:r>
      <w:r w:rsidRPr="008131C7">
        <w:rPr>
          <w:rFonts w:ascii="Times New Roman" w:hAnsi="Times New Roman"/>
          <w:color w:val="000000"/>
          <w:sz w:val="24"/>
          <w:szCs w:val="24"/>
          <w:lang w:eastAsia="bg-BG"/>
        </w:rPr>
        <w:t xml:space="preserve">линейни </w:t>
      </w:r>
      <w:r w:rsidRPr="008131C7">
        <w:rPr>
          <w:rFonts w:ascii="Times New Roman" w:hAnsi="Times New Roman"/>
          <w:color w:val="000000"/>
          <w:sz w:val="24"/>
          <w:szCs w:val="24"/>
          <w:lang w:val="en-GB" w:eastAsia="bg-BG"/>
        </w:rPr>
        <w:t xml:space="preserve">дървесни </w:t>
      </w:r>
      <w:r w:rsidRPr="008131C7">
        <w:rPr>
          <w:rFonts w:ascii="Times New Roman" w:hAnsi="Times New Roman"/>
          <w:color w:val="000000"/>
          <w:sz w:val="24"/>
          <w:szCs w:val="24"/>
          <w:lang w:eastAsia="bg-BG"/>
        </w:rPr>
        <w:t>насаждения</w:t>
      </w:r>
      <w:r w:rsidRPr="008131C7">
        <w:rPr>
          <w:rFonts w:ascii="Times New Roman" w:hAnsi="Times New Roman"/>
          <w:color w:val="000000"/>
          <w:sz w:val="24"/>
          <w:szCs w:val="24"/>
          <w:lang w:val="en-GB" w:eastAsia="bg-BG"/>
        </w:rPr>
        <w:t xml:space="preserve">, </w:t>
      </w:r>
      <w:r w:rsidRPr="008131C7">
        <w:rPr>
          <w:rFonts w:ascii="Times New Roman" w:hAnsi="Times New Roman"/>
          <w:color w:val="000000"/>
          <w:sz w:val="24"/>
          <w:szCs w:val="24"/>
          <w:lang w:eastAsia="bg-BG"/>
        </w:rPr>
        <w:t xml:space="preserve">окрайнини на гори, живи плетове,  храсти в синури </w:t>
      </w:r>
      <w:r w:rsidRPr="008131C7">
        <w:rPr>
          <w:rFonts w:ascii="Times New Roman" w:hAnsi="Times New Roman"/>
          <w:color w:val="000000"/>
          <w:sz w:val="24"/>
          <w:szCs w:val="24"/>
          <w:lang w:val="en-GB" w:eastAsia="bg-BG"/>
        </w:rPr>
        <w:t xml:space="preserve"> и </w:t>
      </w:r>
      <w:r w:rsidRPr="008131C7">
        <w:rPr>
          <w:rFonts w:ascii="Times New Roman" w:hAnsi="Times New Roman"/>
          <w:color w:val="000000"/>
          <w:sz w:val="24"/>
          <w:szCs w:val="24"/>
          <w:lang w:eastAsia="bg-BG"/>
        </w:rPr>
        <w:t xml:space="preserve">обрасли с растителност </w:t>
      </w:r>
      <w:r w:rsidRPr="008131C7">
        <w:rPr>
          <w:rFonts w:ascii="Times New Roman" w:hAnsi="Times New Roman"/>
          <w:color w:val="000000"/>
          <w:sz w:val="24"/>
          <w:szCs w:val="24"/>
          <w:lang w:val="en-GB" w:eastAsia="bg-BG"/>
        </w:rPr>
        <w:t>брегове на потоци, за придвижва</w:t>
      </w:r>
      <w:r w:rsidRPr="008131C7">
        <w:rPr>
          <w:rFonts w:ascii="Times New Roman" w:hAnsi="Times New Roman"/>
          <w:color w:val="000000"/>
          <w:sz w:val="24"/>
          <w:szCs w:val="24"/>
          <w:lang w:eastAsia="bg-BG"/>
        </w:rPr>
        <w:t>не</w:t>
      </w:r>
      <w:r w:rsidRPr="008131C7">
        <w:rPr>
          <w:rFonts w:ascii="Times New Roman" w:hAnsi="Times New Roman"/>
          <w:color w:val="000000"/>
          <w:sz w:val="24"/>
          <w:szCs w:val="24"/>
          <w:lang w:val="en-GB" w:eastAsia="bg-BG"/>
        </w:rPr>
        <w:t xml:space="preserve"> между </w:t>
      </w:r>
      <w:r w:rsidRPr="008131C7">
        <w:rPr>
          <w:rFonts w:ascii="Times New Roman" w:hAnsi="Times New Roman"/>
          <w:color w:val="000000"/>
          <w:sz w:val="24"/>
          <w:szCs w:val="24"/>
          <w:lang w:eastAsia="bg-BG"/>
        </w:rPr>
        <w:t>убежи</w:t>
      </w:r>
      <w:r w:rsidRPr="008131C7">
        <w:rPr>
          <w:rFonts w:ascii="Times New Roman" w:hAnsi="Times New Roman"/>
          <w:color w:val="000000"/>
          <w:sz w:val="24"/>
          <w:szCs w:val="24"/>
          <w:lang w:val="en-GB" w:eastAsia="bg-BG"/>
        </w:rPr>
        <w:t>щ</w:t>
      </w:r>
      <w:r w:rsidRPr="008131C7">
        <w:rPr>
          <w:rFonts w:ascii="Times New Roman" w:hAnsi="Times New Roman"/>
          <w:color w:val="000000"/>
          <w:sz w:val="24"/>
          <w:szCs w:val="24"/>
          <w:lang w:eastAsia="bg-BG"/>
        </w:rPr>
        <w:t>ето и горските хранителни територии</w:t>
      </w:r>
      <w:r w:rsidRPr="008131C7">
        <w:rPr>
          <w:rFonts w:ascii="Times New Roman" w:hAnsi="Times New Roman"/>
          <w:color w:val="000000"/>
          <w:sz w:val="24"/>
          <w:szCs w:val="24"/>
          <w:lang w:val="en-GB" w:eastAsia="bg-BG"/>
        </w:rPr>
        <w:t xml:space="preserve"> (Bontadina </w:t>
      </w:r>
      <w:r w:rsidRPr="008131C7">
        <w:rPr>
          <w:rFonts w:ascii="Times New Roman" w:hAnsi="Times New Roman"/>
          <w:color w:val="000000"/>
          <w:sz w:val="24"/>
          <w:szCs w:val="24"/>
          <w:lang w:eastAsia="bg-BG"/>
        </w:rPr>
        <w:t>et al.,</w:t>
      </w:r>
      <w:r w:rsidRPr="008131C7">
        <w:rPr>
          <w:rFonts w:ascii="Times New Roman" w:hAnsi="Times New Roman"/>
          <w:color w:val="000000"/>
          <w:sz w:val="24"/>
          <w:szCs w:val="24"/>
          <w:lang w:val="en-GB" w:eastAsia="bg-BG"/>
        </w:rPr>
        <w:t>1999</w:t>
      </w:r>
      <w:r w:rsidRPr="008131C7">
        <w:rPr>
          <w:rFonts w:ascii="Times New Roman" w:hAnsi="Times New Roman"/>
          <w:color w:val="000000"/>
          <w:sz w:val="24"/>
          <w:szCs w:val="24"/>
          <w:lang w:eastAsia="bg-BG"/>
        </w:rPr>
        <w:t xml:space="preserve">; </w:t>
      </w:r>
      <w:r w:rsidRPr="008131C7">
        <w:rPr>
          <w:rFonts w:ascii="Times New Roman" w:hAnsi="Times New Roman"/>
          <w:sz w:val="24"/>
          <w:szCs w:val="24"/>
          <w:lang w:eastAsia="bg-BG"/>
        </w:rPr>
        <w:t>Reiter, 2004</w:t>
      </w:r>
      <w:r w:rsidRPr="008131C7">
        <w:rPr>
          <w:rFonts w:ascii="Times New Roman" w:hAnsi="Times New Roman"/>
          <w:color w:val="000000"/>
          <w:sz w:val="24"/>
          <w:szCs w:val="24"/>
          <w:lang w:val="en-GB" w:eastAsia="bg-BG"/>
        </w:rPr>
        <w:t xml:space="preserve">). </w:t>
      </w:r>
      <w:r w:rsidRPr="008131C7">
        <w:rPr>
          <w:rFonts w:ascii="Times New Roman" w:hAnsi="Times New Roman"/>
          <w:color w:val="000000"/>
          <w:sz w:val="24"/>
          <w:szCs w:val="24"/>
          <w:lang w:eastAsia="bg-BG"/>
        </w:rPr>
        <w:t>В някои райони на Европа г</w:t>
      </w:r>
      <w:r w:rsidRPr="008131C7">
        <w:rPr>
          <w:rFonts w:ascii="Times New Roman" w:hAnsi="Times New Roman"/>
          <w:color w:val="000000"/>
          <w:sz w:val="24"/>
          <w:szCs w:val="24"/>
          <w:lang w:val="en-GB" w:eastAsia="bg-BG"/>
        </w:rPr>
        <w:t xml:space="preserve">олямото значение </w:t>
      </w:r>
      <w:r w:rsidRPr="008131C7">
        <w:rPr>
          <w:rFonts w:ascii="Times New Roman" w:hAnsi="Times New Roman"/>
          <w:color w:val="000000"/>
          <w:sz w:val="24"/>
          <w:szCs w:val="24"/>
          <w:lang w:eastAsia="bg-BG"/>
        </w:rPr>
        <w:t>имат</w:t>
      </w:r>
      <w:r w:rsidRPr="008131C7">
        <w:rPr>
          <w:rFonts w:ascii="Times New Roman" w:hAnsi="Times New Roman"/>
          <w:color w:val="000000"/>
          <w:sz w:val="24"/>
          <w:szCs w:val="24"/>
          <w:lang w:val="en-GB" w:eastAsia="bg-BG"/>
        </w:rPr>
        <w:t xml:space="preserve"> влажни пасища, огра</w:t>
      </w:r>
      <w:r w:rsidRPr="008131C7">
        <w:rPr>
          <w:rFonts w:ascii="Times New Roman" w:hAnsi="Times New Roman"/>
          <w:color w:val="000000"/>
          <w:sz w:val="24"/>
          <w:szCs w:val="24"/>
          <w:lang w:eastAsia="bg-BG"/>
        </w:rPr>
        <w:t>д</w:t>
      </w:r>
      <w:r w:rsidRPr="008131C7">
        <w:rPr>
          <w:rFonts w:ascii="Times New Roman" w:hAnsi="Times New Roman"/>
          <w:color w:val="000000"/>
          <w:sz w:val="24"/>
          <w:szCs w:val="24"/>
          <w:lang w:val="en-GB" w:eastAsia="bg-BG"/>
        </w:rPr>
        <w:t>ени от живи плетове (Billington</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GB" w:eastAsia="bg-BG"/>
        </w:rPr>
        <w:t xml:space="preserve"> 2002).</w:t>
      </w:r>
      <w:r w:rsidRPr="008131C7">
        <w:rPr>
          <w:rFonts w:ascii="Times New Roman" w:hAnsi="Times New Roman"/>
          <w:color w:val="000000"/>
          <w:sz w:val="24"/>
          <w:szCs w:val="24"/>
          <w:lang w:eastAsia="bg-BG"/>
        </w:rPr>
        <w:t xml:space="preserve"> </w:t>
      </w:r>
      <w:bookmarkStart w:id="92" w:name="_Hlk76388141"/>
      <w:r w:rsidRPr="008131C7">
        <w:rPr>
          <w:rFonts w:ascii="Times New Roman" w:eastAsia="Calibri" w:hAnsi="Times New Roman"/>
          <w:sz w:val="24"/>
          <w:szCs w:val="24"/>
          <w:lang w:eastAsia="bg-BG"/>
        </w:rPr>
        <w:t xml:space="preserve">В гориста местност видът може да използва до 7 различни района за хранене, намиращи се в радиус от 2,4 </w:t>
      </w:r>
      <w:r w:rsidRPr="008131C7">
        <w:rPr>
          <w:rFonts w:ascii="Times New Roman" w:hAnsi="Times New Roman"/>
          <w:sz w:val="24"/>
          <w:szCs w:val="24"/>
          <w:lang w:eastAsia="bg-BG"/>
        </w:rPr>
        <w:t xml:space="preserve">km от убежището </w:t>
      </w:r>
      <w:r w:rsidRPr="008131C7">
        <w:rPr>
          <w:rFonts w:ascii="Times New Roman" w:eastAsia="Calibri" w:hAnsi="Times New Roman"/>
          <w:sz w:val="24"/>
          <w:szCs w:val="24"/>
          <w:lang w:eastAsia="bg-BG"/>
        </w:rPr>
        <w:t xml:space="preserve">(Holzhaider et al., 2002). Хранителните територии имат площ между 12 и 53 </w:t>
      </w:r>
      <w:bookmarkEnd w:id="92"/>
      <w:r w:rsidRPr="008131C7">
        <w:rPr>
          <w:rFonts w:ascii="Times New Roman" w:hAnsi="Times New Roman"/>
          <w:sz w:val="24"/>
          <w:szCs w:val="24"/>
          <w:lang w:eastAsia="bg-BG"/>
        </w:rPr>
        <w:t>ha (Holzhaider et al., 2002)  и са в близост до дневното убежище, в радиус до 4 km</w:t>
      </w:r>
      <w:r w:rsidRPr="008131C7">
        <w:rPr>
          <w:rFonts w:ascii="Times New Roman" w:eastAsia="Calibri" w:hAnsi="Times New Roman"/>
          <w:sz w:val="24"/>
          <w:szCs w:val="24"/>
          <w:lang w:eastAsia="bg-BG"/>
        </w:rPr>
        <w:t xml:space="preserve">. Най-често ловуват в непосредствена близост до убежищата – до около 600 </w:t>
      </w:r>
      <w:r w:rsidRPr="008131C7">
        <w:rPr>
          <w:rFonts w:ascii="Times New Roman" w:hAnsi="Times New Roman"/>
          <w:sz w:val="24"/>
          <w:szCs w:val="24"/>
          <w:lang w:eastAsia="bg-BG"/>
        </w:rPr>
        <w:t xml:space="preserve">m. </w:t>
      </w:r>
    </w:p>
    <w:p w:rsidR="008131C7" w:rsidRP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eastAsia="Calibri" w:hAnsi="Times New Roman"/>
          <w:sz w:val="24"/>
          <w:szCs w:val="24"/>
          <w:lang w:eastAsia="bg-BG"/>
        </w:rPr>
        <w:t xml:space="preserve">Зимуват поединично. Обикновено в едно убежище зимуват няколко разпръснати малки подковоноси; рядко са намирани групи от 30 — 50 индивида на едно място. Често зимува заедно с видове от родовете </w:t>
      </w:r>
      <w:r w:rsidRPr="008131C7">
        <w:rPr>
          <w:rFonts w:ascii="Times New Roman" w:eastAsia="Calibri" w:hAnsi="Times New Roman"/>
          <w:i/>
          <w:iCs/>
          <w:sz w:val="24"/>
          <w:szCs w:val="24"/>
          <w:lang w:eastAsia="bg-BG"/>
        </w:rPr>
        <w:t>Rhinolophus</w:t>
      </w:r>
      <w:r w:rsidRPr="008131C7">
        <w:rPr>
          <w:rFonts w:ascii="Times New Roman" w:eastAsia="Calibri" w:hAnsi="Times New Roman"/>
          <w:sz w:val="24"/>
          <w:szCs w:val="24"/>
          <w:lang w:eastAsia="bg-BG"/>
        </w:rPr>
        <w:t xml:space="preserve"> и </w:t>
      </w:r>
      <w:r w:rsidRPr="008131C7">
        <w:rPr>
          <w:rFonts w:ascii="Times New Roman" w:eastAsia="Calibri" w:hAnsi="Times New Roman"/>
          <w:i/>
          <w:iCs/>
          <w:sz w:val="24"/>
          <w:szCs w:val="24"/>
          <w:lang w:eastAsia="bg-BG"/>
        </w:rPr>
        <w:t>Myotis</w:t>
      </w:r>
      <w:r w:rsidRPr="008131C7">
        <w:rPr>
          <w:rFonts w:ascii="Times New Roman" w:eastAsia="Calibri" w:hAnsi="Times New Roman"/>
          <w:sz w:val="24"/>
          <w:szCs w:val="24"/>
          <w:lang w:eastAsia="bg-BG"/>
        </w:rPr>
        <w:t xml:space="preserve"> (</w:t>
      </w:r>
      <w:bookmarkStart w:id="93" w:name="_Hlk76386435"/>
      <w:r w:rsidRPr="008131C7">
        <w:rPr>
          <w:rFonts w:ascii="Times New Roman" w:eastAsia="Calibri" w:hAnsi="Times New Roman"/>
          <w:sz w:val="24"/>
          <w:szCs w:val="24"/>
          <w:lang w:eastAsia="bg-BG"/>
        </w:rPr>
        <w:t xml:space="preserve">Gorner </w:t>
      </w:r>
      <w:r w:rsidRPr="008131C7">
        <w:rPr>
          <w:rFonts w:ascii="Times New Roman" w:hAnsi="Times New Roman"/>
          <w:sz w:val="24"/>
          <w:szCs w:val="24"/>
          <w:lang w:eastAsia="bg-BG"/>
        </w:rPr>
        <w:t>&amp;</w:t>
      </w:r>
      <w:r w:rsidRPr="008131C7">
        <w:rPr>
          <w:rFonts w:ascii="Times New Roman" w:eastAsia="Calibri" w:hAnsi="Times New Roman"/>
          <w:sz w:val="24"/>
          <w:szCs w:val="24"/>
          <w:lang w:eastAsia="bg-BG"/>
        </w:rPr>
        <w:t xml:space="preserve"> Hackethal, 1987; Пандурска, 1995</w:t>
      </w:r>
      <w:bookmarkEnd w:id="93"/>
      <w:r w:rsidRPr="008131C7">
        <w:rPr>
          <w:rFonts w:ascii="Times New Roman" w:eastAsia="Calibri" w:hAnsi="Times New Roman"/>
          <w:sz w:val="24"/>
          <w:szCs w:val="24"/>
          <w:lang w:eastAsia="bg-BG"/>
        </w:rPr>
        <w:t xml:space="preserve">). </w:t>
      </w:r>
      <w:r w:rsidRPr="008131C7">
        <w:rPr>
          <w:rFonts w:ascii="Times New Roman" w:hAnsi="Times New Roman"/>
          <w:sz w:val="24"/>
          <w:szCs w:val="24"/>
          <w:lang w:eastAsia="bg-BG"/>
        </w:rPr>
        <w:t xml:space="preserve">Зимните убежища са изключително подземни - пещери, минни галерии и тунели. </w:t>
      </w:r>
      <w:r w:rsidRPr="008131C7">
        <w:rPr>
          <w:rFonts w:ascii="Times New Roman" w:hAnsi="Times New Roman"/>
          <w:color w:val="000000"/>
          <w:sz w:val="24"/>
          <w:szCs w:val="24"/>
          <w:lang w:eastAsia="bg-BG"/>
        </w:rPr>
        <w:t xml:space="preserve">Зимният сън е от октомври до април в пещери и изкуствени подземни галерии. Предпочита вътрешните им части, където температурата е 5°-9° С. </w:t>
      </w:r>
      <w:r w:rsidRPr="008131C7">
        <w:rPr>
          <w:rFonts w:ascii="Times New Roman" w:hAnsi="Times New Roman"/>
          <w:sz w:val="24"/>
          <w:szCs w:val="24"/>
          <w:lang w:eastAsia="bg-BG"/>
        </w:rPr>
        <w:t xml:space="preserve">Малкият подковонос е уседнал вид. Разстоянието между размножителните и зимни убежища обикновено не надвишава 15 km. </w:t>
      </w:r>
    </w:p>
    <w:p w:rsidR="008131C7" w:rsidRP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 xml:space="preserve">Малкият подковонос е най-често срещаният у нас пещеролюбив прилеп, установен в над 350 находища, най-често между 100 и 1300 m надморска височина </w:t>
      </w:r>
      <w:r w:rsidRPr="008131C7">
        <w:rPr>
          <w:rFonts w:ascii="Times New Roman" w:eastAsia="Calibri" w:hAnsi="Times New Roman"/>
          <w:sz w:val="24"/>
          <w:szCs w:val="24"/>
          <w:lang w:eastAsia="bg-BG"/>
        </w:rPr>
        <w:t>(Petrov, 2001, Пешев и др., 2004</w:t>
      </w:r>
      <w:r w:rsidRPr="008131C7">
        <w:rPr>
          <w:rFonts w:ascii="Times New Roman" w:eastAsia="Calibri" w:hAnsi="Times New Roman"/>
          <w:sz w:val="24"/>
          <w:szCs w:val="24"/>
          <w:lang w:val="en-GB" w:eastAsia="bg-BG"/>
        </w:rPr>
        <w:t>; Popov, 2018</w:t>
      </w:r>
      <w:r w:rsidRPr="008131C7">
        <w:rPr>
          <w:rFonts w:ascii="Times New Roman" w:eastAsia="Calibri" w:hAnsi="Times New Roman"/>
          <w:sz w:val="24"/>
          <w:szCs w:val="24"/>
          <w:lang w:eastAsia="bg-BG"/>
        </w:rPr>
        <w:t xml:space="preserve">). </w:t>
      </w:r>
      <w:r w:rsidRPr="008131C7">
        <w:rPr>
          <w:rFonts w:ascii="Times New Roman" w:hAnsi="Times New Roman"/>
          <w:sz w:val="24"/>
          <w:szCs w:val="24"/>
          <w:lang w:eastAsia="bg-BG"/>
        </w:rPr>
        <w:t>Общата численост на вида в България може да бъде изчислена на минимално около 100 000 индивида  (Иванова, Попов, 2007).</w:t>
      </w:r>
    </w:p>
    <w:p w:rsidR="008131C7" w:rsidRPr="008131C7" w:rsidRDefault="008131C7" w:rsidP="003D13A8">
      <w:pPr>
        <w:spacing w:after="0" w:line="240" w:lineRule="auto"/>
        <w:ind w:firstLine="709"/>
        <w:jc w:val="both"/>
        <w:rPr>
          <w:rFonts w:ascii="Times New Roman" w:eastAsia="Calibri" w:hAnsi="Times New Roman"/>
          <w:sz w:val="24"/>
          <w:szCs w:val="24"/>
          <w:lang w:val="en-GB" w:eastAsia="bg-BG"/>
        </w:rPr>
      </w:pPr>
      <w:r w:rsidRPr="008131C7">
        <w:rPr>
          <w:rFonts w:ascii="Times New Roman" w:hAnsi="Times New Roman"/>
          <w:sz w:val="24"/>
          <w:szCs w:val="24"/>
          <w:lang w:eastAsia="bg-BG"/>
        </w:rPr>
        <w:t>Размножаването у нас е слабо проучено. Копулацията вероятно протича приз есента от септември до ноември. Броят на индивидите в размножителните колонии обикновено е 5-30 екземпляра, рядко повече.</w:t>
      </w:r>
    </w:p>
    <w:p w:rsidR="008131C7" w:rsidRP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eastAsia="Calibri" w:hAnsi="Times New Roman"/>
          <w:sz w:val="24"/>
          <w:szCs w:val="24"/>
          <w:lang w:eastAsia="bg-BG"/>
        </w:rPr>
        <w:t>Видът не е включен в Червената книга на България (2011 г.).</w:t>
      </w:r>
    </w:p>
    <w:p w:rsidR="008131C7" w:rsidRPr="008131C7" w:rsidRDefault="008131C7" w:rsidP="008131C7">
      <w:pPr>
        <w:spacing w:before="120" w:after="120" w:line="240" w:lineRule="auto"/>
        <w:jc w:val="both"/>
        <w:rPr>
          <w:rFonts w:ascii="Times New Roman" w:eastAsia="Calibri" w:hAnsi="Times New Roman"/>
          <w:sz w:val="24"/>
          <w:szCs w:val="24"/>
          <w:lang w:eastAsia="bg-BG"/>
        </w:rPr>
      </w:pPr>
      <w:r w:rsidRPr="008131C7">
        <w:rPr>
          <w:rFonts w:ascii="Times New Roman" w:eastAsia="Calibri" w:hAnsi="Times New Roman"/>
          <w:b/>
          <w:sz w:val="24"/>
          <w:szCs w:val="24"/>
          <w:lang w:eastAsia="bg-BG"/>
        </w:rPr>
        <w:t>3. Състояние на биогеографско ниво и разпространение в мрежата</w:t>
      </w:r>
      <w:r w:rsidRPr="008131C7">
        <w:rPr>
          <w:rFonts w:ascii="Times New Roman" w:eastAsia="Calibri" w:hAnsi="Times New Roman"/>
          <w:sz w:val="24"/>
          <w:szCs w:val="24"/>
          <w:lang w:eastAsia="bg-BG"/>
        </w:rPr>
        <w:t xml:space="preserve"> </w:t>
      </w:r>
    </w:p>
    <w:p w:rsidR="008131C7" w:rsidRDefault="008131C7" w:rsidP="003D13A8">
      <w:pPr>
        <w:spacing w:after="0" w:line="240" w:lineRule="auto"/>
        <w:ind w:firstLine="709"/>
        <w:jc w:val="both"/>
        <w:rPr>
          <w:rFonts w:ascii="Times New Roman" w:eastAsia="Calibri" w:hAnsi="Times New Roman"/>
          <w:sz w:val="24"/>
          <w:szCs w:val="24"/>
          <w:lang w:eastAsia="bg-BG"/>
        </w:rPr>
      </w:pPr>
      <w:r w:rsidRPr="008131C7">
        <w:rPr>
          <w:rFonts w:ascii="Times New Roman" w:hAnsi="Times New Roman"/>
          <w:sz w:val="24"/>
          <w:szCs w:val="24"/>
          <w:lang w:eastAsia="bg-BG"/>
        </w:rPr>
        <w:t xml:space="preserve">Съгласно докладването по чл. 17 на Директива за местообитанията през 2013 г. (за периода 2007-2012 г.) и през 2019 г. (за периода 2013-2018 г.), природозащитното състояние е благоприятно по всички параметри. Съгласно докладването по чл. 17 от Директивата за местообитанията през 2019 г. заплахи с висока значимост са: </w:t>
      </w:r>
      <w:r w:rsidRPr="008131C7">
        <w:rPr>
          <w:rFonts w:ascii="Times New Roman" w:eastAsia="Calibri" w:hAnsi="Times New Roman"/>
          <w:sz w:val="24"/>
          <w:szCs w:val="24"/>
          <w:lang w:eastAsia="bg-BG"/>
        </w:rPr>
        <w:t>с</w:t>
      </w:r>
      <w:r w:rsidRPr="008131C7">
        <w:rPr>
          <w:rFonts w:ascii="Times New Roman" w:hAnsi="Times New Roman"/>
          <w:sz w:val="24"/>
          <w:szCs w:val="24"/>
          <w:lang w:eastAsia="bg-BG"/>
        </w:rPr>
        <w:t>порт, туризъм и развлекателни дейности</w:t>
      </w:r>
      <w:r w:rsidRPr="008131C7">
        <w:rPr>
          <w:rFonts w:ascii="Times New Roman" w:eastAsia="Calibri" w:hAnsi="Times New Roman"/>
          <w:sz w:val="24"/>
          <w:szCs w:val="24"/>
          <w:lang w:eastAsia="bg-BG"/>
        </w:rPr>
        <w:t>; в</w:t>
      </w:r>
      <w:r w:rsidRPr="008131C7">
        <w:rPr>
          <w:rFonts w:ascii="Times New Roman" w:hAnsi="Times New Roman"/>
          <w:sz w:val="24"/>
          <w:szCs w:val="24"/>
          <w:lang w:eastAsia="bg-BG"/>
        </w:rPr>
        <w:t>андализъм или палежи</w:t>
      </w:r>
      <w:r w:rsidRPr="008131C7">
        <w:rPr>
          <w:rFonts w:ascii="Times New Roman" w:eastAsia="Calibri" w:hAnsi="Times New Roman"/>
          <w:sz w:val="24"/>
          <w:szCs w:val="24"/>
          <w:lang w:eastAsia="bg-BG"/>
        </w:rPr>
        <w:t>; з</w:t>
      </w:r>
      <w:r w:rsidRPr="008131C7">
        <w:rPr>
          <w:rFonts w:ascii="Times New Roman" w:hAnsi="Times New Roman"/>
          <w:sz w:val="24"/>
          <w:szCs w:val="24"/>
          <w:lang w:eastAsia="bg-BG"/>
        </w:rPr>
        <w:t>атваряне или ограничен достъп до зона / местообитание</w:t>
      </w:r>
      <w:r w:rsidRPr="008131C7">
        <w:rPr>
          <w:rFonts w:ascii="Times New Roman" w:eastAsia="Calibri" w:hAnsi="Times New Roman"/>
          <w:sz w:val="24"/>
          <w:szCs w:val="24"/>
          <w:lang w:eastAsia="bg-BG"/>
        </w:rPr>
        <w:t>; и</w:t>
      </w:r>
      <w:r w:rsidRPr="008131C7">
        <w:rPr>
          <w:rFonts w:ascii="Times New Roman" w:hAnsi="Times New Roman"/>
          <w:sz w:val="24"/>
          <w:szCs w:val="24"/>
          <w:lang w:eastAsia="bg-BG"/>
        </w:rPr>
        <w:t xml:space="preserve">зграждане или модификация (напр. на домакинства </w:t>
      </w:r>
      <w:r w:rsidRPr="008131C7">
        <w:rPr>
          <w:rFonts w:ascii="Times New Roman" w:hAnsi="Times New Roman"/>
          <w:sz w:val="24"/>
          <w:szCs w:val="24"/>
          <w:lang w:eastAsia="bg-BG"/>
        </w:rPr>
        <w:lastRenderedPageBreak/>
        <w:t>или населени места) в съществуващи градски или развлекателни зони</w:t>
      </w:r>
      <w:r w:rsidRPr="008131C7">
        <w:rPr>
          <w:rFonts w:ascii="Times New Roman" w:eastAsia="Calibri" w:hAnsi="Times New Roman"/>
          <w:sz w:val="24"/>
          <w:szCs w:val="24"/>
          <w:lang w:eastAsia="bg-BG"/>
        </w:rPr>
        <w:t>; създаване или развиване на спортна, туристическа или развлекателна инфраструктура (извън градски и развлекателни зони).</w:t>
      </w:r>
    </w:p>
    <w:p w:rsidR="001544FD" w:rsidRPr="000028B7" w:rsidRDefault="001544FD" w:rsidP="001544FD">
      <w:pPr>
        <w:spacing w:after="0" w:line="240" w:lineRule="auto"/>
        <w:ind w:firstLine="709"/>
        <w:jc w:val="both"/>
        <w:rPr>
          <w:rFonts w:ascii="Times New Roman" w:hAnsi="Times New Roman"/>
          <w:sz w:val="24"/>
          <w:szCs w:val="24"/>
          <w:lang w:eastAsia="bg-BG"/>
        </w:rPr>
      </w:pPr>
      <w:r>
        <w:rPr>
          <w:rFonts w:ascii="Times New Roman" w:hAnsi="Times New Roman"/>
          <w:sz w:val="24"/>
          <w:szCs w:val="24"/>
          <w:lang w:eastAsia="bg-BG"/>
        </w:rPr>
        <w:t>Видът е включен в Стандартните формуляри за данни на 131 защитени зони.</w:t>
      </w:r>
    </w:p>
    <w:p w:rsidR="008131C7" w:rsidRPr="008131C7" w:rsidRDefault="008131C7" w:rsidP="008131C7">
      <w:pPr>
        <w:spacing w:before="120" w:after="120" w:line="240" w:lineRule="auto"/>
        <w:jc w:val="both"/>
        <w:rPr>
          <w:rFonts w:ascii="Times New Roman" w:hAnsi="Times New Roman"/>
          <w:b/>
          <w:sz w:val="24"/>
          <w:szCs w:val="24"/>
          <w:lang w:eastAsia="bg-BG"/>
        </w:rPr>
      </w:pPr>
      <w:r w:rsidRPr="008131C7">
        <w:rPr>
          <w:rFonts w:ascii="Times New Roman" w:hAnsi="Times New Roman"/>
          <w:b/>
          <w:color w:val="000000"/>
          <w:sz w:val="28"/>
          <w:szCs w:val="24"/>
          <w:lang w:eastAsia="bg-BG"/>
        </w:rPr>
        <w:t xml:space="preserve">4. </w:t>
      </w:r>
      <w:r w:rsidRPr="008131C7">
        <w:rPr>
          <w:rFonts w:ascii="Times New Roman" w:hAnsi="Times New Roman"/>
          <w:b/>
          <w:sz w:val="24"/>
          <w:szCs w:val="24"/>
          <w:lang w:eastAsia="bg-BG"/>
        </w:rPr>
        <w:t>Състояние на ниво защитена зона</w:t>
      </w:r>
    </w:p>
    <w:p w:rsid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 xml:space="preserve">В стандарния формуляр видът е оценен като рядък, популацията е незначителен процент от националната (С), опазването е добро (В), популацията не е изолирана (С), като цяло, ролята на зоната за опазване на вида е ниска (С). </w:t>
      </w:r>
    </w:p>
    <w:p w:rsidR="003D13A8" w:rsidRPr="008131C7" w:rsidRDefault="003D13A8" w:rsidP="003D13A8">
      <w:pPr>
        <w:spacing w:after="0" w:line="240" w:lineRule="auto"/>
        <w:ind w:firstLine="709"/>
        <w:jc w:val="both"/>
        <w:rPr>
          <w:rFonts w:ascii="Times New Roman" w:hAnsi="Times New Roman"/>
          <w:sz w:val="24"/>
          <w:szCs w:val="24"/>
          <w:lang w:eastAsia="bg-BG"/>
        </w:rPr>
      </w:pPr>
    </w:p>
    <w:tbl>
      <w:tblPr>
        <w:tblpPr w:leftFromText="141" w:rightFromText="141" w:vertAnchor="text" w:horzAnchor="margin" w:tblpXSpec="center" w:tblpY="8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750"/>
        <w:gridCol w:w="1517"/>
        <w:gridCol w:w="419"/>
        <w:gridCol w:w="564"/>
        <w:gridCol w:w="421"/>
        <w:gridCol w:w="704"/>
        <w:gridCol w:w="707"/>
        <w:gridCol w:w="706"/>
        <w:gridCol w:w="703"/>
        <w:gridCol w:w="815"/>
        <w:gridCol w:w="992"/>
        <w:gridCol w:w="851"/>
        <w:gridCol w:w="567"/>
        <w:gridCol w:w="567"/>
      </w:tblGrid>
      <w:tr w:rsidR="003D13A8" w:rsidRPr="00A805FE" w:rsidTr="00A805FE">
        <w:tc>
          <w:tcPr>
            <w:tcW w:w="3707" w:type="dxa"/>
            <w:gridSpan w:val="5"/>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Species</w:t>
            </w:r>
          </w:p>
        </w:tc>
        <w:tc>
          <w:tcPr>
            <w:tcW w:w="4056" w:type="dxa"/>
            <w:gridSpan w:val="6"/>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Population in the site</w:t>
            </w:r>
          </w:p>
        </w:tc>
        <w:tc>
          <w:tcPr>
            <w:tcW w:w="2977" w:type="dxa"/>
            <w:gridSpan w:val="4"/>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Site assessment</w:t>
            </w:r>
          </w:p>
        </w:tc>
      </w:tr>
      <w:tr w:rsidR="003D13A8" w:rsidRPr="00A805FE" w:rsidTr="00A805FE">
        <w:tc>
          <w:tcPr>
            <w:tcW w:w="457"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G</w:t>
            </w:r>
          </w:p>
        </w:tc>
        <w:tc>
          <w:tcPr>
            <w:tcW w:w="750"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Code</w:t>
            </w:r>
          </w:p>
        </w:tc>
        <w:tc>
          <w:tcPr>
            <w:tcW w:w="1517"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Scientific Name</w:t>
            </w:r>
          </w:p>
        </w:tc>
        <w:tc>
          <w:tcPr>
            <w:tcW w:w="419"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S</w:t>
            </w:r>
          </w:p>
        </w:tc>
        <w:tc>
          <w:tcPr>
            <w:tcW w:w="564"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NP</w:t>
            </w:r>
          </w:p>
        </w:tc>
        <w:tc>
          <w:tcPr>
            <w:tcW w:w="421"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T</w:t>
            </w:r>
          </w:p>
        </w:tc>
        <w:tc>
          <w:tcPr>
            <w:tcW w:w="1411" w:type="dxa"/>
            <w:gridSpan w:val="2"/>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Size</w:t>
            </w:r>
          </w:p>
        </w:tc>
        <w:tc>
          <w:tcPr>
            <w:tcW w:w="706"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Unit</w:t>
            </w:r>
          </w:p>
        </w:tc>
        <w:tc>
          <w:tcPr>
            <w:tcW w:w="703"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Cat.</w:t>
            </w:r>
          </w:p>
        </w:tc>
        <w:tc>
          <w:tcPr>
            <w:tcW w:w="815"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D.qual.</w:t>
            </w:r>
          </w:p>
        </w:tc>
        <w:tc>
          <w:tcPr>
            <w:tcW w:w="992" w:type="dxa"/>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A/B/C/D</w:t>
            </w:r>
          </w:p>
        </w:tc>
        <w:tc>
          <w:tcPr>
            <w:tcW w:w="1985" w:type="dxa"/>
            <w:gridSpan w:val="3"/>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A/B/C</w:t>
            </w:r>
          </w:p>
        </w:tc>
      </w:tr>
      <w:tr w:rsidR="003D13A8" w:rsidRPr="00A805FE" w:rsidTr="00A805FE">
        <w:tc>
          <w:tcPr>
            <w:tcW w:w="457"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sz w:val="20"/>
                <w:szCs w:val="20"/>
                <w:lang w:eastAsia="bg-BG"/>
              </w:rPr>
            </w:pPr>
          </w:p>
        </w:tc>
        <w:tc>
          <w:tcPr>
            <w:tcW w:w="750"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sz w:val="20"/>
                <w:szCs w:val="20"/>
                <w:lang w:eastAsia="bg-BG"/>
              </w:rPr>
            </w:pPr>
          </w:p>
        </w:tc>
        <w:tc>
          <w:tcPr>
            <w:tcW w:w="1517"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sz w:val="20"/>
                <w:szCs w:val="20"/>
                <w:lang w:eastAsia="bg-BG"/>
              </w:rPr>
            </w:pPr>
          </w:p>
        </w:tc>
        <w:tc>
          <w:tcPr>
            <w:tcW w:w="419"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sz w:val="20"/>
                <w:szCs w:val="20"/>
                <w:lang w:eastAsia="bg-BG"/>
              </w:rPr>
            </w:pPr>
          </w:p>
        </w:tc>
        <w:tc>
          <w:tcPr>
            <w:tcW w:w="564"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p>
        </w:tc>
        <w:tc>
          <w:tcPr>
            <w:tcW w:w="421"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p>
        </w:tc>
        <w:tc>
          <w:tcPr>
            <w:tcW w:w="704" w:type="dxa"/>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Min</w:t>
            </w:r>
          </w:p>
        </w:tc>
        <w:tc>
          <w:tcPr>
            <w:tcW w:w="707" w:type="dxa"/>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Max</w:t>
            </w:r>
          </w:p>
        </w:tc>
        <w:tc>
          <w:tcPr>
            <w:tcW w:w="706"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p>
        </w:tc>
        <w:tc>
          <w:tcPr>
            <w:tcW w:w="703"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p>
        </w:tc>
        <w:tc>
          <w:tcPr>
            <w:tcW w:w="815"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p>
        </w:tc>
        <w:tc>
          <w:tcPr>
            <w:tcW w:w="992" w:type="dxa"/>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Pop.</w:t>
            </w:r>
          </w:p>
        </w:tc>
        <w:tc>
          <w:tcPr>
            <w:tcW w:w="851" w:type="dxa"/>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Con.</w:t>
            </w:r>
          </w:p>
        </w:tc>
        <w:tc>
          <w:tcPr>
            <w:tcW w:w="567" w:type="dxa"/>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Iso.</w:t>
            </w:r>
          </w:p>
        </w:tc>
        <w:tc>
          <w:tcPr>
            <w:tcW w:w="567" w:type="dxa"/>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Glo.</w:t>
            </w:r>
          </w:p>
        </w:tc>
      </w:tr>
      <w:tr w:rsidR="003D13A8" w:rsidRPr="00A805FE" w:rsidTr="00A805FE">
        <w:tc>
          <w:tcPr>
            <w:tcW w:w="457"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eastAsia="bg-BG"/>
              </w:rPr>
            </w:pPr>
            <w:r w:rsidRPr="00A805FE">
              <w:rPr>
                <w:rFonts w:ascii="Times New Roman" w:hAnsi="Times New Roman"/>
                <w:sz w:val="20"/>
                <w:szCs w:val="20"/>
                <w:lang w:eastAsia="bg-BG"/>
              </w:rPr>
              <w:t>М</w:t>
            </w:r>
          </w:p>
        </w:tc>
        <w:tc>
          <w:tcPr>
            <w:tcW w:w="750"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eastAsia="bg-BG"/>
              </w:rPr>
            </w:pPr>
            <w:r w:rsidRPr="00A805FE">
              <w:rPr>
                <w:rFonts w:ascii="Times New Roman" w:hAnsi="Times New Roman"/>
                <w:sz w:val="20"/>
                <w:szCs w:val="20"/>
                <w:lang w:eastAsia="bg-BG"/>
              </w:rPr>
              <w:t>1305</w:t>
            </w:r>
          </w:p>
        </w:tc>
        <w:tc>
          <w:tcPr>
            <w:tcW w:w="1517" w:type="dxa"/>
            <w:shd w:val="clear" w:color="auto" w:fill="auto"/>
            <w:vAlign w:val="center"/>
          </w:tcPr>
          <w:p w:rsidR="003D13A8" w:rsidRPr="00A805FE" w:rsidRDefault="003D13A8" w:rsidP="003D13A8">
            <w:pPr>
              <w:spacing w:before="120" w:after="120" w:line="240" w:lineRule="auto"/>
              <w:jc w:val="both"/>
              <w:rPr>
                <w:rFonts w:ascii="Times New Roman" w:hAnsi="Times New Roman"/>
                <w:i/>
                <w:sz w:val="20"/>
                <w:szCs w:val="20"/>
                <w:lang w:val="en-GB" w:eastAsia="bg-BG"/>
              </w:rPr>
            </w:pPr>
            <w:r w:rsidRPr="00A805FE">
              <w:rPr>
                <w:rFonts w:ascii="Times New Roman" w:hAnsi="Times New Roman"/>
                <w:i/>
                <w:sz w:val="20"/>
                <w:szCs w:val="20"/>
                <w:lang w:eastAsia="bg-BG"/>
              </w:rPr>
              <w:t xml:space="preserve">Rhynolophus </w:t>
            </w:r>
            <w:r w:rsidRPr="00A805FE">
              <w:rPr>
                <w:rFonts w:ascii="Times New Roman" w:hAnsi="Times New Roman"/>
                <w:i/>
                <w:sz w:val="20"/>
                <w:szCs w:val="20"/>
                <w:lang w:val="en-GB" w:eastAsia="bg-BG"/>
              </w:rPr>
              <w:t>hipposideros</w:t>
            </w:r>
          </w:p>
        </w:tc>
        <w:tc>
          <w:tcPr>
            <w:tcW w:w="419"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eastAsia="bg-BG"/>
              </w:rPr>
            </w:pPr>
          </w:p>
        </w:tc>
        <w:tc>
          <w:tcPr>
            <w:tcW w:w="564"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eastAsia="bg-BG"/>
              </w:rPr>
            </w:pPr>
          </w:p>
        </w:tc>
        <w:tc>
          <w:tcPr>
            <w:tcW w:w="421"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p</w:t>
            </w:r>
          </w:p>
        </w:tc>
        <w:tc>
          <w:tcPr>
            <w:tcW w:w="704"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5</w:t>
            </w:r>
          </w:p>
        </w:tc>
        <w:tc>
          <w:tcPr>
            <w:tcW w:w="707"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10</w:t>
            </w:r>
          </w:p>
        </w:tc>
        <w:tc>
          <w:tcPr>
            <w:tcW w:w="706"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i</w:t>
            </w:r>
          </w:p>
        </w:tc>
        <w:tc>
          <w:tcPr>
            <w:tcW w:w="703"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R</w:t>
            </w:r>
          </w:p>
        </w:tc>
        <w:tc>
          <w:tcPr>
            <w:tcW w:w="815"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G</w:t>
            </w:r>
          </w:p>
        </w:tc>
        <w:tc>
          <w:tcPr>
            <w:tcW w:w="992"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C</w:t>
            </w:r>
          </w:p>
        </w:tc>
        <w:tc>
          <w:tcPr>
            <w:tcW w:w="851"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B</w:t>
            </w:r>
          </w:p>
        </w:tc>
        <w:tc>
          <w:tcPr>
            <w:tcW w:w="567"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C</w:t>
            </w:r>
          </w:p>
        </w:tc>
        <w:tc>
          <w:tcPr>
            <w:tcW w:w="567"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C</w:t>
            </w:r>
          </w:p>
        </w:tc>
      </w:tr>
    </w:tbl>
    <w:p w:rsidR="008131C7" w:rsidRPr="008131C7" w:rsidRDefault="008131C7" w:rsidP="008131C7">
      <w:pPr>
        <w:spacing w:before="120" w:after="120" w:line="240" w:lineRule="auto"/>
        <w:jc w:val="both"/>
        <w:rPr>
          <w:rFonts w:ascii="Times New Roman" w:hAnsi="Times New Roman"/>
          <w:b/>
          <w:sz w:val="24"/>
          <w:szCs w:val="24"/>
          <w:lang w:eastAsia="bg-BG"/>
        </w:rPr>
      </w:pPr>
    </w:p>
    <w:p w:rsidR="008131C7" w:rsidRPr="008131C7" w:rsidRDefault="008131C7" w:rsidP="008131C7">
      <w:pPr>
        <w:spacing w:before="120" w:after="120" w:line="240" w:lineRule="auto"/>
        <w:jc w:val="both"/>
        <w:rPr>
          <w:rFonts w:ascii="Times New Roman" w:hAnsi="Times New Roman"/>
          <w:b/>
          <w:sz w:val="24"/>
          <w:szCs w:val="24"/>
          <w:lang w:eastAsia="bg-BG"/>
        </w:rPr>
      </w:pPr>
      <w:r w:rsidRPr="008131C7">
        <w:rPr>
          <w:rFonts w:ascii="Times New Roman" w:hAnsi="Times New Roman"/>
          <w:b/>
          <w:sz w:val="24"/>
          <w:szCs w:val="24"/>
          <w:lang w:eastAsia="bg-BG"/>
        </w:rPr>
        <w:t xml:space="preserve">5. Анализ на наличната информация </w:t>
      </w:r>
    </w:p>
    <w:p w:rsidR="008131C7" w:rsidRPr="008131C7" w:rsidRDefault="008131C7" w:rsidP="003D13A8">
      <w:pPr>
        <w:suppressAutoHyphens/>
        <w:spacing w:after="0" w:line="240" w:lineRule="auto"/>
        <w:ind w:firstLine="709"/>
        <w:jc w:val="both"/>
        <w:rPr>
          <w:rFonts w:ascii="Times New Roman" w:hAnsi="Times New Roman"/>
          <w:sz w:val="24"/>
          <w:szCs w:val="24"/>
          <w:lang w:val="en-GB" w:eastAsia="bg-BG"/>
        </w:rPr>
      </w:pPr>
      <w:r w:rsidRPr="008131C7">
        <w:rPr>
          <w:rFonts w:ascii="Times New Roman" w:hAnsi="Times New Roman"/>
          <w:sz w:val="24"/>
          <w:szCs w:val="24"/>
          <w:lang w:eastAsia="bg-BG"/>
        </w:rPr>
        <w:t xml:space="preserve">Според доклад "Разпространение и оценка на ПС на целеви вид 1303. </w:t>
      </w:r>
      <w:r w:rsidRPr="008131C7">
        <w:rPr>
          <w:rFonts w:ascii="Times New Roman" w:hAnsi="Times New Roman"/>
          <w:i/>
          <w:sz w:val="24"/>
          <w:szCs w:val="24"/>
          <w:lang w:eastAsia="bg-BG"/>
        </w:rPr>
        <w:t xml:space="preserve">Rhinolophus hipposideros </w:t>
      </w:r>
      <w:r w:rsidRPr="008131C7">
        <w:rPr>
          <w:rFonts w:ascii="Times New Roman" w:hAnsi="Times New Roman"/>
          <w:sz w:val="24"/>
          <w:szCs w:val="24"/>
          <w:lang w:eastAsia="bg-BG"/>
        </w:rPr>
        <w:t>(Малък подковонос) в ЗЗ BG0000</w:t>
      </w:r>
      <w:r w:rsidRPr="008131C7">
        <w:rPr>
          <w:rFonts w:ascii="Times New Roman" w:hAnsi="Times New Roman"/>
          <w:sz w:val="24"/>
          <w:szCs w:val="24"/>
          <w:lang w:val="en-GB" w:eastAsia="bg-BG"/>
        </w:rPr>
        <w:t>241</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Сребърна</w:t>
      </w:r>
      <w:r w:rsidRPr="008131C7">
        <w:rPr>
          <w:rFonts w:ascii="Times New Roman" w:hAnsi="Times New Roman"/>
          <w:sz w:val="24"/>
          <w:szCs w:val="24"/>
          <w:lang w:eastAsia="bg-BG"/>
        </w:rPr>
        <w:t>“ (</w:t>
      </w:r>
      <w:hyperlink r:id="rId198" w:history="1">
        <w:r w:rsidRPr="008131C7">
          <w:rPr>
            <w:rFonts w:ascii="Times New Roman" w:hAnsi="Times New Roman"/>
            <w:color w:val="0000FF"/>
            <w:sz w:val="24"/>
            <w:szCs w:val="24"/>
            <w:u w:val="single"/>
            <w:lang w:eastAsia="bg-BG"/>
          </w:rPr>
          <w:t>http://natura2000.moew.government.bg/PublicDownloads/Auto/PS_SCI/BG0000241/BG0000241_PS_136_2.zip</w:t>
        </w:r>
      </w:hyperlink>
      <w:r w:rsidRPr="008131C7">
        <w:rPr>
          <w:rFonts w:ascii="Times New Roman" w:hAnsi="Times New Roman"/>
          <w:sz w:val="24"/>
          <w:szCs w:val="24"/>
          <w:lang w:eastAsia="bg-BG"/>
        </w:rPr>
        <w:t>)  видът не е регистриран в рамките на зоната. Регистрирани са косвени данни за присъствие в близост до зоната - изоставена сграда в с. Сребърна. Състоянието е оценено като неблагоприятно-незадоволително поради липската на информация за численост в размножителни колонии.  Площта на потенциално най-благоприятните местообитания е оценена на</w:t>
      </w:r>
      <w:r w:rsidRPr="008131C7">
        <w:rPr>
          <w:rFonts w:ascii="Times New Roman" w:hAnsi="Times New Roman"/>
          <w:b/>
          <w:sz w:val="24"/>
          <w:szCs w:val="24"/>
          <w:lang w:eastAsia="bg-BG"/>
        </w:rPr>
        <w:t xml:space="preserve"> </w:t>
      </w:r>
      <w:r w:rsidRPr="008131C7">
        <w:rPr>
          <w:rFonts w:ascii="Times New Roman" w:hAnsi="Times New Roman"/>
          <w:sz w:val="24"/>
          <w:szCs w:val="24"/>
          <w:lang w:val="en-US" w:eastAsia="bg-BG"/>
        </w:rPr>
        <w:t>16.2</w:t>
      </w:r>
      <w:r w:rsidRPr="008131C7">
        <w:rPr>
          <w:rFonts w:ascii="Times New Roman" w:hAnsi="Times New Roman"/>
          <w:sz w:val="24"/>
          <w:szCs w:val="24"/>
          <w:lang w:eastAsia="bg-BG"/>
        </w:rPr>
        <w:t xml:space="preserve"> </w:t>
      </w:r>
      <w:r w:rsidRPr="008131C7">
        <w:rPr>
          <w:rFonts w:ascii="Times New Roman" w:hAnsi="Times New Roman"/>
          <w:sz w:val="24"/>
          <w:szCs w:val="24"/>
          <w:lang w:val="en-US" w:eastAsia="bg-BG"/>
        </w:rPr>
        <w:t>ha</w:t>
      </w:r>
      <w:r w:rsidRPr="008131C7">
        <w:rPr>
          <w:rFonts w:ascii="Times New Roman" w:hAnsi="Times New Roman"/>
          <w:sz w:val="24"/>
          <w:szCs w:val="24"/>
          <w:lang w:eastAsia="bg-BG"/>
        </w:rPr>
        <w:t xml:space="preserve"> </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US" w:eastAsia="bg-BG"/>
        </w:rPr>
        <w:t>1.1</w:t>
      </w:r>
      <w:r w:rsidRPr="008131C7">
        <w:rPr>
          <w:rFonts w:ascii="Times New Roman" w:hAnsi="Times New Roman"/>
          <w:color w:val="000000"/>
          <w:sz w:val="24"/>
          <w:szCs w:val="24"/>
          <w:lang w:eastAsia="bg-BG"/>
        </w:rPr>
        <w:t>% от площта на защитената зона)</w:t>
      </w:r>
      <w:r w:rsidRPr="008131C7">
        <w:rPr>
          <w:rFonts w:ascii="Times New Roman" w:hAnsi="Times New Roman"/>
          <w:sz w:val="24"/>
          <w:szCs w:val="24"/>
          <w:lang w:eastAsia="bg-BG"/>
        </w:rPr>
        <w:t>.</w:t>
      </w:r>
      <w:r w:rsidRPr="008131C7">
        <w:rPr>
          <w:rFonts w:ascii="Times New Roman" w:hAnsi="Times New Roman"/>
          <w:color w:val="000000"/>
          <w:sz w:val="24"/>
          <w:szCs w:val="24"/>
          <w:lang w:eastAsia="bg-BG"/>
        </w:rPr>
        <w:t xml:space="preserve"> </w:t>
      </w:r>
      <w:r w:rsidRPr="008131C7">
        <w:rPr>
          <w:rFonts w:ascii="Times New Roman" w:hAnsi="Times New Roman"/>
          <w:sz w:val="24"/>
          <w:szCs w:val="24"/>
          <w:lang w:eastAsia="bg-BG"/>
        </w:rPr>
        <w:t>Площта на потенциално подходящите ловни местообитания е оценена на</w:t>
      </w:r>
      <w:r w:rsidRPr="008131C7">
        <w:rPr>
          <w:rFonts w:ascii="Times New Roman" w:hAnsi="Times New Roman"/>
          <w:b/>
          <w:sz w:val="24"/>
          <w:szCs w:val="24"/>
          <w:lang w:eastAsia="bg-BG"/>
        </w:rPr>
        <w:t xml:space="preserve"> </w:t>
      </w:r>
      <w:r w:rsidRPr="008131C7">
        <w:rPr>
          <w:rFonts w:ascii="Times New Roman" w:hAnsi="Times New Roman"/>
          <w:sz w:val="24"/>
          <w:szCs w:val="24"/>
          <w:lang w:val="en-US" w:eastAsia="bg-BG"/>
        </w:rPr>
        <w:t>25,3</w:t>
      </w:r>
      <w:r w:rsidRPr="008131C7">
        <w:rPr>
          <w:rFonts w:ascii="Times New Roman" w:hAnsi="Times New Roman"/>
          <w:sz w:val="24"/>
          <w:szCs w:val="24"/>
          <w:lang w:eastAsia="bg-BG"/>
        </w:rPr>
        <w:t xml:space="preserve"> </w:t>
      </w:r>
      <w:r w:rsidRPr="008131C7">
        <w:rPr>
          <w:rFonts w:ascii="Times New Roman" w:hAnsi="Times New Roman"/>
          <w:sz w:val="24"/>
          <w:szCs w:val="24"/>
          <w:lang w:val="en-US" w:eastAsia="bg-BG"/>
        </w:rPr>
        <w:t>ha</w:t>
      </w:r>
      <w:r w:rsidRPr="008131C7">
        <w:rPr>
          <w:rFonts w:ascii="Times New Roman" w:hAnsi="Times New Roman"/>
          <w:sz w:val="24"/>
          <w:szCs w:val="24"/>
          <w:lang w:eastAsia="bg-BG"/>
        </w:rPr>
        <w:t xml:space="preserve"> </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US" w:eastAsia="bg-BG"/>
        </w:rPr>
        <w:t>1,8</w:t>
      </w:r>
      <w:r w:rsidRPr="008131C7">
        <w:rPr>
          <w:rFonts w:ascii="Times New Roman" w:hAnsi="Times New Roman"/>
          <w:color w:val="000000"/>
          <w:sz w:val="24"/>
          <w:szCs w:val="24"/>
          <w:lang w:eastAsia="bg-BG"/>
        </w:rPr>
        <w:t>% от площта на защитената зона)</w:t>
      </w:r>
      <w:r w:rsidRPr="008131C7">
        <w:rPr>
          <w:rFonts w:ascii="Times New Roman" w:hAnsi="Times New Roman"/>
          <w:sz w:val="24"/>
          <w:szCs w:val="24"/>
          <w:lang w:eastAsia="bg-BG"/>
        </w:rPr>
        <w:t>.</w:t>
      </w:r>
    </w:p>
    <w:p w:rsidR="008131C7" w:rsidRPr="008131C7" w:rsidRDefault="008131C7" w:rsidP="003D13A8">
      <w:pPr>
        <w:spacing w:after="0" w:line="240" w:lineRule="auto"/>
        <w:ind w:firstLine="709"/>
        <w:jc w:val="both"/>
        <w:rPr>
          <w:rFonts w:ascii="Times New Roman" w:hAnsi="Times New Roman"/>
          <w:color w:val="000000"/>
          <w:sz w:val="24"/>
          <w:szCs w:val="24"/>
          <w:lang w:eastAsia="bg-BG"/>
        </w:rPr>
      </w:pPr>
      <w:r w:rsidRPr="008131C7">
        <w:rPr>
          <w:rFonts w:ascii="Times New Roman" w:hAnsi="Times New Roman"/>
          <w:color w:val="000000"/>
          <w:sz w:val="24"/>
          <w:szCs w:val="24"/>
          <w:lang w:eastAsia="bg-BG"/>
        </w:rPr>
        <w:t xml:space="preserve">През август 2021 г. са направени пилотни проучвания върху прилепите, чрез акустична регистрация (Приложение 1) в 8 района в зоната през периода </w:t>
      </w:r>
      <w:r w:rsidRPr="008131C7">
        <w:rPr>
          <w:rFonts w:ascii="Times New Roman" w:hAnsi="Times New Roman"/>
          <w:color w:val="000000"/>
          <w:sz w:val="24"/>
          <w:szCs w:val="24"/>
          <w:lang w:val="en-GB" w:eastAsia="bg-BG"/>
        </w:rPr>
        <w:t>2</w:t>
      </w:r>
      <w:r w:rsidRPr="008131C7">
        <w:rPr>
          <w:rFonts w:ascii="Times New Roman" w:hAnsi="Times New Roman"/>
          <w:color w:val="000000"/>
          <w:sz w:val="24"/>
          <w:szCs w:val="24"/>
          <w:lang w:eastAsia="bg-BG"/>
        </w:rPr>
        <w:t xml:space="preserve">5 - </w:t>
      </w:r>
      <w:r w:rsidRPr="008131C7">
        <w:rPr>
          <w:rFonts w:ascii="Times New Roman" w:hAnsi="Times New Roman"/>
          <w:color w:val="000000"/>
          <w:sz w:val="24"/>
          <w:szCs w:val="24"/>
          <w:lang w:val="en-GB" w:eastAsia="bg-BG"/>
        </w:rPr>
        <w:t>2</w:t>
      </w:r>
      <w:r w:rsidRPr="008131C7">
        <w:rPr>
          <w:rFonts w:ascii="Times New Roman" w:hAnsi="Times New Roman"/>
          <w:color w:val="000000"/>
          <w:sz w:val="24"/>
          <w:szCs w:val="24"/>
          <w:lang w:eastAsia="bg-BG"/>
        </w:rPr>
        <w:t>8.08.2021 и са регистрирани 5 целеви вида (3 сигурно определени и 2 - вероятни), сред които и малкия подковонос (</w:t>
      </w:r>
      <w:r w:rsidRPr="008131C7">
        <w:rPr>
          <w:rFonts w:ascii="Times New Roman" w:hAnsi="Times New Roman"/>
          <w:i/>
          <w:color w:val="000000"/>
          <w:sz w:val="24"/>
          <w:szCs w:val="24"/>
          <w:lang w:val="en-GB" w:eastAsia="bg-BG"/>
        </w:rPr>
        <w:t>Rh. hipposideros</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GB" w:eastAsia="bg-BG"/>
        </w:rPr>
        <w:t xml:space="preserve"> </w:t>
      </w:r>
      <w:r w:rsidRPr="008131C7">
        <w:rPr>
          <w:rFonts w:ascii="Times New Roman" w:hAnsi="Times New Roman"/>
          <w:color w:val="000000"/>
          <w:sz w:val="24"/>
          <w:szCs w:val="24"/>
          <w:lang w:eastAsia="bg-BG"/>
        </w:rPr>
        <w:t xml:space="preserve">в 2 района </w:t>
      </w:r>
      <w:r w:rsidRPr="008131C7">
        <w:rPr>
          <w:rFonts w:ascii="Times New Roman" w:hAnsi="Times New Roman"/>
          <w:color w:val="000000"/>
          <w:sz w:val="24"/>
          <w:szCs w:val="24"/>
          <w:lang w:val="en-GB" w:eastAsia="bg-BG"/>
        </w:rPr>
        <w:t>(Приложение 1</w:t>
      </w:r>
      <w:r w:rsidRPr="008131C7">
        <w:rPr>
          <w:rFonts w:ascii="Times New Roman" w:hAnsi="Times New Roman"/>
          <w:color w:val="000000"/>
          <w:sz w:val="24"/>
          <w:szCs w:val="24"/>
          <w:lang w:eastAsia="bg-BG"/>
        </w:rPr>
        <w:t xml:space="preserve">). </w:t>
      </w:r>
    </w:p>
    <w:p w:rsidR="008131C7" w:rsidRPr="008131C7" w:rsidRDefault="008131C7" w:rsidP="003D13A8">
      <w:pPr>
        <w:spacing w:after="0" w:line="240" w:lineRule="auto"/>
        <w:ind w:firstLine="709"/>
        <w:jc w:val="both"/>
        <w:rPr>
          <w:rFonts w:ascii="Times New Roman" w:hAnsi="Times New Roman"/>
          <w:color w:val="000000"/>
          <w:sz w:val="24"/>
          <w:szCs w:val="24"/>
          <w:lang w:val="en-GB" w:eastAsia="bg-BG"/>
        </w:rPr>
      </w:pPr>
      <w:r w:rsidRPr="008131C7">
        <w:rPr>
          <w:rFonts w:ascii="Times New Roman" w:hAnsi="Times New Roman"/>
          <w:sz w:val="24"/>
          <w:szCs w:val="24"/>
          <w:lang w:eastAsia="bg-BG"/>
        </w:rPr>
        <w:t xml:space="preserve">На основата на екологичните изисквания на малкия подковонос е извършена нова оценка на подходящите местообитания в защитената зона, </w:t>
      </w:r>
      <w:r w:rsidRPr="008131C7">
        <w:rPr>
          <w:rFonts w:ascii="Times New Roman" w:hAnsi="Times New Roman"/>
          <w:color w:val="000000"/>
          <w:sz w:val="24"/>
          <w:szCs w:val="24"/>
          <w:lang w:eastAsia="bg-BG"/>
        </w:rPr>
        <w:t>идентифицирани чрез типове земно покритие</w:t>
      </w:r>
      <w:r w:rsidRPr="008131C7">
        <w:rPr>
          <w:rFonts w:ascii="Times New Roman" w:hAnsi="Times New Roman"/>
          <w:sz w:val="24"/>
          <w:szCs w:val="24"/>
          <w:lang w:eastAsia="bg-BG"/>
        </w:rPr>
        <w:t xml:space="preserve"> на Corine </w:t>
      </w:r>
      <w:r w:rsidRPr="008131C7">
        <w:rPr>
          <w:rFonts w:ascii="Times New Roman" w:hAnsi="Times New Roman"/>
          <w:sz w:val="24"/>
          <w:szCs w:val="24"/>
          <w:lang w:val="en-GB" w:eastAsia="bg-BG"/>
        </w:rPr>
        <w:t>L</w:t>
      </w:r>
      <w:r w:rsidRPr="008131C7">
        <w:rPr>
          <w:rFonts w:ascii="Times New Roman" w:hAnsi="Times New Roman"/>
          <w:sz w:val="24"/>
          <w:szCs w:val="24"/>
          <w:lang w:eastAsia="bg-BG"/>
        </w:rPr>
        <w:t>andcover 2018</w:t>
      </w:r>
      <w:r w:rsidRPr="008131C7">
        <w:rPr>
          <w:rFonts w:ascii="Times New Roman" w:hAnsi="Times New Roman"/>
          <w:color w:val="000000"/>
          <w:sz w:val="24"/>
          <w:szCs w:val="24"/>
          <w:lang w:eastAsia="bg-BG"/>
        </w:rPr>
        <w:t xml:space="preserve">, представящи </w:t>
      </w:r>
      <w:r w:rsidRPr="008131C7">
        <w:rPr>
          <w:rFonts w:ascii="Times New Roman" w:hAnsi="Times New Roman"/>
          <w:sz w:val="24"/>
          <w:szCs w:val="24"/>
          <w:lang w:eastAsia="bg-BG"/>
        </w:rPr>
        <w:t xml:space="preserve">широколистни гори, храсти, водни тела, влажни зони и крайречни гори.   </w:t>
      </w:r>
      <w:r w:rsidRPr="008131C7">
        <w:rPr>
          <w:rFonts w:ascii="Times New Roman" w:hAnsi="Times New Roman"/>
          <w:color w:val="000000"/>
          <w:sz w:val="24"/>
          <w:szCs w:val="24"/>
          <w:lang w:eastAsia="bg-BG"/>
        </w:rPr>
        <w:t>Общата площ на хранителните местообитания е е 1285.284 ха (Таблица</w:t>
      </w:r>
      <w:r w:rsidRPr="008131C7">
        <w:rPr>
          <w:rFonts w:ascii="Times New Roman" w:hAnsi="Times New Roman"/>
          <w:color w:val="000000"/>
          <w:sz w:val="24"/>
          <w:szCs w:val="24"/>
          <w:lang w:val="en-GB" w:eastAsia="bg-BG"/>
        </w:rPr>
        <w:t xml:space="preserve"> </w:t>
      </w:r>
      <w:r w:rsidRPr="008131C7">
        <w:rPr>
          <w:rFonts w:ascii="Times New Roman" w:hAnsi="Times New Roman"/>
          <w:color w:val="000000"/>
          <w:sz w:val="24"/>
          <w:szCs w:val="24"/>
          <w:lang w:eastAsia="bg-BG"/>
        </w:rPr>
        <w:t xml:space="preserve">2). </w:t>
      </w:r>
    </w:p>
    <w:p w:rsidR="008131C7" w:rsidRPr="008131C7" w:rsidRDefault="008131C7" w:rsidP="008131C7">
      <w:pPr>
        <w:spacing w:before="120" w:after="120" w:line="240" w:lineRule="auto"/>
        <w:jc w:val="both"/>
        <w:rPr>
          <w:rFonts w:ascii="Times New Roman" w:hAnsi="Times New Roman"/>
          <w:color w:val="000000"/>
          <w:sz w:val="24"/>
          <w:szCs w:val="24"/>
          <w:lang w:val="en-GB" w:eastAsia="bg-BG"/>
        </w:rPr>
      </w:pPr>
      <w:r w:rsidRPr="008131C7">
        <w:rPr>
          <w:rFonts w:ascii="Times New Roman" w:hAnsi="Times New Roman"/>
          <w:color w:val="000000"/>
          <w:sz w:val="24"/>
          <w:szCs w:val="24"/>
          <w:lang w:eastAsia="bg-BG"/>
        </w:rPr>
        <w:t>Таблица 2. Площи на типове земно покритие според Cor</w:t>
      </w:r>
      <w:r w:rsidRPr="008131C7">
        <w:rPr>
          <w:rFonts w:ascii="Times New Roman" w:hAnsi="Times New Roman"/>
          <w:color w:val="000000"/>
          <w:sz w:val="24"/>
          <w:szCs w:val="24"/>
          <w:lang w:val="en-GB" w:eastAsia="bg-BG"/>
        </w:rPr>
        <w:t xml:space="preserve">ine Land Cover 2018, представляващи подходящи местообитания за </w:t>
      </w:r>
      <w:r w:rsidRPr="008131C7">
        <w:rPr>
          <w:rFonts w:ascii="Times New Roman" w:hAnsi="Times New Roman"/>
          <w:color w:val="000000"/>
          <w:sz w:val="24"/>
          <w:szCs w:val="24"/>
          <w:lang w:eastAsia="bg-BG"/>
        </w:rPr>
        <w:t>малкия</w:t>
      </w:r>
      <w:r w:rsidRPr="008131C7">
        <w:rPr>
          <w:rFonts w:ascii="Times New Roman" w:hAnsi="Times New Roman"/>
          <w:color w:val="000000"/>
          <w:sz w:val="24"/>
          <w:szCs w:val="24"/>
          <w:lang w:val="en-GB" w:eastAsia="bg-BG"/>
        </w:rPr>
        <w:t xml:space="preserve"> подковонос</w:t>
      </w:r>
      <w:r w:rsidRPr="008131C7">
        <w:rPr>
          <w:rFonts w:ascii="Times New Roman" w:hAnsi="Times New Roman"/>
          <w:color w:val="000000"/>
          <w:sz w:val="24"/>
          <w:szCs w:val="24"/>
          <w:lang w:eastAsia="bg-BG"/>
        </w:rPr>
        <w:t xml:space="preserve"> (</w:t>
      </w:r>
      <w:r w:rsidRPr="008131C7">
        <w:rPr>
          <w:rFonts w:ascii="Times New Roman" w:hAnsi="Times New Roman"/>
          <w:i/>
          <w:color w:val="000000"/>
          <w:sz w:val="24"/>
          <w:szCs w:val="24"/>
          <w:lang w:val="en-GB" w:eastAsia="bg-BG"/>
        </w:rPr>
        <w:t>Rhinolophus hipposideros</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GB" w:eastAsia="bg-BG"/>
        </w:rPr>
        <w:t xml:space="preserve"> в зона Сребърна</w:t>
      </w:r>
    </w:p>
    <w:tbl>
      <w:tblPr>
        <w:tblW w:w="4453" w:type="dxa"/>
        <w:jc w:val="center"/>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381"/>
        <w:gridCol w:w="1116"/>
      </w:tblGrid>
      <w:tr w:rsidR="008131C7" w:rsidRPr="008131C7" w:rsidTr="003D13A8">
        <w:trPr>
          <w:trHeight w:val="300"/>
          <w:jc w:val="center"/>
        </w:trPr>
        <w:tc>
          <w:tcPr>
            <w:tcW w:w="956" w:type="dxa"/>
            <w:shd w:val="clear" w:color="auto" w:fill="D9D9D9" w:themeFill="background1" w:themeFillShade="D9"/>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Код CLC18</w:t>
            </w:r>
          </w:p>
        </w:tc>
        <w:tc>
          <w:tcPr>
            <w:tcW w:w="2381" w:type="dxa"/>
            <w:shd w:val="clear" w:color="auto" w:fill="D9D9D9" w:themeFill="background1" w:themeFillShade="D9"/>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 xml:space="preserve">тип земно покритие </w:t>
            </w:r>
          </w:p>
        </w:tc>
        <w:tc>
          <w:tcPr>
            <w:tcW w:w="1116" w:type="dxa"/>
            <w:shd w:val="clear" w:color="auto" w:fill="D9D9D9" w:themeFill="background1" w:themeFillShade="D9"/>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Площ [ha]</w:t>
            </w:r>
          </w:p>
        </w:tc>
      </w:tr>
      <w:tr w:rsidR="008131C7" w:rsidRPr="008131C7" w:rsidTr="003D13A8">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311</w:t>
            </w:r>
          </w:p>
        </w:tc>
        <w:tc>
          <w:tcPr>
            <w:tcW w:w="2381" w:type="dxa"/>
            <w:shd w:val="clear" w:color="auto" w:fill="auto"/>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широколистни гори</w:t>
            </w:r>
          </w:p>
        </w:tc>
        <w:tc>
          <w:tcPr>
            <w:tcW w:w="1116"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365.015</w:t>
            </w:r>
          </w:p>
        </w:tc>
      </w:tr>
      <w:tr w:rsidR="008131C7" w:rsidRPr="008131C7" w:rsidTr="003D13A8">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324</w:t>
            </w:r>
          </w:p>
        </w:tc>
        <w:tc>
          <w:tcPr>
            <w:tcW w:w="2381" w:type="dxa"/>
            <w:shd w:val="clear" w:color="auto" w:fill="auto"/>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екотон гора-храсти</w:t>
            </w:r>
          </w:p>
        </w:tc>
        <w:tc>
          <w:tcPr>
            <w:tcW w:w="1116"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65.329</w:t>
            </w:r>
          </w:p>
        </w:tc>
      </w:tr>
      <w:tr w:rsidR="008131C7" w:rsidRPr="008131C7" w:rsidTr="003D13A8">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411</w:t>
            </w:r>
          </w:p>
        </w:tc>
        <w:tc>
          <w:tcPr>
            <w:tcW w:w="2381" w:type="dxa"/>
            <w:shd w:val="clear" w:color="auto" w:fill="auto"/>
            <w:noWrap/>
            <w:vAlign w:val="bottom"/>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блата</w:t>
            </w:r>
          </w:p>
        </w:tc>
        <w:tc>
          <w:tcPr>
            <w:tcW w:w="1116"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561.387</w:t>
            </w:r>
          </w:p>
        </w:tc>
      </w:tr>
      <w:tr w:rsidR="008131C7" w:rsidRPr="008131C7" w:rsidTr="003D13A8">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lastRenderedPageBreak/>
              <w:t>511</w:t>
            </w:r>
          </w:p>
        </w:tc>
        <w:tc>
          <w:tcPr>
            <w:tcW w:w="2381" w:type="dxa"/>
            <w:shd w:val="clear" w:color="auto" w:fill="auto"/>
            <w:noWrap/>
            <w:vAlign w:val="bottom"/>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реки</w:t>
            </w:r>
          </w:p>
        </w:tc>
        <w:tc>
          <w:tcPr>
            <w:tcW w:w="1116"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97.910</w:t>
            </w:r>
          </w:p>
        </w:tc>
      </w:tr>
      <w:tr w:rsidR="008131C7" w:rsidRPr="008131C7" w:rsidTr="003D13A8">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512</w:t>
            </w:r>
          </w:p>
        </w:tc>
        <w:tc>
          <w:tcPr>
            <w:tcW w:w="2381" w:type="dxa"/>
            <w:shd w:val="clear" w:color="auto" w:fill="auto"/>
            <w:noWrap/>
            <w:vAlign w:val="bottom"/>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стоящи води</w:t>
            </w:r>
          </w:p>
        </w:tc>
        <w:tc>
          <w:tcPr>
            <w:tcW w:w="1116"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187.465</w:t>
            </w:r>
          </w:p>
        </w:tc>
      </w:tr>
      <w:tr w:rsidR="008131C7" w:rsidRPr="008131C7" w:rsidTr="003D13A8">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p>
        </w:tc>
        <w:tc>
          <w:tcPr>
            <w:tcW w:w="2381" w:type="dxa"/>
            <w:shd w:val="clear" w:color="auto" w:fill="auto"/>
            <w:noWrap/>
            <w:vAlign w:val="bottom"/>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Общо</w:t>
            </w:r>
          </w:p>
        </w:tc>
        <w:tc>
          <w:tcPr>
            <w:tcW w:w="1116" w:type="dxa"/>
            <w:shd w:val="clear" w:color="auto" w:fill="auto"/>
            <w:noWrap/>
            <w:vAlign w:val="center"/>
            <w:hideMark/>
          </w:tcPr>
          <w:p w:rsidR="008131C7" w:rsidRPr="008131C7" w:rsidRDefault="008131C7" w:rsidP="008131C7">
            <w:pPr>
              <w:spacing w:after="0" w:line="240" w:lineRule="auto"/>
              <w:jc w:val="right"/>
              <w:rPr>
                <w:rFonts w:cs="Calibri"/>
                <w:color w:val="000000"/>
                <w:lang w:eastAsia="bg-BG"/>
              </w:rPr>
            </w:pPr>
            <w:r w:rsidRPr="008131C7">
              <w:rPr>
                <w:rFonts w:cs="Calibri"/>
                <w:color w:val="000000"/>
                <w:lang w:eastAsia="bg-BG"/>
              </w:rPr>
              <w:t>1277.106</w:t>
            </w:r>
          </w:p>
        </w:tc>
      </w:tr>
    </w:tbl>
    <w:p w:rsidR="008131C7" w:rsidRPr="008131C7" w:rsidRDefault="008131C7" w:rsidP="008131C7">
      <w:pPr>
        <w:spacing w:after="0" w:line="240" w:lineRule="auto"/>
        <w:rPr>
          <w:rFonts w:ascii="Times New Roman" w:hAnsi="Times New Roman"/>
          <w:b/>
          <w:sz w:val="24"/>
          <w:szCs w:val="24"/>
          <w:lang w:eastAsia="bg-BG"/>
        </w:rPr>
      </w:pPr>
    </w:p>
    <w:p w:rsidR="008131C7" w:rsidRPr="008131C7" w:rsidRDefault="008131C7" w:rsidP="008131C7">
      <w:pPr>
        <w:spacing w:before="120" w:after="120" w:line="240" w:lineRule="auto"/>
        <w:jc w:val="both"/>
        <w:rPr>
          <w:rFonts w:ascii="Times New Roman" w:hAnsi="Times New Roman"/>
          <w:b/>
          <w:sz w:val="24"/>
          <w:szCs w:val="24"/>
          <w:lang w:val="en-GB" w:eastAsia="bg-BG"/>
        </w:rPr>
      </w:pPr>
      <w:r w:rsidRPr="008131C7">
        <w:rPr>
          <w:rFonts w:ascii="Times New Roman" w:hAnsi="Times New Roman"/>
          <w:b/>
          <w:sz w:val="24"/>
          <w:szCs w:val="24"/>
          <w:lang w:eastAsia="bg-BG"/>
        </w:rPr>
        <w:t>6. Цели за подобряване/поддържане на природозащитното състояние н</w:t>
      </w:r>
      <w:r w:rsidR="00F873CF">
        <w:rPr>
          <w:rFonts w:ascii="Times New Roman" w:hAnsi="Times New Roman"/>
          <w:b/>
          <w:sz w:val="24"/>
          <w:szCs w:val="24"/>
          <w:lang w:eastAsia="bg-BG"/>
        </w:rPr>
        <w:t>а вида в зоната</w:t>
      </w:r>
    </w:p>
    <w:p w:rsidR="008131C7" w:rsidRPr="008131C7" w:rsidRDefault="008131C7" w:rsidP="003D13A8">
      <w:pPr>
        <w:spacing w:after="0" w:line="240" w:lineRule="auto"/>
        <w:ind w:firstLine="709"/>
        <w:jc w:val="both"/>
        <w:rPr>
          <w:rFonts w:ascii="Times New Roman" w:hAnsi="Times New Roman"/>
          <w:bCs/>
          <w:iCs/>
          <w:sz w:val="24"/>
          <w:szCs w:val="24"/>
          <w:lang w:eastAsia="bg-BG"/>
        </w:rPr>
      </w:pPr>
      <w:r w:rsidRPr="008131C7">
        <w:rPr>
          <w:rFonts w:ascii="Times New Roman" w:hAnsi="Times New Roman"/>
          <w:sz w:val="24"/>
          <w:szCs w:val="24"/>
          <w:lang w:eastAsia="bg-BG"/>
        </w:rPr>
        <w:t>Специфичните цели за вида в защитената зона са формулирани на основата на анализ на екологията на вида според направени научни изследвания в Европа (виж цитираната литература) и пилотните изследвания в зоната през август 2021. Параметрите и специфичните цели са представени в таблицата по-долу.</w:t>
      </w:r>
    </w:p>
    <w:p w:rsidR="008131C7" w:rsidRPr="008131C7" w:rsidRDefault="008131C7" w:rsidP="008131C7">
      <w:pPr>
        <w:spacing w:after="0" w:line="240" w:lineRule="auto"/>
        <w:rPr>
          <w:rFonts w:ascii="Times New Roman" w:hAnsi="Times New Roman"/>
          <w:sz w:val="24"/>
          <w:szCs w:val="24"/>
          <w:lang w:val="en-GB"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293"/>
        <w:gridCol w:w="1258"/>
        <w:gridCol w:w="2817"/>
        <w:gridCol w:w="1685"/>
      </w:tblGrid>
      <w:tr w:rsidR="008131C7" w:rsidRPr="003A4F26" w:rsidTr="003D13A8">
        <w:trPr>
          <w:tblHeader/>
        </w:trPr>
        <w:tc>
          <w:tcPr>
            <w:tcW w:w="2235" w:type="dxa"/>
            <w:shd w:val="clear" w:color="auto" w:fill="DBE5F1" w:themeFill="accent1" w:themeFillTint="33"/>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Параметър</w:t>
            </w:r>
          </w:p>
        </w:tc>
        <w:tc>
          <w:tcPr>
            <w:tcW w:w="1293" w:type="dxa"/>
            <w:shd w:val="clear" w:color="auto" w:fill="DBE5F1" w:themeFill="accent1" w:themeFillTint="33"/>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Единица</w:t>
            </w:r>
          </w:p>
        </w:tc>
        <w:tc>
          <w:tcPr>
            <w:tcW w:w="1258" w:type="dxa"/>
            <w:shd w:val="clear" w:color="auto" w:fill="DBE5F1" w:themeFill="accent1" w:themeFillTint="33"/>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Целева стойност</w:t>
            </w:r>
          </w:p>
        </w:tc>
        <w:tc>
          <w:tcPr>
            <w:tcW w:w="2817" w:type="dxa"/>
            <w:shd w:val="clear" w:color="auto" w:fill="DBE5F1" w:themeFill="accent1" w:themeFillTint="33"/>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Допълнителна информация</w:t>
            </w:r>
          </w:p>
        </w:tc>
        <w:tc>
          <w:tcPr>
            <w:tcW w:w="1685" w:type="dxa"/>
            <w:shd w:val="clear" w:color="auto" w:fill="DBE5F1" w:themeFill="accent1" w:themeFillTint="33"/>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Специфични цели</w:t>
            </w:r>
          </w:p>
        </w:tc>
      </w:tr>
      <w:tr w:rsidR="008131C7" w:rsidRPr="003A4F26" w:rsidTr="003D13A8">
        <w:tc>
          <w:tcPr>
            <w:tcW w:w="2235"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Популация: Брой размножителни колонии/убежища</w:t>
            </w:r>
          </w:p>
        </w:tc>
        <w:tc>
          <w:tcPr>
            <w:tcW w:w="1293" w:type="dxa"/>
          </w:tcPr>
          <w:p w:rsidR="008131C7" w:rsidRPr="003A4F26" w:rsidRDefault="008131C7" w:rsidP="008131C7">
            <w:pPr>
              <w:spacing w:after="0" w:line="240" w:lineRule="auto"/>
              <w:rPr>
                <w:rFonts w:ascii="Times New Roman" w:hAnsi="Times New Roman"/>
                <w:lang w:val="en-GB" w:eastAsia="bg-BG"/>
              </w:rPr>
            </w:pPr>
            <w:r w:rsidRPr="003A4F26">
              <w:rPr>
                <w:rFonts w:ascii="Times New Roman" w:hAnsi="Times New Roman"/>
                <w:lang w:eastAsia="bg-BG"/>
              </w:rPr>
              <w:t>Брой</w:t>
            </w:r>
          </w:p>
        </w:tc>
        <w:tc>
          <w:tcPr>
            <w:tcW w:w="1258"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 xml:space="preserve">най-малко </w:t>
            </w:r>
            <w:r w:rsidRPr="003A4F26">
              <w:rPr>
                <w:rFonts w:ascii="Times New Roman" w:hAnsi="Times New Roman"/>
                <w:lang w:val="en-GB" w:eastAsia="bg-BG"/>
              </w:rPr>
              <w:t>2</w:t>
            </w:r>
            <w:r w:rsidRPr="003A4F26">
              <w:rPr>
                <w:rFonts w:ascii="Times New Roman" w:hAnsi="Times New Roman"/>
                <w:lang w:eastAsia="bg-BG"/>
              </w:rPr>
              <w:t>0.</w:t>
            </w:r>
          </w:p>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Постоянен или нарастващ</w:t>
            </w:r>
          </w:p>
        </w:tc>
        <w:tc>
          <w:tcPr>
            <w:tcW w:w="2817"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 xml:space="preserve">Имайки предвид, че малкият подковонос използва разнообразни убежища, в това число и антропогенни структури, които са в изобилие в </w:t>
            </w:r>
            <w:r w:rsidRPr="003A4F26">
              <w:rPr>
                <w:rFonts w:ascii="Times New Roman" w:hAnsi="Times New Roman"/>
                <w:lang w:val="en-GB" w:eastAsia="bg-BG"/>
              </w:rPr>
              <w:t>близост до зоната</w:t>
            </w:r>
            <w:r w:rsidRPr="003A4F26">
              <w:rPr>
                <w:rFonts w:ascii="Times New Roman" w:hAnsi="Times New Roman"/>
                <w:lang w:eastAsia="bg-BG"/>
              </w:rPr>
              <w:t>, може да се допусне, че потенциалният брой размножителни убежища зависи главно от площна на хранителните местообитания. Ако се приеме максималната стойност на индивидуална площ, използвана за изхранване (50 ха) и значително припокриване на териториите на отделните женски в размножителната колония, то в такъв случай, на основата на направената оценка на площта на ловната територия (</w:t>
            </w:r>
            <w:r w:rsidRPr="003A4F26">
              <w:rPr>
                <w:rFonts w:cs="Calibri"/>
                <w:color w:val="000000"/>
                <w:lang w:eastAsia="bg-BG"/>
              </w:rPr>
              <w:t>1277</w:t>
            </w:r>
            <w:r w:rsidRPr="003A4F26">
              <w:rPr>
                <w:rFonts w:ascii="Times New Roman" w:hAnsi="Times New Roman"/>
                <w:lang w:eastAsia="bg-BG"/>
              </w:rPr>
              <w:t xml:space="preserve">ха), може да се каже, че капацитета на зоната е </w:t>
            </w:r>
            <w:r w:rsidRPr="003A4F26">
              <w:rPr>
                <w:rFonts w:ascii="Times New Roman" w:hAnsi="Times New Roman"/>
                <w:lang w:val="en-GB" w:eastAsia="bg-BG"/>
              </w:rPr>
              <w:t xml:space="preserve">ок. 25 </w:t>
            </w:r>
            <w:r w:rsidRPr="003A4F26">
              <w:rPr>
                <w:rFonts w:ascii="Times New Roman" w:hAnsi="Times New Roman"/>
                <w:lang w:eastAsia="bg-BG"/>
              </w:rPr>
              <w:t xml:space="preserve">колонии. Тази стойност може да се разглежда като максимална, тъй като в условията на ограничени хранителни ресурси припокриването на индивидуалните участъци може да е по-малко. На тази основа за минимална стойност може да се приеме 20 колонии. Тъй </w:t>
            </w:r>
            <w:r w:rsidRPr="003A4F26">
              <w:rPr>
                <w:rFonts w:ascii="Times New Roman" w:hAnsi="Times New Roman"/>
                <w:lang w:eastAsia="bg-BG"/>
              </w:rPr>
              <w:lastRenderedPageBreak/>
              <w:t xml:space="preserve">като досега не са регистрирани размножителни колонии  в зоната необходимо е формулиране на междинна цел за установяване на броя на размножителните колонии </w:t>
            </w:r>
          </w:p>
        </w:tc>
        <w:tc>
          <w:tcPr>
            <w:tcW w:w="1685" w:type="dxa"/>
          </w:tcPr>
          <w:p w:rsidR="008131C7" w:rsidRPr="003A4F26" w:rsidRDefault="008131C7" w:rsidP="008131C7">
            <w:pPr>
              <w:spacing w:before="120" w:after="120" w:line="240" w:lineRule="auto"/>
              <w:jc w:val="both"/>
              <w:rPr>
                <w:rFonts w:ascii="Times New Roman" w:hAnsi="Times New Roman"/>
                <w:lang w:eastAsia="bg-BG"/>
              </w:rPr>
            </w:pPr>
            <w:r w:rsidRPr="003A4F26">
              <w:rPr>
                <w:rFonts w:ascii="Times New Roman" w:hAnsi="Times New Roman"/>
                <w:lang w:eastAsia="bg-BG"/>
              </w:rPr>
              <w:lastRenderedPageBreak/>
              <w:t>Междинна цел: Да се установи броят на размножителните колонии до 2025 г.</w:t>
            </w:r>
          </w:p>
          <w:p w:rsidR="008131C7" w:rsidRPr="003A4F26" w:rsidRDefault="008131C7" w:rsidP="008131C7">
            <w:pPr>
              <w:spacing w:after="0" w:line="240" w:lineRule="auto"/>
              <w:rPr>
                <w:rFonts w:ascii="Times New Roman" w:hAnsi="Times New Roman"/>
                <w:lang w:eastAsia="bg-BG"/>
              </w:rPr>
            </w:pPr>
          </w:p>
        </w:tc>
      </w:tr>
      <w:tr w:rsidR="008131C7" w:rsidRPr="003A4F26" w:rsidTr="003D13A8">
        <w:tc>
          <w:tcPr>
            <w:tcW w:w="2235"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lastRenderedPageBreak/>
              <w:t>Популация: Брой възрастни женски в размножителна колония/убежище</w:t>
            </w:r>
          </w:p>
        </w:tc>
        <w:tc>
          <w:tcPr>
            <w:tcW w:w="1293"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Брой</w:t>
            </w:r>
          </w:p>
        </w:tc>
        <w:tc>
          <w:tcPr>
            <w:tcW w:w="1258" w:type="dxa"/>
          </w:tcPr>
          <w:p w:rsidR="008131C7" w:rsidRPr="003A4F26" w:rsidRDefault="008131C7" w:rsidP="008131C7">
            <w:pPr>
              <w:spacing w:after="0" w:line="240" w:lineRule="auto"/>
              <w:rPr>
                <w:rFonts w:ascii="Times New Roman" w:hAnsi="Times New Roman"/>
                <w:lang w:val="en-GB" w:eastAsia="bg-BG"/>
              </w:rPr>
            </w:pPr>
            <w:r w:rsidRPr="003A4F26">
              <w:rPr>
                <w:rFonts w:ascii="Times New Roman" w:hAnsi="Times New Roman"/>
                <w:lang w:eastAsia="bg-BG"/>
              </w:rPr>
              <w:t>15 Постоянен или нарастващ</w:t>
            </w:r>
          </w:p>
        </w:tc>
        <w:tc>
          <w:tcPr>
            <w:tcW w:w="2817"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 xml:space="preserve">Целевата стойност кореспондира със средната стойност на размножителните колонии у нас. Зоната предоставя възможности за размножителни колонии, главно в сгради, но също и в скалните карстови разкрития в северната част на зоната. </w:t>
            </w:r>
          </w:p>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Тъй като досега видът не е регистриран в зоната необходимо е формулиране на междинна цел за установяване на размножителните колонии и броят женски в тях.</w:t>
            </w:r>
          </w:p>
        </w:tc>
        <w:tc>
          <w:tcPr>
            <w:tcW w:w="1685" w:type="dxa"/>
          </w:tcPr>
          <w:p w:rsidR="008131C7" w:rsidRPr="003A4F26" w:rsidRDefault="008131C7" w:rsidP="008131C7">
            <w:pPr>
              <w:spacing w:before="120" w:after="120" w:line="240" w:lineRule="auto"/>
              <w:jc w:val="both"/>
              <w:rPr>
                <w:rFonts w:ascii="Times New Roman" w:hAnsi="Times New Roman"/>
                <w:lang w:eastAsia="bg-BG"/>
              </w:rPr>
            </w:pPr>
            <w:r w:rsidRPr="003A4F26">
              <w:rPr>
                <w:rFonts w:ascii="Times New Roman" w:hAnsi="Times New Roman"/>
                <w:lang w:eastAsia="bg-BG"/>
              </w:rPr>
              <w:t>Междинна цел: Да се установи броят на размножителните колонии и да се определи броят женски в тях до 2025 г.</w:t>
            </w:r>
          </w:p>
          <w:p w:rsidR="008131C7" w:rsidRPr="003A4F26" w:rsidRDefault="008131C7" w:rsidP="008131C7">
            <w:pPr>
              <w:spacing w:after="0" w:line="240" w:lineRule="auto"/>
              <w:rPr>
                <w:rFonts w:ascii="Times New Roman" w:hAnsi="Times New Roman"/>
                <w:lang w:val="en-GB" w:eastAsia="bg-BG"/>
              </w:rPr>
            </w:pPr>
          </w:p>
        </w:tc>
      </w:tr>
      <w:tr w:rsidR="008131C7" w:rsidRPr="003A4F26" w:rsidTr="003D13A8">
        <w:tc>
          <w:tcPr>
            <w:tcW w:w="2235"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Популация: Брой зимни убежища (опционално)</w:t>
            </w:r>
          </w:p>
        </w:tc>
        <w:tc>
          <w:tcPr>
            <w:tcW w:w="1293"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Брой</w:t>
            </w:r>
          </w:p>
        </w:tc>
        <w:tc>
          <w:tcPr>
            <w:tcW w:w="1258"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неизвестен</w:t>
            </w:r>
          </w:p>
        </w:tc>
        <w:tc>
          <w:tcPr>
            <w:tcW w:w="2817"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В зоната има условия за хибернация, но  локализацията и броят на убежищата  в границите на зоната</w:t>
            </w:r>
            <w:r w:rsidRPr="003A4F26">
              <w:rPr>
                <w:rFonts w:ascii="Times New Roman" w:hAnsi="Times New Roman"/>
                <w:lang w:val="en-GB" w:eastAsia="bg-BG"/>
              </w:rPr>
              <w:t xml:space="preserve"> </w:t>
            </w:r>
            <w:r w:rsidRPr="003A4F26">
              <w:rPr>
                <w:rFonts w:ascii="Times New Roman" w:hAnsi="Times New Roman"/>
                <w:lang w:eastAsia="bg-BG"/>
              </w:rPr>
              <w:t xml:space="preserve">са неизвестни </w:t>
            </w:r>
            <w:r w:rsidRPr="003A4F26">
              <w:rPr>
                <w:rFonts w:ascii="Times New Roman" w:hAnsi="Times New Roman"/>
                <w:lang w:val="en-GB" w:eastAsia="bg-BG"/>
              </w:rPr>
              <w:t>-</w:t>
            </w:r>
            <w:r w:rsidRPr="003A4F26">
              <w:rPr>
                <w:rFonts w:ascii="Times New Roman" w:hAnsi="Times New Roman"/>
                <w:lang w:eastAsia="bg-BG"/>
              </w:rPr>
              <w:t xml:space="preserve"> необходимо е формулиране на междинна цел за установяване на местата за зимуване</w:t>
            </w:r>
          </w:p>
        </w:tc>
        <w:tc>
          <w:tcPr>
            <w:tcW w:w="1685" w:type="dxa"/>
          </w:tcPr>
          <w:p w:rsidR="008131C7" w:rsidRPr="003A4F26" w:rsidRDefault="008131C7" w:rsidP="008131C7">
            <w:pPr>
              <w:spacing w:before="120" w:after="120" w:line="240" w:lineRule="auto"/>
              <w:jc w:val="both"/>
              <w:rPr>
                <w:rFonts w:ascii="Times New Roman" w:hAnsi="Times New Roman"/>
                <w:lang w:eastAsia="bg-BG"/>
              </w:rPr>
            </w:pPr>
            <w:r w:rsidRPr="003A4F26">
              <w:rPr>
                <w:rFonts w:ascii="Times New Roman" w:hAnsi="Times New Roman"/>
                <w:lang w:eastAsia="bg-BG"/>
              </w:rPr>
              <w:t>Междинна цел: Да се установи броят на хибернационните убежища до 2025 г.</w:t>
            </w:r>
          </w:p>
          <w:p w:rsidR="008131C7" w:rsidRPr="003A4F26" w:rsidRDefault="008131C7" w:rsidP="008131C7">
            <w:pPr>
              <w:spacing w:after="0" w:line="240" w:lineRule="auto"/>
              <w:rPr>
                <w:rFonts w:ascii="Times New Roman" w:hAnsi="Times New Roman"/>
                <w:lang w:val="en-GB" w:eastAsia="bg-BG"/>
              </w:rPr>
            </w:pPr>
          </w:p>
        </w:tc>
      </w:tr>
      <w:tr w:rsidR="008131C7" w:rsidRPr="003A4F26" w:rsidTr="003D13A8">
        <w:tc>
          <w:tcPr>
            <w:tcW w:w="2235"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Популация: Брой индивиди в зимно убежище (опционално)</w:t>
            </w:r>
          </w:p>
        </w:tc>
        <w:tc>
          <w:tcPr>
            <w:tcW w:w="1293"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Брой</w:t>
            </w:r>
          </w:p>
        </w:tc>
        <w:tc>
          <w:tcPr>
            <w:tcW w:w="1258"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неизвестен</w:t>
            </w:r>
          </w:p>
        </w:tc>
        <w:tc>
          <w:tcPr>
            <w:tcW w:w="2817"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В зоната има условия за хибернация, но  локализацията, броят на убежищата и броят на зимуващите прилепи  са неизвестни - необходимо е формулиране на междинна цел за установяване на местата за зимуване и броя на зимуващите в тях прилепи</w:t>
            </w:r>
          </w:p>
        </w:tc>
        <w:tc>
          <w:tcPr>
            <w:tcW w:w="1685" w:type="dxa"/>
          </w:tcPr>
          <w:p w:rsidR="008131C7" w:rsidRPr="003A4F26" w:rsidRDefault="008131C7" w:rsidP="008131C7">
            <w:pPr>
              <w:spacing w:before="120" w:after="120" w:line="240" w:lineRule="auto"/>
              <w:jc w:val="both"/>
              <w:rPr>
                <w:rFonts w:ascii="Times New Roman" w:hAnsi="Times New Roman"/>
                <w:lang w:eastAsia="bg-BG"/>
              </w:rPr>
            </w:pPr>
            <w:r w:rsidRPr="003A4F26">
              <w:rPr>
                <w:rFonts w:ascii="Times New Roman" w:hAnsi="Times New Roman"/>
                <w:lang w:eastAsia="bg-BG"/>
              </w:rPr>
              <w:t>Междинна цел: Да се установи броя на хибернационните убежища и да се определи броя зимуващите в тях прилепи до 2025 г.</w:t>
            </w:r>
          </w:p>
          <w:p w:rsidR="008131C7" w:rsidRPr="003A4F26" w:rsidRDefault="008131C7" w:rsidP="008131C7">
            <w:pPr>
              <w:spacing w:after="0" w:line="240" w:lineRule="auto"/>
              <w:rPr>
                <w:rFonts w:ascii="Times New Roman" w:hAnsi="Times New Roman"/>
                <w:lang w:val="en-GB" w:eastAsia="bg-BG"/>
              </w:rPr>
            </w:pPr>
          </w:p>
        </w:tc>
      </w:tr>
      <w:tr w:rsidR="008131C7" w:rsidRPr="003A4F26" w:rsidTr="003D13A8">
        <w:tc>
          <w:tcPr>
            <w:tcW w:w="2235"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Местообитание на вида: Площ на подходящите/хранителните местообитания на вида</w:t>
            </w:r>
          </w:p>
        </w:tc>
        <w:tc>
          <w:tcPr>
            <w:tcW w:w="1293"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val="en-GB" w:eastAsia="bg-BG"/>
              </w:rPr>
              <w:t>ha</w:t>
            </w:r>
          </w:p>
        </w:tc>
        <w:tc>
          <w:tcPr>
            <w:tcW w:w="1258"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1277</w:t>
            </w:r>
          </w:p>
        </w:tc>
        <w:tc>
          <w:tcPr>
            <w:tcW w:w="2817"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en-GB"/>
              </w:rPr>
              <w:t xml:space="preserve">В резултат от GIS анализ, основан на прилагане  на екологични критерии площта на хранителните местообитания е  ок. 1277 ха. Според проведените </w:t>
            </w:r>
            <w:r w:rsidRPr="003A4F26">
              <w:rPr>
                <w:rFonts w:ascii="Times New Roman" w:hAnsi="Times New Roman"/>
                <w:lang w:eastAsia="en-GB"/>
              </w:rPr>
              <w:lastRenderedPageBreak/>
              <w:t>пилотни изследвания в зоната състоянието им като потенциални местообитания на прилепи е добро, което се доказва и от регистрираната висока активност на много видове</w:t>
            </w:r>
            <w:r w:rsidRPr="003A4F26">
              <w:rPr>
                <w:rFonts w:ascii="Times New Roman" w:hAnsi="Times New Roman"/>
                <w:lang w:val="en-GB" w:eastAsia="en-GB"/>
              </w:rPr>
              <w:t xml:space="preserve"> прилепи</w:t>
            </w:r>
            <w:r w:rsidRPr="003A4F26">
              <w:rPr>
                <w:rFonts w:ascii="Times New Roman" w:hAnsi="Times New Roman"/>
                <w:lang w:eastAsia="en-GB"/>
              </w:rPr>
              <w:t>, вкл. и целеви.</w:t>
            </w:r>
          </w:p>
        </w:tc>
        <w:tc>
          <w:tcPr>
            <w:tcW w:w="1685" w:type="dxa"/>
          </w:tcPr>
          <w:p w:rsidR="008131C7" w:rsidRPr="003A4F26" w:rsidRDefault="008131C7" w:rsidP="008131C7">
            <w:pPr>
              <w:spacing w:after="0" w:line="240" w:lineRule="auto"/>
              <w:rPr>
                <w:rFonts w:ascii="Times New Roman" w:hAnsi="Times New Roman"/>
                <w:lang w:val="en-GB" w:eastAsia="bg-BG"/>
              </w:rPr>
            </w:pPr>
            <w:r w:rsidRPr="003A4F26">
              <w:rPr>
                <w:rFonts w:ascii="Times New Roman" w:hAnsi="Times New Roman"/>
                <w:lang w:eastAsia="bg-BG"/>
              </w:rPr>
              <w:lastRenderedPageBreak/>
              <w:t>Поддържане на благоприятното състояние  на подходящите местообитания</w:t>
            </w:r>
          </w:p>
        </w:tc>
      </w:tr>
      <w:tr w:rsidR="008131C7" w:rsidRPr="003A4F26" w:rsidTr="003D13A8">
        <w:tc>
          <w:tcPr>
            <w:tcW w:w="2235"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lastRenderedPageBreak/>
              <w:t>Заплахи и влияния: Безпокойство в убежищата (размножителни, зимни)</w:t>
            </w:r>
          </w:p>
        </w:tc>
        <w:tc>
          <w:tcPr>
            <w:tcW w:w="1293"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Присъствие/отсъствие</w:t>
            </w:r>
          </w:p>
        </w:tc>
        <w:tc>
          <w:tcPr>
            <w:tcW w:w="1258"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Отсъствие</w:t>
            </w:r>
          </w:p>
        </w:tc>
        <w:tc>
          <w:tcPr>
            <w:tcW w:w="2817"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Видът е чувствителен към безпокойство в убежищата за размножаване и зимуване. Най-често то е причинено от вандализъм и иманярство – различни форми на прогонване на индивиди, палене на огън, и др. При теренните проучвания не са регистрирани възможности за такова безпокойство.</w:t>
            </w:r>
          </w:p>
        </w:tc>
        <w:tc>
          <w:tcPr>
            <w:tcW w:w="1685" w:type="dxa"/>
          </w:tcPr>
          <w:p w:rsidR="008131C7" w:rsidRPr="003A4F26" w:rsidRDefault="008131C7" w:rsidP="008131C7">
            <w:pPr>
              <w:spacing w:after="0" w:line="240" w:lineRule="auto"/>
              <w:rPr>
                <w:rFonts w:ascii="Times New Roman" w:hAnsi="Times New Roman"/>
                <w:lang w:val="en-GB" w:eastAsia="bg-BG"/>
              </w:rPr>
            </w:pPr>
            <w:r w:rsidRPr="003A4F26">
              <w:rPr>
                <w:rFonts w:ascii="Times New Roman" w:hAnsi="Times New Roman"/>
                <w:lang w:eastAsia="bg-BG"/>
              </w:rPr>
              <w:t>Поддържане на състоянието чрез минимизиране/ отстраняване на безпокойство в установените убежища</w:t>
            </w:r>
          </w:p>
        </w:tc>
      </w:tr>
    </w:tbl>
    <w:p w:rsidR="008131C7" w:rsidRPr="008131C7" w:rsidRDefault="008131C7" w:rsidP="008131C7">
      <w:pPr>
        <w:spacing w:after="0" w:line="240" w:lineRule="auto"/>
        <w:rPr>
          <w:rFonts w:ascii="Times New Roman" w:hAnsi="Times New Roman"/>
          <w:sz w:val="24"/>
          <w:szCs w:val="24"/>
          <w:lang w:val="en-GB" w:eastAsia="bg-BG"/>
        </w:rPr>
      </w:pPr>
    </w:p>
    <w:p w:rsidR="008131C7" w:rsidRPr="008131C7" w:rsidRDefault="008131C7" w:rsidP="008131C7">
      <w:pPr>
        <w:spacing w:before="120" w:after="120" w:line="240" w:lineRule="auto"/>
        <w:jc w:val="both"/>
        <w:rPr>
          <w:rFonts w:ascii="Times New Roman" w:hAnsi="Times New Roman"/>
          <w:sz w:val="24"/>
          <w:szCs w:val="24"/>
          <w:lang w:eastAsia="bg-BG"/>
        </w:rPr>
      </w:pPr>
      <w:r w:rsidRPr="008131C7">
        <w:rPr>
          <w:rFonts w:ascii="Times New Roman" w:hAnsi="Times New Roman"/>
          <w:b/>
          <w:sz w:val="24"/>
          <w:szCs w:val="24"/>
          <w:lang w:val="en-GB" w:eastAsia="bg-BG"/>
        </w:rPr>
        <w:t xml:space="preserve">7. </w:t>
      </w:r>
      <w:r w:rsidRPr="008131C7">
        <w:rPr>
          <w:rFonts w:ascii="Times New Roman" w:hAnsi="Times New Roman"/>
          <w:b/>
          <w:sz w:val="24"/>
          <w:szCs w:val="24"/>
          <w:lang w:eastAsia="bg-BG"/>
        </w:rPr>
        <w:t>Необходимост от промени в СФ</w:t>
      </w:r>
      <w:r w:rsidR="00D945E2">
        <w:rPr>
          <w:rFonts w:ascii="Times New Roman" w:hAnsi="Times New Roman"/>
          <w:b/>
          <w:sz w:val="24"/>
          <w:szCs w:val="24"/>
          <w:lang w:eastAsia="bg-BG"/>
        </w:rPr>
        <w:t xml:space="preserve"> за защитената зона</w:t>
      </w:r>
    </w:p>
    <w:p w:rsidR="008131C7" w:rsidRPr="008131C7" w:rsidRDefault="008131C7" w:rsidP="008131C7">
      <w:pPr>
        <w:suppressAutoHyphens/>
        <w:spacing w:before="120" w:after="120" w:line="240" w:lineRule="auto"/>
        <w:jc w:val="both"/>
        <w:rPr>
          <w:rFonts w:ascii="Times New Roman" w:hAnsi="Times New Roman"/>
          <w:sz w:val="24"/>
          <w:szCs w:val="24"/>
          <w:lang w:eastAsia="zh-CN"/>
        </w:rPr>
      </w:pPr>
      <w:r w:rsidRPr="008131C7">
        <w:rPr>
          <w:rFonts w:ascii="Times New Roman" w:hAnsi="Times New Roman"/>
          <w:sz w:val="24"/>
          <w:szCs w:val="24"/>
          <w:lang w:eastAsia="zh-CN"/>
        </w:rPr>
        <w:t>Не се налага промяна на стандартния формуляр.</w:t>
      </w:r>
    </w:p>
    <w:p w:rsidR="008131C7" w:rsidRPr="008131C7" w:rsidRDefault="008131C7" w:rsidP="008131C7">
      <w:pPr>
        <w:spacing w:before="120" w:after="120" w:line="240" w:lineRule="auto"/>
        <w:jc w:val="both"/>
        <w:rPr>
          <w:rFonts w:ascii="Times New Roman" w:eastAsia="Calibri" w:hAnsi="Times New Roman"/>
          <w:b/>
          <w:sz w:val="24"/>
          <w:szCs w:val="24"/>
          <w:lang w:eastAsia="bg-BG"/>
        </w:rPr>
      </w:pPr>
      <w:r w:rsidRPr="008131C7">
        <w:rPr>
          <w:rFonts w:ascii="Times New Roman" w:eastAsia="Calibri" w:hAnsi="Times New Roman"/>
          <w:b/>
          <w:sz w:val="24"/>
          <w:szCs w:val="24"/>
          <w:lang w:val="en-GB" w:eastAsia="bg-BG"/>
        </w:rPr>
        <w:t xml:space="preserve">8. </w:t>
      </w:r>
      <w:r w:rsidRPr="008131C7">
        <w:rPr>
          <w:rFonts w:ascii="Times New Roman" w:eastAsia="Calibri" w:hAnsi="Times New Roman"/>
          <w:b/>
          <w:sz w:val="24"/>
          <w:szCs w:val="24"/>
          <w:lang w:eastAsia="bg-BG"/>
        </w:rPr>
        <w:t>Цитирана литература</w:t>
      </w:r>
    </w:p>
    <w:p w:rsidR="008131C7" w:rsidRPr="008131C7" w:rsidRDefault="008131C7" w:rsidP="003D13A8">
      <w:pPr>
        <w:spacing w:after="0" w:line="240" w:lineRule="auto"/>
        <w:ind w:left="709" w:hanging="709"/>
        <w:jc w:val="both"/>
        <w:rPr>
          <w:rFonts w:ascii="Times New Roman" w:hAnsi="Times New Roman"/>
          <w:color w:val="000000"/>
          <w:sz w:val="24"/>
          <w:szCs w:val="24"/>
          <w:lang w:val="en-GB" w:eastAsia="bg-BG"/>
        </w:rPr>
      </w:pPr>
      <w:r w:rsidRPr="008131C7">
        <w:rPr>
          <w:rFonts w:ascii="Times New Roman" w:hAnsi="Times New Roman"/>
          <w:color w:val="000000"/>
          <w:sz w:val="24"/>
          <w:szCs w:val="24"/>
          <w:lang w:eastAsia="bg-BG"/>
        </w:rPr>
        <w:t>Иванова</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Т., Попов</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В. 2007. Разред Прилепи (Chiroptera). с. 89 - 162. В: Попов В. и др. Бозайниците важни за опазване в България . Dutch Mammal Society. Arnhem, The Netherlands. ISBN 978 - 90 - 73162 - 93 - 8.</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lang w:eastAsia="bg-BG"/>
        </w:rPr>
        <w:t>Пандурска</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Р., 1995. Разпространение и биология (хранене, размножаване, зимуване) на пещерните прилепи (Chiroptera) в България. Дисерт. труд, (Инст. зоол. БАН). 174 с.</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lang w:eastAsia="bg-BG"/>
        </w:rPr>
        <w:t>Пешев</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Ц., Пешев</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Д., Попов</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В. 2004. Фауна на България, т.27. Mammalia. Акад. Изд. Марин Дринов, София, 632 с.</w:t>
      </w:r>
    </w:p>
    <w:p w:rsidR="008131C7" w:rsidRPr="008131C7" w:rsidRDefault="008131C7" w:rsidP="003D13A8">
      <w:pPr>
        <w:spacing w:after="0" w:line="240" w:lineRule="auto"/>
        <w:ind w:left="709" w:hanging="709"/>
        <w:jc w:val="both"/>
        <w:rPr>
          <w:rFonts w:ascii="Times New Roman" w:hAnsi="Times New Roman"/>
          <w:color w:val="000000"/>
          <w:sz w:val="24"/>
          <w:szCs w:val="24"/>
          <w:lang w:eastAsia="bg-BG"/>
        </w:rPr>
      </w:pPr>
      <w:r w:rsidRPr="008131C7">
        <w:rPr>
          <w:rFonts w:ascii="Times New Roman" w:hAnsi="Times New Roman"/>
          <w:color w:val="000000"/>
          <w:sz w:val="24"/>
          <w:szCs w:val="24"/>
          <w:lang w:eastAsia="bg-BG"/>
        </w:rPr>
        <w:t>Billington, G., 2002. Report on a radio tracking study of lesser horseshoe bats associated with the Glynllifon Special area of Conservation. CCW Review of Consents Report No. 13, CCW, Bangor.</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lang w:eastAsia="bg-BG"/>
        </w:rPr>
        <w:t>Bontadina</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R., H. Schofield and B. Naef-Daenzer. 1999. Habitat preference in lesser horseshoe bats as revealed by radio-tracking. Abstracts of the VIIIth European Bat Research Symposium, 23–27 August, Kraków, Poland, p. 9. </w:t>
      </w:r>
    </w:p>
    <w:p w:rsidR="008131C7" w:rsidRPr="008131C7" w:rsidRDefault="008131C7" w:rsidP="003D13A8">
      <w:pPr>
        <w:spacing w:after="0" w:line="240" w:lineRule="auto"/>
        <w:ind w:left="709" w:hanging="709"/>
        <w:jc w:val="both"/>
        <w:rPr>
          <w:rFonts w:ascii="Times New Roman" w:eastAsia="Calibri" w:hAnsi="Times New Roman"/>
          <w:sz w:val="24"/>
          <w:szCs w:val="24"/>
          <w:lang w:eastAsia="bg-BG"/>
        </w:rPr>
      </w:pPr>
      <w:r w:rsidRPr="008131C7">
        <w:rPr>
          <w:rFonts w:ascii="Times New Roman" w:hAnsi="Times New Roman"/>
          <w:sz w:val="24"/>
          <w:szCs w:val="24"/>
          <w:lang w:eastAsia="bg-BG"/>
        </w:rPr>
        <w:t>Gais1er, J. 1965. The female sexual cycle and reproduction in the lesser horseshoe bat (</w:t>
      </w:r>
      <w:r w:rsidRPr="008131C7">
        <w:rPr>
          <w:rFonts w:ascii="Times New Roman" w:hAnsi="Times New Roman"/>
          <w:i/>
          <w:sz w:val="24"/>
          <w:szCs w:val="24"/>
          <w:lang w:eastAsia="bg-BG"/>
        </w:rPr>
        <w:t>Rhinolophus</w:t>
      </w:r>
      <w:r w:rsidRPr="008131C7">
        <w:rPr>
          <w:rFonts w:ascii="Times New Roman" w:hAnsi="Times New Roman"/>
          <w:i/>
          <w:sz w:val="24"/>
          <w:szCs w:val="24"/>
          <w:lang w:val="en-GB" w:eastAsia="bg-BG"/>
        </w:rPr>
        <w:t xml:space="preserve"> </w:t>
      </w:r>
      <w:r w:rsidRPr="008131C7">
        <w:rPr>
          <w:rFonts w:ascii="Times New Roman" w:hAnsi="Times New Roman"/>
          <w:i/>
          <w:sz w:val="24"/>
          <w:szCs w:val="24"/>
          <w:lang w:eastAsia="bg-BG"/>
        </w:rPr>
        <w:t>hipposideros</w:t>
      </w:r>
      <w:r w:rsidRPr="008131C7">
        <w:rPr>
          <w:rFonts w:ascii="Times New Roman" w:hAnsi="Times New Roman"/>
          <w:sz w:val="24"/>
          <w:szCs w:val="24"/>
          <w:lang w:eastAsia="bg-BG"/>
        </w:rPr>
        <w:t xml:space="preserve"> Bechstein 1800). - Vest. Cs. spol.zool., 29, 336-352</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lang w:eastAsia="bg-BG"/>
        </w:rPr>
        <w:t>Gorner,М., H. Hackethal. 1988. Saugetiere</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Europas. Leipzig, NeumanVerlag. 371 pp</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lang w:eastAsia="bg-BG"/>
        </w:rPr>
        <w:t>Holzhaider</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J., Kkriner</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E., Rudolph</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B. U., Zahn</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A. 2002. Radio-tracing a Lesser horseshoe bat </w:t>
      </w:r>
      <w:r w:rsidRPr="008131C7">
        <w:rPr>
          <w:rFonts w:ascii="Times New Roman" w:hAnsi="Times New Roman"/>
          <w:i/>
          <w:iCs/>
          <w:sz w:val="24"/>
          <w:szCs w:val="24"/>
          <w:lang w:eastAsia="bg-BG"/>
        </w:rPr>
        <w:t xml:space="preserve">Rhinolophus hipposideros </w:t>
      </w:r>
      <w:r w:rsidRPr="008131C7">
        <w:rPr>
          <w:rFonts w:ascii="Times New Roman" w:hAnsi="Times New Roman"/>
          <w:sz w:val="24"/>
          <w:szCs w:val="24"/>
          <w:lang w:eastAsia="bg-BG"/>
        </w:rPr>
        <w:t>in Bavaria: an experiment to locate roosts and foraging sites. Myotis,</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 xml:space="preserve">40: 47 - 54 </w:t>
      </w:r>
    </w:p>
    <w:p w:rsidR="008131C7" w:rsidRPr="008131C7" w:rsidRDefault="008131C7" w:rsidP="003D13A8">
      <w:pPr>
        <w:spacing w:after="0" w:line="240" w:lineRule="auto"/>
        <w:ind w:left="709" w:hanging="709"/>
        <w:jc w:val="both"/>
        <w:rPr>
          <w:rFonts w:ascii="Times New Roman" w:eastAsia="Calibri" w:hAnsi="Times New Roman"/>
          <w:sz w:val="24"/>
          <w:szCs w:val="24"/>
          <w:lang w:eastAsia="bg-BG"/>
        </w:rPr>
      </w:pPr>
      <w:r w:rsidRPr="008131C7">
        <w:rPr>
          <w:rFonts w:ascii="Times New Roman" w:hAnsi="Times New Roman"/>
          <w:sz w:val="24"/>
          <w:szCs w:val="24"/>
          <w:lang w:eastAsia="bg-BG"/>
        </w:rPr>
        <w:t>McAney</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C.M., Fairley</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J.S., 1989. Analyses of the diet  of the Lesser horseshoe bat </w:t>
      </w:r>
      <w:r w:rsidRPr="008131C7">
        <w:rPr>
          <w:rFonts w:ascii="Times New Roman" w:hAnsi="Times New Roman"/>
          <w:i/>
          <w:iCs/>
          <w:sz w:val="24"/>
          <w:szCs w:val="24"/>
          <w:lang w:eastAsia="bg-BG"/>
        </w:rPr>
        <w:t xml:space="preserve">Rhinolophus hipposideros </w:t>
      </w:r>
      <w:r w:rsidRPr="008131C7">
        <w:rPr>
          <w:rFonts w:ascii="Times New Roman" w:hAnsi="Times New Roman"/>
          <w:sz w:val="24"/>
          <w:szCs w:val="24"/>
          <w:lang w:eastAsia="bg-BG"/>
        </w:rPr>
        <w:t>in the west if Ireland. J. Zool., London, 217: 491 - 498</w:t>
      </w:r>
    </w:p>
    <w:p w:rsidR="008131C7" w:rsidRPr="008131C7" w:rsidRDefault="008131C7" w:rsidP="003D13A8">
      <w:pPr>
        <w:spacing w:after="0" w:line="240" w:lineRule="auto"/>
        <w:ind w:left="709" w:hanging="709"/>
        <w:jc w:val="both"/>
        <w:rPr>
          <w:rFonts w:ascii="Times New Roman" w:hAnsi="Times New Roman"/>
          <w:sz w:val="24"/>
          <w:szCs w:val="24"/>
          <w:lang w:val="en-GB" w:eastAsia="bg-BG"/>
        </w:rPr>
      </w:pPr>
      <w:bookmarkStart w:id="94" w:name="_Hlk76380907"/>
      <w:bookmarkStart w:id="95" w:name="_Hlk76304289"/>
      <w:r w:rsidRPr="008131C7">
        <w:rPr>
          <w:rFonts w:ascii="Times New Roman" w:hAnsi="Times New Roman"/>
          <w:sz w:val="24"/>
          <w:szCs w:val="24"/>
          <w:lang w:eastAsia="bg-BG"/>
        </w:rPr>
        <w:lastRenderedPageBreak/>
        <w:t>Petrov</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B., 2001: </w:t>
      </w:r>
      <w:bookmarkEnd w:id="94"/>
      <w:r w:rsidRPr="008131C7">
        <w:rPr>
          <w:rFonts w:ascii="Times New Roman" w:hAnsi="Times New Roman"/>
          <w:sz w:val="24"/>
          <w:szCs w:val="24"/>
          <w:lang w:eastAsia="bg-BG"/>
        </w:rPr>
        <w:t>Bats (Mammalia, Chiroptera) in Kresna gorge, SW Bulgaria. Pp.: 325–330. In: Beron P. (ed.). Biodiversity of Kresna gorge. National Museum of Natural History, Institute of Zoology, Sofia, 349 pp (in Bulgarian, English summary).</w:t>
      </w:r>
      <w:bookmarkEnd w:id="95"/>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shd w:val="clear" w:color="auto" w:fill="FFFFFF"/>
          <w:lang w:eastAsia="bg-BG"/>
        </w:rPr>
        <w:t>Popov, V. 2018. Bats in Bulgaria: Patterns of Species Distribution, Richness, Rarity, and Vulnerability Derived from Distribution Models</w:t>
      </w:r>
      <w:r w:rsidRPr="008131C7">
        <w:rPr>
          <w:rFonts w:ascii="Times New Roman" w:hAnsi="Times New Roman"/>
          <w:sz w:val="24"/>
          <w:szCs w:val="24"/>
          <w:shd w:val="clear" w:color="auto" w:fill="FFFFFF"/>
          <w:lang w:val="en-GB" w:eastAsia="bg-BG"/>
        </w:rPr>
        <w:t>.  pp. 751 - 854. In: H. Mikkola (ed.). Bats</w:t>
      </w:r>
      <w:r w:rsidRPr="008131C7">
        <w:rPr>
          <w:rFonts w:ascii="Times New Roman" w:hAnsi="Times New Roman"/>
          <w:sz w:val="24"/>
          <w:szCs w:val="24"/>
          <w:shd w:val="clear" w:color="auto" w:fill="FFFFFF"/>
          <w:lang w:eastAsia="bg-BG"/>
        </w:rPr>
        <w:t>.http://dx.doi.org/10.5772/intechopen.73623</w:t>
      </w:r>
    </w:p>
    <w:p w:rsidR="008131C7" w:rsidRPr="008131C7" w:rsidRDefault="008131C7" w:rsidP="003D13A8">
      <w:pPr>
        <w:spacing w:after="0" w:line="240" w:lineRule="auto"/>
        <w:ind w:left="709" w:hanging="709"/>
        <w:jc w:val="both"/>
        <w:rPr>
          <w:rFonts w:ascii="Times New Roman" w:hAnsi="Times New Roman"/>
          <w:sz w:val="24"/>
          <w:szCs w:val="24"/>
          <w:lang w:val="en-GB" w:eastAsia="bg-BG"/>
        </w:rPr>
      </w:pPr>
      <w:r w:rsidRPr="008131C7">
        <w:rPr>
          <w:rFonts w:ascii="Times New Roman" w:hAnsi="Times New Roman"/>
          <w:sz w:val="24"/>
          <w:szCs w:val="24"/>
          <w:lang w:eastAsia="bg-BG"/>
        </w:rPr>
        <w:t>Racey</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P. A.,1998. Ecology of European </w:t>
      </w:r>
      <w:r w:rsidRPr="008131C7">
        <w:rPr>
          <w:rFonts w:ascii="Times New Roman" w:hAnsi="Times New Roman"/>
          <w:sz w:val="24"/>
          <w:szCs w:val="24"/>
          <w:lang w:val="en-GB" w:eastAsia="bg-BG"/>
        </w:rPr>
        <w:t>b</w:t>
      </w:r>
      <w:r w:rsidRPr="008131C7">
        <w:rPr>
          <w:rFonts w:ascii="Times New Roman" w:hAnsi="Times New Roman"/>
          <w:sz w:val="24"/>
          <w:szCs w:val="24"/>
          <w:lang w:eastAsia="bg-BG"/>
        </w:rPr>
        <w:t xml:space="preserve">ats in </w:t>
      </w:r>
      <w:r w:rsidRPr="008131C7">
        <w:rPr>
          <w:rFonts w:ascii="Times New Roman" w:hAnsi="Times New Roman"/>
          <w:sz w:val="24"/>
          <w:szCs w:val="24"/>
          <w:lang w:val="en-GB" w:eastAsia="bg-BG"/>
        </w:rPr>
        <w:t>r</w:t>
      </w:r>
      <w:r w:rsidRPr="008131C7">
        <w:rPr>
          <w:rFonts w:ascii="Times New Roman" w:hAnsi="Times New Roman"/>
          <w:sz w:val="24"/>
          <w:szCs w:val="24"/>
          <w:lang w:eastAsia="bg-BG"/>
        </w:rPr>
        <w:t>elation to their conservation. In Kunz, T.H., Racey P. A.. (Eds.), Smithsonian Institution Press, Washington and London:</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249 - 260</w:t>
      </w:r>
      <w:r w:rsidRPr="008131C7">
        <w:rPr>
          <w:rFonts w:ascii="Times New Roman" w:hAnsi="Times New Roman"/>
          <w:sz w:val="24"/>
          <w:szCs w:val="24"/>
          <w:lang w:val="en-GB" w:eastAsia="bg-BG"/>
        </w:rPr>
        <w:t>.</w:t>
      </w:r>
    </w:p>
    <w:p w:rsidR="008131C7" w:rsidRPr="008131C7" w:rsidRDefault="008131C7" w:rsidP="003D13A8">
      <w:pPr>
        <w:spacing w:after="0" w:line="240" w:lineRule="auto"/>
        <w:ind w:left="709" w:hanging="709"/>
        <w:jc w:val="both"/>
        <w:rPr>
          <w:rFonts w:ascii="Times New Roman" w:hAnsi="Times New Roman"/>
          <w:sz w:val="24"/>
          <w:szCs w:val="24"/>
          <w:lang w:val="en-GB" w:eastAsia="bg-BG"/>
        </w:rPr>
      </w:pPr>
      <w:r w:rsidRPr="008131C7">
        <w:rPr>
          <w:rFonts w:ascii="Times New Roman" w:hAnsi="Times New Roman"/>
          <w:sz w:val="24"/>
          <w:szCs w:val="24"/>
          <w:lang w:eastAsia="bg-BG"/>
        </w:rPr>
        <w:t xml:space="preserve">Reiter, G. 2004. The importance of woodland for </w:t>
      </w:r>
      <w:r w:rsidRPr="008131C7">
        <w:rPr>
          <w:rFonts w:ascii="Times New Roman" w:hAnsi="Times New Roman"/>
          <w:i/>
          <w:iCs/>
          <w:sz w:val="24"/>
          <w:szCs w:val="24"/>
          <w:lang w:eastAsia="bg-BG"/>
        </w:rPr>
        <w:t>Rhinolophus hipposideros</w:t>
      </w:r>
      <w:r w:rsidRPr="008131C7">
        <w:rPr>
          <w:rFonts w:ascii="Times New Roman" w:hAnsi="Times New Roman"/>
          <w:sz w:val="24"/>
          <w:szCs w:val="24"/>
          <w:lang w:eastAsia="bg-BG"/>
        </w:rPr>
        <w:t>) Chiroptera, Rhinolophidae). J. Zool., London, 262: 231 - 241</w:t>
      </w:r>
      <w:r w:rsidRPr="008131C7">
        <w:rPr>
          <w:rFonts w:ascii="Times New Roman" w:hAnsi="Times New Roman"/>
          <w:sz w:val="24"/>
          <w:szCs w:val="24"/>
          <w:lang w:val="en-GB" w:eastAsia="bg-BG"/>
        </w:rPr>
        <w:t>.</w:t>
      </w:r>
    </w:p>
    <w:p w:rsidR="008131C7" w:rsidRPr="008131C7" w:rsidRDefault="008131C7" w:rsidP="008131C7">
      <w:pPr>
        <w:spacing w:after="0" w:line="240" w:lineRule="auto"/>
        <w:rPr>
          <w:rFonts w:ascii="Times New Roman" w:hAnsi="Times New Roman"/>
          <w:sz w:val="24"/>
          <w:szCs w:val="24"/>
          <w:lang w:val="en-GB" w:eastAsia="bg-BG"/>
        </w:rPr>
      </w:pPr>
    </w:p>
    <w:p w:rsidR="008131C7" w:rsidRPr="008131C7" w:rsidRDefault="008131C7" w:rsidP="008131C7">
      <w:pPr>
        <w:spacing w:before="120" w:after="120" w:line="240" w:lineRule="auto"/>
        <w:rPr>
          <w:rFonts w:ascii="Times New Roman" w:hAnsi="Times New Roman"/>
          <w:sz w:val="24"/>
          <w:szCs w:val="24"/>
          <w:lang w:eastAsia="bg-BG"/>
        </w:rPr>
      </w:pPr>
      <w:r w:rsidRPr="008131C7">
        <w:rPr>
          <w:rFonts w:ascii="Times New Roman" w:hAnsi="Times New Roman"/>
          <w:i/>
          <w:sz w:val="24"/>
          <w:szCs w:val="24"/>
          <w:lang w:eastAsia="bg-BG"/>
        </w:rPr>
        <w:t>Автори</w:t>
      </w:r>
      <w:r w:rsidRPr="008131C7">
        <w:rPr>
          <w:rFonts w:ascii="Times New Roman" w:hAnsi="Times New Roman"/>
          <w:sz w:val="24"/>
          <w:szCs w:val="24"/>
          <w:lang w:eastAsia="bg-BG"/>
        </w:rPr>
        <w:t>: Васил Попов, Вълко Бисерков</w:t>
      </w:r>
    </w:p>
    <w:p w:rsidR="008131C7" w:rsidRPr="008131C7" w:rsidRDefault="008131C7" w:rsidP="008131C7">
      <w:pPr>
        <w:spacing w:before="120" w:after="120" w:line="240" w:lineRule="auto"/>
        <w:rPr>
          <w:rFonts w:ascii="Times New Roman" w:hAnsi="Times New Roman"/>
          <w:sz w:val="24"/>
          <w:szCs w:val="24"/>
          <w:lang w:val="en-GB" w:eastAsia="bg-BG"/>
        </w:rPr>
      </w:pPr>
    </w:p>
    <w:p w:rsidR="008131C7" w:rsidRPr="003D13A8" w:rsidRDefault="008131C7" w:rsidP="003A4F26">
      <w:pPr>
        <w:spacing w:after="0" w:line="240" w:lineRule="auto"/>
        <w:jc w:val="center"/>
        <w:outlineLvl w:val="1"/>
        <w:rPr>
          <w:rFonts w:ascii="Times New Roman" w:hAnsi="Times New Roman"/>
          <w:color w:val="1F497D"/>
          <w:sz w:val="28"/>
          <w:szCs w:val="24"/>
          <w:lang w:eastAsia="bg-BG"/>
        </w:rPr>
      </w:pPr>
      <w:bookmarkStart w:id="96" w:name="_Toc86569948"/>
      <w:bookmarkStart w:id="97" w:name="_Toc86574739"/>
      <w:bookmarkStart w:id="98" w:name="_Toc98838567"/>
      <w:bookmarkStart w:id="99" w:name="_Toc49940627"/>
      <w:r w:rsidRPr="003D13A8">
        <w:rPr>
          <w:rFonts w:ascii="Times New Roman" w:hAnsi="Times New Roman"/>
          <w:color w:val="1F497D"/>
          <w:sz w:val="28"/>
          <w:szCs w:val="24"/>
          <w:lang w:eastAsia="bg-BG"/>
        </w:rPr>
        <w:t xml:space="preserve">Природозащитни цели за 1308 </w:t>
      </w:r>
      <w:r w:rsidRPr="003D13A8">
        <w:rPr>
          <w:rFonts w:ascii="Times New Roman" w:hAnsi="Times New Roman"/>
          <w:i/>
          <w:color w:val="1F497D"/>
          <w:sz w:val="28"/>
          <w:szCs w:val="24"/>
          <w:lang w:eastAsia="bg-BG"/>
        </w:rPr>
        <w:t>Barbastella barbastellus</w:t>
      </w:r>
      <w:bookmarkEnd w:id="96"/>
      <w:bookmarkEnd w:id="97"/>
      <w:bookmarkEnd w:id="98"/>
    </w:p>
    <w:p w:rsidR="003D13A8" w:rsidRDefault="008131C7" w:rsidP="008131C7">
      <w:pPr>
        <w:spacing w:before="120" w:after="120" w:line="240" w:lineRule="auto"/>
        <w:rPr>
          <w:rFonts w:ascii="Times New Roman" w:hAnsi="Times New Roman"/>
          <w:bCs/>
          <w:color w:val="000000"/>
          <w:sz w:val="24"/>
          <w:szCs w:val="24"/>
          <w:lang w:eastAsia="bg-BG"/>
        </w:rPr>
      </w:pPr>
      <w:r w:rsidRPr="008131C7">
        <w:rPr>
          <w:rFonts w:ascii="Times New Roman" w:hAnsi="Times New Roman"/>
          <w:b/>
          <w:bCs/>
          <w:sz w:val="24"/>
          <w:szCs w:val="24"/>
          <w:lang w:eastAsia="bg-BG"/>
        </w:rPr>
        <w:t xml:space="preserve">1. Код и наименование на </w:t>
      </w:r>
      <w:bookmarkEnd w:id="99"/>
      <w:r w:rsidRPr="008131C7">
        <w:rPr>
          <w:rFonts w:ascii="Times New Roman" w:hAnsi="Times New Roman"/>
          <w:b/>
          <w:bCs/>
          <w:sz w:val="24"/>
          <w:szCs w:val="24"/>
          <w:lang w:eastAsia="bg-BG"/>
        </w:rPr>
        <w:t xml:space="preserve">вида: </w:t>
      </w:r>
      <w:r w:rsidRPr="008131C7">
        <w:rPr>
          <w:rFonts w:ascii="Times New Roman" w:hAnsi="Times New Roman"/>
          <w:sz w:val="24"/>
          <w:szCs w:val="24"/>
          <w:lang w:eastAsia="bg-BG"/>
        </w:rPr>
        <w:t>1308</w:t>
      </w:r>
      <w:r w:rsidRPr="008131C7">
        <w:rPr>
          <w:rFonts w:ascii="Times New Roman" w:hAnsi="Times New Roman"/>
          <w:sz w:val="24"/>
          <w:szCs w:val="24"/>
          <w:lang w:val="en-GB" w:eastAsia="bg-BG"/>
        </w:rPr>
        <w:t xml:space="preserve"> </w:t>
      </w:r>
      <w:r w:rsidRPr="008131C7">
        <w:rPr>
          <w:rFonts w:ascii="Times New Roman" w:hAnsi="Times New Roman"/>
          <w:i/>
          <w:iCs/>
          <w:color w:val="000000"/>
          <w:sz w:val="24"/>
          <w:szCs w:val="24"/>
          <w:lang w:eastAsia="bg-BG"/>
        </w:rPr>
        <w:t xml:space="preserve">Barbastella barbastellus </w:t>
      </w:r>
      <w:r w:rsidRPr="008131C7">
        <w:rPr>
          <w:rFonts w:ascii="Times New Roman" w:hAnsi="Times New Roman"/>
          <w:color w:val="000000"/>
          <w:sz w:val="24"/>
          <w:szCs w:val="24"/>
          <w:lang w:eastAsia="bg-BG"/>
        </w:rPr>
        <w:t>(Schreber, 1774)</w:t>
      </w:r>
      <w:r w:rsidRPr="008131C7">
        <w:rPr>
          <w:rFonts w:ascii="Times New Roman" w:hAnsi="Times New Roman"/>
          <w:b/>
          <w:bCs/>
          <w:color w:val="000000"/>
          <w:sz w:val="24"/>
          <w:szCs w:val="24"/>
          <w:lang w:eastAsia="bg-BG"/>
        </w:rPr>
        <w:t xml:space="preserve"> - </w:t>
      </w:r>
      <w:r w:rsidRPr="008131C7">
        <w:rPr>
          <w:rFonts w:ascii="Times New Roman" w:hAnsi="Times New Roman"/>
          <w:bCs/>
          <w:color w:val="000000"/>
          <w:sz w:val="24"/>
          <w:szCs w:val="24"/>
          <w:lang w:eastAsia="bg-BG"/>
        </w:rPr>
        <w:t>Широкоух прилеп</w:t>
      </w:r>
    </w:p>
    <w:p w:rsidR="008131C7" w:rsidRPr="008131C7" w:rsidRDefault="008131C7" w:rsidP="008131C7">
      <w:pPr>
        <w:spacing w:before="120" w:after="120" w:line="240" w:lineRule="auto"/>
        <w:rPr>
          <w:rFonts w:ascii="Times New Roman" w:hAnsi="Times New Roman"/>
          <w:b/>
          <w:bCs/>
          <w:sz w:val="24"/>
          <w:szCs w:val="24"/>
          <w:lang w:eastAsia="bg-BG"/>
        </w:rPr>
      </w:pPr>
      <w:r w:rsidRPr="008131C7">
        <w:rPr>
          <w:rFonts w:ascii="Times New Roman" w:hAnsi="Times New Roman"/>
          <w:b/>
          <w:bCs/>
          <w:sz w:val="24"/>
          <w:szCs w:val="24"/>
          <w:lang w:eastAsia="bg-BG"/>
        </w:rPr>
        <w:t xml:space="preserve">2. Кратка характеристика </w:t>
      </w:r>
      <w:r w:rsidR="00D945E2">
        <w:rPr>
          <w:rFonts w:ascii="Times New Roman" w:hAnsi="Times New Roman"/>
          <w:b/>
          <w:bCs/>
          <w:sz w:val="24"/>
          <w:szCs w:val="24"/>
          <w:lang w:eastAsia="bg-BG"/>
        </w:rPr>
        <w:t>на целевия обект</w:t>
      </w:r>
    </w:p>
    <w:p w:rsidR="008131C7" w:rsidRPr="008131C7" w:rsidRDefault="008131C7" w:rsidP="003D13A8">
      <w:pPr>
        <w:spacing w:after="0" w:line="240" w:lineRule="auto"/>
        <w:ind w:firstLine="709"/>
        <w:jc w:val="both"/>
        <w:rPr>
          <w:rFonts w:ascii="Times New Roman" w:hAnsi="Times New Roman"/>
          <w:color w:val="000000"/>
          <w:sz w:val="24"/>
          <w:szCs w:val="24"/>
          <w:lang w:val="en-GB" w:eastAsia="bg-BG"/>
        </w:rPr>
      </w:pPr>
      <w:r w:rsidRPr="008131C7">
        <w:rPr>
          <w:rFonts w:ascii="Times New Roman" w:hAnsi="Times New Roman"/>
          <w:color w:val="000000"/>
          <w:sz w:val="24"/>
          <w:szCs w:val="24"/>
          <w:lang w:eastAsia="bg-BG"/>
        </w:rPr>
        <w:t>Среден по размери, тъмно оцветен прилеп, с къси заоблени уши, чиито основи са сраснали. Козината е дълга, копринена. Гръбната страна е тъмнокафява, със сребрист отенък, тъй като върховете на космите са светли. Долната страна е тъмносива. Лицето и ушите са черни, а мембраните – тъмнокафяви.</w:t>
      </w:r>
    </w:p>
    <w:p w:rsidR="008131C7" w:rsidRP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Храни се главно с дребни нощни пеперуди (</w:t>
      </w:r>
      <w:r w:rsidRPr="008131C7">
        <w:rPr>
          <w:rFonts w:ascii="Times New Roman" w:hAnsi="Times New Roman"/>
          <w:sz w:val="24"/>
          <w:szCs w:val="24"/>
          <w:lang w:val="en-US" w:eastAsia="bg-BG"/>
        </w:rPr>
        <w:t xml:space="preserve">Sierro, 1999; </w:t>
      </w:r>
      <w:r w:rsidRPr="008131C7">
        <w:rPr>
          <w:rFonts w:ascii="Times New Roman" w:hAnsi="Times New Roman"/>
          <w:sz w:val="24"/>
          <w:szCs w:val="24"/>
          <w:lang w:eastAsia="bg-BG"/>
        </w:rPr>
        <w:t>Goerlitz et al. 2010; Zeale et al. 2011)</w:t>
      </w:r>
      <w:r w:rsidRPr="008131C7">
        <w:rPr>
          <w:rFonts w:ascii="Times New Roman" w:hAnsi="Times New Roman"/>
          <w:sz w:val="24"/>
          <w:szCs w:val="24"/>
          <w:lang w:val="en-US" w:eastAsia="bg-BG"/>
        </w:rPr>
        <w:t xml:space="preserve">. </w:t>
      </w:r>
      <w:r w:rsidRPr="008131C7">
        <w:rPr>
          <w:rFonts w:ascii="Times New Roman" w:hAnsi="Times New Roman"/>
          <w:sz w:val="24"/>
          <w:szCs w:val="24"/>
          <w:lang w:eastAsia="bg-BG"/>
        </w:rPr>
        <w:t>Обилието на тези насекоми е вероятно основен фактор за съществуването на вида. Предполага се, че намаляването им в резултат от селско- и горскостопански практики   (широкото използване на оргранохлоридни инсектициди) е една от главните причини за намаляване на числеността на вида в Европа  (</w:t>
      </w:r>
      <w:r w:rsidRPr="008131C7">
        <w:rPr>
          <w:rFonts w:ascii="Times New Roman" w:hAnsi="Times New Roman"/>
          <w:sz w:val="24"/>
          <w:szCs w:val="24"/>
          <w:lang w:val="en-US" w:eastAsia="bg-BG"/>
        </w:rPr>
        <w:t>Sierro, 1999</w:t>
      </w:r>
      <w:r w:rsidRPr="008131C7">
        <w:rPr>
          <w:rFonts w:ascii="Times New Roman" w:hAnsi="Times New Roman"/>
          <w:sz w:val="24"/>
          <w:szCs w:val="24"/>
          <w:lang w:eastAsia="bg-BG"/>
        </w:rPr>
        <w:t xml:space="preserve">). </w:t>
      </w:r>
    </w:p>
    <w:p w:rsidR="008131C7" w:rsidRP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Предпочита горски местообитания, а избягва скалисти места, редки гори и открити пространства  (</w:t>
      </w:r>
      <w:r w:rsidRPr="008131C7">
        <w:rPr>
          <w:rFonts w:ascii="Times New Roman" w:hAnsi="Times New Roman"/>
          <w:color w:val="000000"/>
          <w:sz w:val="24"/>
          <w:szCs w:val="24"/>
          <w:lang w:eastAsia="bg-BG"/>
        </w:rPr>
        <w:t>Sierro, 1999; Russo et al., 2004)</w:t>
      </w:r>
      <w:r w:rsidRPr="008131C7">
        <w:rPr>
          <w:rFonts w:ascii="Times New Roman" w:hAnsi="Times New Roman"/>
          <w:sz w:val="24"/>
          <w:szCs w:val="24"/>
          <w:lang w:eastAsia="bg-BG"/>
        </w:rPr>
        <w:t>. Индивидуалната територия варира в широки граници от 9 ха</w:t>
      </w:r>
      <w:r w:rsidRPr="008131C7">
        <w:rPr>
          <w:rFonts w:ascii="Times New Roman" w:hAnsi="Times New Roman"/>
          <w:color w:val="000000"/>
          <w:sz w:val="24"/>
          <w:szCs w:val="24"/>
          <w:lang w:eastAsia="bg-BG"/>
        </w:rPr>
        <w:t xml:space="preserve"> </w:t>
      </w:r>
      <w:r w:rsidRPr="008131C7">
        <w:rPr>
          <w:rFonts w:ascii="Times New Roman" w:hAnsi="Times New Roman"/>
          <w:sz w:val="24"/>
          <w:szCs w:val="24"/>
          <w:lang w:eastAsia="bg-BG"/>
        </w:rPr>
        <w:t>(</w:t>
      </w:r>
      <w:r w:rsidRPr="008131C7">
        <w:rPr>
          <w:rFonts w:ascii="Times New Roman" w:hAnsi="Times New Roman"/>
          <w:color w:val="000000"/>
          <w:sz w:val="24"/>
          <w:szCs w:val="24"/>
          <w:lang w:eastAsia="bg-BG"/>
        </w:rPr>
        <w:t>Sierro, 1999) до 56.9-1293.3 ha</w:t>
      </w:r>
      <w:r w:rsidRPr="008131C7">
        <w:rPr>
          <w:rFonts w:ascii="Times New Roman" w:hAnsi="Times New Roman"/>
          <w:sz w:val="24"/>
          <w:szCs w:val="24"/>
          <w:lang w:eastAsia="bg-BG"/>
        </w:rPr>
        <w:t xml:space="preserve">  (Carr et al., 2016). Най-посещаваните </w:t>
      </w:r>
      <w:r w:rsidRPr="008131C7">
        <w:rPr>
          <w:rFonts w:ascii="Times New Roman" w:hAnsi="Times New Roman"/>
          <w:color w:val="000000"/>
          <w:sz w:val="24"/>
          <w:szCs w:val="24"/>
          <w:lang w:eastAsia="bg-BG"/>
        </w:rPr>
        <w:t xml:space="preserve">участъци са тези, осигуряващи обилна плячка - добре </w:t>
      </w:r>
      <w:r w:rsidRPr="008131C7">
        <w:rPr>
          <w:rFonts w:ascii="Times New Roman" w:hAnsi="Times New Roman"/>
          <w:sz w:val="24"/>
          <w:szCs w:val="24"/>
          <w:lang w:eastAsia="bg-BG"/>
        </w:rPr>
        <w:t xml:space="preserve">структурирани и продуктивни </w:t>
      </w:r>
      <w:r w:rsidRPr="008131C7">
        <w:rPr>
          <w:rFonts w:ascii="Times New Roman" w:hAnsi="Times New Roman"/>
          <w:color w:val="000000"/>
          <w:sz w:val="24"/>
          <w:szCs w:val="24"/>
          <w:lang w:eastAsia="bg-BG"/>
        </w:rPr>
        <w:t xml:space="preserve">гори </w:t>
      </w:r>
      <w:r w:rsidRPr="008131C7">
        <w:rPr>
          <w:rFonts w:ascii="Times New Roman" w:hAnsi="Times New Roman"/>
          <w:sz w:val="24"/>
          <w:szCs w:val="24"/>
          <w:lang w:eastAsia="bg-BG"/>
        </w:rPr>
        <w:t>и техните окрайнини (</w:t>
      </w:r>
      <w:r w:rsidRPr="008131C7">
        <w:rPr>
          <w:rFonts w:ascii="Times New Roman" w:hAnsi="Times New Roman"/>
          <w:color w:val="000000"/>
          <w:sz w:val="24"/>
          <w:szCs w:val="24"/>
          <w:lang w:eastAsia="bg-BG"/>
        </w:rPr>
        <w:t>Sierro, 1999), к</w:t>
      </w:r>
      <w:r w:rsidRPr="008131C7">
        <w:rPr>
          <w:rFonts w:ascii="Times New Roman" w:hAnsi="Times New Roman"/>
          <w:sz w:val="24"/>
          <w:szCs w:val="24"/>
          <w:lang w:eastAsia="bg-BG"/>
        </w:rPr>
        <w:t xml:space="preserve">райбрежни местообитания, както и естествени ливади. </w:t>
      </w:r>
      <w:r w:rsidRPr="008131C7">
        <w:rPr>
          <w:rFonts w:ascii="Times New Roman" w:hAnsi="Times New Roman"/>
          <w:sz w:val="24"/>
          <w:szCs w:val="24"/>
          <w:lang w:val="en-GB" w:eastAsia="bg-BG"/>
        </w:rPr>
        <w:t xml:space="preserve">Тези </w:t>
      </w:r>
      <w:r w:rsidRPr="008131C7">
        <w:rPr>
          <w:rFonts w:ascii="Times New Roman" w:hAnsi="Times New Roman"/>
          <w:sz w:val="24"/>
          <w:szCs w:val="24"/>
          <w:lang w:eastAsia="bg-BG"/>
        </w:rPr>
        <w:t xml:space="preserve">участъци </w:t>
      </w:r>
      <w:r w:rsidRPr="008131C7">
        <w:rPr>
          <w:rFonts w:ascii="Times New Roman" w:hAnsi="Times New Roman"/>
          <w:sz w:val="24"/>
          <w:szCs w:val="24"/>
          <w:lang w:val="en-GB" w:eastAsia="bg-BG"/>
        </w:rPr>
        <w:t xml:space="preserve">са много малка част от </w:t>
      </w:r>
      <w:r w:rsidRPr="008131C7">
        <w:rPr>
          <w:rFonts w:ascii="Times New Roman" w:hAnsi="Times New Roman"/>
          <w:sz w:val="24"/>
          <w:szCs w:val="24"/>
          <w:lang w:eastAsia="bg-BG"/>
        </w:rPr>
        <w:t xml:space="preserve">инидивидуалната територия (5 - 10%), използват се дълго време и не се припокриват при отделните индивиди. Тяхната площ е по-малко изменчива -  </w:t>
      </w:r>
      <w:r w:rsidRPr="008131C7">
        <w:rPr>
          <w:rFonts w:ascii="Times New Roman" w:hAnsi="Times New Roman"/>
          <w:color w:val="000000"/>
          <w:sz w:val="24"/>
          <w:szCs w:val="24"/>
          <w:lang w:eastAsia="bg-BG"/>
        </w:rPr>
        <w:t xml:space="preserve">5.7-27.9 ha </w:t>
      </w:r>
      <w:r w:rsidRPr="008131C7">
        <w:rPr>
          <w:rFonts w:ascii="Times New Roman" w:hAnsi="Times New Roman"/>
          <w:sz w:val="24"/>
          <w:szCs w:val="24"/>
          <w:lang w:eastAsia="bg-BG"/>
        </w:rPr>
        <w:t>(Carr et al., 2016).</w:t>
      </w:r>
      <w:r w:rsidRPr="008131C7">
        <w:rPr>
          <w:rFonts w:ascii="Times New Roman" w:hAnsi="Times New Roman"/>
          <w:color w:val="000000"/>
          <w:sz w:val="24"/>
          <w:szCs w:val="24"/>
          <w:lang w:eastAsia="bg-BG"/>
        </w:rPr>
        <w:t xml:space="preserve">  </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За достигане на районите за хранене се отдалечава значително от дневното убежище –</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 xml:space="preserve">до 20 км, средно 7  км. Тези особености показват, че за локалното опазване на вида е важно да се подържат оптимални хранителни местообитания в радиус от 7 км около убежищата; линейните ландшафтни елементи под формата на полезащитни пояси, живи плетове, синури следва да се подържат в състояние, осигуряващо възможност за храненене и свързаност между убежищата и ловните местообитания  </w:t>
      </w:r>
      <w:r w:rsidRPr="008131C7">
        <w:rPr>
          <w:rFonts w:ascii="Times New Roman" w:hAnsi="Times New Roman"/>
          <w:sz w:val="24"/>
          <w:szCs w:val="24"/>
          <w:lang w:val="en-GB" w:eastAsia="bg-BG"/>
        </w:rPr>
        <w:t>(</w:t>
      </w:r>
      <w:r w:rsidRPr="008131C7">
        <w:rPr>
          <w:rFonts w:ascii="Times New Roman" w:hAnsi="Times New Roman"/>
          <w:sz w:val="24"/>
          <w:szCs w:val="24"/>
          <w:lang w:eastAsia="bg-BG"/>
        </w:rPr>
        <w:t>Zeale</w:t>
      </w:r>
      <w:r w:rsidRPr="008131C7">
        <w:rPr>
          <w:rFonts w:ascii="Times New Roman" w:hAnsi="Times New Roman"/>
          <w:sz w:val="24"/>
          <w:szCs w:val="24"/>
          <w:lang w:val="en-GB" w:eastAsia="bg-BG"/>
        </w:rPr>
        <w:t xml:space="preserve"> et al., </w:t>
      </w:r>
      <w:r w:rsidRPr="008131C7">
        <w:rPr>
          <w:rFonts w:ascii="Times New Roman" w:hAnsi="Times New Roman"/>
          <w:sz w:val="24"/>
          <w:szCs w:val="24"/>
          <w:lang w:eastAsia="bg-BG"/>
        </w:rPr>
        <w:t xml:space="preserve"> 2012</w:t>
      </w:r>
      <w:r w:rsidRPr="008131C7">
        <w:rPr>
          <w:rFonts w:ascii="Times New Roman" w:hAnsi="Times New Roman"/>
          <w:sz w:val="24"/>
          <w:szCs w:val="24"/>
          <w:lang w:val="en-GB" w:eastAsia="bg-BG"/>
        </w:rPr>
        <w:t>).</w:t>
      </w:r>
    </w:p>
    <w:p w:rsidR="008131C7" w:rsidRP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hAnsi="Times New Roman"/>
          <w:color w:val="000000"/>
          <w:sz w:val="24"/>
          <w:szCs w:val="24"/>
          <w:lang w:eastAsia="bg-BG"/>
        </w:rPr>
        <w:t>Раждат през юни по едно (рядко две) малки. Колониите за отглеждане на малките обикновено се състоят от 10-15 женски в  хралупи или под  кората на стари дървета</w:t>
      </w:r>
      <w:r w:rsidRPr="008131C7">
        <w:rPr>
          <w:rFonts w:ascii="Times New Roman" w:hAnsi="Times New Roman"/>
          <w:sz w:val="24"/>
          <w:szCs w:val="24"/>
          <w:lang w:eastAsia="bg-BG"/>
        </w:rPr>
        <w:t xml:space="preserve">. Най-предпочитани са големи мъртви дървета сред естествени гори, осигуряващи по-високи температури (южно изложение на отворите, по-голяма </w:t>
      </w:r>
      <w:r w:rsidRPr="008131C7">
        <w:rPr>
          <w:rFonts w:ascii="Times New Roman" w:hAnsi="Times New Roman"/>
          <w:sz w:val="24"/>
          <w:szCs w:val="24"/>
          <w:lang w:eastAsia="bg-BG"/>
        </w:rPr>
        <w:lastRenderedPageBreak/>
        <w:t xml:space="preserve">височина). Често сменя убежищата, което определя необходимостта от голям брой подходящи дървета. </w:t>
      </w:r>
      <w:r w:rsidRPr="008131C7">
        <w:rPr>
          <w:rFonts w:ascii="Times New Roman" w:hAnsi="Times New Roman"/>
          <w:color w:val="000000"/>
          <w:sz w:val="24"/>
          <w:szCs w:val="24"/>
          <w:lang w:eastAsia="bg-BG"/>
        </w:rPr>
        <w:t xml:space="preserve">Малкият размер на размножителните колонии, както и необходимостта от смяна на убежищата определят необходимостта от голям брой мъртви, </w:t>
      </w:r>
      <w:r w:rsidRPr="008131C7">
        <w:rPr>
          <w:rFonts w:ascii="Times New Roman" w:hAnsi="Times New Roman"/>
          <w:color w:val="000000"/>
          <w:sz w:val="24"/>
          <w:szCs w:val="24"/>
          <w:lang w:val="en-GB" w:eastAsia="bg-BG"/>
        </w:rPr>
        <w:t xml:space="preserve">а също и </w:t>
      </w:r>
      <w:r w:rsidRPr="008131C7">
        <w:rPr>
          <w:rFonts w:ascii="Times New Roman" w:hAnsi="Times New Roman"/>
          <w:color w:val="000000"/>
          <w:sz w:val="24"/>
          <w:szCs w:val="24"/>
          <w:lang w:eastAsia="bg-BG"/>
        </w:rPr>
        <w:t xml:space="preserve">зрели дървета, предлагащи подходящи убежища за осигуряване на жизнестпособна популация в даден район (Russo et al., 2004). </w:t>
      </w:r>
      <w:r w:rsidRPr="008131C7">
        <w:rPr>
          <w:rFonts w:ascii="Times New Roman" w:hAnsi="Times New Roman"/>
          <w:sz w:val="24"/>
          <w:szCs w:val="24"/>
          <w:lang w:eastAsia="bg-BG"/>
        </w:rPr>
        <w:t xml:space="preserve">Тези особености налагат при провеждане на сечи да се запазват зрелите и мъртвите дървета. </w:t>
      </w:r>
    </w:p>
    <w:p w:rsidR="008131C7" w:rsidRPr="008131C7" w:rsidRDefault="008131C7" w:rsidP="003D13A8">
      <w:pPr>
        <w:spacing w:after="0" w:line="240" w:lineRule="auto"/>
        <w:ind w:firstLine="709"/>
        <w:jc w:val="both"/>
        <w:rPr>
          <w:rFonts w:ascii="Times New Roman" w:hAnsi="Times New Roman"/>
          <w:color w:val="000000"/>
          <w:sz w:val="24"/>
          <w:szCs w:val="24"/>
          <w:lang w:val="en-GB" w:eastAsia="bg-BG"/>
        </w:rPr>
      </w:pPr>
      <w:r w:rsidRPr="008131C7">
        <w:rPr>
          <w:rFonts w:ascii="Times New Roman" w:hAnsi="Times New Roman"/>
          <w:color w:val="000000"/>
          <w:sz w:val="24"/>
          <w:szCs w:val="24"/>
          <w:lang w:eastAsia="bg-BG"/>
        </w:rPr>
        <w:t xml:space="preserve">При безпокойство напускат убежището дори и през деня, което се отразява неблагоприятно и при отглеждане на малките. В райони, където е установена концентрация на убежища следва да се предприемат мерки за избягване на безпокойството - ограничаване на достъпа на посетители, изместване на туристически пътеки и горски пътища </w:t>
      </w:r>
      <w:r w:rsidRPr="008131C7">
        <w:rPr>
          <w:rFonts w:ascii="Times New Roman" w:hAnsi="Times New Roman"/>
          <w:sz w:val="24"/>
          <w:szCs w:val="24"/>
          <w:lang w:eastAsia="bg-BG"/>
        </w:rPr>
        <w:t>(</w:t>
      </w:r>
      <w:r w:rsidRPr="008131C7">
        <w:rPr>
          <w:rFonts w:ascii="Times New Roman" w:hAnsi="Times New Roman"/>
          <w:color w:val="000000"/>
          <w:sz w:val="24"/>
          <w:szCs w:val="24"/>
          <w:lang w:eastAsia="bg-BG"/>
        </w:rPr>
        <w:t xml:space="preserve">Russo et al., 2004). </w:t>
      </w:r>
    </w:p>
    <w:p w:rsidR="008131C7" w:rsidRPr="008131C7" w:rsidRDefault="008131C7" w:rsidP="003D13A8">
      <w:pPr>
        <w:spacing w:after="0" w:line="240" w:lineRule="auto"/>
        <w:ind w:firstLine="709"/>
        <w:jc w:val="both"/>
        <w:rPr>
          <w:rFonts w:ascii="Times New Roman" w:hAnsi="Times New Roman"/>
          <w:color w:val="000000"/>
          <w:sz w:val="24"/>
          <w:szCs w:val="24"/>
          <w:lang w:eastAsia="bg-BG"/>
        </w:rPr>
      </w:pPr>
      <w:r w:rsidRPr="008131C7">
        <w:rPr>
          <w:rFonts w:ascii="Times New Roman" w:hAnsi="Times New Roman"/>
          <w:color w:val="000000"/>
          <w:sz w:val="24"/>
          <w:szCs w:val="24"/>
          <w:lang w:eastAsia="bg-BG"/>
        </w:rPr>
        <w:t xml:space="preserve">Мъжките обикновено живеят поединично и нямат ясно изразени предпочитания към по-високи температури и през лятото. Често намират убежища в пещери и скални цепнатини с по-ниски температури </w:t>
      </w:r>
      <w:r w:rsidRPr="008131C7">
        <w:rPr>
          <w:rFonts w:ascii="Times New Roman" w:hAnsi="Times New Roman"/>
          <w:sz w:val="24"/>
          <w:szCs w:val="24"/>
          <w:lang w:eastAsia="bg-BG"/>
        </w:rPr>
        <w:t>(</w:t>
      </w:r>
      <w:r w:rsidRPr="008131C7">
        <w:rPr>
          <w:rFonts w:ascii="Times New Roman" w:hAnsi="Times New Roman"/>
          <w:color w:val="000000"/>
          <w:sz w:val="24"/>
          <w:szCs w:val="24"/>
          <w:lang w:eastAsia="bg-BG"/>
        </w:rPr>
        <w:t xml:space="preserve">Russo et al., 2004). </w:t>
      </w:r>
    </w:p>
    <w:p w:rsidR="008131C7" w:rsidRPr="008131C7" w:rsidRDefault="008131C7" w:rsidP="003D13A8">
      <w:pPr>
        <w:spacing w:after="0" w:line="240" w:lineRule="auto"/>
        <w:ind w:firstLine="709"/>
        <w:jc w:val="both"/>
        <w:rPr>
          <w:rFonts w:ascii="Times New Roman" w:hAnsi="Times New Roman"/>
          <w:color w:val="000000"/>
          <w:sz w:val="24"/>
          <w:szCs w:val="24"/>
          <w:lang w:val="en-GB" w:eastAsia="bg-BG"/>
        </w:rPr>
      </w:pPr>
      <w:r w:rsidRPr="008131C7">
        <w:rPr>
          <w:rFonts w:ascii="Times New Roman" w:hAnsi="Times New Roman"/>
          <w:color w:val="000000"/>
          <w:sz w:val="24"/>
          <w:szCs w:val="24"/>
          <w:lang w:eastAsia="bg-BG"/>
        </w:rPr>
        <w:t xml:space="preserve">Зимният сън е от октомври до април, главно в подземни убежища (пещери, минни галерии, изби) по-рядко в хралупи на дървета. У нас предпочита студени пещери с температура около 0° </w:t>
      </w:r>
      <w:r w:rsidRPr="008131C7">
        <w:rPr>
          <w:rFonts w:ascii="Times New Roman" w:hAnsi="Times New Roman"/>
          <w:color w:val="000000"/>
          <w:sz w:val="24"/>
          <w:szCs w:val="24"/>
          <w:lang w:val="en-GB" w:eastAsia="bg-BG"/>
        </w:rPr>
        <w:t>- 5</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GB" w:eastAsia="bg-BG"/>
        </w:rPr>
        <w:t xml:space="preserve"> </w:t>
      </w:r>
      <w:r w:rsidRPr="008131C7">
        <w:rPr>
          <w:rFonts w:ascii="Times New Roman" w:hAnsi="Times New Roman"/>
          <w:color w:val="000000"/>
          <w:sz w:val="24"/>
          <w:szCs w:val="24"/>
          <w:lang w:eastAsia="bg-BG"/>
        </w:rPr>
        <w:t xml:space="preserve">С. Зимува както поединично, така и в големи колонии, съставени от индивиди от двата пола. Копулацията е през есента и зимата. </w:t>
      </w:r>
    </w:p>
    <w:p w:rsidR="008131C7" w:rsidRPr="008131C7" w:rsidRDefault="008131C7" w:rsidP="003D13A8">
      <w:pPr>
        <w:spacing w:after="0" w:line="240" w:lineRule="auto"/>
        <w:ind w:firstLine="709"/>
        <w:jc w:val="both"/>
        <w:rPr>
          <w:rFonts w:ascii="Times New Roman" w:hAnsi="Times New Roman"/>
          <w:sz w:val="24"/>
          <w:szCs w:val="24"/>
          <w:lang w:val="en-GB" w:eastAsia="bg-BG"/>
        </w:rPr>
      </w:pPr>
      <w:r w:rsidRPr="008131C7">
        <w:rPr>
          <w:rFonts w:ascii="Times New Roman" w:hAnsi="Times New Roman"/>
          <w:color w:val="000000"/>
          <w:sz w:val="24"/>
          <w:szCs w:val="24"/>
          <w:lang w:eastAsia="bg-BG"/>
        </w:rPr>
        <w:t>Понякога мигрира – известни са придвижвания до 290 км.</w:t>
      </w:r>
      <w:r w:rsidRPr="008131C7">
        <w:rPr>
          <w:rFonts w:ascii="Times New Roman" w:hAnsi="Times New Roman"/>
          <w:color w:val="000000"/>
          <w:sz w:val="24"/>
          <w:szCs w:val="24"/>
          <w:lang w:eastAsia="bg-BG"/>
        </w:rPr>
        <w:br/>
      </w:r>
      <w:r w:rsidRPr="008131C7">
        <w:rPr>
          <w:rFonts w:ascii="Times New Roman" w:hAnsi="Times New Roman"/>
          <w:sz w:val="24"/>
          <w:szCs w:val="24"/>
          <w:lang w:eastAsia="bg-BG"/>
        </w:rPr>
        <w:t>Територията на Балканския полуостров е реликтна част от ареала</w:t>
      </w:r>
      <w:r w:rsidRPr="008131C7">
        <w:rPr>
          <w:rFonts w:ascii="Times New Roman" w:hAnsi="Times New Roman"/>
          <w:sz w:val="24"/>
          <w:szCs w:val="24"/>
          <w:lang w:val="en-US" w:eastAsia="bg-BG"/>
        </w:rPr>
        <w:t xml:space="preserve"> (Paunovic et al., 2003)</w:t>
      </w:r>
      <w:r w:rsidRPr="008131C7">
        <w:rPr>
          <w:rFonts w:ascii="Times New Roman" w:hAnsi="Times New Roman"/>
          <w:sz w:val="24"/>
          <w:szCs w:val="24"/>
          <w:lang w:eastAsia="bg-BG"/>
        </w:rPr>
        <w:t>. Рядък в България, разпространен главно в карстови и горски райони между 30 м и 1540 м  н. в. Видът е регистриран основно в субпланинските и планински райони на България</w:t>
      </w:r>
      <w:r w:rsidRPr="008131C7">
        <w:rPr>
          <w:rFonts w:ascii="Times New Roman" w:hAnsi="Times New Roman"/>
          <w:sz w:val="24"/>
          <w:szCs w:val="24"/>
          <w:lang w:val="en-GB" w:eastAsia="bg-BG"/>
        </w:rPr>
        <w:t xml:space="preserve"> (Popov, 2018)</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 xml:space="preserve"> - </w:t>
      </w:r>
      <w:r w:rsidRPr="008131C7">
        <w:rPr>
          <w:rFonts w:ascii="Times New Roman" w:hAnsi="Times New Roman"/>
          <w:sz w:val="24"/>
          <w:szCs w:val="24"/>
          <w:lang w:eastAsia="bg-BG"/>
        </w:rPr>
        <w:t xml:space="preserve"> Централна и Западна Стара планина и в Западните Родопи. Единични екземпляри са установявани </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 xml:space="preserve"> под 500 m</w:t>
      </w:r>
      <w:r w:rsidRPr="008131C7">
        <w:rPr>
          <w:rFonts w:ascii="Times New Roman" w:hAnsi="Times New Roman"/>
          <w:sz w:val="24"/>
          <w:szCs w:val="24"/>
          <w:lang w:val="en-GB" w:eastAsia="bg-BG"/>
        </w:rPr>
        <w:t xml:space="preserve"> н. м</w:t>
      </w:r>
      <w:r w:rsidRPr="008131C7">
        <w:rPr>
          <w:rFonts w:ascii="Times New Roman" w:hAnsi="Times New Roman"/>
          <w:sz w:val="24"/>
          <w:szCs w:val="24"/>
          <w:lang w:eastAsia="bg-BG"/>
        </w:rPr>
        <w:t xml:space="preserve"> (напр. Кресненски пролом (200 m), с. Жернов (150 m, Плевенско), Черноморец (10 m, Бургаско). Най-високото находище в България е пещерата Водните дупки в Централен Балкан – 1450 m. Понастоящем няма данни за местоположението на размножителни колонии на вида в България.  У нас през зимата най-често е намиран в студените, привходни части на пещерите при температури около 0-1-2ºС. В пещерата Водните дупки е установена най-голямата зимуваща колония на вида в страната (над 100 инд. през зимата на 2011 г.)</w:t>
      </w:r>
      <w:r w:rsidRPr="008131C7">
        <w:rPr>
          <w:rFonts w:ascii="Times New Roman" w:hAnsi="Times New Roman"/>
          <w:sz w:val="24"/>
          <w:szCs w:val="24"/>
          <w:lang w:val="en-US" w:eastAsia="bg-BG"/>
        </w:rPr>
        <w:t>, (</w:t>
      </w:r>
      <w:r w:rsidRPr="008131C7">
        <w:rPr>
          <w:rFonts w:ascii="Times New Roman" w:hAnsi="Times New Roman"/>
          <w:color w:val="000000"/>
          <w:sz w:val="24"/>
          <w:szCs w:val="24"/>
          <w:lang w:eastAsia="bg-BG"/>
        </w:rPr>
        <w:t>Schunger</w:t>
      </w:r>
      <w:r w:rsidRPr="008131C7">
        <w:rPr>
          <w:rFonts w:ascii="Times New Roman" w:hAnsi="Times New Roman"/>
          <w:color w:val="000000"/>
          <w:sz w:val="24"/>
          <w:szCs w:val="24"/>
          <w:lang w:val="en-US" w:eastAsia="bg-BG"/>
        </w:rPr>
        <w:t xml:space="preserve"> et al., 2004</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US" w:eastAsia="bg-BG"/>
        </w:rPr>
        <w:t xml:space="preserve"> Benda et al., 2003</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US" w:eastAsia="bg-BG"/>
        </w:rPr>
        <w:t xml:space="preserve"> </w:t>
      </w:r>
      <w:r w:rsidRPr="008131C7">
        <w:rPr>
          <w:rFonts w:ascii="Times New Roman" w:hAnsi="Times New Roman"/>
          <w:color w:val="000000"/>
          <w:sz w:val="24"/>
          <w:szCs w:val="24"/>
          <w:lang w:eastAsia="bg-BG"/>
        </w:rPr>
        <w:t>Иванова, Попов, 2007</w:t>
      </w:r>
      <w:r w:rsidRPr="008131C7">
        <w:rPr>
          <w:rFonts w:ascii="Times New Roman" w:hAnsi="Times New Roman"/>
          <w:color w:val="000000"/>
          <w:sz w:val="24"/>
          <w:szCs w:val="24"/>
          <w:lang w:val="en-US" w:eastAsia="bg-BG"/>
        </w:rPr>
        <w:t>)</w:t>
      </w:r>
      <w:r w:rsidRPr="008131C7">
        <w:rPr>
          <w:rFonts w:ascii="Times New Roman" w:hAnsi="Times New Roman"/>
          <w:sz w:val="24"/>
          <w:szCs w:val="24"/>
          <w:lang w:eastAsia="bg-BG"/>
        </w:rPr>
        <w:t xml:space="preserve">. </w:t>
      </w:r>
    </w:p>
    <w:p w:rsidR="008131C7" w:rsidRPr="008131C7" w:rsidRDefault="008131C7" w:rsidP="003D13A8">
      <w:pPr>
        <w:spacing w:after="0" w:line="240" w:lineRule="auto"/>
        <w:ind w:firstLine="709"/>
        <w:jc w:val="both"/>
        <w:rPr>
          <w:rFonts w:ascii="Times New Roman" w:hAnsi="Times New Roman"/>
          <w:sz w:val="24"/>
          <w:szCs w:val="24"/>
          <w:lang w:val="en-GB" w:eastAsia="bg-BG"/>
        </w:rPr>
      </w:pPr>
      <w:r w:rsidRPr="008131C7">
        <w:rPr>
          <w:rFonts w:ascii="Times New Roman" w:hAnsi="Times New Roman"/>
          <w:sz w:val="24"/>
          <w:szCs w:val="24"/>
          <w:lang w:eastAsia="bg-BG"/>
        </w:rPr>
        <w:t xml:space="preserve">Предполага се, че у нас обитават около 10 000 индивида (Иванова, Попов, 2007). Според други експертни оценки, у нас обитават между 21576 и 36905 индивида, но липсва аргументация за тези цифри (Документ За Целите На Натура 2000). </w:t>
      </w:r>
    </w:p>
    <w:p w:rsidR="008131C7" w:rsidRPr="008131C7" w:rsidRDefault="008131C7" w:rsidP="00D945E2">
      <w:pPr>
        <w:spacing w:before="120"/>
        <w:rPr>
          <w:rFonts w:ascii="Times New Roman" w:hAnsi="Times New Roman"/>
          <w:b/>
          <w:bCs/>
          <w:sz w:val="24"/>
          <w:szCs w:val="24"/>
          <w:lang w:eastAsia="bg-BG"/>
        </w:rPr>
      </w:pPr>
      <w:r w:rsidRPr="008131C7">
        <w:rPr>
          <w:rFonts w:ascii="Times New Roman" w:hAnsi="Times New Roman"/>
          <w:b/>
          <w:bCs/>
          <w:sz w:val="24"/>
          <w:szCs w:val="24"/>
          <w:lang w:eastAsia="bg-BG"/>
        </w:rPr>
        <w:t>3. Състояние на биогеографско ниво и разпространение в мрежата</w:t>
      </w:r>
      <w:r w:rsidRPr="008131C7">
        <w:rPr>
          <w:rFonts w:ascii="Times New Roman" w:hAnsi="Times New Roman"/>
          <w:b/>
          <w:bCs/>
          <w:sz w:val="24"/>
          <w:szCs w:val="24"/>
          <w:lang w:val="en-GB" w:eastAsia="bg-BG"/>
        </w:rPr>
        <w:t xml:space="preserve"> </w:t>
      </w:r>
    </w:p>
    <w:p w:rsid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Съгласно докладването по чл. 17 от Директивата за местообитанията, през 2013 г. (за периода 2007-2012 г.) и през 2019 г. (за периода 2013-2018г.), състоянието на вида е благоприятно, освен по Бъдещи перспективи</w:t>
      </w:r>
      <w:r w:rsidRPr="008131C7">
        <w:rPr>
          <w:rFonts w:ascii="Times New Roman" w:hAnsi="Times New Roman"/>
          <w:sz w:val="24"/>
          <w:szCs w:val="24"/>
          <w:lang w:val="en-GB" w:eastAsia="bg-BG"/>
        </w:rPr>
        <w:t xml:space="preserve"> за </w:t>
      </w:r>
      <w:r w:rsidR="00D945E2">
        <w:rPr>
          <w:rFonts w:ascii="Times New Roman" w:hAnsi="Times New Roman"/>
          <w:sz w:val="24"/>
          <w:szCs w:val="24"/>
          <w:lang w:eastAsia="bg-BG"/>
        </w:rPr>
        <w:t>К</w:t>
      </w:r>
      <w:r w:rsidR="00D945E2">
        <w:rPr>
          <w:rFonts w:ascii="Times New Roman" w:hAnsi="Times New Roman"/>
          <w:sz w:val="24"/>
          <w:szCs w:val="24"/>
          <w:lang w:val="en-GB" w:eastAsia="bg-BG"/>
        </w:rPr>
        <w:t xml:space="preserve">онтиненталния и </w:t>
      </w:r>
      <w:r w:rsidR="00D945E2">
        <w:rPr>
          <w:rFonts w:ascii="Times New Roman" w:hAnsi="Times New Roman"/>
          <w:sz w:val="24"/>
          <w:szCs w:val="24"/>
          <w:lang w:eastAsia="bg-BG"/>
        </w:rPr>
        <w:t>Ч</w:t>
      </w:r>
      <w:r w:rsidRPr="008131C7">
        <w:rPr>
          <w:rFonts w:ascii="Times New Roman" w:hAnsi="Times New Roman"/>
          <w:sz w:val="24"/>
          <w:szCs w:val="24"/>
          <w:lang w:val="en-GB" w:eastAsia="bg-BG"/>
        </w:rPr>
        <w:t>е</w:t>
      </w:r>
      <w:r w:rsidRPr="008131C7">
        <w:rPr>
          <w:rFonts w:ascii="Times New Roman" w:hAnsi="Times New Roman"/>
          <w:sz w:val="24"/>
          <w:szCs w:val="24"/>
          <w:lang w:eastAsia="bg-BG"/>
        </w:rPr>
        <w:t xml:space="preserve">рноморския биогеографски </w:t>
      </w:r>
      <w:r w:rsidR="00D945E2">
        <w:rPr>
          <w:rFonts w:ascii="Times New Roman" w:hAnsi="Times New Roman"/>
          <w:sz w:val="24"/>
          <w:szCs w:val="24"/>
          <w:lang w:eastAsia="bg-BG"/>
        </w:rPr>
        <w:t>региони. Състоянието в А</w:t>
      </w:r>
      <w:r w:rsidRPr="008131C7">
        <w:rPr>
          <w:rFonts w:ascii="Times New Roman" w:hAnsi="Times New Roman"/>
          <w:sz w:val="24"/>
          <w:szCs w:val="24"/>
          <w:lang w:eastAsia="bg-BG"/>
        </w:rPr>
        <w:t xml:space="preserve">лпийския биогеографски </w:t>
      </w:r>
      <w:r w:rsidR="00D945E2">
        <w:rPr>
          <w:rFonts w:ascii="Times New Roman" w:hAnsi="Times New Roman"/>
          <w:sz w:val="24"/>
          <w:szCs w:val="24"/>
          <w:lang w:eastAsia="bg-BG"/>
        </w:rPr>
        <w:t>регион</w:t>
      </w:r>
      <w:r w:rsidRPr="008131C7">
        <w:rPr>
          <w:rFonts w:ascii="Times New Roman" w:hAnsi="Times New Roman"/>
          <w:sz w:val="24"/>
          <w:szCs w:val="24"/>
          <w:lang w:eastAsia="bg-BG"/>
        </w:rPr>
        <w:t xml:space="preserve"> съгласно докладването през 2019 г. е неизвестно по всички параметри. Посочени са заплахи с висока значимост в трите биогеографски </w:t>
      </w:r>
      <w:r w:rsidR="00D945E2">
        <w:rPr>
          <w:rFonts w:ascii="Times New Roman" w:hAnsi="Times New Roman"/>
          <w:sz w:val="24"/>
          <w:szCs w:val="24"/>
          <w:lang w:eastAsia="bg-BG"/>
        </w:rPr>
        <w:t>региона</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изсичане</w:t>
      </w:r>
      <w:r w:rsidRPr="008131C7">
        <w:rPr>
          <w:rFonts w:ascii="Times New Roman" w:hAnsi="Times New Roman"/>
          <w:sz w:val="24"/>
          <w:szCs w:val="24"/>
          <w:lang w:eastAsia="bg-BG"/>
        </w:rPr>
        <w:t xml:space="preserve"> на горите (B02.02), отстраняване на горския подлес (B02.03), отстраняване на мъртви и умиращи дървета (B02.04), използване на биоциди, хормони и химикали в горското  стопанство (B04). На тази основа, като цяло, състоянието е оценено като неблагоприятно (U1) поради влошаващо се качество на местообитанието. Предвидени на първо ниво консервационни цели са подобряване на ПС по отношение на "Бъдещи перспективи" чрез ограничаване на влиянията и заплахите, свързани най-вече с качеството на местообитанието  (Документ За Целите На Натура 2000). </w:t>
      </w:r>
    </w:p>
    <w:p w:rsidR="001544FD" w:rsidRPr="000028B7" w:rsidRDefault="001544FD" w:rsidP="001544FD">
      <w:pPr>
        <w:spacing w:after="0" w:line="240" w:lineRule="auto"/>
        <w:ind w:firstLine="709"/>
        <w:jc w:val="both"/>
        <w:rPr>
          <w:rFonts w:ascii="Times New Roman" w:hAnsi="Times New Roman"/>
          <w:sz w:val="24"/>
          <w:szCs w:val="24"/>
          <w:lang w:eastAsia="bg-BG"/>
        </w:rPr>
      </w:pPr>
      <w:r>
        <w:rPr>
          <w:rFonts w:ascii="Times New Roman" w:hAnsi="Times New Roman"/>
          <w:sz w:val="24"/>
          <w:szCs w:val="24"/>
          <w:lang w:eastAsia="bg-BG"/>
        </w:rPr>
        <w:t>Видът е включен в Стандартните формуляри за данни на 101 защитени зони.</w:t>
      </w:r>
    </w:p>
    <w:p w:rsidR="008131C7" w:rsidRPr="008131C7" w:rsidRDefault="008131C7" w:rsidP="008131C7">
      <w:pPr>
        <w:spacing w:after="0" w:line="240" w:lineRule="auto"/>
        <w:rPr>
          <w:rFonts w:ascii="Times New Roman" w:hAnsi="Times New Roman"/>
          <w:sz w:val="24"/>
          <w:szCs w:val="24"/>
          <w:lang w:eastAsia="bg-BG"/>
        </w:rPr>
      </w:pPr>
    </w:p>
    <w:p w:rsidR="008131C7" w:rsidRPr="008131C7" w:rsidRDefault="008131C7" w:rsidP="003D13A8">
      <w:pPr>
        <w:spacing w:after="0" w:line="240" w:lineRule="auto"/>
        <w:rPr>
          <w:rFonts w:ascii="Times New Roman" w:hAnsi="Times New Roman"/>
          <w:b/>
          <w:bCs/>
          <w:sz w:val="24"/>
          <w:szCs w:val="24"/>
          <w:lang w:eastAsia="bg-BG"/>
        </w:rPr>
      </w:pPr>
      <w:r w:rsidRPr="008131C7">
        <w:rPr>
          <w:rFonts w:ascii="Times New Roman" w:hAnsi="Times New Roman"/>
          <w:b/>
          <w:bCs/>
          <w:sz w:val="24"/>
          <w:szCs w:val="24"/>
          <w:lang w:eastAsia="bg-BG"/>
        </w:rPr>
        <w:t xml:space="preserve">4. Състояние на ниво защитена зона </w:t>
      </w:r>
    </w:p>
    <w:p w:rsidR="008131C7" w:rsidRPr="008131C7" w:rsidRDefault="008131C7" w:rsidP="003D13A8">
      <w:pPr>
        <w:spacing w:after="0" w:line="240" w:lineRule="auto"/>
        <w:rPr>
          <w:rFonts w:ascii="Times New Roman" w:hAnsi="Times New Roman"/>
          <w:color w:val="000000"/>
          <w:sz w:val="24"/>
          <w:szCs w:val="24"/>
          <w:lang w:eastAsia="bg-BG"/>
        </w:rPr>
      </w:pPr>
      <w:r w:rsidRPr="008131C7">
        <w:rPr>
          <w:rFonts w:ascii="Times New Roman" w:hAnsi="Times New Roman"/>
          <w:sz w:val="24"/>
          <w:szCs w:val="24"/>
          <w:lang w:eastAsia="bg-BG"/>
        </w:rPr>
        <w:t>Широкоухият прилеп (</w:t>
      </w:r>
      <w:r w:rsidRPr="008131C7">
        <w:rPr>
          <w:rFonts w:ascii="Times New Roman" w:hAnsi="Times New Roman"/>
          <w:i/>
          <w:sz w:val="24"/>
          <w:szCs w:val="24"/>
          <w:lang w:eastAsia="en-GB"/>
        </w:rPr>
        <w:t xml:space="preserve">Barbastella barbastellus) </w:t>
      </w:r>
      <w:r w:rsidRPr="008131C7">
        <w:rPr>
          <w:rFonts w:ascii="Times New Roman" w:hAnsi="Times New Roman"/>
          <w:sz w:val="24"/>
          <w:szCs w:val="24"/>
          <w:lang w:eastAsia="bg-BG"/>
        </w:rPr>
        <w:t>не фигурира</w:t>
      </w:r>
      <w:r w:rsidRPr="008131C7">
        <w:rPr>
          <w:rFonts w:ascii="Times New Roman" w:hAnsi="Times New Roman"/>
          <w:i/>
          <w:sz w:val="24"/>
          <w:szCs w:val="24"/>
          <w:lang w:eastAsia="en-GB"/>
        </w:rPr>
        <w:t xml:space="preserve"> </w:t>
      </w:r>
      <w:r w:rsidRPr="008131C7">
        <w:rPr>
          <w:rFonts w:ascii="Times New Roman" w:hAnsi="Times New Roman"/>
          <w:sz w:val="24"/>
          <w:szCs w:val="24"/>
          <w:lang w:eastAsia="bg-BG"/>
        </w:rPr>
        <w:t xml:space="preserve"> в стандартния формуляр</w:t>
      </w:r>
    </w:p>
    <w:p w:rsidR="008131C7" w:rsidRPr="008131C7" w:rsidRDefault="008131C7" w:rsidP="008131C7">
      <w:pPr>
        <w:spacing w:after="0" w:line="240" w:lineRule="auto"/>
        <w:rPr>
          <w:rFonts w:ascii="Times New Roman" w:hAnsi="Times New Roman"/>
          <w:color w:val="000000"/>
          <w:sz w:val="24"/>
          <w:szCs w:val="24"/>
          <w:lang w:eastAsia="bg-BG"/>
        </w:rPr>
      </w:pPr>
    </w:p>
    <w:p w:rsidR="008131C7" w:rsidRPr="008131C7" w:rsidRDefault="008131C7" w:rsidP="008131C7">
      <w:pPr>
        <w:spacing w:after="0" w:line="240" w:lineRule="auto"/>
        <w:rPr>
          <w:rFonts w:ascii="Times New Roman" w:hAnsi="Times New Roman"/>
          <w:color w:val="000000"/>
          <w:sz w:val="24"/>
          <w:szCs w:val="24"/>
          <w:lang w:val="en-US" w:eastAsia="bg-BG"/>
        </w:rPr>
      </w:pPr>
      <w:r w:rsidRPr="008131C7">
        <w:rPr>
          <w:rFonts w:ascii="Times New Roman" w:hAnsi="Times New Roman"/>
          <w:b/>
          <w:color w:val="000000"/>
          <w:sz w:val="24"/>
          <w:szCs w:val="24"/>
          <w:lang w:eastAsia="bg-BG"/>
        </w:rPr>
        <w:t>5. Анализ на наличната информация</w:t>
      </w:r>
      <w:r w:rsidRPr="008131C7">
        <w:rPr>
          <w:rFonts w:ascii="Times New Roman" w:hAnsi="Times New Roman"/>
          <w:color w:val="000000"/>
          <w:sz w:val="24"/>
          <w:szCs w:val="24"/>
          <w:lang w:eastAsia="bg-BG"/>
        </w:rPr>
        <w:t xml:space="preserve"> </w:t>
      </w:r>
    </w:p>
    <w:p w:rsidR="008131C7" w:rsidRP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Според доклад "Разпространение и оценка на ПС на целеви вид 1308</w:t>
      </w:r>
      <w:r w:rsidRPr="008131C7">
        <w:rPr>
          <w:rFonts w:ascii="Times New Roman" w:hAnsi="Times New Roman"/>
          <w:sz w:val="24"/>
          <w:szCs w:val="24"/>
          <w:lang w:val="en-GB" w:eastAsia="bg-BG"/>
        </w:rPr>
        <w:t xml:space="preserve">, </w:t>
      </w:r>
      <w:r w:rsidRPr="008131C7">
        <w:rPr>
          <w:rFonts w:ascii="Times New Roman" w:hAnsi="Times New Roman"/>
          <w:bCs/>
          <w:color w:val="000000"/>
          <w:sz w:val="24"/>
          <w:szCs w:val="24"/>
          <w:lang w:eastAsia="bg-BG"/>
        </w:rPr>
        <w:t xml:space="preserve">Широкоух прилеп </w:t>
      </w:r>
      <w:r w:rsidRPr="008131C7">
        <w:rPr>
          <w:rFonts w:ascii="Times New Roman" w:hAnsi="Times New Roman"/>
          <w:i/>
          <w:iCs/>
          <w:color w:val="000000"/>
          <w:sz w:val="24"/>
          <w:szCs w:val="24"/>
          <w:lang w:eastAsia="bg-BG"/>
        </w:rPr>
        <w:t xml:space="preserve">Barbastella barbastellus </w:t>
      </w:r>
      <w:r w:rsidRPr="008131C7">
        <w:rPr>
          <w:rFonts w:ascii="Times New Roman" w:hAnsi="Times New Roman"/>
          <w:color w:val="000000"/>
          <w:sz w:val="24"/>
          <w:szCs w:val="24"/>
          <w:lang w:eastAsia="bg-BG"/>
        </w:rPr>
        <w:t xml:space="preserve">(Schreber, 1774) </w:t>
      </w:r>
      <w:r w:rsidRPr="008131C7">
        <w:rPr>
          <w:rFonts w:ascii="Times New Roman" w:hAnsi="Times New Roman"/>
          <w:sz w:val="24"/>
          <w:szCs w:val="24"/>
          <w:lang w:eastAsia="bg-BG"/>
        </w:rPr>
        <w:t xml:space="preserve"> в ЗЗ BG0000</w:t>
      </w:r>
      <w:r w:rsidRPr="008131C7">
        <w:rPr>
          <w:rFonts w:ascii="Times New Roman" w:hAnsi="Times New Roman"/>
          <w:sz w:val="24"/>
          <w:szCs w:val="24"/>
          <w:lang w:val="en-GB" w:eastAsia="bg-BG"/>
        </w:rPr>
        <w:t>241</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Сребърна</w:t>
      </w:r>
      <w:r w:rsidRPr="008131C7">
        <w:rPr>
          <w:rFonts w:ascii="Times New Roman" w:hAnsi="Times New Roman"/>
          <w:sz w:val="24"/>
          <w:szCs w:val="24"/>
          <w:lang w:eastAsia="bg-BG"/>
        </w:rPr>
        <w:t>“ (</w:t>
      </w:r>
      <w:hyperlink r:id="rId199" w:history="1">
        <w:r w:rsidRPr="008131C7">
          <w:rPr>
            <w:rFonts w:ascii="Times New Roman" w:hAnsi="Times New Roman"/>
            <w:color w:val="0000FF"/>
            <w:sz w:val="24"/>
            <w:szCs w:val="24"/>
            <w:u w:val="single"/>
            <w:lang w:eastAsia="bg-BG"/>
          </w:rPr>
          <w:t>http://natura2000.moew.government.bg/PublicDownloads/Auto/PS_SCI/BG0000241/BG0000241_PS_136.zip</w:t>
        </w:r>
      </w:hyperlink>
      <w:r w:rsidRPr="008131C7">
        <w:rPr>
          <w:rFonts w:ascii="Times New Roman" w:hAnsi="Times New Roman"/>
          <w:sz w:val="24"/>
          <w:szCs w:val="24"/>
          <w:lang w:eastAsia="bg-BG"/>
        </w:rPr>
        <w:t>)  видът не е регистриран в рамките на зоната.</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 xml:space="preserve">Оценките на площите на подходящите местообитания са ниски. </w:t>
      </w:r>
    </w:p>
    <w:p w:rsidR="008131C7" w:rsidRPr="008131C7" w:rsidRDefault="008131C7" w:rsidP="003D13A8">
      <w:pPr>
        <w:spacing w:after="0" w:line="240" w:lineRule="auto"/>
        <w:ind w:firstLine="709"/>
        <w:jc w:val="both"/>
        <w:rPr>
          <w:rFonts w:ascii="Times New Roman" w:hAnsi="Times New Roman"/>
          <w:color w:val="000000"/>
          <w:sz w:val="24"/>
          <w:szCs w:val="24"/>
          <w:lang w:val="en-GB" w:eastAsia="bg-BG"/>
        </w:rPr>
      </w:pPr>
      <w:r w:rsidRPr="003D13A8">
        <w:rPr>
          <w:rFonts w:ascii="Times New Roman" w:hAnsi="Times New Roman"/>
          <w:sz w:val="24"/>
          <w:szCs w:val="24"/>
          <w:lang w:eastAsia="bg-BG"/>
        </w:rPr>
        <w:t>П</w:t>
      </w:r>
      <w:r w:rsidRPr="008131C7">
        <w:rPr>
          <w:rFonts w:ascii="Times New Roman" w:hAnsi="Times New Roman"/>
          <w:color w:val="000000"/>
          <w:sz w:val="24"/>
          <w:szCs w:val="24"/>
          <w:lang w:eastAsia="bg-BG"/>
        </w:rPr>
        <w:t xml:space="preserve">рез август 2021 г. са направени пилотни проучвания върху прилепите, чрез акустична регистрация (Приложение 1) в 8 района в зоната и около нея през периода </w:t>
      </w:r>
      <w:r w:rsidRPr="008131C7">
        <w:rPr>
          <w:rFonts w:ascii="Times New Roman" w:hAnsi="Times New Roman"/>
          <w:color w:val="000000"/>
          <w:sz w:val="24"/>
          <w:szCs w:val="24"/>
          <w:lang w:val="en-GB" w:eastAsia="bg-BG"/>
        </w:rPr>
        <w:t>2</w:t>
      </w:r>
      <w:r w:rsidRPr="008131C7">
        <w:rPr>
          <w:rFonts w:ascii="Times New Roman" w:hAnsi="Times New Roman"/>
          <w:color w:val="000000"/>
          <w:sz w:val="24"/>
          <w:szCs w:val="24"/>
          <w:lang w:eastAsia="bg-BG"/>
        </w:rPr>
        <w:t xml:space="preserve">0 - </w:t>
      </w:r>
      <w:r w:rsidRPr="008131C7">
        <w:rPr>
          <w:rFonts w:ascii="Times New Roman" w:hAnsi="Times New Roman"/>
          <w:color w:val="000000"/>
          <w:sz w:val="24"/>
          <w:szCs w:val="24"/>
          <w:lang w:val="en-GB" w:eastAsia="bg-BG"/>
        </w:rPr>
        <w:t>2</w:t>
      </w:r>
      <w:r w:rsidRPr="008131C7">
        <w:rPr>
          <w:rFonts w:ascii="Times New Roman" w:hAnsi="Times New Roman"/>
          <w:color w:val="000000"/>
          <w:sz w:val="24"/>
          <w:szCs w:val="24"/>
          <w:lang w:eastAsia="bg-BG"/>
        </w:rPr>
        <w:t xml:space="preserve">1.08.2021 и в четири от тях с голяма доза сигурност е регистриран широкоух прилеп (Приложение 1). </w:t>
      </w:r>
    </w:p>
    <w:p w:rsidR="008131C7" w:rsidRPr="008131C7" w:rsidRDefault="008131C7" w:rsidP="008131C7">
      <w:pPr>
        <w:spacing w:after="0" w:line="240" w:lineRule="auto"/>
        <w:rPr>
          <w:rFonts w:ascii="Times New Roman" w:hAnsi="Times New Roman"/>
          <w:b/>
          <w:color w:val="000000"/>
          <w:sz w:val="24"/>
          <w:szCs w:val="24"/>
          <w:lang w:eastAsia="bg-BG"/>
        </w:rPr>
      </w:pPr>
    </w:p>
    <w:p w:rsidR="008131C7" w:rsidRPr="008131C7" w:rsidRDefault="008131C7" w:rsidP="008131C7">
      <w:pPr>
        <w:spacing w:after="0" w:line="240" w:lineRule="auto"/>
        <w:rPr>
          <w:rFonts w:ascii="Times New Roman" w:hAnsi="Times New Roman"/>
          <w:b/>
          <w:color w:val="000000"/>
          <w:sz w:val="24"/>
          <w:szCs w:val="24"/>
          <w:lang w:eastAsia="bg-BG"/>
        </w:rPr>
      </w:pPr>
      <w:r w:rsidRPr="008131C7">
        <w:rPr>
          <w:rFonts w:ascii="Times New Roman" w:hAnsi="Times New Roman"/>
          <w:b/>
          <w:color w:val="000000"/>
          <w:sz w:val="24"/>
          <w:szCs w:val="24"/>
          <w:lang w:eastAsia="bg-BG"/>
        </w:rPr>
        <w:t xml:space="preserve">6. Цели за подобряване/поддържане на природозащитното състояние на вида в зоната </w:t>
      </w:r>
    </w:p>
    <w:p w:rsidR="008131C7" w:rsidRPr="008131C7" w:rsidRDefault="008131C7" w:rsidP="003D13A8">
      <w:pPr>
        <w:spacing w:after="0" w:line="240" w:lineRule="auto"/>
        <w:ind w:firstLine="709"/>
        <w:jc w:val="both"/>
        <w:rPr>
          <w:rFonts w:ascii="Times New Roman" w:hAnsi="Times New Roman"/>
          <w:color w:val="000000"/>
          <w:sz w:val="24"/>
          <w:szCs w:val="24"/>
          <w:lang w:eastAsia="bg-BG"/>
        </w:rPr>
      </w:pPr>
      <w:r w:rsidRPr="008131C7">
        <w:rPr>
          <w:rFonts w:ascii="Times New Roman" w:hAnsi="Times New Roman"/>
          <w:sz w:val="24"/>
          <w:szCs w:val="24"/>
          <w:lang w:eastAsia="bg-BG"/>
        </w:rPr>
        <w:t xml:space="preserve">Недостатъчните данни за характера на присъствието на вида в зоната и неговото природозащитно състояние не дава възможност за формулиране на природозащитни цели. Необходими са допълнителни проучвания. </w:t>
      </w:r>
    </w:p>
    <w:p w:rsidR="008131C7" w:rsidRPr="008131C7" w:rsidRDefault="008131C7" w:rsidP="008131C7">
      <w:pPr>
        <w:spacing w:before="120" w:after="120" w:line="240" w:lineRule="auto"/>
        <w:jc w:val="both"/>
        <w:rPr>
          <w:rFonts w:ascii="Times New Roman" w:hAnsi="Times New Roman"/>
          <w:sz w:val="24"/>
          <w:szCs w:val="24"/>
          <w:lang w:eastAsia="bg-BG"/>
        </w:rPr>
      </w:pPr>
      <w:r w:rsidRPr="008131C7">
        <w:rPr>
          <w:rFonts w:ascii="Times New Roman" w:hAnsi="Times New Roman"/>
          <w:b/>
          <w:sz w:val="24"/>
          <w:szCs w:val="24"/>
          <w:lang w:val="en-GB" w:eastAsia="bg-BG"/>
        </w:rPr>
        <w:t xml:space="preserve">7. </w:t>
      </w:r>
      <w:r w:rsidRPr="008131C7">
        <w:rPr>
          <w:rFonts w:ascii="Times New Roman" w:hAnsi="Times New Roman"/>
          <w:b/>
          <w:sz w:val="24"/>
          <w:szCs w:val="24"/>
          <w:lang w:eastAsia="bg-BG"/>
        </w:rPr>
        <w:t>Необходимост от промени в СФ</w:t>
      </w:r>
      <w:r w:rsidR="00D945E2">
        <w:rPr>
          <w:rFonts w:ascii="Times New Roman" w:hAnsi="Times New Roman"/>
          <w:b/>
          <w:sz w:val="24"/>
          <w:szCs w:val="24"/>
          <w:lang w:eastAsia="bg-BG"/>
        </w:rPr>
        <w:t xml:space="preserve"> за защитената зона</w:t>
      </w:r>
    </w:p>
    <w:p w:rsidR="008131C7" w:rsidRPr="008131C7" w:rsidRDefault="008131C7" w:rsidP="008131C7">
      <w:pPr>
        <w:suppressAutoHyphens/>
        <w:spacing w:before="120" w:after="120" w:line="240" w:lineRule="auto"/>
        <w:jc w:val="both"/>
        <w:rPr>
          <w:rFonts w:ascii="Times New Roman" w:hAnsi="Times New Roman"/>
          <w:sz w:val="24"/>
          <w:szCs w:val="24"/>
          <w:lang w:eastAsia="zh-CN"/>
        </w:rPr>
      </w:pPr>
      <w:r w:rsidRPr="008131C7">
        <w:rPr>
          <w:rFonts w:ascii="Times New Roman" w:hAnsi="Times New Roman"/>
          <w:sz w:val="24"/>
          <w:szCs w:val="24"/>
          <w:lang w:eastAsia="zh-CN"/>
        </w:rPr>
        <w:t>Видът следва да се добави в стандартния формуляр със следните параметри.</w:t>
      </w:r>
    </w:p>
    <w:p w:rsidR="008131C7" w:rsidRPr="008131C7" w:rsidRDefault="008131C7" w:rsidP="008131C7">
      <w:pPr>
        <w:suppressAutoHyphens/>
        <w:spacing w:before="120" w:after="120" w:line="240" w:lineRule="auto"/>
        <w:jc w:val="both"/>
        <w:rPr>
          <w:rFonts w:ascii="Times New Roman" w:hAnsi="Times New Roman"/>
          <w:sz w:val="24"/>
          <w:szCs w:val="24"/>
          <w:lang w:eastAsia="zh-CN"/>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742"/>
        <w:gridCol w:w="1410"/>
        <w:gridCol w:w="404"/>
        <w:gridCol w:w="555"/>
        <w:gridCol w:w="409"/>
        <w:gridCol w:w="654"/>
        <w:gridCol w:w="727"/>
        <w:gridCol w:w="713"/>
        <w:gridCol w:w="666"/>
        <w:gridCol w:w="901"/>
        <w:gridCol w:w="1023"/>
        <w:gridCol w:w="723"/>
        <w:gridCol w:w="553"/>
        <w:gridCol w:w="724"/>
      </w:tblGrid>
      <w:tr w:rsidR="008131C7" w:rsidRPr="003D13A8" w:rsidTr="00D945E2">
        <w:trPr>
          <w:jc w:val="center"/>
        </w:trPr>
        <w:tc>
          <w:tcPr>
            <w:tcW w:w="3539" w:type="dxa"/>
            <w:gridSpan w:val="5"/>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Species</w:t>
            </w:r>
          </w:p>
        </w:tc>
        <w:tc>
          <w:tcPr>
            <w:tcW w:w="4070" w:type="dxa"/>
            <w:gridSpan w:val="6"/>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Population in the site</w:t>
            </w:r>
          </w:p>
        </w:tc>
        <w:tc>
          <w:tcPr>
            <w:tcW w:w="3023" w:type="dxa"/>
            <w:gridSpan w:val="4"/>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Site assessment</w:t>
            </w:r>
          </w:p>
        </w:tc>
      </w:tr>
      <w:tr w:rsidR="00D945E2" w:rsidRPr="003D13A8" w:rsidTr="00D945E2">
        <w:trPr>
          <w:jc w:val="center"/>
        </w:trPr>
        <w:tc>
          <w:tcPr>
            <w:tcW w:w="428"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G</w:t>
            </w:r>
          </w:p>
        </w:tc>
        <w:tc>
          <w:tcPr>
            <w:tcW w:w="742"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Code</w:t>
            </w:r>
          </w:p>
        </w:tc>
        <w:tc>
          <w:tcPr>
            <w:tcW w:w="1410"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Scientific Name</w:t>
            </w:r>
          </w:p>
        </w:tc>
        <w:tc>
          <w:tcPr>
            <w:tcW w:w="404"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S</w:t>
            </w:r>
          </w:p>
        </w:tc>
        <w:tc>
          <w:tcPr>
            <w:tcW w:w="555"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NP</w:t>
            </w:r>
          </w:p>
        </w:tc>
        <w:tc>
          <w:tcPr>
            <w:tcW w:w="409"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T</w:t>
            </w:r>
          </w:p>
        </w:tc>
        <w:tc>
          <w:tcPr>
            <w:tcW w:w="1381" w:type="dxa"/>
            <w:gridSpan w:val="2"/>
            <w:shd w:val="clear" w:color="auto" w:fill="D9D9D9" w:themeFill="background1" w:themeFillShade="D9"/>
            <w:vAlign w:val="center"/>
          </w:tcPr>
          <w:p w:rsidR="008131C7" w:rsidRPr="003D13A8" w:rsidRDefault="008131C7" w:rsidP="008131C7">
            <w:pPr>
              <w:spacing w:before="120" w:after="120" w:line="240" w:lineRule="auto"/>
              <w:jc w:val="center"/>
              <w:rPr>
                <w:rFonts w:ascii="Times New Roman" w:hAnsi="Times New Roman"/>
                <w:b/>
                <w:lang w:eastAsia="en-GB"/>
              </w:rPr>
            </w:pPr>
            <w:r w:rsidRPr="003D13A8">
              <w:rPr>
                <w:rFonts w:ascii="Times New Roman" w:hAnsi="Times New Roman"/>
                <w:b/>
                <w:lang w:eastAsia="en-GB"/>
              </w:rPr>
              <w:t>Size</w:t>
            </w:r>
          </w:p>
        </w:tc>
        <w:tc>
          <w:tcPr>
            <w:tcW w:w="713"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Unit</w:t>
            </w:r>
          </w:p>
        </w:tc>
        <w:tc>
          <w:tcPr>
            <w:tcW w:w="666"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Cat.</w:t>
            </w:r>
          </w:p>
        </w:tc>
        <w:tc>
          <w:tcPr>
            <w:tcW w:w="901"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D.qual.</w:t>
            </w:r>
          </w:p>
        </w:tc>
        <w:tc>
          <w:tcPr>
            <w:tcW w:w="1023" w:type="dxa"/>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A/B/C/D</w:t>
            </w:r>
          </w:p>
        </w:tc>
        <w:tc>
          <w:tcPr>
            <w:tcW w:w="2000" w:type="dxa"/>
            <w:gridSpan w:val="3"/>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A/B/C</w:t>
            </w:r>
          </w:p>
        </w:tc>
      </w:tr>
      <w:tr w:rsidR="00D945E2" w:rsidRPr="003D13A8" w:rsidTr="00D945E2">
        <w:trPr>
          <w:jc w:val="center"/>
        </w:trPr>
        <w:tc>
          <w:tcPr>
            <w:tcW w:w="428"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742"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1410"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404"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555"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p>
        </w:tc>
        <w:tc>
          <w:tcPr>
            <w:tcW w:w="409"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p>
        </w:tc>
        <w:tc>
          <w:tcPr>
            <w:tcW w:w="654" w:type="dxa"/>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Min</w:t>
            </w:r>
          </w:p>
        </w:tc>
        <w:tc>
          <w:tcPr>
            <w:tcW w:w="727" w:type="dxa"/>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Max</w:t>
            </w:r>
          </w:p>
        </w:tc>
        <w:tc>
          <w:tcPr>
            <w:tcW w:w="713"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p>
        </w:tc>
        <w:tc>
          <w:tcPr>
            <w:tcW w:w="666"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p>
        </w:tc>
        <w:tc>
          <w:tcPr>
            <w:tcW w:w="901"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p>
        </w:tc>
        <w:tc>
          <w:tcPr>
            <w:tcW w:w="1023" w:type="dxa"/>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Pop.</w:t>
            </w:r>
          </w:p>
        </w:tc>
        <w:tc>
          <w:tcPr>
            <w:tcW w:w="723" w:type="dxa"/>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Con.</w:t>
            </w:r>
          </w:p>
        </w:tc>
        <w:tc>
          <w:tcPr>
            <w:tcW w:w="553" w:type="dxa"/>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Iso.</w:t>
            </w:r>
          </w:p>
        </w:tc>
        <w:tc>
          <w:tcPr>
            <w:tcW w:w="724" w:type="dxa"/>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Glo.</w:t>
            </w:r>
          </w:p>
        </w:tc>
      </w:tr>
      <w:tr w:rsidR="00D945E2" w:rsidRPr="003D13A8" w:rsidTr="00D945E2">
        <w:trPr>
          <w:jc w:val="center"/>
        </w:trPr>
        <w:tc>
          <w:tcPr>
            <w:tcW w:w="428" w:type="dxa"/>
            <w:shd w:val="clear" w:color="auto" w:fill="auto"/>
            <w:vAlign w:val="center"/>
          </w:tcPr>
          <w:p w:rsidR="008131C7" w:rsidRPr="003D13A8" w:rsidRDefault="008131C7" w:rsidP="008131C7">
            <w:pPr>
              <w:spacing w:before="120" w:after="120" w:line="240" w:lineRule="auto"/>
              <w:jc w:val="both"/>
              <w:rPr>
                <w:rFonts w:ascii="Times New Roman" w:hAnsi="Times New Roman"/>
                <w:lang w:eastAsia="en-GB"/>
              </w:rPr>
            </w:pPr>
            <w:r w:rsidRPr="003D13A8">
              <w:rPr>
                <w:rFonts w:ascii="Times New Roman" w:hAnsi="Times New Roman"/>
                <w:lang w:eastAsia="en-GB"/>
              </w:rPr>
              <w:t>M</w:t>
            </w:r>
          </w:p>
        </w:tc>
        <w:tc>
          <w:tcPr>
            <w:tcW w:w="742" w:type="dxa"/>
            <w:shd w:val="clear" w:color="auto" w:fill="auto"/>
            <w:vAlign w:val="center"/>
          </w:tcPr>
          <w:p w:rsidR="008131C7" w:rsidRPr="003D13A8" w:rsidRDefault="008131C7" w:rsidP="008131C7">
            <w:pPr>
              <w:spacing w:before="120" w:after="120" w:line="240" w:lineRule="auto"/>
              <w:jc w:val="both"/>
              <w:rPr>
                <w:rFonts w:ascii="Times New Roman" w:hAnsi="Times New Roman"/>
                <w:lang w:eastAsia="en-GB"/>
              </w:rPr>
            </w:pPr>
            <w:r w:rsidRPr="003D13A8">
              <w:rPr>
                <w:rFonts w:ascii="Times New Roman" w:hAnsi="Times New Roman"/>
                <w:lang w:eastAsia="en-GB"/>
              </w:rPr>
              <w:t>1308</w:t>
            </w:r>
          </w:p>
        </w:tc>
        <w:tc>
          <w:tcPr>
            <w:tcW w:w="1410" w:type="dxa"/>
            <w:shd w:val="clear" w:color="auto" w:fill="auto"/>
            <w:vAlign w:val="center"/>
          </w:tcPr>
          <w:p w:rsidR="008131C7" w:rsidRPr="003D13A8" w:rsidRDefault="008131C7" w:rsidP="008131C7">
            <w:pPr>
              <w:spacing w:before="120" w:after="120" w:line="240" w:lineRule="auto"/>
              <w:jc w:val="both"/>
              <w:rPr>
                <w:rFonts w:ascii="Times New Roman" w:hAnsi="Times New Roman"/>
                <w:i/>
                <w:lang w:eastAsia="en-GB"/>
              </w:rPr>
            </w:pPr>
            <w:r w:rsidRPr="003D13A8">
              <w:rPr>
                <w:rFonts w:ascii="Times New Roman" w:hAnsi="Times New Roman"/>
                <w:i/>
                <w:lang w:eastAsia="en-GB"/>
              </w:rPr>
              <w:t>Barbastella barbastellus</w:t>
            </w:r>
          </w:p>
        </w:tc>
        <w:tc>
          <w:tcPr>
            <w:tcW w:w="404" w:type="dxa"/>
            <w:shd w:val="clear" w:color="auto" w:fill="auto"/>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555" w:type="dxa"/>
            <w:shd w:val="clear" w:color="auto" w:fill="auto"/>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409" w:type="dxa"/>
            <w:shd w:val="clear" w:color="auto" w:fill="auto"/>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654" w:type="dxa"/>
            <w:shd w:val="clear" w:color="auto" w:fill="auto"/>
            <w:vAlign w:val="center"/>
          </w:tcPr>
          <w:p w:rsidR="008131C7" w:rsidRPr="003D13A8" w:rsidRDefault="008131C7" w:rsidP="008131C7">
            <w:pPr>
              <w:spacing w:before="120" w:after="120" w:line="240" w:lineRule="auto"/>
              <w:jc w:val="center"/>
              <w:rPr>
                <w:rFonts w:ascii="Times New Roman" w:hAnsi="Times New Roman"/>
                <w:lang w:eastAsia="en-GB"/>
              </w:rPr>
            </w:pPr>
          </w:p>
        </w:tc>
        <w:tc>
          <w:tcPr>
            <w:tcW w:w="727" w:type="dxa"/>
            <w:shd w:val="clear" w:color="auto" w:fill="auto"/>
            <w:vAlign w:val="center"/>
          </w:tcPr>
          <w:p w:rsidR="008131C7" w:rsidRPr="003D13A8" w:rsidRDefault="008131C7" w:rsidP="008131C7">
            <w:pPr>
              <w:spacing w:before="120" w:after="120" w:line="240" w:lineRule="auto"/>
              <w:jc w:val="center"/>
              <w:rPr>
                <w:rFonts w:ascii="Times New Roman" w:hAnsi="Times New Roman"/>
                <w:lang w:eastAsia="en-GB"/>
              </w:rPr>
            </w:pPr>
          </w:p>
        </w:tc>
        <w:tc>
          <w:tcPr>
            <w:tcW w:w="713" w:type="dxa"/>
            <w:shd w:val="clear" w:color="auto" w:fill="auto"/>
            <w:vAlign w:val="center"/>
          </w:tcPr>
          <w:p w:rsidR="008131C7" w:rsidRPr="003D13A8" w:rsidRDefault="008131C7" w:rsidP="008131C7">
            <w:pPr>
              <w:spacing w:before="120" w:after="120" w:line="240" w:lineRule="auto"/>
              <w:jc w:val="center"/>
              <w:rPr>
                <w:rFonts w:ascii="Times New Roman" w:hAnsi="Times New Roman"/>
                <w:lang w:eastAsia="en-GB"/>
              </w:rPr>
            </w:pPr>
          </w:p>
        </w:tc>
        <w:tc>
          <w:tcPr>
            <w:tcW w:w="666" w:type="dxa"/>
            <w:shd w:val="clear" w:color="auto" w:fill="auto"/>
            <w:vAlign w:val="center"/>
          </w:tcPr>
          <w:p w:rsidR="008131C7" w:rsidRPr="003D13A8" w:rsidRDefault="008131C7" w:rsidP="008131C7">
            <w:pPr>
              <w:spacing w:before="120" w:after="120" w:line="240" w:lineRule="auto"/>
              <w:jc w:val="both"/>
              <w:rPr>
                <w:rFonts w:ascii="Times New Roman" w:hAnsi="Times New Roman"/>
                <w:lang w:val="en-GB" w:eastAsia="en-GB"/>
              </w:rPr>
            </w:pPr>
          </w:p>
        </w:tc>
        <w:tc>
          <w:tcPr>
            <w:tcW w:w="901" w:type="dxa"/>
            <w:shd w:val="clear" w:color="auto" w:fill="auto"/>
            <w:vAlign w:val="center"/>
          </w:tcPr>
          <w:p w:rsidR="008131C7" w:rsidRPr="003D13A8" w:rsidRDefault="008131C7" w:rsidP="008131C7">
            <w:pPr>
              <w:spacing w:before="120" w:after="120" w:line="240" w:lineRule="auto"/>
              <w:jc w:val="both"/>
              <w:rPr>
                <w:rFonts w:ascii="Times New Roman" w:hAnsi="Times New Roman"/>
                <w:lang w:val="en-GB" w:eastAsia="en-GB"/>
              </w:rPr>
            </w:pPr>
            <w:r w:rsidRPr="003D13A8">
              <w:rPr>
                <w:rFonts w:ascii="Times New Roman" w:hAnsi="Times New Roman"/>
                <w:lang w:val="en-GB" w:eastAsia="en-GB"/>
              </w:rPr>
              <w:t>DD</w:t>
            </w:r>
          </w:p>
        </w:tc>
        <w:tc>
          <w:tcPr>
            <w:tcW w:w="1023" w:type="dxa"/>
            <w:shd w:val="clear" w:color="auto" w:fill="auto"/>
            <w:vAlign w:val="center"/>
          </w:tcPr>
          <w:p w:rsidR="008131C7" w:rsidRPr="003D13A8" w:rsidRDefault="008131C7" w:rsidP="008131C7">
            <w:pPr>
              <w:spacing w:before="120" w:after="120" w:line="240" w:lineRule="auto"/>
              <w:jc w:val="both"/>
              <w:rPr>
                <w:rFonts w:ascii="Times New Roman" w:hAnsi="Times New Roman"/>
                <w:lang w:val="en-GB" w:eastAsia="en-GB"/>
              </w:rPr>
            </w:pPr>
            <w:r w:rsidRPr="003D13A8">
              <w:rPr>
                <w:rFonts w:ascii="Times New Roman" w:hAnsi="Times New Roman"/>
                <w:lang w:val="en-GB" w:eastAsia="en-GB"/>
              </w:rPr>
              <w:t>D</w:t>
            </w:r>
          </w:p>
        </w:tc>
        <w:tc>
          <w:tcPr>
            <w:tcW w:w="723" w:type="dxa"/>
            <w:shd w:val="clear" w:color="auto" w:fill="auto"/>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553" w:type="dxa"/>
            <w:shd w:val="clear" w:color="auto" w:fill="auto"/>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724" w:type="dxa"/>
            <w:shd w:val="clear" w:color="auto" w:fill="auto"/>
            <w:vAlign w:val="center"/>
          </w:tcPr>
          <w:p w:rsidR="008131C7" w:rsidRPr="003D13A8" w:rsidRDefault="008131C7" w:rsidP="008131C7">
            <w:pPr>
              <w:spacing w:before="120" w:after="120" w:line="240" w:lineRule="auto"/>
              <w:jc w:val="both"/>
              <w:rPr>
                <w:rFonts w:ascii="Times New Roman" w:hAnsi="Times New Roman"/>
                <w:lang w:eastAsia="en-GB"/>
              </w:rPr>
            </w:pPr>
          </w:p>
        </w:tc>
      </w:tr>
    </w:tbl>
    <w:p w:rsidR="008131C7" w:rsidRPr="008131C7" w:rsidRDefault="008131C7" w:rsidP="008131C7">
      <w:pPr>
        <w:suppressAutoHyphens/>
        <w:spacing w:before="120" w:after="120" w:line="240" w:lineRule="auto"/>
        <w:jc w:val="both"/>
        <w:rPr>
          <w:rFonts w:ascii="Times New Roman" w:hAnsi="Times New Roman"/>
          <w:sz w:val="24"/>
          <w:szCs w:val="24"/>
          <w:lang w:eastAsia="zh-CN"/>
        </w:rPr>
      </w:pPr>
    </w:p>
    <w:p w:rsidR="008131C7" w:rsidRPr="008131C7" w:rsidRDefault="008131C7" w:rsidP="008131C7">
      <w:pPr>
        <w:spacing w:after="0" w:line="240" w:lineRule="auto"/>
        <w:rPr>
          <w:rFonts w:ascii="Times New Roman" w:hAnsi="Times New Roman"/>
          <w:b/>
          <w:sz w:val="24"/>
          <w:szCs w:val="24"/>
          <w:lang w:eastAsia="bg-BG"/>
        </w:rPr>
      </w:pPr>
      <w:r w:rsidRPr="008131C7">
        <w:rPr>
          <w:rFonts w:ascii="Times New Roman" w:hAnsi="Times New Roman"/>
          <w:b/>
          <w:sz w:val="24"/>
          <w:szCs w:val="24"/>
          <w:lang w:val="en-GB" w:eastAsia="bg-BG"/>
        </w:rPr>
        <w:t xml:space="preserve">8. </w:t>
      </w:r>
      <w:r w:rsidRPr="008131C7">
        <w:rPr>
          <w:rFonts w:ascii="Times New Roman" w:hAnsi="Times New Roman"/>
          <w:b/>
          <w:sz w:val="24"/>
          <w:szCs w:val="24"/>
          <w:lang w:eastAsia="bg-BG"/>
        </w:rPr>
        <w:t>Цитирана литература</w:t>
      </w:r>
    </w:p>
    <w:p w:rsidR="008131C7" w:rsidRPr="008131C7" w:rsidRDefault="008131C7" w:rsidP="003D13A8">
      <w:pPr>
        <w:spacing w:after="0" w:line="240" w:lineRule="auto"/>
        <w:ind w:left="709" w:hanging="709"/>
        <w:jc w:val="both"/>
        <w:rPr>
          <w:rFonts w:ascii="Times New Roman" w:hAnsi="Times New Roman"/>
          <w:color w:val="000000"/>
          <w:sz w:val="24"/>
          <w:szCs w:val="24"/>
          <w:lang w:eastAsia="bg-BG"/>
        </w:rPr>
      </w:pPr>
      <w:r w:rsidRPr="008131C7">
        <w:rPr>
          <w:rFonts w:ascii="Times New Roman" w:hAnsi="Times New Roman"/>
          <w:sz w:val="24"/>
          <w:szCs w:val="24"/>
          <w:lang w:eastAsia="bg-BG"/>
        </w:rPr>
        <w:t xml:space="preserve">Документ За Целите На Натура 2000, </w:t>
      </w:r>
      <w:hyperlink r:id="rId200" w:history="1">
        <w:r w:rsidRPr="008131C7">
          <w:rPr>
            <w:rFonts w:ascii="Times New Roman" w:hAnsi="Times New Roman"/>
            <w:color w:val="0000FF"/>
            <w:sz w:val="24"/>
            <w:szCs w:val="24"/>
            <w:u w:val="single"/>
            <w:lang w:eastAsia="bg-BG"/>
          </w:rPr>
          <w:t>https://www.moew.government.bg</w:t>
        </w:r>
      </w:hyperlink>
      <w:r w:rsidRPr="008131C7">
        <w:rPr>
          <w:rFonts w:ascii="Times New Roman" w:hAnsi="Times New Roman"/>
          <w:color w:val="000000"/>
          <w:sz w:val="24"/>
          <w:szCs w:val="24"/>
          <w:lang w:eastAsia="bg-BG"/>
        </w:rPr>
        <w:br/>
        <w:t>Иванова Т., Попов В. 2007. Разред Прилепи (Chiroptera). с. 89 - 162. В: Попов В. и др. Бозайниците важни за опазване в България . Dutch Mammal Society. Arnhem, The Netherlands. ISBN 978 - 90 - 73162 - 93 - 8.</w:t>
      </w:r>
    </w:p>
    <w:p w:rsidR="008131C7" w:rsidRPr="008131C7" w:rsidRDefault="008131C7" w:rsidP="003D13A8">
      <w:pPr>
        <w:spacing w:after="0" w:line="240" w:lineRule="auto"/>
        <w:ind w:left="709" w:hanging="709"/>
        <w:jc w:val="both"/>
        <w:rPr>
          <w:rFonts w:ascii="Times New Roman" w:hAnsi="Times New Roman"/>
          <w:color w:val="000000"/>
          <w:sz w:val="24"/>
          <w:szCs w:val="24"/>
          <w:lang w:eastAsia="bg-BG"/>
        </w:rPr>
      </w:pPr>
      <w:r w:rsidRPr="008131C7">
        <w:rPr>
          <w:rFonts w:ascii="Times New Roman" w:hAnsi="Times New Roman"/>
          <w:color w:val="000000"/>
          <w:sz w:val="24"/>
          <w:szCs w:val="24"/>
          <w:lang w:eastAsia="bg-BG"/>
        </w:rPr>
        <w:t>Пешев, Ц.</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Пешев, Д., Попов, В. 2004. Фауна на България. Т. 27. Mammalia. 620 с. Академично Издателство „Марин Дринов”. София. ISBN 954-430-860-1 </w:t>
      </w:r>
    </w:p>
    <w:p w:rsidR="008131C7" w:rsidRPr="008131C7" w:rsidRDefault="008131C7" w:rsidP="003D13A8">
      <w:pPr>
        <w:spacing w:after="0" w:line="240" w:lineRule="auto"/>
        <w:ind w:left="709" w:hanging="709"/>
        <w:jc w:val="both"/>
        <w:rPr>
          <w:rFonts w:ascii="Times New Roman" w:hAnsi="Times New Roman"/>
          <w:color w:val="000000"/>
          <w:sz w:val="24"/>
          <w:szCs w:val="24"/>
          <w:lang w:eastAsia="bg-BG"/>
        </w:rPr>
      </w:pPr>
      <w:r w:rsidRPr="008131C7">
        <w:rPr>
          <w:rFonts w:ascii="Times New Roman" w:hAnsi="Times New Roman"/>
          <w:color w:val="000000"/>
          <w:sz w:val="24"/>
          <w:szCs w:val="24"/>
          <w:lang w:eastAsia="bg-BG"/>
        </w:rPr>
        <w:t>Benda</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w:t>
      </w:r>
      <w:r w:rsidRPr="008131C7">
        <w:rPr>
          <w:rFonts w:ascii="Times New Roman" w:hAnsi="Times New Roman"/>
          <w:color w:val="000000"/>
          <w:sz w:val="24"/>
          <w:szCs w:val="24"/>
          <w:lang w:val="en-GB" w:eastAsia="bg-BG"/>
        </w:rPr>
        <w:t>P</w:t>
      </w:r>
      <w:r w:rsidRPr="008131C7">
        <w:rPr>
          <w:rFonts w:ascii="Times New Roman" w:hAnsi="Times New Roman"/>
          <w:color w:val="000000"/>
          <w:sz w:val="24"/>
          <w:szCs w:val="24"/>
          <w:lang w:eastAsia="bg-BG"/>
        </w:rPr>
        <w:t>., Ivanova</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w:t>
      </w:r>
      <w:r w:rsidRPr="008131C7">
        <w:rPr>
          <w:rFonts w:ascii="Times New Roman" w:hAnsi="Times New Roman"/>
          <w:color w:val="000000"/>
          <w:sz w:val="24"/>
          <w:szCs w:val="24"/>
          <w:lang w:val="en-GB" w:eastAsia="bg-BG"/>
        </w:rPr>
        <w:t>T</w:t>
      </w:r>
      <w:r w:rsidRPr="008131C7">
        <w:rPr>
          <w:rFonts w:ascii="Times New Roman" w:hAnsi="Times New Roman"/>
          <w:color w:val="000000"/>
          <w:sz w:val="24"/>
          <w:szCs w:val="24"/>
          <w:lang w:eastAsia="bg-BG"/>
        </w:rPr>
        <w:t>., Horáček</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w:t>
      </w:r>
      <w:r w:rsidRPr="008131C7">
        <w:rPr>
          <w:rFonts w:ascii="Times New Roman" w:hAnsi="Times New Roman"/>
          <w:color w:val="000000"/>
          <w:sz w:val="24"/>
          <w:szCs w:val="24"/>
          <w:lang w:val="en-GB" w:eastAsia="bg-BG"/>
        </w:rPr>
        <w:t>I</w:t>
      </w:r>
      <w:r w:rsidRPr="008131C7">
        <w:rPr>
          <w:rFonts w:ascii="Times New Roman" w:hAnsi="Times New Roman"/>
          <w:color w:val="000000"/>
          <w:sz w:val="24"/>
          <w:szCs w:val="24"/>
          <w:lang w:eastAsia="bg-BG"/>
        </w:rPr>
        <w:t>., Hanák</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w:t>
      </w:r>
      <w:r w:rsidRPr="008131C7">
        <w:rPr>
          <w:rFonts w:ascii="Times New Roman" w:hAnsi="Times New Roman"/>
          <w:color w:val="000000"/>
          <w:sz w:val="24"/>
          <w:szCs w:val="24"/>
          <w:lang w:val="en-GB" w:eastAsia="bg-BG"/>
        </w:rPr>
        <w:t>V</w:t>
      </w:r>
      <w:r w:rsidRPr="008131C7">
        <w:rPr>
          <w:rFonts w:ascii="Times New Roman" w:hAnsi="Times New Roman"/>
          <w:color w:val="000000"/>
          <w:sz w:val="24"/>
          <w:szCs w:val="24"/>
          <w:lang w:eastAsia="bg-BG"/>
        </w:rPr>
        <w:t>., Červený</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J., Gaisler</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J., Gueorguieva</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A., Petrov</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B., Vohralík</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V. 2003. Bats (Mammalia: Chiroptera) of the Eastern Mediterranean. Part 3. Review of bat distribution in Bulgaria. - </w:t>
      </w:r>
      <w:r w:rsidRPr="008131C7">
        <w:rPr>
          <w:rFonts w:ascii="Times New Roman" w:hAnsi="Times New Roman"/>
          <w:i/>
          <w:iCs/>
          <w:sz w:val="24"/>
          <w:szCs w:val="24"/>
          <w:lang w:eastAsia="bg-BG"/>
        </w:rPr>
        <w:t>Acta Soc. Zool. Bohem</w:t>
      </w:r>
      <w:r w:rsidRPr="008131C7">
        <w:rPr>
          <w:rFonts w:ascii="Times New Roman" w:hAnsi="Times New Roman"/>
          <w:color w:val="000000"/>
          <w:sz w:val="24"/>
          <w:szCs w:val="24"/>
          <w:lang w:eastAsia="bg-BG"/>
        </w:rPr>
        <w:t>., 67: 245-357.</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lang w:eastAsia="bg-BG"/>
        </w:rPr>
        <w:t>Carr</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A., Zeale</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M., Jones</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G. 2016. The Barbastelle in Bovey Valley Woods. A report for the Woodland Trust. 1-36. </w:t>
      </w:r>
      <w:hyperlink r:id="rId201" w:history="1">
        <w:r w:rsidRPr="008131C7">
          <w:rPr>
            <w:rFonts w:ascii="Times New Roman" w:hAnsi="Times New Roman"/>
            <w:color w:val="0000FF"/>
            <w:sz w:val="24"/>
            <w:szCs w:val="24"/>
            <w:u w:val="single"/>
            <w:lang w:eastAsia="bg-BG"/>
          </w:rPr>
          <w:t>https://eastdartmoorwoodsdotorg.files.wordpress.com/2017/06/bovey_valley_barbastelle_study_-final_oct_2016.pdf</w:t>
        </w:r>
      </w:hyperlink>
    </w:p>
    <w:p w:rsidR="008131C7" w:rsidRPr="008131C7" w:rsidRDefault="008131C7" w:rsidP="003D13A8">
      <w:pPr>
        <w:spacing w:after="0" w:line="240" w:lineRule="auto"/>
        <w:ind w:left="709" w:hanging="709"/>
        <w:jc w:val="both"/>
        <w:rPr>
          <w:rFonts w:ascii="Times New Roman" w:hAnsi="Times New Roman"/>
          <w:color w:val="000000"/>
          <w:sz w:val="24"/>
          <w:szCs w:val="24"/>
          <w:lang w:val="en-GB" w:eastAsia="bg-BG"/>
        </w:rPr>
      </w:pPr>
      <w:r w:rsidRPr="008131C7">
        <w:rPr>
          <w:rFonts w:ascii="Times New Roman" w:hAnsi="Times New Roman"/>
          <w:sz w:val="24"/>
          <w:szCs w:val="24"/>
          <w:lang w:eastAsia="bg-BG"/>
        </w:rPr>
        <w:lastRenderedPageBreak/>
        <w:t xml:space="preserve">Goerlitz, </w:t>
      </w:r>
      <w:r w:rsidRPr="008131C7">
        <w:rPr>
          <w:rFonts w:ascii="Times New Roman" w:hAnsi="Times New Roman"/>
          <w:sz w:val="24"/>
          <w:szCs w:val="24"/>
          <w:lang w:val="en-GB" w:eastAsia="bg-BG"/>
        </w:rPr>
        <w:t>H</w:t>
      </w:r>
      <w:r w:rsidRPr="008131C7">
        <w:rPr>
          <w:rFonts w:ascii="Times New Roman" w:hAnsi="Times New Roman"/>
          <w:sz w:val="24"/>
          <w:szCs w:val="24"/>
          <w:lang w:eastAsia="bg-BG"/>
        </w:rPr>
        <w:t xml:space="preserve">. R., </w:t>
      </w:r>
      <w:r w:rsidRPr="008131C7">
        <w:rPr>
          <w:rFonts w:ascii="Times New Roman" w:hAnsi="Times New Roman"/>
          <w:sz w:val="24"/>
          <w:szCs w:val="24"/>
          <w:lang w:val="en-GB" w:eastAsia="bg-BG"/>
        </w:rPr>
        <w:t>H</w:t>
      </w:r>
      <w:r w:rsidRPr="008131C7">
        <w:rPr>
          <w:rFonts w:ascii="Times New Roman" w:hAnsi="Times New Roman"/>
          <w:sz w:val="24"/>
          <w:szCs w:val="24"/>
          <w:lang w:eastAsia="bg-BG"/>
        </w:rPr>
        <w:t xml:space="preserve">. M. Ter </w:t>
      </w:r>
      <w:r w:rsidRPr="008131C7">
        <w:rPr>
          <w:rFonts w:ascii="Times New Roman" w:hAnsi="Times New Roman"/>
          <w:sz w:val="24"/>
          <w:szCs w:val="24"/>
          <w:lang w:val="en-GB" w:eastAsia="bg-BG"/>
        </w:rPr>
        <w:t>H</w:t>
      </w:r>
      <w:r w:rsidRPr="008131C7">
        <w:rPr>
          <w:rFonts w:ascii="Times New Roman" w:hAnsi="Times New Roman"/>
          <w:sz w:val="24"/>
          <w:szCs w:val="24"/>
          <w:lang w:eastAsia="bg-BG"/>
        </w:rPr>
        <w:t xml:space="preserve">ofstede, </w:t>
      </w:r>
      <w:r w:rsidRPr="008131C7">
        <w:rPr>
          <w:rFonts w:ascii="Times New Roman" w:hAnsi="Times New Roman"/>
          <w:sz w:val="24"/>
          <w:szCs w:val="24"/>
          <w:lang w:val="en-GB" w:eastAsia="bg-BG"/>
        </w:rPr>
        <w:t>M</w:t>
      </w:r>
      <w:r w:rsidRPr="008131C7">
        <w:rPr>
          <w:rFonts w:ascii="Times New Roman" w:hAnsi="Times New Roman"/>
          <w:sz w:val="24"/>
          <w:szCs w:val="24"/>
          <w:lang w:eastAsia="bg-BG"/>
        </w:rPr>
        <w:t xml:space="preserve">. R. K. Zeale, </w:t>
      </w:r>
      <w:r w:rsidRPr="008131C7">
        <w:rPr>
          <w:rFonts w:ascii="Times New Roman" w:hAnsi="Times New Roman"/>
          <w:sz w:val="24"/>
          <w:szCs w:val="24"/>
          <w:lang w:val="en-GB" w:eastAsia="bg-BG"/>
        </w:rPr>
        <w:t>G</w:t>
      </w:r>
      <w:r w:rsidRPr="008131C7">
        <w:rPr>
          <w:rFonts w:ascii="Times New Roman" w:hAnsi="Times New Roman"/>
          <w:sz w:val="24"/>
          <w:szCs w:val="24"/>
          <w:lang w:eastAsia="bg-BG"/>
        </w:rPr>
        <w:t xml:space="preserve">. Jones, and </w:t>
      </w:r>
      <w:r w:rsidRPr="008131C7">
        <w:rPr>
          <w:rFonts w:ascii="Times New Roman" w:hAnsi="Times New Roman"/>
          <w:sz w:val="24"/>
          <w:szCs w:val="24"/>
          <w:lang w:val="en-GB" w:eastAsia="bg-BG"/>
        </w:rPr>
        <w:t>M</w:t>
      </w:r>
      <w:r w:rsidRPr="008131C7">
        <w:rPr>
          <w:rFonts w:ascii="Times New Roman" w:hAnsi="Times New Roman"/>
          <w:sz w:val="24"/>
          <w:szCs w:val="24"/>
          <w:lang w:eastAsia="bg-BG"/>
        </w:rPr>
        <w:t>. W. Holderied. 2010. An aerial-hawking bat uses stealth echolocation to counter moth hearing. Current Biology 20:1588– 1572.</w:t>
      </w:r>
    </w:p>
    <w:p w:rsidR="008131C7" w:rsidRPr="008131C7" w:rsidRDefault="008131C7" w:rsidP="003D13A8">
      <w:pPr>
        <w:spacing w:after="0" w:line="240" w:lineRule="auto"/>
        <w:ind w:left="709" w:hanging="709"/>
        <w:jc w:val="both"/>
        <w:rPr>
          <w:rFonts w:ascii="Times New Roman" w:hAnsi="Times New Roman"/>
          <w:sz w:val="24"/>
          <w:szCs w:val="24"/>
          <w:lang w:val="en-GB" w:eastAsia="bg-BG"/>
        </w:rPr>
      </w:pPr>
      <w:r w:rsidRPr="008131C7">
        <w:rPr>
          <w:rFonts w:ascii="Times New Roman" w:hAnsi="Times New Roman"/>
          <w:sz w:val="24"/>
          <w:szCs w:val="24"/>
          <w:lang w:eastAsia="bg-BG"/>
        </w:rPr>
        <w:t>Paunović</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M., R. Pandurska, T. Ivanova, B. Karapanda. 2003. Present knowledge of distribution and status of </w:t>
      </w:r>
      <w:r w:rsidRPr="008131C7">
        <w:rPr>
          <w:rFonts w:ascii="Times New Roman" w:hAnsi="Times New Roman"/>
          <w:i/>
          <w:iCs/>
          <w:sz w:val="24"/>
          <w:szCs w:val="24"/>
          <w:lang w:eastAsia="bg-BG"/>
        </w:rPr>
        <w:t>Barbastella barbastellus</w:t>
      </w:r>
      <w:r w:rsidRPr="008131C7">
        <w:rPr>
          <w:rFonts w:ascii="Times New Roman" w:hAnsi="Times New Roman"/>
          <w:sz w:val="24"/>
          <w:szCs w:val="24"/>
          <w:lang w:eastAsia="bg-BG"/>
        </w:rPr>
        <w:t> (Schreber, 1774) (Chiroptera: Vespertilionidae) on the Balkan peninsula.- </w:t>
      </w:r>
      <w:r w:rsidRPr="008131C7">
        <w:rPr>
          <w:rFonts w:ascii="Times New Roman" w:hAnsi="Times New Roman"/>
          <w:i/>
          <w:iCs/>
          <w:sz w:val="24"/>
          <w:szCs w:val="24"/>
          <w:lang w:eastAsia="bg-BG"/>
        </w:rPr>
        <w:t>Nyctalus (N. F.)</w:t>
      </w:r>
      <w:r w:rsidRPr="008131C7">
        <w:rPr>
          <w:rFonts w:ascii="Times New Roman" w:hAnsi="Times New Roman"/>
          <w:sz w:val="24"/>
          <w:szCs w:val="24"/>
          <w:lang w:eastAsia="bg-BG"/>
        </w:rPr>
        <w:t>, Berlin, 8 (6), 633-638.</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shd w:val="clear" w:color="auto" w:fill="FFFFFF"/>
          <w:lang w:eastAsia="bg-BG"/>
        </w:rPr>
        <w:t>Popov, V. 2018. Bats in Bulgaria: Patterns of Species Distribution, Richness, Rarity, and Vulnerability Derived from Distribution Models</w:t>
      </w:r>
      <w:r w:rsidRPr="008131C7">
        <w:rPr>
          <w:rFonts w:ascii="Times New Roman" w:hAnsi="Times New Roman"/>
          <w:sz w:val="24"/>
          <w:szCs w:val="24"/>
          <w:shd w:val="clear" w:color="auto" w:fill="FFFFFF"/>
          <w:lang w:val="en-GB" w:eastAsia="bg-BG"/>
        </w:rPr>
        <w:t>.  pp. 751 - 854. In: H. Mikkola (ed.). Bats</w:t>
      </w:r>
      <w:r w:rsidRPr="008131C7">
        <w:rPr>
          <w:rFonts w:ascii="Times New Roman" w:hAnsi="Times New Roman"/>
          <w:sz w:val="24"/>
          <w:szCs w:val="24"/>
          <w:shd w:val="clear" w:color="auto" w:fill="FFFFFF"/>
          <w:lang w:eastAsia="bg-BG"/>
        </w:rPr>
        <w:t>.http://dx.doi.org/10.5772/intechopen.73623</w:t>
      </w:r>
    </w:p>
    <w:p w:rsidR="008131C7" w:rsidRPr="008131C7" w:rsidRDefault="008131C7" w:rsidP="003D13A8">
      <w:pPr>
        <w:spacing w:after="0" w:line="240" w:lineRule="auto"/>
        <w:ind w:left="709" w:hanging="709"/>
        <w:jc w:val="both"/>
        <w:rPr>
          <w:rFonts w:ascii="Times New Roman" w:hAnsi="Times New Roman"/>
          <w:sz w:val="24"/>
          <w:szCs w:val="24"/>
          <w:lang w:val="en-GB" w:eastAsia="bg-BG"/>
        </w:rPr>
      </w:pPr>
      <w:r w:rsidRPr="008131C7">
        <w:rPr>
          <w:rFonts w:ascii="Times New Roman" w:hAnsi="Times New Roman"/>
          <w:sz w:val="24"/>
          <w:szCs w:val="24"/>
          <w:lang w:eastAsia="bg-BG"/>
        </w:rPr>
        <w:t>Russo</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D., L. Cistrone</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 G. Jones, S. Mazzoleni. 2004. Roost selection by barbastelle bats (</w:t>
      </w:r>
      <w:r w:rsidRPr="008131C7">
        <w:rPr>
          <w:rFonts w:ascii="Times New Roman" w:hAnsi="Times New Roman"/>
          <w:i/>
          <w:sz w:val="24"/>
          <w:szCs w:val="24"/>
          <w:lang w:eastAsia="bg-BG"/>
        </w:rPr>
        <w:t>Barbastella barbastellus</w:t>
      </w:r>
      <w:r w:rsidRPr="008131C7">
        <w:rPr>
          <w:rFonts w:ascii="Times New Roman" w:hAnsi="Times New Roman"/>
          <w:sz w:val="24"/>
          <w:szCs w:val="24"/>
          <w:lang w:eastAsia="bg-BG"/>
        </w:rPr>
        <w:t>, Chiroptera: Vespertilionidae) in beech woodlands of central Italy: consequences for conservation. Biological Conservation 117: 73–81.</w:t>
      </w:r>
    </w:p>
    <w:p w:rsidR="008131C7" w:rsidRPr="008131C7" w:rsidRDefault="008131C7" w:rsidP="003D13A8">
      <w:pPr>
        <w:spacing w:after="0" w:line="240" w:lineRule="auto"/>
        <w:ind w:left="709" w:hanging="709"/>
        <w:jc w:val="both"/>
        <w:rPr>
          <w:rFonts w:ascii="Times New Roman" w:hAnsi="Times New Roman"/>
          <w:color w:val="000000"/>
          <w:sz w:val="24"/>
          <w:szCs w:val="24"/>
          <w:lang w:eastAsia="bg-BG"/>
        </w:rPr>
      </w:pPr>
      <w:r w:rsidRPr="008131C7">
        <w:rPr>
          <w:rFonts w:ascii="Times New Roman" w:hAnsi="Times New Roman"/>
          <w:color w:val="000000"/>
          <w:sz w:val="24"/>
          <w:szCs w:val="24"/>
          <w:lang w:eastAsia="bg-BG"/>
        </w:rPr>
        <w:t>Schunger</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I., Ch. Dietz, D. Merdschanova, S. Merdschanov, K. Christov, I. Borissov, S. Staneva and B. Petrov. 2004. Swarming of bats (Chiroptera, Mammalia) in the Vodnite Dupki Cave (Central Balkan National Park, Bulgaria). – </w:t>
      </w:r>
      <w:r w:rsidRPr="008131C7">
        <w:rPr>
          <w:rFonts w:ascii="Times New Roman" w:hAnsi="Times New Roman"/>
          <w:i/>
          <w:iCs/>
          <w:sz w:val="24"/>
          <w:szCs w:val="24"/>
          <w:lang w:eastAsia="bg-BG"/>
        </w:rPr>
        <w:t>Acta zoologica bulgarica</w:t>
      </w:r>
      <w:r w:rsidRPr="008131C7">
        <w:rPr>
          <w:rFonts w:ascii="Times New Roman" w:hAnsi="Times New Roman"/>
          <w:color w:val="000000"/>
          <w:sz w:val="24"/>
          <w:szCs w:val="24"/>
          <w:lang w:eastAsia="bg-BG"/>
        </w:rPr>
        <w:t>, 56 (3): 323-330.</w:t>
      </w:r>
    </w:p>
    <w:p w:rsidR="008131C7" w:rsidRPr="008131C7" w:rsidRDefault="008131C7" w:rsidP="003D13A8">
      <w:pPr>
        <w:spacing w:after="0" w:line="240" w:lineRule="auto"/>
        <w:ind w:left="709" w:hanging="709"/>
        <w:jc w:val="both"/>
        <w:rPr>
          <w:rFonts w:ascii="Times New Roman" w:hAnsi="Times New Roman"/>
          <w:color w:val="000000"/>
          <w:sz w:val="24"/>
          <w:szCs w:val="24"/>
          <w:lang w:eastAsia="bg-BG"/>
        </w:rPr>
      </w:pPr>
      <w:r w:rsidRPr="008131C7">
        <w:rPr>
          <w:rFonts w:ascii="Times New Roman" w:hAnsi="Times New Roman"/>
          <w:color w:val="000000"/>
          <w:sz w:val="24"/>
          <w:szCs w:val="24"/>
          <w:lang w:eastAsia="bg-BG"/>
        </w:rPr>
        <w:t>Sierro</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A. 1999. Habitat selection by barbastelle bats (</w:t>
      </w:r>
      <w:r w:rsidRPr="008131C7">
        <w:rPr>
          <w:rFonts w:ascii="Times New Roman" w:hAnsi="Times New Roman"/>
          <w:i/>
          <w:color w:val="000000"/>
          <w:sz w:val="24"/>
          <w:szCs w:val="24"/>
          <w:lang w:eastAsia="bg-BG"/>
        </w:rPr>
        <w:t>Barbastella barbastellus</w:t>
      </w:r>
      <w:r w:rsidRPr="008131C7">
        <w:rPr>
          <w:rFonts w:ascii="Times New Roman" w:hAnsi="Times New Roman"/>
          <w:color w:val="000000"/>
          <w:sz w:val="24"/>
          <w:szCs w:val="24"/>
          <w:lang w:eastAsia="bg-BG"/>
        </w:rPr>
        <w:t xml:space="preserve">) in the Swiss Alps (Valais). </w:t>
      </w:r>
      <w:hyperlink r:id="rId202" w:history="1">
        <w:r w:rsidRPr="008131C7">
          <w:rPr>
            <w:rFonts w:ascii="Times New Roman" w:hAnsi="Times New Roman"/>
            <w:color w:val="000000"/>
            <w:sz w:val="24"/>
            <w:szCs w:val="24"/>
            <w:lang w:eastAsia="bg-BG"/>
          </w:rPr>
          <w:t>Journal of Zoology</w:t>
        </w:r>
      </w:hyperlink>
      <w:r w:rsidRPr="008131C7">
        <w:rPr>
          <w:rFonts w:ascii="Times New Roman" w:hAnsi="Times New Roman"/>
          <w:color w:val="000000"/>
          <w:sz w:val="24"/>
          <w:szCs w:val="24"/>
          <w:lang w:eastAsia="bg-BG"/>
        </w:rPr>
        <w:t> , </w:t>
      </w:r>
      <w:hyperlink r:id="rId203" w:history="1">
        <w:r w:rsidRPr="008131C7">
          <w:rPr>
            <w:rFonts w:ascii="Times New Roman" w:hAnsi="Times New Roman"/>
            <w:color w:val="000000"/>
            <w:sz w:val="24"/>
            <w:szCs w:val="24"/>
            <w:lang w:eastAsia="bg-BG"/>
          </w:rPr>
          <w:t>Volume 248</w:t>
        </w:r>
      </w:hyperlink>
      <w:r w:rsidRPr="008131C7">
        <w:rPr>
          <w:rFonts w:ascii="Times New Roman" w:hAnsi="Times New Roman"/>
          <w:color w:val="000000"/>
          <w:sz w:val="24"/>
          <w:szCs w:val="24"/>
          <w:lang w:eastAsia="bg-BG"/>
        </w:rPr>
        <w:t> , </w:t>
      </w:r>
      <w:hyperlink r:id="rId204" w:history="1">
        <w:r w:rsidRPr="008131C7">
          <w:rPr>
            <w:rFonts w:ascii="Times New Roman" w:hAnsi="Times New Roman"/>
            <w:color w:val="000000"/>
            <w:sz w:val="24"/>
            <w:szCs w:val="24"/>
            <w:lang w:eastAsia="bg-BG"/>
          </w:rPr>
          <w:t>Issue 4</w:t>
        </w:r>
      </w:hyperlink>
      <w:r w:rsidRPr="008131C7">
        <w:rPr>
          <w:rFonts w:ascii="Times New Roman" w:hAnsi="Times New Roman"/>
          <w:color w:val="000000"/>
          <w:sz w:val="24"/>
          <w:szCs w:val="24"/>
          <w:lang w:eastAsia="bg-BG"/>
        </w:rPr>
        <w:t xml:space="preserve">, pp. 429 – 432. </w:t>
      </w:r>
    </w:p>
    <w:p w:rsidR="008131C7" w:rsidRPr="008131C7" w:rsidRDefault="008131C7" w:rsidP="003D13A8">
      <w:pPr>
        <w:spacing w:after="0" w:line="240" w:lineRule="auto"/>
        <w:ind w:left="709" w:hanging="709"/>
        <w:jc w:val="both"/>
        <w:rPr>
          <w:rFonts w:ascii="Times New Roman" w:hAnsi="Times New Roman"/>
          <w:color w:val="000000"/>
          <w:sz w:val="24"/>
          <w:szCs w:val="24"/>
          <w:lang w:eastAsia="bg-BG"/>
        </w:rPr>
      </w:pPr>
      <w:r w:rsidRPr="008131C7">
        <w:rPr>
          <w:rFonts w:ascii="Times New Roman" w:hAnsi="Times New Roman"/>
          <w:color w:val="000000"/>
          <w:sz w:val="24"/>
          <w:szCs w:val="24"/>
          <w:lang w:eastAsia="bg-BG"/>
        </w:rPr>
        <w:t>DOI: </w:t>
      </w:r>
      <w:hyperlink r:id="rId205" w:tgtFrame="_blank" w:history="1">
        <w:r w:rsidRPr="008131C7">
          <w:rPr>
            <w:rFonts w:ascii="Times New Roman" w:hAnsi="Times New Roman"/>
            <w:color w:val="000000"/>
            <w:sz w:val="24"/>
            <w:szCs w:val="24"/>
            <w:lang w:eastAsia="bg-BG"/>
          </w:rPr>
          <w:t>https://doi.org/10.1111/j.1469-7998.1999.tb01042.x</w:t>
        </w:r>
      </w:hyperlink>
    </w:p>
    <w:p w:rsidR="008131C7" w:rsidRPr="008131C7" w:rsidRDefault="008131C7" w:rsidP="003D13A8">
      <w:pPr>
        <w:spacing w:after="0" w:line="240" w:lineRule="auto"/>
        <w:ind w:left="709" w:hanging="709"/>
        <w:jc w:val="both"/>
        <w:rPr>
          <w:rFonts w:ascii="Times New Roman" w:hAnsi="Times New Roman"/>
          <w:color w:val="000000"/>
          <w:sz w:val="24"/>
          <w:szCs w:val="24"/>
          <w:lang w:val="en-GB" w:eastAsia="bg-BG"/>
        </w:rPr>
      </w:pPr>
      <w:r w:rsidRPr="008131C7">
        <w:rPr>
          <w:rFonts w:ascii="Times New Roman" w:hAnsi="Times New Roman"/>
          <w:sz w:val="24"/>
          <w:szCs w:val="24"/>
          <w:lang w:eastAsia="bg-BG"/>
        </w:rPr>
        <w:t xml:space="preserve">Zeale, </w:t>
      </w:r>
      <w:r w:rsidRPr="008131C7">
        <w:rPr>
          <w:rFonts w:ascii="Times New Roman" w:hAnsi="Times New Roman"/>
          <w:sz w:val="24"/>
          <w:szCs w:val="24"/>
          <w:lang w:val="en-GB" w:eastAsia="bg-BG"/>
        </w:rPr>
        <w:t>M</w:t>
      </w:r>
      <w:r w:rsidRPr="008131C7">
        <w:rPr>
          <w:rFonts w:ascii="Times New Roman" w:hAnsi="Times New Roman"/>
          <w:sz w:val="24"/>
          <w:szCs w:val="24"/>
          <w:lang w:eastAsia="bg-BG"/>
        </w:rPr>
        <w:t xml:space="preserve">. R. K., </w:t>
      </w:r>
      <w:r w:rsidRPr="008131C7">
        <w:rPr>
          <w:rFonts w:ascii="Times New Roman" w:hAnsi="Times New Roman"/>
          <w:sz w:val="24"/>
          <w:szCs w:val="24"/>
          <w:lang w:val="en-GB" w:eastAsia="bg-BG"/>
        </w:rPr>
        <w:t>R</w:t>
      </w:r>
      <w:r w:rsidRPr="008131C7">
        <w:rPr>
          <w:rFonts w:ascii="Times New Roman" w:hAnsi="Times New Roman"/>
          <w:sz w:val="24"/>
          <w:szCs w:val="24"/>
          <w:lang w:eastAsia="bg-BG"/>
        </w:rPr>
        <w:t xml:space="preserve">. K. Butlin, </w:t>
      </w:r>
      <w:r w:rsidRPr="008131C7">
        <w:rPr>
          <w:rFonts w:ascii="Times New Roman" w:hAnsi="Times New Roman"/>
          <w:sz w:val="24"/>
          <w:szCs w:val="24"/>
          <w:lang w:val="en-GB" w:eastAsia="bg-BG"/>
        </w:rPr>
        <w:t>G</w:t>
      </w:r>
      <w:r w:rsidRPr="008131C7">
        <w:rPr>
          <w:rFonts w:ascii="Times New Roman" w:hAnsi="Times New Roman"/>
          <w:sz w:val="24"/>
          <w:szCs w:val="24"/>
          <w:lang w:eastAsia="bg-BG"/>
        </w:rPr>
        <w:t xml:space="preserve">. L. A. Barker, </w:t>
      </w:r>
      <w:r w:rsidRPr="008131C7">
        <w:rPr>
          <w:rFonts w:ascii="Times New Roman" w:hAnsi="Times New Roman"/>
          <w:sz w:val="24"/>
          <w:szCs w:val="24"/>
          <w:lang w:val="en-GB" w:eastAsia="bg-BG"/>
        </w:rPr>
        <w:t>D</w:t>
      </w:r>
      <w:r w:rsidRPr="008131C7">
        <w:rPr>
          <w:rFonts w:ascii="Times New Roman" w:hAnsi="Times New Roman"/>
          <w:sz w:val="24"/>
          <w:szCs w:val="24"/>
          <w:lang w:eastAsia="bg-BG"/>
        </w:rPr>
        <w:t xml:space="preserve">. C. Lees, and </w:t>
      </w:r>
      <w:r w:rsidRPr="008131C7">
        <w:rPr>
          <w:rFonts w:ascii="Times New Roman" w:hAnsi="Times New Roman"/>
          <w:sz w:val="24"/>
          <w:szCs w:val="24"/>
          <w:lang w:val="en-GB" w:eastAsia="bg-BG"/>
        </w:rPr>
        <w:t>G</w:t>
      </w:r>
      <w:r w:rsidRPr="008131C7">
        <w:rPr>
          <w:rFonts w:ascii="Times New Roman" w:hAnsi="Times New Roman"/>
          <w:sz w:val="24"/>
          <w:szCs w:val="24"/>
          <w:lang w:eastAsia="bg-BG"/>
        </w:rPr>
        <w:t>. Jones. 2011. Taxon-specific PCR for DNA barcoding arthropod prey in bat faeces. Molecular Ecology Resources 11:</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236–244.</w:t>
      </w:r>
    </w:p>
    <w:p w:rsidR="008131C7" w:rsidRPr="008131C7" w:rsidRDefault="008131C7" w:rsidP="003D13A8">
      <w:pPr>
        <w:spacing w:after="0" w:line="240" w:lineRule="auto"/>
        <w:ind w:left="709" w:hanging="709"/>
        <w:jc w:val="both"/>
        <w:rPr>
          <w:rFonts w:ascii="Times New Roman" w:hAnsi="Times New Roman"/>
          <w:color w:val="000000"/>
          <w:sz w:val="24"/>
          <w:szCs w:val="24"/>
          <w:lang w:eastAsia="bg-BG"/>
        </w:rPr>
      </w:pPr>
      <w:r w:rsidRPr="008131C7">
        <w:rPr>
          <w:rFonts w:ascii="Times New Roman" w:hAnsi="Times New Roman"/>
          <w:sz w:val="24"/>
          <w:szCs w:val="24"/>
          <w:lang w:eastAsia="bg-BG"/>
        </w:rPr>
        <w:t>Zeale</w:t>
      </w:r>
      <w:r w:rsidR="00D945E2">
        <w:rPr>
          <w:rFonts w:ascii="Times New Roman" w:hAnsi="Times New Roman"/>
          <w:sz w:val="24"/>
          <w:szCs w:val="24"/>
          <w:lang w:eastAsia="bg-BG"/>
        </w:rPr>
        <w:t>,</w:t>
      </w:r>
      <w:r w:rsidRPr="008131C7">
        <w:rPr>
          <w:rFonts w:ascii="Times New Roman" w:hAnsi="Times New Roman"/>
          <w:sz w:val="24"/>
          <w:szCs w:val="24"/>
          <w:lang w:val="en-GB" w:eastAsia="bg-BG"/>
        </w:rPr>
        <w:t xml:space="preserve"> M.</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R</w:t>
      </w:r>
      <w:r w:rsidRPr="008131C7">
        <w:rPr>
          <w:rFonts w:ascii="Times New Roman" w:hAnsi="Times New Roman"/>
          <w:sz w:val="24"/>
          <w:szCs w:val="24"/>
          <w:lang w:eastAsia="bg-BG"/>
        </w:rPr>
        <w:t xml:space="preserve">. K., </w:t>
      </w:r>
      <w:r w:rsidRPr="008131C7">
        <w:rPr>
          <w:rFonts w:ascii="Times New Roman" w:hAnsi="Times New Roman"/>
          <w:sz w:val="24"/>
          <w:szCs w:val="24"/>
          <w:lang w:val="en-GB" w:eastAsia="bg-BG"/>
        </w:rPr>
        <w:t>I.</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D</w:t>
      </w:r>
      <w:r w:rsidRPr="008131C7">
        <w:rPr>
          <w:rFonts w:ascii="Times New Roman" w:hAnsi="Times New Roman"/>
          <w:sz w:val="24"/>
          <w:szCs w:val="24"/>
          <w:lang w:eastAsia="bg-BG"/>
        </w:rPr>
        <w:t>avidson-</w:t>
      </w:r>
      <w:r w:rsidRPr="008131C7">
        <w:rPr>
          <w:rFonts w:ascii="Times New Roman" w:hAnsi="Times New Roman"/>
          <w:sz w:val="24"/>
          <w:szCs w:val="24"/>
          <w:lang w:val="en-GB" w:eastAsia="bg-BG"/>
        </w:rPr>
        <w:t>W</w:t>
      </w:r>
      <w:r w:rsidRPr="008131C7">
        <w:rPr>
          <w:rFonts w:ascii="Times New Roman" w:hAnsi="Times New Roman"/>
          <w:sz w:val="24"/>
          <w:szCs w:val="24"/>
          <w:lang w:eastAsia="bg-BG"/>
        </w:rPr>
        <w:t xml:space="preserve">atts, and </w:t>
      </w:r>
      <w:r w:rsidRPr="008131C7">
        <w:rPr>
          <w:rFonts w:ascii="Times New Roman" w:hAnsi="Times New Roman"/>
          <w:sz w:val="24"/>
          <w:szCs w:val="24"/>
          <w:lang w:val="en-GB" w:eastAsia="bg-BG"/>
        </w:rPr>
        <w:t>G.</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J</w:t>
      </w:r>
      <w:r w:rsidRPr="008131C7">
        <w:rPr>
          <w:rFonts w:ascii="Times New Roman" w:hAnsi="Times New Roman"/>
          <w:sz w:val="24"/>
          <w:szCs w:val="24"/>
          <w:lang w:eastAsia="bg-BG"/>
        </w:rPr>
        <w:t>ones, 2012</w:t>
      </w:r>
      <w:r w:rsidRPr="008131C7">
        <w:rPr>
          <w:rFonts w:ascii="Times New Roman" w:hAnsi="Times New Roman"/>
          <w:sz w:val="24"/>
          <w:szCs w:val="24"/>
          <w:lang w:val="en-GB" w:eastAsia="bg-BG"/>
        </w:rPr>
        <w:t>.</w:t>
      </w:r>
      <w:r w:rsidRPr="008131C7">
        <w:rPr>
          <w:rFonts w:ascii="Times New Roman" w:hAnsi="Times New Roman"/>
          <w:sz w:val="24"/>
          <w:szCs w:val="24"/>
          <w:lang w:eastAsia="bg-BG"/>
        </w:rPr>
        <w:t xml:space="preserve"> Home range use and habitat selection by barbastelle bats (</w:t>
      </w:r>
      <w:r w:rsidRPr="008131C7">
        <w:rPr>
          <w:rFonts w:ascii="Times New Roman" w:hAnsi="Times New Roman"/>
          <w:i/>
          <w:sz w:val="24"/>
          <w:szCs w:val="24"/>
          <w:lang w:eastAsia="bg-BG"/>
        </w:rPr>
        <w:t>Barbastella barbastellus</w:t>
      </w:r>
      <w:r w:rsidRPr="008131C7">
        <w:rPr>
          <w:rFonts w:ascii="Times New Roman" w:hAnsi="Times New Roman"/>
          <w:sz w:val="24"/>
          <w:szCs w:val="24"/>
          <w:lang w:eastAsia="bg-BG"/>
        </w:rPr>
        <w:t>): implications for conservation</w:t>
      </w:r>
      <w:r w:rsidRPr="008131C7">
        <w:rPr>
          <w:rFonts w:ascii="Times New Roman" w:hAnsi="Times New Roman"/>
          <w:sz w:val="24"/>
          <w:szCs w:val="24"/>
          <w:lang w:val="en-GB" w:eastAsia="bg-BG"/>
        </w:rPr>
        <w:t>.</w:t>
      </w:r>
      <w:r w:rsidRPr="008131C7">
        <w:rPr>
          <w:rFonts w:ascii="Times New Roman" w:hAnsi="Times New Roman"/>
          <w:sz w:val="24"/>
          <w:szCs w:val="24"/>
          <w:lang w:eastAsia="bg-BG"/>
        </w:rPr>
        <w:t xml:space="preserve"> Journal of Mammalogy, 93(4):</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1110–1118</w:t>
      </w:r>
    </w:p>
    <w:p w:rsidR="008131C7" w:rsidRPr="008131C7" w:rsidRDefault="008131C7" w:rsidP="003D13A8">
      <w:pPr>
        <w:spacing w:after="0" w:line="240" w:lineRule="auto"/>
        <w:ind w:left="709" w:hanging="709"/>
        <w:jc w:val="both"/>
        <w:rPr>
          <w:rFonts w:ascii="Times New Roman" w:hAnsi="Times New Roman"/>
          <w:sz w:val="24"/>
          <w:szCs w:val="24"/>
          <w:lang w:val="en-GB" w:eastAsia="bg-BG"/>
        </w:rPr>
      </w:pPr>
    </w:p>
    <w:p w:rsidR="008131C7" w:rsidRPr="008131C7" w:rsidRDefault="008131C7" w:rsidP="008131C7">
      <w:pPr>
        <w:spacing w:before="120" w:after="120" w:line="240" w:lineRule="auto"/>
        <w:rPr>
          <w:rFonts w:ascii="Times New Roman" w:hAnsi="Times New Roman"/>
          <w:sz w:val="24"/>
          <w:szCs w:val="24"/>
          <w:lang w:val="en-GB" w:eastAsia="bg-BG"/>
        </w:rPr>
      </w:pPr>
      <w:r w:rsidRPr="008131C7">
        <w:rPr>
          <w:rFonts w:ascii="Times New Roman" w:hAnsi="Times New Roman"/>
          <w:i/>
          <w:sz w:val="24"/>
          <w:szCs w:val="24"/>
          <w:lang w:eastAsia="bg-BG"/>
        </w:rPr>
        <w:t>Автори</w:t>
      </w:r>
      <w:r w:rsidRPr="008131C7">
        <w:rPr>
          <w:rFonts w:ascii="Times New Roman" w:hAnsi="Times New Roman"/>
          <w:sz w:val="24"/>
          <w:szCs w:val="24"/>
          <w:lang w:eastAsia="bg-BG"/>
        </w:rPr>
        <w:t>: Васил Попов, Вълко Бисерков</w:t>
      </w:r>
    </w:p>
    <w:p w:rsidR="008131C7" w:rsidRPr="008131C7" w:rsidRDefault="008131C7" w:rsidP="008131C7">
      <w:pPr>
        <w:spacing w:before="120" w:after="120" w:line="240" w:lineRule="auto"/>
        <w:rPr>
          <w:rFonts w:ascii="Times New Roman" w:hAnsi="Times New Roman"/>
          <w:sz w:val="24"/>
          <w:szCs w:val="24"/>
          <w:lang w:val="en-GB" w:eastAsia="bg-BG"/>
        </w:rPr>
      </w:pPr>
    </w:p>
    <w:p w:rsidR="001033EC" w:rsidRDefault="00107719" w:rsidP="003A4F26">
      <w:pPr>
        <w:outlineLvl w:val="1"/>
        <w:rPr>
          <w:rFonts w:ascii="Times New Roman" w:hAnsi="Times New Roman"/>
          <w:i/>
          <w:color w:val="1F497D" w:themeColor="text2"/>
          <w:sz w:val="28"/>
          <w:szCs w:val="28"/>
        </w:rPr>
      </w:pPr>
      <w:bookmarkStart w:id="100" w:name="_Toc98838568"/>
      <w:r>
        <w:rPr>
          <w:rFonts w:ascii="Times New Roman" w:hAnsi="Times New Roman"/>
          <w:color w:val="1F497D" w:themeColor="text2"/>
          <w:sz w:val="28"/>
          <w:szCs w:val="28"/>
        </w:rPr>
        <w:t xml:space="preserve">Природозащитни цели за </w:t>
      </w:r>
      <w:r w:rsidR="001033EC">
        <w:rPr>
          <w:rFonts w:ascii="Times New Roman" w:hAnsi="Times New Roman"/>
          <w:color w:val="1F497D" w:themeColor="text2"/>
          <w:sz w:val="28"/>
          <w:szCs w:val="28"/>
        </w:rPr>
        <w:t xml:space="preserve">2635 </w:t>
      </w:r>
      <w:r w:rsidR="001033EC" w:rsidRPr="00107719">
        <w:rPr>
          <w:rFonts w:ascii="Times New Roman" w:hAnsi="Times New Roman"/>
          <w:i/>
          <w:color w:val="1F497D" w:themeColor="text2"/>
          <w:sz w:val="28"/>
          <w:szCs w:val="28"/>
        </w:rPr>
        <w:t>Vormela peregusna</w:t>
      </w:r>
      <w:bookmarkEnd w:id="100"/>
    </w:p>
    <w:p w:rsidR="00EB75F6" w:rsidRPr="00EB75F6" w:rsidRDefault="00EB75F6" w:rsidP="00EB75F6">
      <w:pPr>
        <w:spacing w:after="0" w:line="240" w:lineRule="auto"/>
        <w:jc w:val="both"/>
        <w:rPr>
          <w:rFonts w:ascii="Times New Roman" w:eastAsia="Calibri" w:hAnsi="Times New Roman"/>
          <w:sz w:val="24"/>
          <w:szCs w:val="24"/>
        </w:rPr>
      </w:pPr>
      <w:r w:rsidRPr="00EB75F6">
        <w:rPr>
          <w:rFonts w:ascii="Times New Roman" w:eastAsia="Calibri" w:hAnsi="Times New Roman"/>
          <w:b/>
          <w:bCs/>
          <w:sz w:val="24"/>
          <w:szCs w:val="24"/>
        </w:rPr>
        <w:t>1.Код и наименование на вида</w:t>
      </w:r>
      <w:r w:rsidRPr="00EB75F6">
        <w:rPr>
          <w:rFonts w:ascii="Times New Roman" w:eastAsia="Calibri" w:hAnsi="Times New Roman"/>
          <w:sz w:val="24"/>
          <w:szCs w:val="24"/>
        </w:rPr>
        <w:t>: 263</w:t>
      </w:r>
      <w:r w:rsidRPr="00EB75F6">
        <w:rPr>
          <w:rFonts w:ascii="Times New Roman" w:eastAsia="Calibri" w:hAnsi="Times New Roman"/>
          <w:sz w:val="24"/>
          <w:szCs w:val="24"/>
          <w:lang w:val="en-US"/>
        </w:rPr>
        <w:t>5</w:t>
      </w:r>
      <w:r w:rsidRPr="00EB75F6">
        <w:rPr>
          <w:rFonts w:ascii="Times New Roman" w:eastAsia="Calibri" w:hAnsi="Times New Roman"/>
          <w:sz w:val="24"/>
          <w:szCs w:val="24"/>
        </w:rPr>
        <w:t xml:space="preserve"> </w:t>
      </w:r>
      <w:r w:rsidRPr="00EB75F6">
        <w:rPr>
          <w:rFonts w:ascii="Times New Roman" w:eastAsia="Calibri" w:hAnsi="Times New Roman"/>
          <w:i/>
          <w:iCs/>
          <w:sz w:val="24"/>
          <w:szCs w:val="24"/>
        </w:rPr>
        <w:t>Vormela peregusna</w:t>
      </w:r>
      <w:r w:rsidRPr="00EB75F6">
        <w:rPr>
          <w:rFonts w:ascii="Times New Roman" w:eastAsia="Calibri" w:hAnsi="Times New Roman"/>
          <w:sz w:val="24"/>
          <w:szCs w:val="24"/>
        </w:rPr>
        <w:t xml:space="preserve">  (Guldenstaedt, 1770) – </w:t>
      </w:r>
      <w:r w:rsidRPr="00EB75F6">
        <w:rPr>
          <w:rFonts w:ascii="Times New Roman" w:eastAsia="Calibri" w:hAnsi="Times New Roman"/>
          <w:bCs/>
          <w:sz w:val="24"/>
          <w:szCs w:val="24"/>
        </w:rPr>
        <w:t>Пъстър пор</w:t>
      </w:r>
    </w:p>
    <w:p w:rsidR="00EB75F6" w:rsidRPr="00EB75F6" w:rsidRDefault="00EB75F6" w:rsidP="00EB75F6">
      <w:pPr>
        <w:spacing w:before="120" w:after="0" w:line="240" w:lineRule="auto"/>
        <w:jc w:val="both"/>
        <w:rPr>
          <w:rFonts w:ascii="Times New Roman" w:eastAsia="Calibri" w:hAnsi="Times New Roman"/>
          <w:sz w:val="24"/>
          <w:szCs w:val="24"/>
        </w:rPr>
      </w:pPr>
      <w:r w:rsidRPr="00EB75F6">
        <w:rPr>
          <w:rFonts w:ascii="Times New Roman" w:eastAsia="Calibri" w:hAnsi="Times New Roman"/>
          <w:b/>
          <w:bCs/>
          <w:sz w:val="24"/>
          <w:szCs w:val="24"/>
        </w:rPr>
        <w:t>2.</w:t>
      </w:r>
      <w:r w:rsidRPr="00EB75F6">
        <w:rPr>
          <w:rFonts w:ascii="Times New Roman" w:eastAsia="Calibri" w:hAnsi="Times New Roman"/>
          <w:sz w:val="24"/>
          <w:szCs w:val="24"/>
        </w:rPr>
        <w:t xml:space="preserve"> </w:t>
      </w:r>
      <w:r w:rsidRPr="00EB75F6">
        <w:rPr>
          <w:rFonts w:ascii="Times New Roman" w:eastAsia="Calibri" w:hAnsi="Times New Roman"/>
          <w:b/>
          <w:bCs/>
          <w:sz w:val="24"/>
          <w:szCs w:val="24"/>
        </w:rPr>
        <w:t>Кратка характеристика на целевия обект</w:t>
      </w:r>
    </w:p>
    <w:p w:rsidR="00EB75F6" w:rsidRPr="00EB75F6" w:rsidRDefault="00EB75F6" w:rsidP="00EB75F6">
      <w:pPr>
        <w:spacing w:after="0" w:line="240" w:lineRule="auto"/>
        <w:ind w:firstLine="709"/>
        <w:jc w:val="both"/>
        <w:rPr>
          <w:rFonts w:ascii="Times New Roman" w:eastAsia="Calibri" w:hAnsi="Times New Roman"/>
          <w:sz w:val="24"/>
          <w:szCs w:val="24"/>
          <w:lang w:val="en-US"/>
        </w:rPr>
      </w:pPr>
      <w:r w:rsidRPr="00EB75F6">
        <w:rPr>
          <w:rFonts w:ascii="Times New Roman" w:eastAsia="Calibri" w:hAnsi="Times New Roman"/>
          <w:sz w:val="24"/>
          <w:szCs w:val="24"/>
          <w:lang w:val="en-US"/>
        </w:rPr>
        <w:t>Пъстрият пор е дребен хищник от семейство Mustelidae (Порови) със светло жълтеникаво-кафява окраска с тъмни петна и характерни „препаски“</w:t>
      </w:r>
      <w:r w:rsidRPr="00EB75F6">
        <w:rPr>
          <w:rFonts w:ascii="Times New Roman" w:eastAsia="Calibri" w:hAnsi="Times New Roman"/>
          <w:sz w:val="24"/>
          <w:szCs w:val="24"/>
        </w:rPr>
        <w:t xml:space="preserve"> </w:t>
      </w:r>
      <w:r w:rsidRPr="00EB75F6">
        <w:rPr>
          <w:rFonts w:ascii="Times New Roman" w:eastAsia="Calibri" w:hAnsi="Times New Roman"/>
          <w:sz w:val="24"/>
          <w:szCs w:val="24"/>
          <w:lang w:val="en-US"/>
        </w:rPr>
        <w:t xml:space="preserve">през очите и челото. Ушите му са големи, с бели краища. Опашката е рунтава. Теглото му е от 370 до 720 грама. </w:t>
      </w:r>
    </w:p>
    <w:p w:rsidR="00EB75F6" w:rsidRPr="00EB75F6" w:rsidRDefault="00EB75F6" w:rsidP="00EB75F6">
      <w:pPr>
        <w:spacing w:after="0" w:line="240" w:lineRule="auto"/>
        <w:ind w:firstLine="709"/>
        <w:jc w:val="both"/>
        <w:rPr>
          <w:rFonts w:ascii="Times New Roman" w:eastAsia="Calibri" w:hAnsi="Times New Roman"/>
          <w:sz w:val="24"/>
          <w:szCs w:val="24"/>
          <w:lang w:val="en-US"/>
        </w:rPr>
      </w:pPr>
      <w:r w:rsidRPr="00EB75F6">
        <w:rPr>
          <w:rFonts w:ascii="Times New Roman" w:eastAsia="Calibri" w:hAnsi="Times New Roman"/>
          <w:sz w:val="24"/>
          <w:szCs w:val="24"/>
          <w:lang w:val="en-US"/>
        </w:rPr>
        <w:t>Разпространен е от западната част на Югоизточна Европа, през Кавказ, Средния Изток и Централна Азия до северен Китай и Монголия на изток (Mitchell-Jones et al., 1999). В България пъстрият пор е с мозаично разпространение в цялата страна, без високите части на планините и големите горски масиви.</w:t>
      </w:r>
      <w:r w:rsidRPr="00EB75F6">
        <w:rPr>
          <w:rFonts w:ascii="Times New Roman" w:eastAsia="Calibri" w:hAnsi="Times New Roman"/>
          <w:sz w:val="24"/>
          <w:szCs w:val="24"/>
        </w:rPr>
        <w:t xml:space="preserve"> </w:t>
      </w:r>
      <w:r w:rsidRPr="00EB75F6">
        <w:rPr>
          <w:rFonts w:ascii="Times New Roman" w:eastAsia="Calibri" w:hAnsi="Times New Roman"/>
          <w:sz w:val="24"/>
          <w:szCs w:val="24"/>
          <w:lang w:val="en-US"/>
        </w:rPr>
        <w:t>Счита се, че плътността му е най-висока в североизточна и западна България (Spassov et al., 2002). Хранителният му спектър включва основно гризачи (предпочитана храна са лалугерите</w:t>
      </w:r>
      <w:r w:rsidRPr="00EB75F6">
        <w:rPr>
          <w:rFonts w:ascii="Times New Roman" w:eastAsia="Calibri" w:hAnsi="Times New Roman"/>
          <w:sz w:val="24"/>
          <w:szCs w:val="24"/>
        </w:rPr>
        <w:t xml:space="preserve"> и хомяците</w:t>
      </w:r>
      <w:r w:rsidRPr="00EB75F6">
        <w:rPr>
          <w:rFonts w:ascii="Times New Roman" w:eastAsia="Calibri" w:hAnsi="Times New Roman"/>
          <w:sz w:val="24"/>
          <w:szCs w:val="24"/>
          <w:lang w:val="en-US"/>
        </w:rPr>
        <w:t>) и в по-малка степен птици, влечуги,</w:t>
      </w:r>
      <w:r w:rsidRPr="00EB75F6">
        <w:rPr>
          <w:rFonts w:ascii="Times New Roman" w:eastAsia="Calibri" w:hAnsi="Times New Roman"/>
          <w:sz w:val="24"/>
          <w:szCs w:val="24"/>
        </w:rPr>
        <w:t xml:space="preserve"> </w:t>
      </w:r>
      <w:r w:rsidRPr="00EB75F6">
        <w:rPr>
          <w:rFonts w:ascii="Times New Roman" w:eastAsia="Calibri" w:hAnsi="Times New Roman"/>
          <w:sz w:val="24"/>
          <w:szCs w:val="24"/>
          <w:lang w:val="en-US"/>
        </w:rPr>
        <w:t xml:space="preserve">земноводни и др.  </w:t>
      </w:r>
      <w:r w:rsidRPr="00EB75F6">
        <w:rPr>
          <w:rFonts w:ascii="Times New Roman" w:eastAsia="Calibri" w:hAnsi="Times New Roman"/>
          <w:sz w:val="24"/>
          <w:szCs w:val="24"/>
        </w:rPr>
        <w:t xml:space="preserve">Разпространението му в Европа е свързано до голяма степен с това на колониалните едри гризачи </w:t>
      </w:r>
      <w:r w:rsidRPr="00EB75F6">
        <w:rPr>
          <w:rFonts w:ascii="Times New Roman" w:eastAsia="Calibri" w:hAnsi="Times New Roman"/>
          <w:sz w:val="24"/>
          <w:szCs w:val="24"/>
          <w:lang w:val="en-US"/>
        </w:rPr>
        <w:t>(</w:t>
      </w:r>
      <w:r w:rsidRPr="00EB75F6">
        <w:rPr>
          <w:rFonts w:ascii="Times New Roman" w:eastAsia="Calibri" w:hAnsi="Times New Roman"/>
          <w:sz w:val="24"/>
          <w:szCs w:val="24"/>
        </w:rPr>
        <w:t>лалугер, хомяци</w:t>
      </w:r>
      <w:r w:rsidRPr="00EB75F6">
        <w:rPr>
          <w:rFonts w:ascii="Times New Roman" w:eastAsia="Calibri" w:hAnsi="Times New Roman"/>
          <w:sz w:val="24"/>
          <w:szCs w:val="24"/>
          <w:lang w:val="en-US"/>
        </w:rPr>
        <w:t>)</w:t>
      </w:r>
      <w:r w:rsidRPr="00EB75F6">
        <w:rPr>
          <w:rFonts w:ascii="Times New Roman" w:eastAsia="Calibri" w:hAnsi="Times New Roman"/>
          <w:sz w:val="24"/>
          <w:szCs w:val="24"/>
        </w:rPr>
        <w:t xml:space="preserve">. </w:t>
      </w:r>
      <w:r w:rsidRPr="00EB75F6">
        <w:rPr>
          <w:rFonts w:ascii="Times New Roman" w:eastAsia="Calibri" w:hAnsi="Times New Roman"/>
          <w:sz w:val="24"/>
          <w:szCs w:val="24"/>
          <w:lang w:val="en-US"/>
        </w:rPr>
        <w:t xml:space="preserve">Обитава дупки, които рядко копае сам - обикновено разширява такива на лалугери и други гризачи. Пъстрият пор ражда 3-8 малки веднъж годишно. Бременността се характеризира със забавена имплантация. </w:t>
      </w:r>
    </w:p>
    <w:p w:rsidR="00EB75F6" w:rsidRPr="00EB75F6" w:rsidRDefault="00EB75F6" w:rsidP="00EB75F6">
      <w:pPr>
        <w:spacing w:after="0" w:line="240" w:lineRule="auto"/>
        <w:ind w:firstLine="709"/>
        <w:jc w:val="both"/>
        <w:rPr>
          <w:rFonts w:ascii="Times New Roman" w:eastAsia="Calibri" w:hAnsi="Times New Roman"/>
          <w:color w:val="0070C0"/>
          <w:sz w:val="24"/>
          <w:szCs w:val="24"/>
        </w:rPr>
      </w:pPr>
      <w:r w:rsidRPr="00EB75F6">
        <w:rPr>
          <w:rFonts w:ascii="Times New Roman" w:eastAsia="Calibri" w:hAnsi="Times New Roman"/>
          <w:sz w:val="24"/>
          <w:szCs w:val="24"/>
        </w:rPr>
        <w:lastRenderedPageBreak/>
        <w:t xml:space="preserve">Основните отрицателно действащи фактори за вида са намаляването на числеността и ограничаването на разпространението на едрите колониални гризачи, разораването на тревни местообитания, химизацията в селското стопанство, интензивният трафик по пътищата и др. </w:t>
      </w:r>
      <w:r w:rsidRPr="00EB75F6">
        <w:rPr>
          <w:rFonts w:ascii="Times New Roman" w:eastAsia="Calibri" w:hAnsi="Times New Roman"/>
          <w:sz w:val="24"/>
          <w:szCs w:val="24"/>
          <w:lang w:val="en-US"/>
        </w:rPr>
        <w:t>(</w:t>
      </w:r>
      <w:r w:rsidRPr="00EB75F6">
        <w:rPr>
          <w:rFonts w:ascii="Times New Roman" w:eastAsia="Calibri" w:hAnsi="Times New Roman"/>
          <w:sz w:val="24"/>
          <w:szCs w:val="24"/>
        </w:rPr>
        <w:t>Спасов, 2007</w:t>
      </w:r>
      <w:r w:rsidRPr="00EB75F6">
        <w:rPr>
          <w:rFonts w:ascii="Times New Roman" w:eastAsia="Calibri" w:hAnsi="Times New Roman"/>
          <w:sz w:val="24"/>
          <w:szCs w:val="24"/>
          <w:lang w:val="en-US"/>
        </w:rPr>
        <w:t>)</w:t>
      </w:r>
      <w:r w:rsidRPr="00EB75F6">
        <w:rPr>
          <w:rFonts w:ascii="Times New Roman" w:eastAsia="Calibri" w:hAnsi="Times New Roman"/>
          <w:sz w:val="24"/>
          <w:szCs w:val="24"/>
        </w:rPr>
        <w:t xml:space="preserve">. </w:t>
      </w:r>
    </w:p>
    <w:p w:rsidR="00EB75F6" w:rsidRPr="00EB75F6" w:rsidRDefault="00EB75F6" w:rsidP="00EB75F6">
      <w:pPr>
        <w:spacing w:after="0" w:line="240" w:lineRule="auto"/>
        <w:ind w:firstLine="709"/>
        <w:jc w:val="both"/>
        <w:rPr>
          <w:rFonts w:ascii="Times New Roman" w:eastAsia="Calibri" w:hAnsi="Times New Roman"/>
          <w:sz w:val="24"/>
          <w:szCs w:val="24"/>
          <w:lang w:val="en-US"/>
        </w:rPr>
      </w:pPr>
      <w:r w:rsidRPr="00EB75F6">
        <w:rPr>
          <w:rFonts w:ascii="Times New Roman" w:eastAsia="Calibri" w:hAnsi="Times New Roman"/>
          <w:sz w:val="24"/>
          <w:szCs w:val="24"/>
          <w:lang w:val="en-US"/>
        </w:rPr>
        <w:t>Пъстрият пор е рядък вид, който води скрит начин на живот и трудно се наблюдава. В резултат на това той е слабо проучен в целия си европейски ареал.</w:t>
      </w:r>
    </w:p>
    <w:p w:rsidR="00EB75F6" w:rsidRPr="00EB75F6" w:rsidRDefault="00EB75F6" w:rsidP="00EB75F6">
      <w:pPr>
        <w:spacing w:after="0" w:line="240" w:lineRule="auto"/>
        <w:ind w:firstLine="709"/>
        <w:jc w:val="both"/>
        <w:rPr>
          <w:rFonts w:ascii="Times New Roman" w:eastAsia="Calibri" w:hAnsi="Times New Roman"/>
          <w:sz w:val="24"/>
          <w:szCs w:val="24"/>
        </w:rPr>
      </w:pPr>
      <w:r w:rsidRPr="00EB75F6">
        <w:rPr>
          <w:rFonts w:ascii="Times New Roman" w:eastAsia="Calibri" w:hAnsi="Times New Roman"/>
          <w:sz w:val="24"/>
          <w:szCs w:val="24"/>
        </w:rPr>
        <w:t xml:space="preserve">В Червената Книга на България пъстрият пор е с категория </w:t>
      </w:r>
      <w:r w:rsidRPr="00EB75F6">
        <w:rPr>
          <w:rFonts w:ascii="Times New Roman" w:eastAsia="Calibri" w:hAnsi="Times New Roman"/>
          <w:sz w:val="24"/>
          <w:szCs w:val="24"/>
          <w:lang w:val="en-US"/>
        </w:rPr>
        <w:t>уязвим</w:t>
      </w:r>
      <w:r w:rsidRPr="00EB75F6">
        <w:rPr>
          <w:rFonts w:ascii="Times New Roman" w:eastAsia="Calibri" w:hAnsi="Times New Roman"/>
          <w:sz w:val="24"/>
          <w:szCs w:val="24"/>
        </w:rPr>
        <w:t>,</w:t>
      </w:r>
      <w:r w:rsidRPr="00EB75F6">
        <w:rPr>
          <w:rFonts w:ascii="Times New Roman" w:eastAsia="Calibri" w:hAnsi="Times New Roman"/>
          <w:sz w:val="24"/>
          <w:szCs w:val="24"/>
          <w:lang w:val="en-US"/>
        </w:rPr>
        <w:t xml:space="preserve"> VU</w:t>
      </w:r>
      <w:r w:rsidRPr="00EB75F6">
        <w:rPr>
          <w:rFonts w:ascii="Times New Roman" w:eastAsia="Calibri" w:hAnsi="Times New Roman"/>
          <w:sz w:val="24"/>
          <w:szCs w:val="24"/>
        </w:rPr>
        <w:t xml:space="preserve"> (Спасов, Спиридонов, 2011</w:t>
      </w:r>
      <w:r w:rsidRPr="00EB75F6">
        <w:rPr>
          <w:rFonts w:ascii="Times New Roman" w:eastAsia="Calibri" w:hAnsi="Times New Roman"/>
          <w:sz w:val="24"/>
          <w:szCs w:val="24"/>
          <w:lang w:val="en-US"/>
        </w:rPr>
        <w:t>)</w:t>
      </w:r>
      <w:r w:rsidRPr="00EB75F6">
        <w:rPr>
          <w:rFonts w:ascii="Times New Roman" w:eastAsia="Calibri" w:hAnsi="Times New Roman"/>
          <w:sz w:val="24"/>
          <w:szCs w:val="24"/>
        </w:rPr>
        <w:t xml:space="preserve">. Включен е в Приложения </w:t>
      </w:r>
      <w:r w:rsidRPr="00EB75F6">
        <w:rPr>
          <w:rFonts w:ascii="Times New Roman" w:eastAsia="Calibri" w:hAnsi="Times New Roman"/>
          <w:sz w:val="24"/>
          <w:szCs w:val="24"/>
          <w:lang w:val="en-US"/>
        </w:rPr>
        <w:t>II</w:t>
      </w:r>
      <w:r w:rsidRPr="00EB75F6">
        <w:rPr>
          <w:rFonts w:ascii="Times New Roman" w:eastAsia="Calibri" w:hAnsi="Times New Roman"/>
          <w:sz w:val="24"/>
          <w:szCs w:val="24"/>
        </w:rPr>
        <w:t xml:space="preserve"> и</w:t>
      </w:r>
      <w:r w:rsidRPr="00EB75F6">
        <w:rPr>
          <w:rFonts w:ascii="Times New Roman" w:eastAsia="Calibri" w:hAnsi="Times New Roman"/>
          <w:sz w:val="24"/>
          <w:szCs w:val="24"/>
          <w:lang w:val="en-US"/>
        </w:rPr>
        <w:t xml:space="preserve"> III</w:t>
      </w:r>
      <w:r w:rsidRPr="00EB75F6">
        <w:rPr>
          <w:rFonts w:ascii="Times New Roman" w:eastAsia="Calibri" w:hAnsi="Times New Roman"/>
          <w:sz w:val="24"/>
          <w:szCs w:val="24"/>
        </w:rPr>
        <w:t xml:space="preserve"> на ЗБР, Приложения </w:t>
      </w:r>
      <w:r w:rsidRPr="00EB75F6">
        <w:rPr>
          <w:rFonts w:ascii="Times New Roman" w:eastAsia="Calibri" w:hAnsi="Times New Roman"/>
          <w:sz w:val="24"/>
          <w:szCs w:val="24"/>
          <w:lang w:val="en-US"/>
        </w:rPr>
        <w:t>II</w:t>
      </w:r>
      <w:r w:rsidRPr="00EB75F6">
        <w:rPr>
          <w:rFonts w:ascii="Times New Roman" w:eastAsia="Calibri" w:hAnsi="Times New Roman"/>
          <w:sz w:val="24"/>
          <w:szCs w:val="24"/>
        </w:rPr>
        <w:t xml:space="preserve"> и </w:t>
      </w:r>
      <w:r w:rsidRPr="00EB75F6">
        <w:rPr>
          <w:rFonts w:ascii="Times New Roman" w:eastAsia="Calibri" w:hAnsi="Times New Roman"/>
          <w:sz w:val="24"/>
          <w:szCs w:val="24"/>
          <w:lang w:val="en-US"/>
        </w:rPr>
        <w:t>IV</w:t>
      </w:r>
      <w:r w:rsidRPr="00EB75F6">
        <w:rPr>
          <w:rFonts w:ascii="Times New Roman" w:eastAsia="Calibri" w:hAnsi="Times New Roman"/>
          <w:sz w:val="24"/>
          <w:szCs w:val="24"/>
        </w:rPr>
        <w:t xml:space="preserve"> на </w:t>
      </w:r>
      <w:r w:rsidRPr="00EB75F6">
        <w:rPr>
          <w:rFonts w:ascii="Times New Roman" w:eastAsia="Calibri" w:hAnsi="Times New Roman"/>
          <w:bCs/>
          <w:sz w:val="24"/>
          <w:lang w:eastAsia="en-GB"/>
        </w:rPr>
        <w:t xml:space="preserve">Директива 92/43/ЕИО и Приложение </w:t>
      </w:r>
      <w:r w:rsidRPr="00EB75F6">
        <w:rPr>
          <w:rFonts w:ascii="Times New Roman" w:eastAsia="Calibri" w:hAnsi="Times New Roman"/>
          <w:sz w:val="24"/>
          <w:szCs w:val="24"/>
          <w:lang w:val="en-US"/>
        </w:rPr>
        <w:t>II</w:t>
      </w:r>
      <w:r w:rsidRPr="00EB75F6">
        <w:rPr>
          <w:rFonts w:ascii="Times New Roman" w:eastAsia="Calibri" w:hAnsi="Times New Roman"/>
          <w:sz w:val="24"/>
          <w:szCs w:val="24"/>
        </w:rPr>
        <w:t xml:space="preserve"> на Бернската конвенция.</w:t>
      </w:r>
    </w:p>
    <w:p w:rsidR="00EB75F6" w:rsidRPr="00EB75F6" w:rsidRDefault="00EB75F6" w:rsidP="00EB75F6">
      <w:pPr>
        <w:spacing w:after="0" w:line="240" w:lineRule="auto"/>
        <w:ind w:firstLine="709"/>
        <w:jc w:val="both"/>
        <w:rPr>
          <w:rFonts w:ascii="Times New Roman" w:eastAsia="Calibri" w:hAnsi="Times New Roman"/>
          <w:sz w:val="24"/>
          <w:szCs w:val="24"/>
          <w:lang w:val="en-US"/>
        </w:rPr>
      </w:pPr>
    </w:p>
    <w:p w:rsidR="00EB75F6" w:rsidRPr="00EB75F6" w:rsidRDefault="00EB75F6" w:rsidP="00EB75F6">
      <w:pPr>
        <w:spacing w:after="0" w:line="240" w:lineRule="auto"/>
        <w:jc w:val="both"/>
        <w:rPr>
          <w:rFonts w:ascii="Times New Roman" w:eastAsia="Calibri" w:hAnsi="Times New Roman"/>
          <w:sz w:val="24"/>
          <w:szCs w:val="24"/>
          <w:lang w:val="en-US"/>
        </w:rPr>
      </w:pPr>
    </w:p>
    <w:p w:rsidR="00EB75F6" w:rsidRPr="00EB75F6" w:rsidRDefault="00EB75F6" w:rsidP="00EB75F6">
      <w:pPr>
        <w:spacing w:after="0" w:line="240" w:lineRule="auto"/>
        <w:jc w:val="both"/>
        <w:rPr>
          <w:rFonts w:ascii="Times New Roman" w:eastAsia="Calibri" w:hAnsi="Times New Roman"/>
          <w:sz w:val="24"/>
          <w:szCs w:val="24"/>
        </w:rPr>
      </w:pPr>
      <w:r w:rsidRPr="00EB75F6">
        <w:rPr>
          <w:rFonts w:ascii="Times New Roman" w:eastAsia="Calibri" w:hAnsi="Times New Roman"/>
          <w:b/>
          <w:bCs/>
          <w:sz w:val="24"/>
          <w:szCs w:val="24"/>
        </w:rPr>
        <w:t>3. Състояние на биогеографско ниво и разпространение в мрежата</w:t>
      </w:r>
    </w:p>
    <w:p w:rsidR="00EB75F6" w:rsidRPr="00EB75F6" w:rsidRDefault="00EB75F6" w:rsidP="00EB75F6">
      <w:pPr>
        <w:spacing w:after="0" w:line="240" w:lineRule="auto"/>
        <w:ind w:firstLine="709"/>
        <w:jc w:val="both"/>
        <w:rPr>
          <w:rFonts w:ascii="Times New Roman" w:eastAsia="Calibri" w:hAnsi="Times New Roman"/>
          <w:sz w:val="24"/>
          <w:szCs w:val="24"/>
          <w:lang w:val="en-US"/>
        </w:rPr>
      </w:pPr>
      <w:r w:rsidRPr="00EB75F6">
        <w:rPr>
          <w:rFonts w:ascii="Times New Roman" w:eastAsia="Calibri" w:hAnsi="Times New Roman"/>
          <w:sz w:val="24"/>
          <w:szCs w:val="24"/>
          <w:lang w:val="en-US"/>
        </w:rPr>
        <w:t xml:space="preserve">В България пъстрият пор фигурира в стандартните формуляри на 181 защитени зони в мрежата Натура 2000. Среща се и в трите биогеографски </w:t>
      </w:r>
      <w:r>
        <w:rPr>
          <w:rFonts w:ascii="Times New Roman" w:eastAsia="Calibri" w:hAnsi="Times New Roman"/>
          <w:sz w:val="24"/>
          <w:szCs w:val="24"/>
        </w:rPr>
        <w:t>региона</w:t>
      </w:r>
      <w:r w:rsidRPr="00EB75F6">
        <w:rPr>
          <w:rFonts w:ascii="Times New Roman" w:eastAsia="Calibri" w:hAnsi="Times New Roman"/>
          <w:sz w:val="24"/>
          <w:szCs w:val="24"/>
          <w:lang w:val="en-US"/>
        </w:rPr>
        <w:t xml:space="preserve"> в страната.  </w:t>
      </w:r>
    </w:p>
    <w:p w:rsidR="00EB75F6" w:rsidRPr="00EB75F6" w:rsidRDefault="00EB75F6" w:rsidP="00EB75F6">
      <w:pPr>
        <w:spacing w:after="0" w:line="240" w:lineRule="auto"/>
        <w:ind w:firstLine="709"/>
        <w:jc w:val="both"/>
        <w:rPr>
          <w:rFonts w:ascii="Times New Roman" w:eastAsia="Calibri" w:hAnsi="Times New Roman"/>
          <w:sz w:val="24"/>
          <w:szCs w:val="24"/>
          <w:lang w:val="en-US"/>
        </w:rPr>
      </w:pPr>
      <w:r w:rsidRPr="00EB75F6">
        <w:rPr>
          <w:rFonts w:ascii="Times New Roman" w:eastAsia="Calibri" w:hAnsi="Times New Roman"/>
          <w:sz w:val="24"/>
          <w:szCs w:val="24"/>
          <w:lang w:val="en-US"/>
        </w:rPr>
        <w:t>Според доклад</w:t>
      </w:r>
      <w:r w:rsidRPr="00EB75F6">
        <w:rPr>
          <w:rFonts w:ascii="Times New Roman" w:eastAsia="Calibri" w:hAnsi="Times New Roman"/>
          <w:sz w:val="24"/>
          <w:szCs w:val="24"/>
        </w:rPr>
        <w:t>ването</w:t>
      </w:r>
      <w:r w:rsidRPr="00EB75F6">
        <w:rPr>
          <w:rFonts w:ascii="Times New Roman" w:eastAsia="Calibri" w:hAnsi="Times New Roman"/>
          <w:sz w:val="24"/>
          <w:szCs w:val="24"/>
          <w:lang w:val="en-US"/>
        </w:rPr>
        <w:t xml:space="preserve"> по </w:t>
      </w:r>
      <w:r w:rsidRPr="00EB75F6">
        <w:rPr>
          <w:rFonts w:ascii="Times New Roman" w:eastAsia="Calibri" w:hAnsi="Times New Roman"/>
          <w:sz w:val="24"/>
          <w:szCs w:val="24"/>
        </w:rPr>
        <w:t>Ч</w:t>
      </w:r>
      <w:r w:rsidRPr="00EB75F6">
        <w:rPr>
          <w:rFonts w:ascii="Times New Roman" w:eastAsia="Calibri" w:hAnsi="Times New Roman"/>
          <w:sz w:val="24"/>
          <w:szCs w:val="24"/>
          <w:lang w:val="en-US"/>
        </w:rPr>
        <w:t>л. 17 от Директивата за местообитанията през 2013 г.</w:t>
      </w:r>
      <w:r w:rsidRPr="00EB75F6">
        <w:rPr>
          <w:rFonts w:ascii="Times New Roman" w:eastAsia="Calibri" w:hAnsi="Times New Roman"/>
          <w:sz w:val="24"/>
          <w:szCs w:val="24"/>
        </w:rPr>
        <w:t xml:space="preserve"> </w:t>
      </w:r>
      <w:r w:rsidRPr="00EB75F6">
        <w:rPr>
          <w:rFonts w:ascii="Times New Roman" w:eastAsia="Calibri" w:hAnsi="Times New Roman"/>
          <w:sz w:val="24"/>
          <w:szCs w:val="24"/>
          <w:lang w:val="en-US"/>
        </w:rPr>
        <w:t xml:space="preserve">(Зидарова &amp; Попов, 2013), и в трите биогеографски </w:t>
      </w:r>
      <w:r>
        <w:rPr>
          <w:rFonts w:ascii="Times New Roman" w:eastAsia="Calibri" w:hAnsi="Times New Roman"/>
          <w:sz w:val="24"/>
          <w:szCs w:val="24"/>
        </w:rPr>
        <w:t>региона</w:t>
      </w:r>
      <w:r w:rsidRPr="00EB75F6">
        <w:rPr>
          <w:rFonts w:ascii="Times New Roman" w:eastAsia="Calibri" w:hAnsi="Times New Roman"/>
          <w:sz w:val="24"/>
          <w:szCs w:val="24"/>
          <w:lang w:val="en-US"/>
        </w:rPr>
        <w:t xml:space="preserve"> (Алпийски, Черноморски и Континентален) пъстрият пор</w:t>
      </w:r>
      <w:r w:rsidRPr="00EB75F6">
        <w:rPr>
          <w:rFonts w:ascii="Times New Roman" w:eastAsia="Calibri" w:hAnsi="Times New Roman"/>
          <w:sz w:val="24"/>
          <w:szCs w:val="24"/>
        </w:rPr>
        <w:t xml:space="preserve"> </w:t>
      </w:r>
      <w:r w:rsidRPr="00EB75F6">
        <w:rPr>
          <w:rFonts w:ascii="Times New Roman" w:eastAsia="Calibri" w:hAnsi="Times New Roman"/>
          <w:sz w:val="24"/>
          <w:szCs w:val="24"/>
          <w:lang w:val="en-US"/>
        </w:rPr>
        <w:t xml:space="preserve">има благоприятно състояние (FV) за разпространение, популация, местообитание, бъдещи перспективи и обща оценка. Размерът на популацията в Континенталния биогеографски </w:t>
      </w:r>
      <w:r>
        <w:rPr>
          <w:rFonts w:ascii="Times New Roman" w:eastAsia="Calibri" w:hAnsi="Times New Roman"/>
          <w:sz w:val="24"/>
          <w:szCs w:val="24"/>
        </w:rPr>
        <w:t>регион</w:t>
      </w:r>
      <w:r w:rsidRPr="00EB75F6">
        <w:rPr>
          <w:rFonts w:ascii="Times New Roman" w:eastAsia="Calibri" w:hAnsi="Times New Roman"/>
          <w:sz w:val="24"/>
          <w:szCs w:val="24"/>
          <w:lang w:val="en-US"/>
        </w:rPr>
        <w:t xml:space="preserve"> е оценена на 2226</w:t>
      </w:r>
      <w:r w:rsidRPr="00EB75F6">
        <w:rPr>
          <w:rFonts w:ascii="Times New Roman" w:eastAsia="Calibri" w:hAnsi="Times New Roman"/>
          <w:sz w:val="24"/>
          <w:szCs w:val="24"/>
        </w:rPr>
        <w:t>-</w:t>
      </w:r>
      <w:r w:rsidRPr="00EB75F6">
        <w:rPr>
          <w:rFonts w:ascii="Times New Roman" w:eastAsia="Calibri" w:hAnsi="Times New Roman"/>
          <w:sz w:val="24"/>
          <w:szCs w:val="24"/>
          <w:lang w:val="en-US"/>
        </w:rPr>
        <w:t>2720 индивида, в Алпийския – 60</w:t>
      </w:r>
      <w:r w:rsidRPr="00EB75F6">
        <w:rPr>
          <w:rFonts w:ascii="Times New Roman" w:eastAsia="Calibri" w:hAnsi="Times New Roman"/>
          <w:sz w:val="24"/>
          <w:szCs w:val="24"/>
        </w:rPr>
        <w:t>-</w:t>
      </w:r>
      <w:r w:rsidRPr="00EB75F6">
        <w:rPr>
          <w:rFonts w:ascii="Times New Roman" w:eastAsia="Calibri" w:hAnsi="Times New Roman"/>
          <w:sz w:val="24"/>
          <w:szCs w:val="24"/>
          <w:lang w:val="en-US"/>
        </w:rPr>
        <w:t>74 индивида, в Черноморския – 120</w:t>
      </w:r>
      <w:r w:rsidRPr="00EB75F6">
        <w:rPr>
          <w:rFonts w:ascii="Times New Roman" w:eastAsia="Calibri" w:hAnsi="Times New Roman"/>
          <w:sz w:val="24"/>
          <w:szCs w:val="24"/>
        </w:rPr>
        <w:t>-</w:t>
      </w:r>
      <w:r w:rsidRPr="00EB75F6">
        <w:rPr>
          <w:rFonts w:ascii="Times New Roman" w:eastAsia="Calibri" w:hAnsi="Times New Roman"/>
          <w:sz w:val="24"/>
          <w:szCs w:val="24"/>
          <w:lang w:val="en-US"/>
        </w:rPr>
        <w:t xml:space="preserve">146 индивида. При второто докладване през 2019 г. състоянието на вида и в трите биогеографски </w:t>
      </w:r>
      <w:r>
        <w:rPr>
          <w:rFonts w:ascii="Times New Roman" w:eastAsia="Calibri" w:hAnsi="Times New Roman"/>
          <w:sz w:val="24"/>
          <w:szCs w:val="24"/>
        </w:rPr>
        <w:t>региона</w:t>
      </w:r>
      <w:r w:rsidRPr="00EB75F6">
        <w:rPr>
          <w:rFonts w:ascii="Times New Roman" w:eastAsia="Calibri" w:hAnsi="Times New Roman"/>
          <w:sz w:val="24"/>
          <w:szCs w:val="24"/>
          <w:lang w:val="en-US"/>
        </w:rPr>
        <w:t xml:space="preserve"> е оценено като благоприятно (FV) за площ на разпространение и местообитание, но като неблагоприятно-незадоволително (U1) по отношение на бъдещите перспективи и общата оценка. Състоянието на популацията е неизвестно във всички </w:t>
      </w:r>
      <w:r>
        <w:rPr>
          <w:rFonts w:ascii="Times New Roman" w:eastAsia="Calibri" w:hAnsi="Times New Roman"/>
          <w:sz w:val="24"/>
          <w:szCs w:val="24"/>
        </w:rPr>
        <w:t>региони</w:t>
      </w:r>
      <w:r w:rsidRPr="00EB75F6">
        <w:rPr>
          <w:rFonts w:ascii="Times New Roman" w:eastAsia="Calibri" w:hAnsi="Times New Roman"/>
          <w:sz w:val="24"/>
          <w:szCs w:val="24"/>
          <w:lang w:val="en-US"/>
        </w:rPr>
        <w:t xml:space="preserve">. </w:t>
      </w:r>
    </w:p>
    <w:p w:rsidR="00EB75F6" w:rsidRDefault="00EB75F6" w:rsidP="00EB75F6">
      <w:pPr>
        <w:spacing w:after="0" w:line="240" w:lineRule="auto"/>
        <w:ind w:firstLine="709"/>
        <w:jc w:val="both"/>
        <w:rPr>
          <w:rFonts w:ascii="Times New Roman" w:eastAsia="Calibri" w:hAnsi="Times New Roman"/>
          <w:sz w:val="24"/>
          <w:szCs w:val="24"/>
        </w:rPr>
      </w:pPr>
      <w:r w:rsidRPr="00EB75F6">
        <w:rPr>
          <w:rFonts w:ascii="Times New Roman" w:eastAsia="Calibri" w:hAnsi="Times New Roman"/>
          <w:sz w:val="24"/>
          <w:szCs w:val="24"/>
          <w:lang w:val="en-US"/>
        </w:rPr>
        <w:t xml:space="preserve">В докладването от 2013 г. като главни въздействия и заплахи с висока значимост за вида и в трите биогеографски </w:t>
      </w:r>
      <w:r>
        <w:rPr>
          <w:rFonts w:ascii="Times New Roman" w:eastAsia="Calibri" w:hAnsi="Times New Roman"/>
          <w:sz w:val="24"/>
          <w:szCs w:val="24"/>
        </w:rPr>
        <w:t>региона</w:t>
      </w:r>
      <w:r w:rsidRPr="00EB75F6">
        <w:rPr>
          <w:rFonts w:ascii="Times New Roman" w:eastAsia="Calibri" w:hAnsi="Times New Roman"/>
          <w:sz w:val="24"/>
          <w:szCs w:val="24"/>
          <w:lang w:val="en-US"/>
        </w:rPr>
        <w:t xml:space="preserve"> са посочени „Отстраняване на тревни площи за земеделски площи“ (А02.03), „Неинтензивна паша“ (А04.02) и „Намаляване наличността на плячка“ (J03.01.0).</w:t>
      </w:r>
      <w:r w:rsidRPr="00EB75F6">
        <w:rPr>
          <w:rFonts w:ascii="Times New Roman" w:eastAsia="Calibri" w:hAnsi="Times New Roman"/>
          <w:sz w:val="24"/>
          <w:szCs w:val="24"/>
        </w:rPr>
        <w:t xml:space="preserve"> През 2019 г. к</w:t>
      </w:r>
      <w:r w:rsidRPr="00EB75F6">
        <w:rPr>
          <w:rFonts w:ascii="Times New Roman" w:eastAsia="Calibri" w:hAnsi="Times New Roman"/>
          <w:sz w:val="24"/>
          <w:szCs w:val="24"/>
          <w:lang w:val="en-US"/>
        </w:rPr>
        <w:t>ато натиск и заплахи с висока значимост са посочени A02 - Преминаване от един вид земеделско ползване към друг вид земеделско ползване (с изключение на отводняване и изгаряне)</w:t>
      </w:r>
      <w:r w:rsidRPr="00EB75F6">
        <w:rPr>
          <w:rFonts w:ascii="Times New Roman" w:eastAsia="Calibri" w:hAnsi="Times New Roman"/>
          <w:sz w:val="24"/>
          <w:szCs w:val="24"/>
        </w:rPr>
        <w:t xml:space="preserve"> и</w:t>
      </w:r>
      <w:r w:rsidRPr="00EB75F6">
        <w:rPr>
          <w:rFonts w:ascii="Times New Roman" w:eastAsia="Calibri" w:hAnsi="Times New Roman"/>
          <w:sz w:val="24"/>
          <w:szCs w:val="24"/>
          <w:lang w:val="en-US"/>
        </w:rPr>
        <w:t xml:space="preserve"> A10 - Екстензивно пашуване или недостатъчна паша от селскостопански животни</w:t>
      </w:r>
      <w:r w:rsidRPr="00EB75F6">
        <w:rPr>
          <w:rFonts w:ascii="Times New Roman" w:eastAsia="Calibri" w:hAnsi="Times New Roman"/>
          <w:sz w:val="24"/>
          <w:szCs w:val="24"/>
        </w:rPr>
        <w:t xml:space="preserve">. </w:t>
      </w:r>
    </w:p>
    <w:p w:rsidR="005E4B26" w:rsidRPr="005E4B26" w:rsidRDefault="005E4B26" w:rsidP="005E4B26">
      <w:pPr>
        <w:spacing w:after="0" w:line="240" w:lineRule="auto"/>
        <w:ind w:firstLine="709"/>
        <w:jc w:val="both"/>
        <w:rPr>
          <w:rFonts w:ascii="Times New Roman" w:eastAsia="Calibri" w:hAnsi="Times New Roman"/>
          <w:sz w:val="24"/>
          <w:szCs w:val="24"/>
        </w:rPr>
      </w:pPr>
      <w:r w:rsidRPr="005E4B26">
        <w:rPr>
          <w:rFonts w:ascii="Times New Roman" w:eastAsia="Calibri" w:hAnsi="Times New Roman"/>
          <w:sz w:val="24"/>
          <w:szCs w:val="24"/>
        </w:rPr>
        <w:t xml:space="preserve">Видът е записан в Стандартните формуляри за данни на </w:t>
      </w:r>
      <w:r>
        <w:rPr>
          <w:rFonts w:ascii="Times New Roman" w:eastAsia="Calibri" w:hAnsi="Times New Roman"/>
          <w:sz w:val="24"/>
          <w:szCs w:val="24"/>
        </w:rPr>
        <w:t>181</w:t>
      </w:r>
      <w:bookmarkStart w:id="101" w:name="_GoBack"/>
      <w:bookmarkEnd w:id="101"/>
      <w:r w:rsidRPr="005E4B26">
        <w:rPr>
          <w:rFonts w:ascii="Times New Roman" w:eastAsia="Calibri" w:hAnsi="Times New Roman"/>
          <w:sz w:val="24"/>
          <w:szCs w:val="24"/>
        </w:rPr>
        <w:t xml:space="preserve"> зони.</w:t>
      </w:r>
    </w:p>
    <w:p w:rsidR="00EB75F6" w:rsidRPr="00EB75F6" w:rsidRDefault="00EB75F6" w:rsidP="00EB75F6">
      <w:pPr>
        <w:spacing w:after="0" w:line="240" w:lineRule="auto"/>
        <w:jc w:val="both"/>
        <w:rPr>
          <w:rFonts w:ascii="Times New Roman" w:eastAsia="Calibri" w:hAnsi="Times New Roman"/>
          <w:sz w:val="24"/>
          <w:szCs w:val="24"/>
          <w:lang w:val="en-US"/>
        </w:rPr>
      </w:pPr>
    </w:p>
    <w:p w:rsidR="00EB75F6" w:rsidRPr="00EB75F6" w:rsidRDefault="00EB75F6" w:rsidP="00EB75F6">
      <w:pPr>
        <w:spacing w:after="0" w:line="240" w:lineRule="auto"/>
        <w:jc w:val="both"/>
        <w:rPr>
          <w:rFonts w:ascii="Times New Roman" w:eastAsia="Calibri" w:hAnsi="Times New Roman"/>
          <w:sz w:val="24"/>
          <w:szCs w:val="24"/>
        </w:rPr>
      </w:pPr>
      <w:r w:rsidRPr="00EB75F6">
        <w:rPr>
          <w:rFonts w:ascii="Times New Roman" w:eastAsia="Calibri" w:hAnsi="Times New Roman"/>
          <w:b/>
          <w:bCs/>
          <w:sz w:val="24"/>
          <w:szCs w:val="24"/>
        </w:rPr>
        <w:t xml:space="preserve">4. </w:t>
      </w:r>
      <w:r w:rsidRPr="00EB75F6">
        <w:rPr>
          <w:rFonts w:ascii="Times New Roman" w:eastAsia="Calibri" w:hAnsi="Times New Roman"/>
          <w:b/>
          <w:bCs/>
          <w:sz w:val="24"/>
          <w:szCs w:val="24"/>
          <w:lang w:val="en-US"/>
        </w:rPr>
        <w:t>Състояние на ниво защитена зона</w:t>
      </w:r>
    </w:p>
    <w:p w:rsidR="00EB75F6" w:rsidRPr="00EB75F6" w:rsidRDefault="00EB75F6" w:rsidP="00EB75F6">
      <w:pPr>
        <w:spacing w:after="0" w:line="240" w:lineRule="auto"/>
        <w:ind w:firstLine="709"/>
        <w:jc w:val="both"/>
        <w:rPr>
          <w:rFonts w:ascii="Times New Roman" w:eastAsia="Calibri" w:hAnsi="Times New Roman"/>
          <w:sz w:val="24"/>
          <w:szCs w:val="24"/>
        </w:rPr>
      </w:pPr>
      <w:r w:rsidRPr="00EB75F6">
        <w:rPr>
          <w:rFonts w:ascii="Times New Roman" w:eastAsia="Calibri" w:hAnsi="Times New Roman"/>
          <w:sz w:val="24"/>
          <w:szCs w:val="24"/>
        </w:rPr>
        <w:t xml:space="preserve">Защитена зона BG0000241 „Сребърна“ попада изцяло в Континенталния биогеографски </w:t>
      </w:r>
      <w:r>
        <w:rPr>
          <w:rFonts w:ascii="Times New Roman" w:eastAsia="Calibri" w:hAnsi="Times New Roman"/>
          <w:sz w:val="24"/>
          <w:szCs w:val="24"/>
        </w:rPr>
        <w:t>регион</w:t>
      </w:r>
      <w:r w:rsidRPr="00EB75F6">
        <w:rPr>
          <w:rFonts w:ascii="Times New Roman" w:eastAsia="Calibri" w:hAnsi="Times New Roman"/>
          <w:sz w:val="24"/>
          <w:szCs w:val="24"/>
        </w:rPr>
        <w:t xml:space="preserve">. </w:t>
      </w:r>
    </w:p>
    <w:p w:rsidR="00EB75F6" w:rsidRPr="00EB75F6" w:rsidRDefault="00EB75F6" w:rsidP="00EB75F6">
      <w:pPr>
        <w:spacing w:after="0" w:line="240" w:lineRule="auto"/>
        <w:ind w:firstLine="709"/>
        <w:jc w:val="both"/>
        <w:rPr>
          <w:rFonts w:ascii="Times New Roman" w:eastAsia="Calibri" w:hAnsi="Times New Roman"/>
          <w:sz w:val="24"/>
          <w:szCs w:val="24"/>
        </w:rPr>
      </w:pPr>
      <w:r w:rsidRPr="00EB75F6">
        <w:rPr>
          <w:rFonts w:ascii="Times New Roman" w:eastAsia="Calibri" w:hAnsi="Times New Roman"/>
          <w:sz w:val="24"/>
          <w:szCs w:val="24"/>
          <w:lang w:val="en-US"/>
        </w:rPr>
        <w:t xml:space="preserve">Според националното докладване по Чл. 17 от Директива 92/43 </w:t>
      </w:r>
      <w:r w:rsidRPr="00EB75F6">
        <w:rPr>
          <w:rFonts w:ascii="Times New Roman" w:eastAsia="Calibri" w:hAnsi="Times New Roman"/>
          <w:sz w:val="24"/>
          <w:szCs w:val="24"/>
        </w:rPr>
        <w:t>за периода 2007-2012 г., оценките на значимостта на ЗЗ „Сребърна“ (BG0000241) за</w:t>
      </w:r>
      <w:r w:rsidRPr="00EB75F6">
        <w:rPr>
          <w:rFonts w:ascii="Times New Roman" w:eastAsia="Calibri" w:hAnsi="Times New Roman"/>
          <w:sz w:val="24"/>
          <w:szCs w:val="24"/>
          <w:lang w:val="en-US"/>
        </w:rPr>
        <w:t xml:space="preserve"> </w:t>
      </w:r>
      <w:r w:rsidRPr="00EB75F6">
        <w:rPr>
          <w:rFonts w:ascii="Times New Roman" w:eastAsia="Calibri" w:hAnsi="Times New Roman"/>
          <w:sz w:val="24"/>
          <w:szCs w:val="24"/>
        </w:rPr>
        <w:t xml:space="preserve">пъстрия пор, представени в стандартния формуляр, са следните: Популация – C (значителна представителност); Опазване – А (отлично съхранение); Изолация - С (неизолирана популация в рамките на разширен ареал на разпространение); Цялостна оценка – А (отлична стойност). При второто докладване по Чл. 17 за периода 2013-2018 г. тези оценки не са променени. По отношение на популацията на вида в зоната качество на данните </w:t>
      </w:r>
      <w:r w:rsidRPr="00EB75F6">
        <w:rPr>
          <w:rFonts w:ascii="Times New Roman" w:eastAsia="Calibri" w:hAnsi="Times New Roman"/>
          <w:sz w:val="24"/>
          <w:szCs w:val="24"/>
          <w:lang w:val="en-US"/>
        </w:rPr>
        <w:t>e DD (</w:t>
      </w:r>
      <w:r w:rsidRPr="00EB75F6">
        <w:rPr>
          <w:rFonts w:ascii="Times New Roman" w:eastAsia="Calibri" w:hAnsi="Times New Roman"/>
          <w:sz w:val="24"/>
          <w:szCs w:val="24"/>
        </w:rPr>
        <w:t>недостатъчни данни</w:t>
      </w:r>
      <w:r w:rsidRPr="00EB75F6">
        <w:rPr>
          <w:rFonts w:ascii="Times New Roman" w:eastAsia="Calibri" w:hAnsi="Times New Roman"/>
          <w:sz w:val="24"/>
          <w:szCs w:val="24"/>
          <w:lang w:val="en-US"/>
        </w:rPr>
        <w:t>)</w:t>
      </w:r>
      <w:r w:rsidRPr="00EB75F6">
        <w:rPr>
          <w:rFonts w:ascii="Times New Roman" w:eastAsia="Calibri" w:hAnsi="Times New Roman"/>
          <w:sz w:val="24"/>
          <w:szCs w:val="24"/>
        </w:rPr>
        <w:t>.</w:t>
      </w:r>
    </w:p>
    <w:p w:rsidR="00EB75F6" w:rsidRPr="00EB75F6" w:rsidRDefault="00EB75F6" w:rsidP="00EB75F6">
      <w:pPr>
        <w:spacing w:after="0" w:line="240" w:lineRule="auto"/>
        <w:ind w:firstLine="709"/>
        <w:jc w:val="both"/>
        <w:rPr>
          <w:rFonts w:ascii="Times New Roman" w:eastAsia="Calibri" w:hAnsi="Times New Roman"/>
          <w:bCs/>
          <w:sz w:val="24"/>
          <w:szCs w:val="24"/>
        </w:rPr>
      </w:pPr>
      <w:r w:rsidRPr="00EB75F6">
        <w:rPr>
          <w:rFonts w:ascii="Times New Roman" w:eastAsia="Calibri" w:hAnsi="Times New Roman"/>
          <w:bCs/>
          <w:sz w:val="24"/>
          <w:szCs w:val="24"/>
        </w:rPr>
        <w:t>Оценките на значимостта на ЗЗ „</w:t>
      </w:r>
      <w:r w:rsidRPr="00EB75F6">
        <w:rPr>
          <w:rFonts w:ascii="Times New Roman" w:eastAsia="Calibri" w:hAnsi="Times New Roman"/>
          <w:sz w:val="24"/>
          <w:szCs w:val="24"/>
        </w:rPr>
        <w:t>Сребърна</w:t>
      </w:r>
      <w:r w:rsidRPr="00EB75F6">
        <w:rPr>
          <w:rFonts w:ascii="Times New Roman" w:eastAsia="Calibri" w:hAnsi="Times New Roman"/>
          <w:bCs/>
          <w:sz w:val="24"/>
          <w:szCs w:val="24"/>
        </w:rPr>
        <w:t xml:space="preserve">“ за опазване на пъстрия пор </w:t>
      </w:r>
      <w:r w:rsidRPr="00EB75F6">
        <w:rPr>
          <w:rFonts w:ascii="Times New Roman" w:eastAsia="Calibri" w:hAnsi="Times New Roman"/>
          <w:bCs/>
          <w:sz w:val="24"/>
          <w:szCs w:val="24"/>
          <w:lang w:val="en-US"/>
        </w:rPr>
        <w:t>(</w:t>
      </w:r>
      <w:r w:rsidRPr="00EB75F6">
        <w:rPr>
          <w:rFonts w:ascii="Times New Roman" w:eastAsia="Calibri" w:hAnsi="Times New Roman"/>
          <w:bCs/>
          <w:i/>
          <w:iCs/>
          <w:sz w:val="24"/>
          <w:szCs w:val="24"/>
          <w:lang w:val="en-US"/>
        </w:rPr>
        <w:t>Vormela peregusna</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според стандартния формуляр на зоната са следните:  </w:t>
      </w:r>
    </w:p>
    <w:p w:rsidR="00EB75F6" w:rsidRPr="00EB75F6" w:rsidRDefault="00EB75F6" w:rsidP="00EB75F6">
      <w:pPr>
        <w:spacing w:after="0" w:line="240" w:lineRule="auto"/>
        <w:ind w:firstLine="709"/>
        <w:jc w:val="both"/>
        <w:rPr>
          <w:rFonts w:ascii="Times New Roman" w:eastAsia="Calibri" w:hAnsi="Times New Roman"/>
          <w:color w:val="0070C0"/>
          <w:sz w:val="24"/>
          <w:szCs w:val="24"/>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692"/>
        <w:gridCol w:w="1762"/>
        <w:gridCol w:w="328"/>
        <w:gridCol w:w="483"/>
        <w:gridCol w:w="376"/>
        <w:gridCol w:w="710"/>
        <w:gridCol w:w="711"/>
        <w:gridCol w:w="608"/>
        <w:gridCol w:w="578"/>
        <w:gridCol w:w="839"/>
        <w:gridCol w:w="1024"/>
        <w:gridCol w:w="663"/>
        <w:gridCol w:w="553"/>
        <w:gridCol w:w="578"/>
      </w:tblGrid>
      <w:tr w:rsidR="00EB75F6" w:rsidRPr="00EB75F6" w:rsidTr="00EB75F6">
        <w:tc>
          <w:tcPr>
            <w:tcW w:w="3709" w:type="dxa"/>
            <w:gridSpan w:val="5"/>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Species</w:t>
            </w:r>
          </w:p>
        </w:tc>
        <w:tc>
          <w:tcPr>
            <w:tcW w:w="3822" w:type="dxa"/>
            <w:gridSpan w:val="6"/>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Population in the site</w:t>
            </w:r>
          </w:p>
        </w:tc>
        <w:tc>
          <w:tcPr>
            <w:tcW w:w="2818" w:type="dxa"/>
            <w:gridSpan w:val="4"/>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Site assessment</w:t>
            </w:r>
          </w:p>
        </w:tc>
      </w:tr>
      <w:tr w:rsidR="00EB75F6" w:rsidRPr="00EB75F6" w:rsidTr="00EB75F6">
        <w:tc>
          <w:tcPr>
            <w:tcW w:w="444"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G</w:t>
            </w:r>
          </w:p>
        </w:tc>
        <w:tc>
          <w:tcPr>
            <w:tcW w:w="692"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Code</w:t>
            </w:r>
          </w:p>
        </w:tc>
        <w:tc>
          <w:tcPr>
            <w:tcW w:w="1762"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Scientific Name</w:t>
            </w:r>
          </w:p>
        </w:tc>
        <w:tc>
          <w:tcPr>
            <w:tcW w:w="328"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S</w:t>
            </w:r>
          </w:p>
        </w:tc>
        <w:tc>
          <w:tcPr>
            <w:tcW w:w="483"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NP</w:t>
            </w:r>
          </w:p>
        </w:tc>
        <w:tc>
          <w:tcPr>
            <w:tcW w:w="376"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T</w:t>
            </w:r>
          </w:p>
        </w:tc>
        <w:tc>
          <w:tcPr>
            <w:tcW w:w="1421" w:type="dxa"/>
            <w:gridSpan w:val="2"/>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rPr>
            </w:pPr>
            <w:r w:rsidRPr="00EB75F6">
              <w:rPr>
                <w:rFonts w:ascii="Times New Roman" w:hAnsi="Times New Roman"/>
                <w:b/>
                <w:sz w:val="20"/>
                <w:szCs w:val="20"/>
                <w:lang w:val="en-US"/>
              </w:rPr>
              <w:t>Size</w:t>
            </w:r>
          </w:p>
        </w:tc>
        <w:tc>
          <w:tcPr>
            <w:tcW w:w="608"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Unit</w:t>
            </w:r>
          </w:p>
        </w:tc>
        <w:tc>
          <w:tcPr>
            <w:tcW w:w="578"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Cat.</w:t>
            </w:r>
          </w:p>
        </w:tc>
        <w:tc>
          <w:tcPr>
            <w:tcW w:w="839"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D.qual.</w:t>
            </w:r>
          </w:p>
        </w:tc>
        <w:tc>
          <w:tcPr>
            <w:tcW w:w="1024" w:type="dxa"/>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A/B/C/D</w:t>
            </w:r>
          </w:p>
        </w:tc>
        <w:tc>
          <w:tcPr>
            <w:tcW w:w="1794" w:type="dxa"/>
            <w:gridSpan w:val="3"/>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A/B/C</w:t>
            </w:r>
          </w:p>
        </w:tc>
      </w:tr>
      <w:tr w:rsidR="00EB75F6" w:rsidRPr="00EB75F6" w:rsidTr="00EB75F6">
        <w:tc>
          <w:tcPr>
            <w:tcW w:w="444"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sz w:val="20"/>
                <w:szCs w:val="20"/>
                <w:lang w:val="en-US"/>
              </w:rPr>
            </w:pPr>
          </w:p>
        </w:tc>
        <w:tc>
          <w:tcPr>
            <w:tcW w:w="692"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sz w:val="20"/>
                <w:szCs w:val="20"/>
                <w:lang w:val="en-US"/>
              </w:rPr>
            </w:pPr>
          </w:p>
        </w:tc>
        <w:tc>
          <w:tcPr>
            <w:tcW w:w="1762"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sz w:val="20"/>
                <w:szCs w:val="20"/>
                <w:lang w:val="en-US"/>
              </w:rPr>
            </w:pPr>
          </w:p>
        </w:tc>
        <w:tc>
          <w:tcPr>
            <w:tcW w:w="328"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sz w:val="20"/>
                <w:szCs w:val="20"/>
                <w:lang w:val="en-US"/>
              </w:rPr>
            </w:pPr>
          </w:p>
        </w:tc>
        <w:tc>
          <w:tcPr>
            <w:tcW w:w="483"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p>
        </w:tc>
        <w:tc>
          <w:tcPr>
            <w:tcW w:w="376"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p>
        </w:tc>
        <w:tc>
          <w:tcPr>
            <w:tcW w:w="710" w:type="dxa"/>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Min</w:t>
            </w:r>
          </w:p>
        </w:tc>
        <w:tc>
          <w:tcPr>
            <w:tcW w:w="711" w:type="dxa"/>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Max</w:t>
            </w:r>
          </w:p>
        </w:tc>
        <w:tc>
          <w:tcPr>
            <w:tcW w:w="608"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rPr>
            </w:pPr>
          </w:p>
        </w:tc>
        <w:tc>
          <w:tcPr>
            <w:tcW w:w="578"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rPr>
            </w:pPr>
          </w:p>
        </w:tc>
        <w:tc>
          <w:tcPr>
            <w:tcW w:w="839"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rPr>
            </w:pPr>
          </w:p>
        </w:tc>
        <w:tc>
          <w:tcPr>
            <w:tcW w:w="1024" w:type="dxa"/>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Pop.</w:t>
            </w:r>
          </w:p>
        </w:tc>
        <w:tc>
          <w:tcPr>
            <w:tcW w:w="663" w:type="dxa"/>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Con.</w:t>
            </w:r>
          </w:p>
        </w:tc>
        <w:tc>
          <w:tcPr>
            <w:tcW w:w="553" w:type="dxa"/>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Iso.</w:t>
            </w:r>
          </w:p>
        </w:tc>
        <w:tc>
          <w:tcPr>
            <w:tcW w:w="578" w:type="dxa"/>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Glo.</w:t>
            </w:r>
          </w:p>
        </w:tc>
      </w:tr>
      <w:tr w:rsidR="00EB75F6" w:rsidRPr="00EB75F6" w:rsidTr="005A0A3C">
        <w:tc>
          <w:tcPr>
            <w:tcW w:w="444"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rPr>
              <w:t>M</w:t>
            </w:r>
          </w:p>
        </w:tc>
        <w:tc>
          <w:tcPr>
            <w:tcW w:w="692"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rPr>
              <w:t>2635</w:t>
            </w:r>
          </w:p>
        </w:tc>
        <w:tc>
          <w:tcPr>
            <w:tcW w:w="1762" w:type="dxa"/>
            <w:shd w:val="clear" w:color="auto" w:fill="auto"/>
            <w:vAlign w:val="center"/>
          </w:tcPr>
          <w:p w:rsidR="00EB75F6" w:rsidRPr="00EB75F6" w:rsidRDefault="00DE51FF" w:rsidP="00EB75F6">
            <w:pPr>
              <w:spacing w:after="0" w:line="240" w:lineRule="auto"/>
              <w:jc w:val="both"/>
              <w:rPr>
                <w:rFonts w:ascii="Times New Roman" w:hAnsi="Times New Roman"/>
                <w:i/>
                <w:iCs/>
                <w:sz w:val="20"/>
                <w:szCs w:val="20"/>
                <w:lang w:val="en-US"/>
              </w:rPr>
            </w:pPr>
            <w:hyperlink r:id="rId206" w:tgtFrame="&#10;                              blank&#10;                            " w:history="1">
              <w:r w:rsidR="00EB75F6" w:rsidRPr="00EB75F6">
                <w:rPr>
                  <w:rFonts w:ascii="Times New Roman" w:hAnsi="Times New Roman"/>
                  <w:i/>
                  <w:iCs/>
                  <w:sz w:val="20"/>
                  <w:szCs w:val="20"/>
                </w:rPr>
                <w:t xml:space="preserve">Vormela </w:t>
              </w:r>
              <w:r w:rsidR="00EB75F6" w:rsidRPr="00EB75F6">
                <w:rPr>
                  <w:rFonts w:ascii="Times New Roman" w:hAnsi="Times New Roman"/>
                  <w:i/>
                  <w:iCs/>
                  <w:sz w:val="20"/>
                  <w:szCs w:val="20"/>
                </w:rPr>
                <w:lastRenderedPageBreak/>
                <w:t>peregusna</w:t>
              </w:r>
            </w:hyperlink>
            <w:r w:rsidR="00EB75F6" w:rsidRPr="00EB75F6">
              <w:rPr>
                <w:rFonts w:ascii="Times New Roman" w:hAnsi="Times New Roman"/>
                <w:i/>
                <w:iCs/>
                <w:sz w:val="20"/>
                <w:szCs w:val="20"/>
              </w:rPr>
              <w:t xml:space="preserve"> </w:t>
            </w:r>
          </w:p>
        </w:tc>
        <w:tc>
          <w:tcPr>
            <w:tcW w:w="328"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rPr>
              <w:lastRenderedPageBreak/>
              <w:t xml:space="preserve">  </w:t>
            </w:r>
          </w:p>
        </w:tc>
        <w:tc>
          <w:tcPr>
            <w:tcW w:w="483"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rPr>
              <w:t xml:space="preserve">  </w:t>
            </w:r>
          </w:p>
        </w:tc>
        <w:tc>
          <w:tcPr>
            <w:tcW w:w="376"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rPr>
            </w:pPr>
            <w:r w:rsidRPr="00EB75F6">
              <w:rPr>
                <w:rFonts w:ascii="Times New Roman" w:hAnsi="Times New Roman"/>
                <w:sz w:val="20"/>
                <w:szCs w:val="20"/>
              </w:rPr>
              <w:t xml:space="preserve">p  </w:t>
            </w:r>
          </w:p>
        </w:tc>
        <w:tc>
          <w:tcPr>
            <w:tcW w:w="710"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p>
        </w:tc>
        <w:tc>
          <w:tcPr>
            <w:tcW w:w="711"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p>
        </w:tc>
        <w:tc>
          <w:tcPr>
            <w:tcW w:w="608"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p>
        </w:tc>
        <w:tc>
          <w:tcPr>
            <w:tcW w:w="578"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lang w:val="en-US"/>
              </w:rPr>
              <w:t>P</w:t>
            </w:r>
            <w:r w:rsidRPr="00EB75F6">
              <w:rPr>
                <w:rFonts w:ascii="Times New Roman" w:hAnsi="Times New Roman"/>
                <w:sz w:val="20"/>
                <w:szCs w:val="20"/>
              </w:rPr>
              <w:t xml:space="preserve">  </w:t>
            </w:r>
          </w:p>
        </w:tc>
        <w:tc>
          <w:tcPr>
            <w:tcW w:w="839"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rPr>
              <w:t xml:space="preserve">  </w:t>
            </w:r>
            <w:r w:rsidRPr="00EB75F6">
              <w:rPr>
                <w:rFonts w:ascii="Times New Roman" w:hAnsi="Times New Roman"/>
                <w:sz w:val="20"/>
                <w:szCs w:val="20"/>
                <w:lang w:val="en-US"/>
              </w:rPr>
              <w:t>DD</w:t>
            </w:r>
          </w:p>
        </w:tc>
        <w:tc>
          <w:tcPr>
            <w:tcW w:w="1024"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lang w:val="en-US"/>
              </w:rPr>
              <w:t>C</w:t>
            </w:r>
          </w:p>
        </w:tc>
        <w:tc>
          <w:tcPr>
            <w:tcW w:w="663"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lang w:val="en-US"/>
              </w:rPr>
              <w:t>A</w:t>
            </w:r>
          </w:p>
        </w:tc>
        <w:tc>
          <w:tcPr>
            <w:tcW w:w="553"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rPr>
            </w:pPr>
            <w:r w:rsidRPr="00EB75F6">
              <w:rPr>
                <w:rFonts w:ascii="Times New Roman" w:hAnsi="Times New Roman"/>
                <w:sz w:val="20"/>
                <w:szCs w:val="20"/>
                <w:lang w:val="en-US"/>
              </w:rPr>
              <w:t>C</w:t>
            </w:r>
          </w:p>
        </w:tc>
        <w:tc>
          <w:tcPr>
            <w:tcW w:w="578"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lang w:val="en-US"/>
              </w:rPr>
              <w:t>A</w:t>
            </w:r>
          </w:p>
        </w:tc>
      </w:tr>
    </w:tbl>
    <w:p w:rsidR="00EB75F6" w:rsidRPr="00EB75F6" w:rsidRDefault="00EB75F6" w:rsidP="00EB75F6">
      <w:pPr>
        <w:spacing w:after="0" w:line="240" w:lineRule="auto"/>
        <w:ind w:firstLine="709"/>
        <w:contextualSpacing/>
        <w:jc w:val="both"/>
        <w:rPr>
          <w:rFonts w:ascii="Times New Roman" w:eastAsia="Calibri" w:hAnsi="Times New Roman"/>
          <w:bCs/>
          <w:color w:val="0070C0"/>
          <w:sz w:val="24"/>
          <w:szCs w:val="24"/>
        </w:rPr>
      </w:pPr>
    </w:p>
    <w:p w:rsidR="00EB75F6" w:rsidRPr="00EB75F6" w:rsidRDefault="00EB75F6" w:rsidP="00EB75F6">
      <w:pPr>
        <w:spacing w:after="0" w:line="240" w:lineRule="auto"/>
        <w:ind w:firstLine="709"/>
        <w:contextualSpacing/>
        <w:jc w:val="both"/>
        <w:rPr>
          <w:rFonts w:ascii="Times New Roman" w:eastAsia="Calibri" w:hAnsi="Times New Roman"/>
          <w:bCs/>
          <w:sz w:val="24"/>
          <w:szCs w:val="24"/>
        </w:rPr>
      </w:pPr>
      <w:r w:rsidRPr="00EB75F6">
        <w:rPr>
          <w:rFonts w:ascii="Times New Roman" w:eastAsia="Calibri" w:hAnsi="Times New Roman"/>
          <w:bCs/>
          <w:sz w:val="24"/>
          <w:szCs w:val="24"/>
        </w:rPr>
        <w:t xml:space="preserve">ЗЗ „Сребърна“ </w:t>
      </w:r>
      <w:r w:rsidRPr="00EB75F6">
        <w:rPr>
          <w:rFonts w:ascii="Times New Roman" w:eastAsia="Calibri" w:hAnsi="Times New Roman"/>
          <w:bCs/>
          <w:sz w:val="24"/>
          <w:szCs w:val="24"/>
          <w:lang w:val="en-US"/>
        </w:rPr>
        <w:t>(</w:t>
      </w:r>
      <w:r w:rsidRPr="00EB75F6">
        <w:rPr>
          <w:rFonts w:ascii="Times New Roman" w:eastAsia="Calibri" w:hAnsi="Times New Roman"/>
          <w:sz w:val="24"/>
          <w:szCs w:val="24"/>
        </w:rPr>
        <w:t>BG0000241</w:t>
      </w:r>
      <w:r w:rsidRPr="00EB75F6">
        <w:rPr>
          <w:rFonts w:ascii="Times New Roman" w:eastAsia="Calibri" w:hAnsi="Times New Roman"/>
          <w:sz w:val="24"/>
          <w:szCs w:val="24"/>
          <w:lang w:val="en-US"/>
        </w:rPr>
        <w:t>)</w:t>
      </w:r>
      <w:r w:rsidRPr="00EB75F6">
        <w:rPr>
          <w:rFonts w:ascii="Times New Roman" w:eastAsia="Calibri" w:hAnsi="Times New Roman"/>
          <w:sz w:val="24"/>
          <w:szCs w:val="24"/>
        </w:rPr>
        <w:t xml:space="preserve"> има значение за</w:t>
      </w:r>
      <w:r w:rsidRPr="00EB75F6">
        <w:rPr>
          <w:rFonts w:eastAsia="Calibri"/>
          <w:lang w:val="en-US"/>
        </w:rPr>
        <w:t xml:space="preserve"> </w:t>
      </w:r>
      <w:r w:rsidRPr="00EB75F6">
        <w:rPr>
          <w:rFonts w:ascii="Times New Roman" w:eastAsia="Calibri" w:hAnsi="Times New Roman"/>
          <w:sz w:val="24"/>
          <w:szCs w:val="24"/>
        </w:rPr>
        <w:t xml:space="preserve">осигуряване свързаността на мрежата Натура 2000 и респективно поддържане на БПС на </w:t>
      </w:r>
      <w:r w:rsidRPr="00EB75F6">
        <w:rPr>
          <w:rFonts w:ascii="Times New Roman" w:eastAsia="Calibri" w:hAnsi="Times New Roman"/>
          <w:bCs/>
          <w:sz w:val="24"/>
          <w:szCs w:val="24"/>
        </w:rPr>
        <w:t xml:space="preserve">пъстрия пор </w:t>
      </w:r>
      <w:r w:rsidRPr="00EB75F6">
        <w:rPr>
          <w:rFonts w:ascii="Times New Roman" w:eastAsia="Calibri" w:hAnsi="Times New Roman"/>
          <w:sz w:val="24"/>
          <w:szCs w:val="24"/>
        </w:rPr>
        <w:t xml:space="preserve">в Континенталния биогеографски район. Тя осъществява връзка между две защитени зони, значими за </w:t>
      </w:r>
      <w:r w:rsidRPr="00EB75F6">
        <w:rPr>
          <w:rFonts w:ascii="Times New Roman" w:eastAsia="Calibri" w:hAnsi="Times New Roman"/>
          <w:bCs/>
          <w:sz w:val="24"/>
          <w:szCs w:val="24"/>
        </w:rPr>
        <w:t xml:space="preserve">поддържане на жизнеспособна популация на </w:t>
      </w:r>
      <w:r w:rsidRPr="00EB75F6">
        <w:rPr>
          <w:rFonts w:ascii="Times New Roman" w:eastAsia="Calibri" w:hAnsi="Times New Roman"/>
          <w:sz w:val="24"/>
          <w:szCs w:val="24"/>
        </w:rPr>
        <w:t xml:space="preserve">вида </w:t>
      </w:r>
      <w:r w:rsidRPr="00EB75F6">
        <w:rPr>
          <w:rFonts w:ascii="Times New Roman" w:eastAsia="Calibri" w:hAnsi="Times New Roman"/>
          <w:bCs/>
          <w:sz w:val="24"/>
          <w:szCs w:val="24"/>
        </w:rPr>
        <w:t xml:space="preserve">в източната част на Дунавската равнина: Пожарево-Гарван </w:t>
      </w:r>
      <w:r w:rsidRPr="00EB75F6">
        <w:rPr>
          <w:rFonts w:ascii="Times New Roman" w:eastAsia="Calibri" w:hAnsi="Times New Roman"/>
          <w:bCs/>
          <w:sz w:val="24"/>
          <w:szCs w:val="24"/>
          <w:lang w:val="en-US"/>
        </w:rPr>
        <w:t xml:space="preserve">(BG0000530) </w:t>
      </w:r>
      <w:r w:rsidRPr="00EB75F6">
        <w:rPr>
          <w:rFonts w:ascii="Times New Roman" w:eastAsia="Calibri" w:hAnsi="Times New Roman"/>
          <w:bCs/>
          <w:sz w:val="24"/>
          <w:szCs w:val="24"/>
        </w:rPr>
        <w:t>и Лудогорие-Сребърна</w:t>
      </w:r>
      <w:r w:rsidRPr="00EB75F6">
        <w:rPr>
          <w:rFonts w:ascii="Times New Roman" w:eastAsia="Calibri" w:hAnsi="Times New Roman"/>
          <w:bCs/>
          <w:sz w:val="24"/>
          <w:szCs w:val="24"/>
          <w:lang w:val="en-US"/>
        </w:rPr>
        <w:t xml:space="preserve"> (BG0000169)</w:t>
      </w:r>
      <w:r w:rsidRPr="00EB75F6">
        <w:rPr>
          <w:rFonts w:ascii="Times New Roman" w:eastAsia="Calibri" w:hAnsi="Times New Roman"/>
          <w:bCs/>
          <w:sz w:val="24"/>
          <w:szCs w:val="24"/>
        </w:rPr>
        <w:t xml:space="preserve">. Фактът, че територията на защитената зона в значителна степен се припокрива с тази на поддържан биосферен  резерват „Сребърна“ обуславя слабото антропогенно въздействие. Това подсилва значението на зоната за </w:t>
      </w:r>
      <w:r w:rsidRPr="00EB75F6">
        <w:rPr>
          <w:rFonts w:ascii="Times New Roman" w:eastAsia="Calibri" w:hAnsi="Times New Roman"/>
          <w:sz w:val="24"/>
          <w:szCs w:val="24"/>
        </w:rPr>
        <w:t>поддържане на БПС на пъстрия пор, въпреки че територията й предлага предимно субоптимални местообитания за вида.</w:t>
      </w:r>
    </w:p>
    <w:p w:rsidR="00EB75F6" w:rsidRPr="00EB75F6" w:rsidRDefault="00EB75F6" w:rsidP="00EB75F6">
      <w:pPr>
        <w:spacing w:after="0" w:line="240" w:lineRule="auto"/>
        <w:ind w:firstLine="709"/>
        <w:contextualSpacing/>
        <w:jc w:val="both"/>
        <w:rPr>
          <w:rFonts w:ascii="Times New Roman" w:eastAsia="Calibri" w:hAnsi="Times New Roman"/>
          <w:bCs/>
          <w:color w:val="0070C0"/>
          <w:sz w:val="24"/>
          <w:szCs w:val="24"/>
        </w:rPr>
      </w:pPr>
    </w:p>
    <w:p w:rsidR="00EB75F6" w:rsidRPr="00EB75F6" w:rsidRDefault="00EB75F6" w:rsidP="00EB75F6">
      <w:pPr>
        <w:spacing w:before="120" w:after="0" w:line="240" w:lineRule="auto"/>
        <w:jc w:val="both"/>
        <w:rPr>
          <w:rFonts w:ascii="Times New Roman" w:eastAsia="Calibri" w:hAnsi="Times New Roman"/>
          <w:sz w:val="24"/>
          <w:szCs w:val="24"/>
          <w:lang w:val="en-US"/>
        </w:rPr>
      </w:pPr>
      <w:r w:rsidRPr="00EB75F6">
        <w:rPr>
          <w:rFonts w:ascii="Times New Roman" w:eastAsia="Calibri" w:hAnsi="Times New Roman"/>
          <w:b/>
          <w:sz w:val="24"/>
          <w:szCs w:val="24"/>
        </w:rPr>
        <w:t>5. Анализ на наличната информация</w:t>
      </w:r>
    </w:p>
    <w:p w:rsidR="00EB75F6" w:rsidRPr="00EB75F6" w:rsidRDefault="00EB75F6" w:rsidP="00EB75F6">
      <w:pPr>
        <w:suppressAutoHyphens/>
        <w:autoSpaceDN w:val="0"/>
        <w:spacing w:after="0" w:line="240" w:lineRule="auto"/>
        <w:ind w:firstLine="709"/>
        <w:jc w:val="both"/>
        <w:textAlignment w:val="baseline"/>
        <w:rPr>
          <w:rFonts w:ascii="Times New Roman" w:eastAsia="Calibri" w:hAnsi="Times New Roman"/>
          <w:bCs/>
          <w:sz w:val="24"/>
          <w:szCs w:val="24"/>
        </w:rPr>
      </w:pPr>
      <w:r w:rsidRPr="00EB75F6">
        <w:rPr>
          <w:rFonts w:ascii="Times New Roman" w:eastAsia="Calibri" w:hAnsi="Times New Roman"/>
          <w:sz w:val="24"/>
          <w:szCs w:val="24"/>
        </w:rPr>
        <w:t xml:space="preserve">В рамките на проект </w:t>
      </w:r>
      <w:bookmarkStart w:id="102" w:name="_Hlk86670545"/>
      <w:r w:rsidRPr="00EB75F6">
        <w:rPr>
          <w:rFonts w:ascii="Times New Roman" w:eastAsia="Calibri" w:hAnsi="Times New Roman"/>
          <w:sz w:val="24"/>
          <w:szCs w:val="24"/>
        </w:rPr>
        <w:t>„Картиране и определяне на природозащитното състояние на природни местообитания и видове – фаза І”</w:t>
      </w:r>
      <w:bookmarkEnd w:id="102"/>
      <w:r w:rsidRPr="00EB75F6">
        <w:rPr>
          <w:rFonts w:ascii="Times New Roman" w:eastAsia="Calibri" w:hAnsi="Times New Roman"/>
          <w:sz w:val="24"/>
          <w:szCs w:val="24"/>
        </w:rPr>
        <w:t xml:space="preserve"> в периода 2011 – 2012 г. са проведени проучвания на пъстрия пор в </w:t>
      </w:r>
      <w:r w:rsidRPr="00EB75F6">
        <w:rPr>
          <w:rFonts w:ascii="Times New Roman" w:eastAsia="Calibri" w:hAnsi="Times New Roman"/>
          <w:bCs/>
          <w:sz w:val="24"/>
          <w:szCs w:val="24"/>
        </w:rPr>
        <w:t>ЗЗ „</w:t>
      </w:r>
      <w:r w:rsidRPr="00EB75F6">
        <w:rPr>
          <w:rFonts w:ascii="Times New Roman" w:eastAsia="Calibri" w:hAnsi="Times New Roman"/>
          <w:sz w:val="24"/>
          <w:szCs w:val="24"/>
        </w:rPr>
        <w:t>Сребърна</w:t>
      </w:r>
      <w:r w:rsidRPr="00EB75F6">
        <w:rPr>
          <w:rFonts w:ascii="Times New Roman" w:eastAsia="Calibri" w:hAnsi="Times New Roman"/>
          <w:bCs/>
          <w:sz w:val="24"/>
          <w:szCs w:val="24"/>
        </w:rPr>
        <w:t>“</w:t>
      </w:r>
      <w:r w:rsidRPr="00EB75F6">
        <w:rPr>
          <w:rFonts w:ascii="Times New Roman" w:eastAsia="Calibri" w:hAnsi="Times New Roman"/>
          <w:bCs/>
          <w:sz w:val="24"/>
          <w:szCs w:val="24"/>
          <w:lang w:val="en-US"/>
        </w:rPr>
        <w:t xml:space="preserve"> (</w:t>
      </w:r>
      <w:r w:rsidRPr="00EB75F6">
        <w:rPr>
          <w:rFonts w:ascii="Times New Roman" w:eastAsia="Calibri" w:hAnsi="Times New Roman"/>
          <w:bCs/>
          <w:sz w:val="24"/>
          <w:szCs w:val="24"/>
        </w:rPr>
        <w:t>BG0000241</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Зидарова, 2013</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Видът не е регистриран в зоната с преки методи, което се обяснява с кратките срокове на теренната работа и особеностите на вида: скрит начин на живот, нощна активност, ниска плътност. Най-близката съвременна регистрация на пъстър пор в района е от 2010 г. сред обработваеми площи на приблизително 10 км от зоната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Зидарова, лични данни</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Според изготвения по гореспоменатия проект модел на практика зоната не предлага оптимални местообитания за този вид. Територията й от 1448,20 хектара е заета преобладаващо от водните площи (езеро Сребърна), а сухоземната част – предимно от заблатени територии и гори. Пригодните местообитания са с малка площ и са концентрирани в североизточната и западната част на зоната. Това са Природно местообитание 6250 (Панонски льосови степни тревни съобщества) и Природно местообитание 6430  (Хидрофилни съобщества от високи треви в равнините и в планинския до алпийския пояс) с площи съответно 6.81 и 14.81</w:t>
      </w:r>
      <w:r w:rsidRPr="00EB75F6">
        <w:rPr>
          <w:rFonts w:ascii="Times New Roman" w:eastAsia="Calibri" w:hAnsi="Times New Roman"/>
          <w:bCs/>
          <w:sz w:val="24"/>
          <w:szCs w:val="24"/>
          <w:lang w:val="en-US"/>
        </w:rPr>
        <w:t xml:space="preserve"> ha</w:t>
      </w:r>
      <w:r w:rsidRPr="00EB75F6">
        <w:rPr>
          <w:rFonts w:ascii="Times New Roman" w:eastAsia="Calibri" w:hAnsi="Times New Roman"/>
          <w:bCs/>
          <w:sz w:val="24"/>
          <w:szCs w:val="24"/>
        </w:rPr>
        <w:t>. Според докладите, изготвени при картирането през 2011-2012 г., тези местообитания са в неблагоприятно - незадоволително природозащитно състояние поради рудерализация и наличие на инвазивни видове.</w:t>
      </w:r>
      <w:r w:rsidRPr="00EB75F6">
        <w:rPr>
          <w:rFonts w:ascii="Times New Roman" w:eastAsia="Calibri" w:hAnsi="Times New Roman"/>
          <w:bCs/>
          <w:color w:val="FF0000"/>
          <w:sz w:val="24"/>
          <w:szCs w:val="24"/>
        </w:rPr>
        <w:t xml:space="preserve"> </w:t>
      </w:r>
      <w:r w:rsidRPr="00EB75F6">
        <w:rPr>
          <w:rFonts w:ascii="Times New Roman" w:eastAsia="Calibri" w:hAnsi="Times New Roman"/>
          <w:bCs/>
          <w:sz w:val="24"/>
          <w:szCs w:val="24"/>
        </w:rPr>
        <w:t xml:space="preserve">В ПУ на поддържан резерват „Сребърна“ от 2016 г. се посочва, че  процесът на охрастяване и деградация на местообитание 6430 е много напреднал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Бисерков и др., 2016</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w:t>
      </w:r>
    </w:p>
    <w:p w:rsidR="00EB75F6" w:rsidRDefault="00EB75F6" w:rsidP="00EB75F6">
      <w:pPr>
        <w:suppressAutoHyphens/>
        <w:autoSpaceDN w:val="0"/>
        <w:spacing w:after="0" w:line="240" w:lineRule="auto"/>
        <w:ind w:firstLine="709"/>
        <w:jc w:val="both"/>
        <w:textAlignment w:val="baseline"/>
        <w:rPr>
          <w:rFonts w:ascii="Times New Roman" w:eastAsia="Calibri" w:hAnsi="Times New Roman"/>
          <w:bCs/>
          <w:sz w:val="24"/>
          <w:szCs w:val="24"/>
        </w:rPr>
      </w:pPr>
      <w:r w:rsidRPr="00EB75F6">
        <w:rPr>
          <w:rFonts w:ascii="Times New Roman" w:eastAsia="Calibri" w:hAnsi="Times New Roman"/>
          <w:bCs/>
          <w:sz w:val="24"/>
          <w:szCs w:val="24"/>
          <w:lang w:val="en-US"/>
        </w:rPr>
        <w:t xml:space="preserve">Разпространението, успешното размножаване и числеността на хищниците са в пряка зависимост от разпространението и обилието на тяхната плячка. В този смисъл популационните тенденции на пъстрия пор се определят до голяма степен от състоянието на популациите на видовете гризачи, които представляват оптимална плячка: лалугер, хомяк и сляпо куче. </w:t>
      </w:r>
      <w:r w:rsidRPr="00EB75F6">
        <w:rPr>
          <w:rFonts w:ascii="Times New Roman" w:eastAsia="Calibri" w:hAnsi="Times New Roman"/>
          <w:bCs/>
          <w:sz w:val="24"/>
          <w:szCs w:val="24"/>
        </w:rPr>
        <w:t xml:space="preserve">Европейският лалугер и добруджанският хомяк присъстват в СФ на зоната с оценки на популацията </w:t>
      </w:r>
      <w:r w:rsidRPr="00EB75F6">
        <w:rPr>
          <w:rFonts w:ascii="Times New Roman" w:eastAsia="Calibri" w:hAnsi="Times New Roman"/>
          <w:bCs/>
          <w:sz w:val="24"/>
          <w:szCs w:val="24"/>
          <w:lang w:val="en-US"/>
        </w:rPr>
        <w:t>D</w:t>
      </w:r>
      <w:r w:rsidRPr="00EB75F6">
        <w:rPr>
          <w:rFonts w:ascii="Times New Roman" w:eastAsia="Calibri" w:hAnsi="Times New Roman"/>
          <w:bCs/>
          <w:sz w:val="24"/>
          <w:szCs w:val="24"/>
        </w:rPr>
        <w:t xml:space="preserve">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незначително наличие</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Според литературните данни те са се срещали в района в миналото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Пешев и др., 2004</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Последните сигурни регистрации на лалугера в района на езерото Сребърна са от 2004-2005 г. </w:t>
      </w:r>
      <w:r w:rsidRPr="00EB75F6">
        <w:rPr>
          <w:rFonts w:ascii="Times New Roman" w:eastAsia="Calibri" w:hAnsi="Times New Roman"/>
          <w:bCs/>
          <w:sz w:val="24"/>
          <w:szCs w:val="24"/>
          <w:lang w:val="en-US"/>
        </w:rPr>
        <w:t>(</w:t>
      </w:r>
      <w:r w:rsidRPr="00EB75F6">
        <w:rPr>
          <w:rFonts w:ascii="Times New Roman" w:eastAsia="Calibri" w:hAnsi="Times New Roman"/>
          <w:color w:val="000000"/>
          <w:sz w:val="24"/>
          <w:szCs w:val="24"/>
        </w:rPr>
        <w:t>Сичанов, 2006</w:t>
      </w:r>
      <w:r w:rsidRPr="00EB75F6">
        <w:rPr>
          <w:rFonts w:ascii="Times New Roman" w:eastAsia="Calibri" w:hAnsi="Times New Roman"/>
          <w:bCs/>
          <w:color w:val="000000"/>
          <w:sz w:val="24"/>
          <w:szCs w:val="24"/>
          <w:lang w:val="en-US"/>
        </w:rPr>
        <w:t>)</w:t>
      </w:r>
      <w:r w:rsidRPr="00EB75F6">
        <w:rPr>
          <w:rFonts w:ascii="Times New Roman" w:eastAsia="Calibri" w:hAnsi="Times New Roman"/>
          <w:bCs/>
          <w:color w:val="000000"/>
          <w:sz w:val="24"/>
          <w:szCs w:val="24"/>
        </w:rPr>
        <w:t xml:space="preserve">. </w:t>
      </w:r>
      <w:r w:rsidRPr="00EB75F6">
        <w:rPr>
          <w:rFonts w:ascii="Times New Roman" w:eastAsia="Calibri" w:hAnsi="Times New Roman"/>
          <w:bCs/>
          <w:sz w:val="24"/>
          <w:szCs w:val="24"/>
        </w:rPr>
        <w:t xml:space="preserve">Уловени са само два екземпляра, които вероятно могат да се приемат като свидетелство за изчезваща през този период колония или разселващи се индивиди. При теренните проучвания през 2011-2012 г. лалугерът и хомякът не са регистрирани на територията й, което свидетелства за отсъствието или изключително ниската им плътност. Съвременните литературни данни за видовия състав на дребните бозайници </w:t>
      </w:r>
      <w:r w:rsidRPr="00EB75F6">
        <w:rPr>
          <w:rFonts w:ascii="Times New Roman" w:eastAsia="Calibri" w:hAnsi="Times New Roman"/>
          <w:bCs/>
          <w:sz w:val="24"/>
          <w:szCs w:val="24"/>
          <w:lang w:val="en-US"/>
        </w:rPr>
        <w:t>(Micromammalia)</w:t>
      </w:r>
      <w:r w:rsidRPr="00EB75F6">
        <w:rPr>
          <w:rFonts w:ascii="Times New Roman" w:eastAsia="Calibri" w:hAnsi="Times New Roman"/>
          <w:bCs/>
          <w:sz w:val="24"/>
          <w:szCs w:val="24"/>
        </w:rPr>
        <w:t xml:space="preserve"> на територията на защитената зона също не потвърждават присъствието на лалугера </w:t>
      </w:r>
      <w:r w:rsidRPr="00EB75F6">
        <w:rPr>
          <w:rFonts w:ascii="Times New Roman" w:eastAsia="Calibri" w:hAnsi="Times New Roman"/>
          <w:bCs/>
          <w:sz w:val="24"/>
          <w:szCs w:val="24"/>
          <w:lang w:val="en-US"/>
        </w:rPr>
        <w:t>(Popov et al., 2019</w:t>
      </w:r>
      <w:r w:rsidRPr="00EB75F6">
        <w:rPr>
          <w:rFonts w:ascii="Times New Roman" w:eastAsia="Calibri" w:hAnsi="Times New Roman"/>
          <w:bCs/>
          <w:sz w:val="24"/>
          <w:szCs w:val="24"/>
        </w:rPr>
        <w:t>, Бисерков и др., 2016</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Добруджанският хомяк е намерен наскоро в погадки на горска ушата сова в близост до зоната</w:t>
      </w:r>
      <w:r w:rsidRPr="00EB75F6">
        <w:rPr>
          <w:rFonts w:ascii="Times New Roman" w:eastAsia="Calibri" w:hAnsi="Times New Roman"/>
          <w:bCs/>
          <w:sz w:val="24"/>
          <w:szCs w:val="24"/>
          <w:lang w:val="en-US"/>
        </w:rPr>
        <w:t xml:space="preserve"> </w:t>
      </w:r>
      <w:r w:rsidRPr="00EB75F6">
        <w:rPr>
          <w:rFonts w:ascii="Times New Roman" w:eastAsia="Calibri" w:hAnsi="Times New Roman"/>
          <w:bCs/>
          <w:sz w:val="24"/>
          <w:szCs w:val="24"/>
          <w:lang w:val="en-US"/>
        </w:rPr>
        <w:lastRenderedPageBreak/>
        <w:t>(Kodzhabashev et al., 2020)</w:t>
      </w:r>
      <w:r w:rsidRPr="00EB75F6">
        <w:rPr>
          <w:rFonts w:ascii="Times New Roman" w:eastAsia="Calibri" w:hAnsi="Times New Roman"/>
          <w:bCs/>
          <w:sz w:val="24"/>
          <w:szCs w:val="24"/>
        </w:rPr>
        <w:t xml:space="preserve">, което свидетелства, че понастоящем видът е възможно да се среща на територията й, но с много ниска численост поради недостатъчната площ на потенциалните местообитания. Същевременно влажните местообитания край бреговете на езерото се характеризират с високо обилие и разнообразие на дребна бозайна фауна </w:t>
      </w:r>
      <w:r w:rsidRPr="00EB75F6">
        <w:rPr>
          <w:rFonts w:ascii="Times New Roman" w:eastAsia="Calibri" w:hAnsi="Times New Roman"/>
          <w:bCs/>
          <w:sz w:val="24"/>
          <w:szCs w:val="24"/>
          <w:lang w:val="en-US"/>
        </w:rPr>
        <w:t>(Sichanov et al., 2006)</w:t>
      </w:r>
      <w:r w:rsidRPr="00EB75F6">
        <w:rPr>
          <w:rFonts w:ascii="Times New Roman" w:eastAsia="Calibri" w:hAnsi="Times New Roman"/>
          <w:bCs/>
          <w:sz w:val="24"/>
          <w:szCs w:val="24"/>
        </w:rPr>
        <w:t>, която е потенциален хранителен ресурс за пъстрия пор.</w:t>
      </w:r>
    </w:p>
    <w:p w:rsidR="00290E91" w:rsidRPr="001544FD" w:rsidRDefault="00290E91" w:rsidP="00EB75F6">
      <w:pPr>
        <w:suppressAutoHyphens/>
        <w:autoSpaceDN w:val="0"/>
        <w:spacing w:after="0" w:line="240" w:lineRule="auto"/>
        <w:ind w:firstLine="709"/>
        <w:jc w:val="both"/>
        <w:textAlignment w:val="baseline"/>
        <w:rPr>
          <w:rFonts w:ascii="Times New Roman" w:eastAsia="Calibri" w:hAnsi="Times New Roman"/>
          <w:bCs/>
          <w:sz w:val="24"/>
          <w:szCs w:val="24"/>
          <w:lang w:val="en-US"/>
        </w:rPr>
      </w:pPr>
      <w:r w:rsidRPr="00582A40">
        <w:rPr>
          <w:rFonts w:ascii="Times New Roman" w:eastAsia="Calibri" w:hAnsi="Times New Roman"/>
          <w:bCs/>
          <w:sz w:val="24"/>
          <w:szCs w:val="24"/>
        </w:rPr>
        <w:t>Като методическа основа на теренната работа за разработване на специфични цели за пъстър пор през 2021 г. беше използвана методиката, разработена за целите на НСМСБР (http://eea.government.bg/bg/bio/nsmbr). Тя беше модифицирана съобразно конкретните цели на проведеното проучване.</w:t>
      </w:r>
    </w:p>
    <w:p w:rsidR="00EB75F6" w:rsidRPr="00EB75F6" w:rsidRDefault="00EB75F6" w:rsidP="00EB75F6">
      <w:pPr>
        <w:suppressAutoHyphens/>
        <w:autoSpaceDN w:val="0"/>
        <w:spacing w:after="0" w:line="240" w:lineRule="auto"/>
        <w:ind w:firstLine="709"/>
        <w:jc w:val="both"/>
        <w:textAlignment w:val="baseline"/>
        <w:rPr>
          <w:rFonts w:ascii="Times New Roman" w:eastAsia="Calibri" w:hAnsi="Times New Roman"/>
          <w:bCs/>
          <w:sz w:val="24"/>
          <w:szCs w:val="24"/>
        </w:rPr>
      </w:pPr>
      <w:r w:rsidRPr="00EB75F6">
        <w:rPr>
          <w:rFonts w:ascii="Times New Roman" w:eastAsia="Calibri" w:hAnsi="Times New Roman"/>
          <w:sz w:val="24"/>
          <w:szCs w:val="24"/>
        </w:rPr>
        <w:t xml:space="preserve">При актуалните теренни проучвания през 2021 г. в ЗЗ „Сребърна“ беше установено, че въпреки малката площ на оптималните местообитания, територията й предлага относително добри условия за пъстрия пор в съчетание със слаб антропогенен натиск. </w:t>
      </w:r>
      <w:r w:rsidRPr="00EB75F6">
        <w:rPr>
          <w:rFonts w:ascii="Times New Roman" w:eastAsia="Calibri" w:hAnsi="Times New Roman"/>
          <w:bCs/>
          <w:sz w:val="24"/>
          <w:szCs w:val="24"/>
        </w:rPr>
        <w:t xml:space="preserve">Сляпото куче, което е единствената регистрирана оптимална плячка на пъстрия пор в зоната, е с относително малко обилие поради неголямата площ на тревните местообитания, с които е свързан този гризач. Ограничената площ на типични за вида хабитати, както липсата на данни за присъствие на  лалугер и хомяк, се компенсира от обилието и разнообразието на хранителната база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сляпо куче, субоптимална плячка от мишевидни гризачи, къртица, земноводни, влечуги и др.</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в граничещите с езерото участъци, заети основно от дървесна, храстова и хигрофитна растителност. </w:t>
      </w:r>
    </w:p>
    <w:p w:rsidR="00EB75F6" w:rsidRPr="00EB75F6" w:rsidRDefault="00EB75F6" w:rsidP="00EB75F6">
      <w:pPr>
        <w:suppressAutoHyphens/>
        <w:autoSpaceDN w:val="0"/>
        <w:spacing w:after="0" w:line="240" w:lineRule="auto"/>
        <w:ind w:firstLine="709"/>
        <w:jc w:val="both"/>
        <w:textAlignment w:val="baseline"/>
        <w:rPr>
          <w:rFonts w:ascii="Times New Roman" w:eastAsia="Calibri" w:hAnsi="Times New Roman"/>
          <w:bCs/>
          <w:sz w:val="24"/>
          <w:szCs w:val="24"/>
        </w:rPr>
      </w:pPr>
      <w:r w:rsidRPr="00EB75F6">
        <w:rPr>
          <w:rFonts w:ascii="Times New Roman" w:eastAsia="Calibri" w:hAnsi="Times New Roman"/>
          <w:bCs/>
          <w:sz w:val="24"/>
          <w:szCs w:val="24"/>
        </w:rPr>
        <w:t xml:space="preserve">Контактуващите със ЗЗ „Сребърна“ територии представляват обширни потенциални за пъстрия пор местообитания, част от които попадат в границите на ЗЗ „Лудогорие-Сребърна“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BG0000169</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 зона, в която видът също е приоритетен за опазване. В този смисъл ЗЗ „Сребърна“ следва да се разглежда като част от по-обширен район, който предоставя условия за поддържане на жизнеспособна популация на пъстрия пор, в потвърждение на което е и изключително близката до зоната регистрация (Зидарова, лични данни). В този контекст липсата на обширни тревни местообитания не омаловажава значението й за поддържане на БПС на вида в Континенталния биогеографски </w:t>
      </w:r>
      <w:r w:rsidR="00290E91">
        <w:rPr>
          <w:rFonts w:ascii="Times New Roman" w:eastAsia="Calibri" w:hAnsi="Times New Roman"/>
          <w:bCs/>
          <w:sz w:val="24"/>
          <w:szCs w:val="24"/>
        </w:rPr>
        <w:t>регион</w:t>
      </w:r>
      <w:r w:rsidRPr="00EB75F6">
        <w:rPr>
          <w:rFonts w:ascii="Times New Roman" w:eastAsia="Calibri" w:hAnsi="Times New Roman"/>
          <w:bCs/>
          <w:sz w:val="24"/>
          <w:szCs w:val="24"/>
        </w:rPr>
        <w:t xml:space="preserve">. Нещо повече, наличните данни свидетелстват за по-голяма от предполагаемата доскоро екологична пластичност на пъстрия пор. Наскоро у нас видът беше регистриран в планински горски хабитат, на значително разстояние от оптималните за него местообитания </w:t>
      </w:r>
      <w:r w:rsidRPr="00EB75F6">
        <w:rPr>
          <w:rFonts w:ascii="Times New Roman" w:eastAsia="Calibri" w:hAnsi="Times New Roman"/>
          <w:bCs/>
          <w:sz w:val="24"/>
          <w:szCs w:val="24"/>
          <w:lang w:val="en-US"/>
        </w:rPr>
        <w:t>(Zlatanova, Popova, 2018</w:t>
      </w:r>
      <w:r w:rsidRPr="00EB75F6">
        <w:rPr>
          <w:rFonts w:ascii="Times New Roman" w:eastAsia="Calibri" w:hAnsi="Times New Roman"/>
          <w:bCs/>
          <w:sz w:val="24"/>
          <w:szCs w:val="24"/>
        </w:rPr>
        <w:t>, Златанова, Рачева, лично съобщение</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w:t>
      </w:r>
    </w:p>
    <w:p w:rsidR="00EB75F6" w:rsidRPr="00EB75F6" w:rsidRDefault="00EB75F6" w:rsidP="00EB75F6">
      <w:pPr>
        <w:suppressAutoHyphens/>
        <w:autoSpaceDN w:val="0"/>
        <w:spacing w:after="0" w:line="240" w:lineRule="auto"/>
        <w:ind w:firstLine="709"/>
        <w:jc w:val="both"/>
        <w:textAlignment w:val="baseline"/>
        <w:rPr>
          <w:rFonts w:ascii="Times New Roman" w:eastAsia="Calibri" w:hAnsi="Times New Roman"/>
          <w:bCs/>
          <w:sz w:val="24"/>
          <w:szCs w:val="24"/>
        </w:rPr>
      </w:pPr>
      <w:r w:rsidRPr="00EB75F6">
        <w:rPr>
          <w:rFonts w:ascii="Times New Roman" w:eastAsia="Calibri" w:hAnsi="Times New Roman"/>
          <w:bCs/>
          <w:sz w:val="24"/>
          <w:szCs w:val="24"/>
        </w:rPr>
        <w:t xml:space="preserve">При настоящите теренни проучвания беше установено, че антропогенният натиск в ЗЗ „Сребърна“ е слаб и на практика може да се приеме, че на територията й няма заплахи за пъстрия пор. Същевременно с най-висока пригодност за вида са местообитанията в периферните части на зоната, които граничат с обширни земеделски земи. Събраните анкетни данни свидетелстват за третиране на обработваемите площи с агресивни химични препарати за растителна защита, което има негативно въздействие върху биоразнообразието в района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напр. има данни за измиране на щъркели в резултат на пръскането</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Това неминуемо води до спад в числеността на видовете гризачи, които представляват основна хранителна база за пъстрия пор, както и до опасност от натравяне на индивиди при поглъщан</w:t>
      </w:r>
      <w:r w:rsidR="00290E91">
        <w:rPr>
          <w:rFonts w:ascii="Times New Roman" w:eastAsia="Calibri" w:hAnsi="Times New Roman"/>
          <w:bCs/>
          <w:sz w:val="24"/>
          <w:szCs w:val="24"/>
        </w:rPr>
        <w:t>е на плячка. Беше установено вло</w:t>
      </w:r>
      <w:r w:rsidRPr="00EB75F6">
        <w:rPr>
          <w:rFonts w:ascii="Times New Roman" w:eastAsia="Calibri" w:hAnsi="Times New Roman"/>
          <w:bCs/>
          <w:sz w:val="24"/>
          <w:szCs w:val="24"/>
        </w:rPr>
        <w:t xml:space="preserve">шаване състоянието на Природни местообитания 6250 и 6430, което при картирането през 2011-2012 г. е оценено като </w:t>
      </w:r>
      <w:bookmarkStart w:id="103" w:name="_Hlk88033269"/>
      <w:r w:rsidRPr="00EB75F6">
        <w:rPr>
          <w:rFonts w:ascii="Times New Roman" w:eastAsia="Calibri" w:hAnsi="Times New Roman"/>
          <w:bCs/>
          <w:sz w:val="24"/>
          <w:szCs w:val="24"/>
        </w:rPr>
        <w:t>неблагоприятно-незадоволително</w:t>
      </w:r>
      <w:bookmarkEnd w:id="103"/>
      <w:r w:rsidRPr="00EB75F6">
        <w:rPr>
          <w:rFonts w:ascii="Times New Roman" w:eastAsia="Calibri" w:hAnsi="Times New Roman"/>
          <w:bCs/>
          <w:sz w:val="24"/>
          <w:szCs w:val="24"/>
        </w:rPr>
        <w:t xml:space="preserve">. В зоната няма бариери за свободното придвижване на индивиди, които да имат антропогенен характер. На територията й липсват пътища с интензивен трафик, но пътят Тутракан-Силистра, </w:t>
      </w:r>
      <w:r w:rsidR="00290E91">
        <w:rPr>
          <w:rFonts w:ascii="Times New Roman" w:eastAsia="Calibri" w:hAnsi="Times New Roman"/>
          <w:bCs/>
          <w:sz w:val="24"/>
          <w:szCs w:val="24"/>
        </w:rPr>
        <w:t>контактуващ с</w:t>
      </w:r>
      <w:r w:rsidRPr="00EB75F6">
        <w:rPr>
          <w:rFonts w:ascii="Times New Roman" w:eastAsia="Calibri" w:hAnsi="Times New Roman"/>
          <w:bCs/>
          <w:sz w:val="24"/>
          <w:szCs w:val="24"/>
        </w:rPr>
        <w:t xml:space="preserve"> южната й граница, представлява заплаха за вида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през 2010 г. пъстър пор е станал жертва на движението по този път</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w:t>
      </w:r>
    </w:p>
    <w:p w:rsidR="00EB75F6" w:rsidRPr="00EB75F6" w:rsidRDefault="00EB75F6" w:rsidP="00EB75F6">
      <w:pPr>
        <w:suppressAutoHyphens/>
        <w:autoSpaceDN w:val="0"/>
        <w:spacing w:after="0" w:line="240" w:lineRule="auto"/>
        <w:ind w:firstLine="709"/>
        <w:jc w:val="both"/>
        <w:textAlignment w:val="baseline"/>
        <w:rPr>
          <w:rFonts w:ascii="Times New Roman" w:eastAsia="Calibri" w:hAnsi="Times New Roman"/>
          <w:bCs/>
          <w:sz w:val="24"/>
          <w:szCs w:val="24"/>
        </w:rPr>
      </w:pPr>
    </w:p>
    <w:p w:rsidR="00EB75F6" w:rsidRPr="00EB75F6" w:rsidRDefault="00EB75F6" w:rsidP="00EB75F6">
      <w:pPr>
        <w:suppressAutoHyphens/>
        <w:autoSpaceDN w:val="0"/>
        <w:spacing w:before="120" w:after="0" w:line="240" w:lineRule="auto"/>
        <w:jc w:val="both"/>
        <w:textAlignment w:val="baseline"/>
        <w:rPr>
          <w:rFonts w:ascii="Times New Roman" w:eastAsia="Calibri" w:hAnsi="Times New Roman"/>
          <w:sz w:val="24"/>
          <w:szCs w:val="24"/>
        </w:rPr>
      </w:pPr>
      <w:r w:rsidRPr="00EB75F6">
        <w:rPr>
          <w:rFonts w:ascii="Times New Roman" w:eastAsia="Calibri" w:hAnsi="Times New Roman"/>
          <w:b/>
          <w:bCs/>
          <w:sz w:val="24"/>
          <w:szCs w:val="24"/>
        </w:rPr>
        <w:lastRenderedPageBreak/>
        <w:t>6. Цели за подобряване/поддържане на природозащитното състояние на вида в зоната</w:t>
      </w:r>
      <w:r w:rsidRPr="00EB75F6">
        <w:rPr>
          <w:rFonts w:ascii="Times New Roman" w:eastAsia="Calibri" w:hAnsi="Times New Roman"/>
          <w:sz w:val="24"/>
          <w:szCs w:val="24"/>
        </w:rPr>
        <w:t xml:space="preserve"> </w:t>
      </w:r>
    </w:p>
    <w:p w:rsidR="00EB75F6" w:rsidRPr="00EB75F6" w:rsidRDefault="00EB75F6" w:rsidP="00EB75F6">
      <w:pPr>
        <w:spacing w:after="0" w:line="240" w:lineRule="auto"/>
        <w:ind w:firstLine="709"/>
        <w:contextualSpacing/>
        <w:jc w:val="both"/>
        <w:rPr>
          <w:rFonts w:ascii="Times New Roman" w:eastAsia="Calibri" w:hAnsi="Times New Roman"/>
          <w:bCs/>
          <w:sz w:val="24"/>
          <w:szCs w:val="24"/>
        </w:rPr>
      </w:pPr>
      <w:r w:rsidRPr="00EB75F6">
        <w:rPr>
          <w:rFonts w:ascii="Times New Roman" w:eastAsia="Calibri" w:hAnsi="Times New Roman"/>
          <w:bCs/>
          <w:sz w:val="24"/>
          <w:szCs w:val="24"/>
        </w:rPr>
        <w:t>Значението на ЗЗ „Сребърна“</w:t>
      </w:r>
      <w:r w:rsidRPr="00EB75F6">
        <w:rPr>
          <w:rFonts w:ascii="Times New Roman" w:eastAsia="Calibri" w:hAnsi="Times New Roman"/>
          <w:bCs/>
          <w:sz w:val="24"/>
          <w:szCs w:val="24"/>
          <w:lang w:val="en-US"/>
        </w:rPr>
        <w:t xml:space="preserve"> (</w:t>
      </w:r>
      <w:r w:rsidRPr="00EB75F6">
        <w:rPr>
          <w:rFonts w:ascii="Times New Roman" w:eastAsia="Calibri" w:hAnsi="Times New Roman"/>
          <w:sz w:val="24"/>
          <w:szCs w:val="24"/>
        </w:rPr>
        <w:t>BG0000241</w:t>
      </w:r>
      <w:r w:rsidRPr="00EB75F6">
        <w:rPr>
          <w:rFonts w:ascii="Times New Roman" w:eastAsia="Calibri" w:hAnsi="Times New Roman"/>
          <w:sz w:val="24"/>
          <w:szCs w:val="24"/>
          <w:lang w:val="en-US"/>
        </w:rPr>
        <w:t>)</w:t>
      </w:r>
      <w:r w:rsidRPr="00EB75F6">
        <w:rPr>
          <w:rFonts w:ascii="Times New Roman" w:eastAsia="Calibri" w:hAnsi="Times New Roman"/>
          <w:bCs/>
          <w:sz w:val="24"/>
          <w:szCs w:val="24"/>
        </w:rPr>
        <w:t xml:space="preserve"> се определя от слабия антропогенен натиск и географското й разположение. Зоната допринася за </w:t>
      </w:r>
      <w:r w:rsidRPr="00EB75F6">
        <w:rPr>
          <w:rFonts w:ascii="Times New Roman" w:eastAsia="Calibri" w:hAnsi="Times New Roman"/>
          <w:sz w:val="24"/>
          <w:szCs w:val="24"/>
        </w:rPr>
        <w:t xml:space="preserve">поддържане на БПС на </w:t>
      </w:r>
      <w:r w:rsidRPr="00EB75F6">
        <w:rPr>
          <w:rFonts w:ascii="Times New Roman" w:eastAsia="Calibri" w:hAnsi="Times New Roman"/>
          <w:bCs/>
          <w:sz w:val="24"/>
          <w:szCs w:val="24"/>
        </w:rPr>
        <w:t xml:space="preserve">пъстрия пор </w:t>
      </w:r>
      <w:r w:rsidRPr="00EB75F6">
        <w:rPr>
          <w:rFonts w:ascii="Times New Roman" w:eastAsia="Calibri" w:hAnsi="Times New Roman"/>
          <w:sz w:val="24"/>
          <w:szCs w:val="24"/>
        </w:rPr>
        <w:t xml:space="preserve">в Континенталния биогеографски </w:t>
      </w:r>
      <w:r w:rsidR="00290E91">
        <w:rPr>
          <w:rFonts w:ascii="Times New Roman" w:eastAsia="Calibri" w:hAnsi="Times New Roman"/>
          <w:sz w:val="24"/>
          <w:szCs w:val="24"/>
        </w:rPr>
        <w:t>регион</w:t>
      </w:r>
      <w:r w:rsidRPr="00EB75F6">
        <w:rPr>
          <w:rFonts w:ascii="Times New Roman" w:eastAsia="Calibri" w:hAnsi="Times New Roman"/>
          <w:sz w:val="24"/>
          <w:szCs w:val="24"/>
        </w:rPr>
        <w:t xml:space="preserve"> посредством осигуряване свързаността на мрежата Натура 2000. </w:t>
      </w:r>
      <w:r w:rsidRPr="00EB75F6">
        <w:rPr>
          <w:rFonts w:ascii="Times New Roman" w:eastAsia="Calibri" w:hAnsi="Times New Roman"/>
          <w:bCs/>
          <w:sz w:val="24"/>
          <w:szCs w:val="24"/>
        </w:rPr>
        <w:t xml:space="preserve">Граничейки със ЗЗ Пожарево-Гарван </w:t>
      </w:r>
      <w:r w:rsidRPr="00EB75F6">
        <w:rPr>
          <w:rFonts w:ascii="Times New Roman" w:eastAsia="Calibri" w:hAnsi="Times New Roman"/>
          <w:bCs/>
          <w:sz w:val="24"/>
          <w:szCs w:val="24"/>
          <w:lang w:val="en-US"/>
        </w:rPr>
        <w:t xml:space="preserve">(BG0000530) </w:t>
      </w:r>
      <w:r w:rsidRPr="00EB75F6">
        <w:rPr>
          <w:rFonts w:ascii="Times New Roman" w:eastAsia="Calibri" w:hAnsi="Times New Roman"/>
          <w:bCs/>
          <w:sz w:val="24"/>
          <w:szCs w:val="24"/>
        </w:rPr>
        <w:t>и ЗЗ Лудогорие-Сребърна</w:t>
      </w:r>
      <w:r w:rsidRPr="00EB75F6">
        <w:rPr>
          <w:rFonts w:ascii="Times New Roman" w:eastAsia="Calibri" w:hAnsi="Times New Roman"/>
          <w:bCs/>
          <w:sz w:val="24"/>
          <w:szCs w:val="24"/>
          <w:lang w:val="en-US"/>
        </w:rPr>
        <w:t xml:space="preserve"> (BG0000169)</w:t>
      </w:r>
      <w:r w:rsidRPr="00EB75F6">
        <w:rPr>
          <w:rFonts w:ascii="Times New Roman" w:eastAsia="Calibri" w:hAnsi="Times New Roman"/>
          <w:bCs/>
          <w:sz w:val="24"/>
          <w:szCs w:val="24"/>
        </w:rPr>
        <w:t xml:space="preserve">, територията й осигурява връзка между тези зони, които предоставят оптимални местообитания за пъстрия пор и имат съществено значение за поддържане на жизнеспособна популация на </w:t>
      </w:r>
      <w:r w:rsidRPr="00EB75F6">
        <w:rPr>
          <w:rFonts w:ascii="Times New Roman" w:eastAsia="Calibri" w:hAnsi="Times New Roman"/>
          <w:sz w:val="24"/>
          <w:szCs w:val="24"/>
        </w:rPr>
        <w:t xml:space="preserve">вида </w:t>
      </w:r>
      <w:r w:rsidRPr="00EB75F6">
        <w:rPr>
          <w:rFonts w:ascii="Times New Roman" w:eastAsia="Calibri" w:hAnsi="Times New Roman"/>
          <w:bCs/>
          <w:sz w:val="24"/>
          <w:szCs w:val="24"/>
        </w:rPr>
        <w:t xml:space="preserve">в един от най-ключовите за вида райони - североизточна България. </w:t>
      </w:r>
    </w:p>
    <w:p w:rsidR="00EB75F6" w:rsidRPr="00EB75F6" w:rsidRDefault="00EB75F6" w:rsidP="00EB75F6">
      <w:pPr>
        <w:spacing w:after="0" w:line="240" w:lineRule="auto"/>
        <w:ind w:firstLine="709"/>
        <w:jc w:val="both"/>
        <w:rPr>
          <w:rFonts w:ascii="Times New Roman" w:eastAsia="Calibri" w:hAnsi="Times New Roman"/>
          <w:sz w:val="24"/>
          <w:szCs w:val="24"/>
        </w:rPr>
      </w:pPr>
      <w:r w:rsidRPr="00EB75F6">
        <w:rPr>
          <w:rFonts w:ascii="Times New Roman" w:eastAsia="Calibri" w:hAnsi="Times New Roman"/>
          <w:sz w:val="24"/>
          <w:szCs w:val="24"/>
        </w:rPr>
        <w:t>Целта на опазването на ниво обект за пъстрия пор в ЗЗ „</w:t>
      </w:r>
      <w:r w:rsidRPr="00EB75F6">
        <w:rPr>
          <w:rFonts w:ascii="Times New Roman" w:eastAsia="Calibri" w:hAnsi="Times New Roman"/>
          <w:bCs/>
          <w:sz w:val="24"/>
          <w:szCs w:val="24"/>
        </w:rPr>
        <w:t>Сребърна</w:t>
      </w:r>
      <w:r w:rsidRPr="00EB75F6">
        <w:rPr>
          <w:rFonts w:ascii="Times New Roman" w:eastAsia="Calibri" w:hAnsi="Times New Roman"/>
          <w:sz w:val="24"/>
          <w:szCs w:val="24"/>
        </w:rPr>
        <w:t xml:space="preserve">“ се обуславя от недостатъчната информация за разпространението му в зоната и респективно необходимостта от допълнителни  данни за броя на находищата му, както и от установените заплахи: влошаване качеството на тревните местообитания и интензивно използване на химични съединения за растителна защита в териториите, непосредствено граничещи със зоната.  </w:t>
      </w:r>
    </w:p>
    <w:p w:rsidR="00EB75F6" w:rsidRPr="00EB75F6" w:rsidRDefault="00EB75F6" w:rsidP="00EB75F6">
      <w:pPr>
        <w:spacing w:after="0" w:line="240" w:lineRule="auto"/>
        <w:ind w:firstLine="709"/>
        <w:jc w:val="both"/>
        <w:rPr>
          <w:rFonts w:ascii="Times New Roman" w:eastAsia="Calibri" w:hAnsi="Times New Roman"/>
          <w:sz w:val="24"/>
          <w:szCs w:val="24"/>
        </w:rPr>
      </w:pPr>
      <w:r w:rsidRPr="00EB75F6">
        <w:rPr>
          <w:rFonts w:ascii="Times New Roman" w:eastAsia="Calibri" w:hAnsi="Times New Roman"/>
          <w:sz w:val="24"/>
          <w:szCs w:val="24"/>
        </w:rPr>
        <w:t xml:space="preserve">Целта </w:t>
      </w:r>
      <w:bookmarkStart w:id="104" w:name="_Hlk56510914"/>
      <w:r w:rsidRPr="00EB75F6">
        <w:rPr>
          <w:rFonts w:ascii="Times New Roman" w:eastAsia="Calibri" w:hAnsi="Times New Roman"/>
          <w:sz w:val="24"/>
          <w:szCs w:val="24"/>
        </w:rPr>
        <w:t xml:space="preserve">на опазване на ниво обект </w:t>
      </w:r>
      <w:bookmarkEnd w:id="104"/>
      <w:r w:rsidRPr="00EB75F6">
        <w:rPr>
          <w:rFonts w:ascii="Times New Roman" w:eastAsia="Calibri" w:hAnsi="Times New Roman"/>
          <w:sz w:val="24"/>
          <w:szCs w:val="24"/>
        </w:rPr>
        <w:t xml:space="preserve">е </w:t>
      </w:r>
      <w:r w:rsidRPr="00EB75F6">
        <w:rPr>
          <w:rFonts w:ascii="Times New Roman" w:eastAsia="Calibri" w:hAnsi="Times New Roman"/>
          <w:b/>
          <w:bCs/>
          <w:sz w:val="24"/>
          <w:szCs w:val="24"/>
        </w:rPr>
        <w:t xml:space="preserve">да се подобрява природозащитния статус </w:t>
      </w:r>
      <w:r w:rsidRPr="00EB75F6">
        <w:rPr>
          <w:rFonts w:ascii="Times New Roman" w:eastAsia="Calibri" w:hAnsi="Times New Roman"/>
          <w:sz w:val="24"/>
          <w:szCs w:val="24"/>
        </w:rPr>
        <w:t>на пъстрия пор в</w:t>
      </w:r>
      <w:r w:rsidRPr="00EB75F6">
        <w:rPr>
          <w:rFonts w:ascii="Times New Roman" w:eastAsia="Calibri" w:hAnsi="Times New Roman"/>
          <w:b/>
          <w:bCs/>
          <w:sz w:val="24"/>
          <w:szCs w:val="24"/>
        </w:rPr>
        <w:t xml:space="preserve"> </w:t>
      </w:r>
      <w:r w:rsidRPr="00EB75F6">
        <w:rPr>
          <w:rFonts w:ascii="Times New Roman" w:eastAsia="Calibri" w:hAnsi="Times New Roman"/>
          <w:sz w:val="24"/>
          <w:szCs w:val="24"/>
        </w:rPr>
        <w:t>ЗЗ „</w:t>
      </w:r>
      <w:r w:rsidRPr="00EB75F6">
        <w:rPr>
          <w:rFonts w:ascii="Times New Roman" w:eastAsia="Calibri" w:hAnsi="Times New Roman"/>
          <w:bCs/>
          <w:sz w:val="24"/>
          <w:szCs w:val="24"/>
        </w:rPr>
        <w:t>Сребърна</w:t>
      </w:r>
      <w:r w:rsidRPr="00EB75F6">
        <w:rPr>
          <w:rFonts w:ascii="Times New Roman" w:eastAsia="Calibri" w:hAnsi="Times New Roman"/>
          <w:sz w:val="24"/>
          <w:szCs w:val="24"/>
        </w:rPr>
        <w:t>“.</w:t>
      </w:r>
    </w:p>
    <w:p w:rsidR="00EB75F6" w:rsidRPr="00EB75F6" w:rsidRDefault="00EB75F6" w:rsidP="00EB75F6">
      <w:pPr>
        <w:spacing w:after="0" w:line="240" w:lineRule="auto"/>
        <w:ind w:firstLine="709"/>
        <w:jc w:val="both"/>
        <w:rPr>
          <w:rFonts w:ascii="Times New Roman" w:eastAsia="Calibri" w:hAnsi="Times New Roman"/>
          <w:sz w:val="24"/>
          <w:szCs w:val="24"/>
        </w:rPr>
      </w:pPr>
      <w:r w:rsidRPr="00EB75F6">
        <w:rPr>
          <w:rFonts w:ascii="Times New Roman" w:eastAsia="Calibri" w:hAnsi="Times New Roman"/>
          <w:sz w:val="24"/>
          <w:szCs w:val="24"/>
        </w:rPr>
        <w:t>Специфичните природозащитни цели за пъстрия пор (</w:t>
      </w:r>
      <w:r w:rsidRPr="00EB75F6">
        <w:rPr>
          <w:rFonts w:ascii="Times New Roman" w:eastAsia="Calibri" w:hAnsi="Times New Roman"/>
          <w:i/>
          <w:iCs/>
          <w:sz w:val="24"/>
          <w:szCs w:val="24"/>
        </w:rPr>
        <w:t>Vormela peregusna</w:t>
      </w:r>
      <w:r w:rsidRPr="00EB75F6">
        <w:rPr>
          <w:rFonts w:ascii="Times New Roman" w:eastAsia="Calibri" w:hAnsi="Times New Roman"/>
          <w:sz w:val="24"/>
          <w:szCs w:val="24"/>
        </w:rPr>
        <w:t>) в защитената зона BG0000241 са формулирани в таблицата по-долу:</w:t>
      </w:r>
    </w:p>
    <w:p w:rsidR="00EB75F6" w:rsidRPr="00EB75F6" w:rsidRDefault="00EB75F6" w:rsidP="00EB75F6">
      <w:pPr>
        <w:spacing w:after="0" w:line="240" w:lineRule="auto"/>
        <w:contextualSpacing/>
        <w:rPr>
          <w:rFonts w:ascii="Times New Roman" w:eastAsia="Calibri" w:hAnsi="Times New Roman"/>
          <w:sz w:val="24"/>
          <w:szCs w:val="24"/>
          <w:lang w:val="en-U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417"/>
        <w:gridCol w:w="3260"/>
        <w:gridCol w:w="2835"/>
      </w:tblGrid>
      <w:tr w:rsidR="00EB75F6" w:rsidRPr="00EB75F6" w:rsidTr="005A0A3C">
        <w:trPr>
          <w:tblHeader/>
        </w:trPr>
        <w:tc>
          <w:tcPr>
            <w:tcW w:w="1418" w:type="dxa"/>
            <w:shd w:val="clear" w:color="auto" w:fill="DBE5F1" w:themeFill="accent1" w:themeFillTint="33"/>
            <w:vAlign w:val="center"/>
          </w:tcPr>
          <w:p w:rsidR="00EB75F6" w:rsidRPr="003A4F26" w:rsidRDefault="00EB75F6" w:rsidP="00EB75F6">
            <w:pPr>
              <w:widowControl w:val="0"/>
              <w:spacing w:after="0" w:line="240" w:lineRule="auto"/>
              <w:jc w:val="center"/>
              <w:rPr>
                <w:rFonts w:ascii="Times New Roman" w:hAnsi="Times New Roman"/>
                <w:b/>
                <w:bCs/>
              </w:rPr>
            </w:pPr>
            <w:r w:rsidRPr="003A4F26">
              <w:rPr>
                <w:rFonts w:ascii="Times New Roman" w:hAnsi="Times New Roman"/>
                <w:b/>
                <w:bCs/>
              </w:rPr>
              <w:t>Параметър</w:t>
            </w:r>
          </w:p>
        </w:tc>
        <w:tc>
          <w:tcPr>
            <w:tcW w:w="1276" w:type="dxa"/>
            <w:shd w:val="clear" w:color="auto" w:fill="DBE5F1" w:themeFill="accent1" w:themeFillTint="33"/>
            <w:vAlign w:val="center"/>
          </w:tcPr>
          <w:p w:rsidR="00EB75F6" w:rsidRPr="00EB75F6" w:rsidRDefault="00EB75F6" w:rsidP="00EB75F6">
            <w:pPr>
              <w:widowControl w:val="0"/>
              <w:spacing w:after="0" w:line="240" w:lineRule="auto"/>
              <w:jc w:val="center"/>
              <w:rPr>
                <w:rFonts w:ascii="Times New Roman" w:hAnsi="Times New Roman"/>
                <w:b/>
                <w:bCs/>
              </w:rPr>
            </w:pPr>
            <w:r w:rsidRPr="00EB75F6">
              <w:rPr>
                <w:rFonts w:ascii="Times New Roman" w:hAnsi="Times New Roman"/>
                <w:b/>
                <w:bCs/>
              </w:rPr>
              <w:t>Мерна единица</w:t>
            </w:r>
          </w:p>
        </w:tc>
        <w:tc>
          <w:tcPr>
            <w:tcW w:w="1417" w:type="dxa"/>
            <w:shd w:val="clear" w:color="auto" w:fill="DBE5F1" w:themeFill="accent1" w:themeFillTint="33"/>
            <w:vAlign w:val="center"/>
          </w:tcPr>
          <w:p w:rsidR="00EB75F6" w:rsidRPr="00EB75F6" w:rsidRDefault="00EB75F6" w:rsidP="00EB75F6">
            <w:pPr>
              <w:widowControl w:val="0"/>
              <w:spacing w:after="0" w:line="240" w:lineRule="auto"/>
              <w:jc w:val="center"/>
              <w:rPr>
                <w:rFonts w:ascii="Times New Roman" w:hAnsi="Times New Roman"/>
                <w:b/>
                <w:bCs/>
              </w:rPr>
            </w:pPr>
            <w:r w:rsidRPr="00EB75F6">
              <w:rPr>
                <w:rFonts w:ascii="Times New Roman" w:hAnsi="Times New Roman"/>
                <w:b/>
                <w:bCs/>
              </w:rPr>
              <w:t>Целева стойност</w:t>
            </w:r>
          </w:p>
        </w:tc>
        <w:tc>
          <w:tcPr>
            <w:tcW w:w="3260" w:type="dxa"/>
            <w:shd w:val="clear" w:color="auto" w:fill="DBE5F1" w:themeFill="accent1" w:themeFillTint="33"/>
            <w:vAlign w:val="center"/>
          </w:tcPr>
          <w:p w:rsidR="00EB75F6" w:rsidRPr="00EB75F6" w:rsidRDefault="00EB75F6" w:rsidP="00EB75F6">
            <w:pPr>
              <w:widowControl w:val="0"/>
              <w:spacing w:after="0" w:line="240" w:lineRule="auto"/>
              <w:jc w:val="center"/>
              <w:rPr>
                <w:rFonts w:ascii="Times New Roman" w:hAnsi="Times New Roman"/>
                <w:b/>
                <w:bCs/>
              </w:rPr>
            </w:pPr>
            <w:r w:rsidRPr="00EB75F6">
              <w:rPr>
                <w:rFonts w:ascii="Times New Roman" w:hAnsi="Times New Roman"/>
                <w:b/>
                <w:bCs/>
              </w:rPr>
              <w:t>Допълнителна информация</w:t>
            </w:r>
          </w:p>
        </w:tc>
        <w:tc>
          <w:tcPr>
            <w:tcW w:w="2835" w:type="dxa"/>
            <w:shd w:val="clear" w:color="auto" w:fill="DBE5F1" w:themeFill="accent1" w:themeFillTint="33"/>
          </w:tcPr>
          <w:p w:rsidR="00EB75F6" w:rsidRPr="00EB75F6" w:rsidRDefault="00EB75F6" w:rsidP="00EB75F6">
            <w:pPr>
              <w:widowControl w:val="0"/>
              <w:spacing w:after="0" w:line="240" w:lineRule="auto"/>
              <w:jc w:val="center"/>
              <w:rPr>
                <w:rFonts w:ascii="Times New Roman" w:hAnsi="Times New Roman"/>
                <w:b/>
                <w:bCs/>
              </w:rPr>
            </w:pPr>
            <w:r w:rsidRPr="00EB75F6">
              <w:rPr>
                <w:rFonts w:ascii="Times New Roman" w:hAnsi="Times New Roman"/>
                <w:b/>
                <w:bCs/>
              </w:rPr>
              <w:t xml:space="preserve">Специфични цели </w:t>
            </w:r>
          </w:p>
        </w:tc>
      </w:tr>
      <w:tr w:rsidR="00EB75F6" w:rsidRPr="00EB75F6" w:rsidTr="005A0A3C">
        <w:tc>
          <w:tcPr>
            <w:tcW w:w="1418" w:type="dxa"/>
          </w:tcPr>
          <w:p w:rsidR="00EB75F6" w:rsidRPr="003A4F26" w:rsidRDefault="00EB75F6" w:rsidP="00EB75F6">
            <w:pPr>
              <w:spacing w:after="0" w:line="240" w:lineRule="auto"/>
              <w:rPr>
                <w:rFonts w:ascii="Times New Roman" w:eastAsia="Calibri" w:hAnsi="Times New Roman"/>
                <w:b/>
                <w:bCs/>
              </w:rPr>
            </w:pPr>
            <w:r w:rsidRPr="003A4F26">
              <w:rPr>
                <w:rFonts w:ascii="Times New Roman" w:eastAsia="Calibri" w:hAnsi="Times New Roman"/>
                <w:b/>
                <w:bCs/>
              </w:rPr>
              <w:t>Размер на популацията</w:t>
            </w:r>
          </w:p>
        </w:tc>
        <w:tc>
          <w:tcPr>
            <w:tcW w:w="1276" w:type="dxa"/>
          </w:tcPr>
          <w:p w:rsidR="00EB75F6" w:rsidRPr="00EB75F6" w:rsidRDefault="00EB75F6" w:rsidP="00EB75F6">
            <w:pPr>
              <w:spacing w:after="0" w:line="240" w:lineRule="auto"/>
              <w:jc w:val="center"/>
              <w:rPr>
                <w:rFonts w:ascii="Times New Roman" w:eastAsia="Calibri" w:hAnsi="Times New Roman"/>
              </w:rPr>
            </w:pPr>
            <w:r w:rsidRPr="00EB75F6">
              <w:rPr>
                <w:rFonts w:ascii="Times New Roman" w:eastAsia="Calibri" w:hAnsi="Times New Roman"/>
              </w:rPr>
              <w:t>Брой находища</w:t>
            </w:r>
          </w:p>
        </w:tc>
        <w:tc>
          <w:tcPr>
            <w:tcW w:w="1417" w:type="dxa"/>
          </w:tcPr>
          <w:p w:rsidR="00EB75F6" w:rsidRPr="00EB75F6" w:rsidRDefault="00EB75F6" w:rsidP="00EB75F6">
            <w:pPr>
              <w:spacing w:after="0" w:line="240" w:lineRule="auto"/>
              <w:rPr>
                <w:rFonts w:ascii="Times New Roman" w:eastAsia="Calibri" w:hAnsi="Times New Roman"/>
              </w:rPr>
            </w:pPr>
            <w:r w:rsidRPr="00EB75F6">
              <w:rPr>
                <w:rFonts w:ascii="Times New Roman" w:eastAsia="Calibri" w:hAnsi="Times New Roman"/>
              </w:rPr>
              <w:t>Неизвестна</w:t>
            </w:r>
          </w:p>
          <w:p w:rsidR="00EB75F6" w:rsidRPr="00EB75F6" w:rsidRDefault="00EB75F6" w:rsidP="00EB75F6">
            <w:pPr>
              <w:spacing w:after="0" w:line="240" w:lineRule="auto"/>
              <w:rPr>
                <w:rFonts w:ascii="Times New Roman" w:eastAsia="Calibri" w:hAnsi="Times New Roman"/>
              </w:rPr>
            </w:pPr>
          </w:p>
        </w:tc>
        <w:tc>
          <w:tcPr>
            <w:tcW w:w="3260"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 xml:space="preserve">Необходими са допълнителни данни. </w:t>
            </w:r>
          </w:p>
        </w:tc>
        <w:tc>
          <w:tcPr>
            <w:tcW w:w="2835"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Да се установи броят на находищата на вида в зоната с оглед уточняване на целевата стойност на параметъра до 2025 г.</w:t>
            </w:r>
          </w:p>
        </w:tc>
      </w:tr>
      <w:tr w:rsidR="00EB75F6" w:rsidRPr="00EB75F6" w:rsidTr="005A0A3C">
        <w:tc>
          <w:tcPr>
            <w:tcW w:w="1418" w:type="dxa"/>
          </w:tcPr>
          <w:p w:rsidR="00EB75F6" w:rsidRPr="003A4F26" w:rsidRDefault="00EB75F6" w:rsidP="00EB75F6">
            <w:pPr>
              <w:spacing w:after="0" w:line="240" w:lineRule="auto"/>
              <w:jc w:val="both"/>
              <w:rPr>
                <w:rFonts w:ascii="Times New Roman" w:eastAsia="Calibri" w:hAnsi="Times New Roman"/>
                <w:b/>
                <w:bCs/>
              </w:rPr>
            </w:pPr>
            <w:bookmarkStart w:id="105" w:name="_Hlk57117092"/>
            <w:r w:rsidRPr="003A4F26">
              <w:rPr>
                <w:rFonts w:ascii="Times New Roman" w:eastAsia="Calibri" w:hAnsi="Times New Roman"/>
                <w:b/>
                <w:bCs/>
              </w:rPr>
              <w:t xml:space="preserve">Обща площ на пригодните местообитания </w:t>
            </w:r>
          </w:p>
          <w:bookmarkEnd w:id="105"/>
          <w:p w:rsidR="00EB75F6" w:rsidRPr="003A4F26" w:rsidRDefault="00EB75F6" w:rsidP="00EB75F6">
            <w:pPr>
              <w:spacing w:after="0" w:line="240" w:lineRule="auto"/>
              <w:rPr>
                <w:rFonts w:ascii="Times New Roman" w:eastAsia="Calibri" w:hAnsi="Times New Roman"/>
                <w:b/>
                <w:bCs/>
              </w:rPr>
            </w:pPr>
          </w:p>
        </w:tc>
        <w:tc>
          <w:tcPr>
            <w:tcW w:w="1276" w:type="dxa"/>
          </w:tcPr>
          <w:p w:rsidR="00EB75F6" w:rsidRPr="00EB75F6" w:rsidRDefault="00EB75F6" w:rsidP="00EB75F6">
            <w:pPr>
              <w:spacing w:after="0" w:line="240" w:lineRule="auto"/>
              <w:jc w:val="center"/>
              <w:rPr>
                <w:rFonts w:ascii="Times New Roman" w:eastAsia="Calibri" w:hAnsi="Times New Roman"/>
              </w:rPr>
            </w:pPr>
            <w:r w:rsidRPr="00EB75F6">
              <w:rPr>
                <w:rFonts w:ascii="Times New Roman" w:eastAsia="Calibri" w:hAnsi="Times New Roman"/>
                <w:lang w:val="en-US"/>
              </w:rPr>
              <w:t>ha</w:t>
            </w:r>
          </w:p>
        </w:tc>
        <w:tc>
          <w:tcPr>
            <w:tcW w:w="1417" w:type="dxa"/>
          </w:tcPr>
          <w:p w:rsidR="00EB75F6" w:rsidRPr="00EB75F6" w:rsidRDefault="00EB75F6" w:rsidP="00EB75F6">
            <w:pPr>
              <w:spacing w:after="0" w:line="240" w:lineRule="auto"/>
              <w:jc w:val="center"/>
              <w:rPr>
                <w:rFonts w:ascii="Times New Roman" w:eastAsia="Calibri" w:hAnsi="Times New Roman"/>
                <w:lang w:val="en-US"/>
              </w:rPr>
            </w:pPr>
            <w:r w:rsidRPr="00EB75F6">
              <w:rPr>
                <w:rFonts w:ascii="Times New Roman" w:eastAsia="Calibri" w:hAnsi="Times New Roman"/>
              </w:rPr>
              <w:t xml:space="preserve">Не по-малко от </w:t>
            </w:r>
          </w:p>
          <w:p w:rsidR="00EB75F6" w:rsidRPr="00EB75F6" w:rsidRDefault="00EB75F6" w:rsidP="00EB75F6">
            <w:pPr>
              <w:spacing w:after="0" w:line="240" w:lineRule="auto"/>
              <w:jc w:val="center"/>
              <w:rPr>
                <w:rFonts w:ascii="Times New Roman" w:eastAsia="Calibri" w:hAnsi="Times New Roman"/>
              </w:rPr>
            </w:pPr>
            <w:r w:rsidRPr="00EB75F6">
              <w:rPr>
                <w:rFonts w:ascii="Times New Roman" w:eastAsia="Calibri" w:hAnsi="Times New Roman"/>
                <w:bCs/>
                <w:sz w:val="24"/>
                <w:szCs w:val="24"/>
              </w:rPr>
              <w:t>2162</w:t>
            </w:r>
            <w:r w:rsidRPr="00EB75F6">
              <w:rPr>
                <w:rFonts w:ascii="Times New Roman" w:eastAsia="Calibri" w:hAnsi="Times New Roman"/>
                <w:bCs/>
                <w:sz w:val="24"/>
                <w:szCs w:val="24"/>
                <w:lang w:val="en-US"/>
              </w:rPr>
              <w:t xml:space="preserve">,0 </w:t>
            </w:r>
            <w:bookmarkStart w:id="106" w:name="_Hlk84421522"/>
            <w:r w:rsidRPr="00EB75F6">
              <w:rPr>
                <w:rFonts w:ascii="Times New Roman" w:eastAsia="Calibri" w:hAnsi="Times New Roman"/>
                <w:bCs/>
                <w:lang w:val="en-US"/>
              </w:rPr>
              <w:t>ha</w:t>
            </w:r>
            <w:r w:rsidRPr="00EB75F6">
              <w:rPr>
                <w:rFonts w:ascii="Times New Roman" w:eastAsia="Calibri" w:hAnsi="Times New Roman"/>
                <w:bCs/>
              </w:rPr>
              <w:t xml:space="preserve"> </w:t>
            </w:r>
            <w:bookmarkEnd w:id="106"/>
          </w:p>
        </w:tc>
        <w:tc>
          <w:tcPr>
            <w:tcW w:w="3260" w:type="dxa"/>
          </w:tcPr>
          <w:p w:rsidR="00EB75F6" w:rsidRPr="00EB75F6" w:rsidRDefault="00EB75F6" w:rsidP="00EB75F6">
            <w:pPr>
              <w:spacing w:after="0" w:line="240" w:lineRule="auto"/>
              <w:jc w:val="both"/>
              <w:rPr>
                <w:rFonts w:ascii="Times New Roman" w:hAnsi="Times New Roman"/>
                <w:strike/>
                <w:color w:val="0070C0"/>
              </w:rPr>
            </w:pPr>
            <w:r w:rsidRPr="00EB75F6">
              <w:rPr>
                <w:rFonts w:ascii="Times New Roman" w:hAnsi="Times New Roman"/>
              </w:rPr>
              <w:t xml:space="preserve">Посочената целева стойност се определя от площта на подходящите за пъстрия пор местообитания в зоната според СФ: </w:t>
            </w:r>
            <w:bookmarkStart w:id="107" w:name="_Hlk88033171"/>
            <w:r w:rsidRPr="00EB75F6">
              <w:rPr>
                <w:rFonts w:ascii="Times New Roman" w:hAnsi="Times New Roman"/>
              </w:rPr>
              <w:t>Природно местообитание 6250 (Панонски льосови степни тревни съобщества) и Природно местообитание 6430  (Хидрофилни съобщества от високи треви в равнините и в планинския до алпийския пояс)</w:t>
            </w:r>
            <w:bookmarkEnd w:id="107"/>
          </w:p>
        </w:tc>
        <w:tc>
          <w:tcPr>
            <w:tcW w:w="2835"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 xml:space="preserve">Поддържане на площта на пригодните за пъстрия пор местообитания с кодове: </w:t>
            </w:r>
          </w:p>
          <w:p w:rsidR="00EB75F6" w:rsidRPr="00EB75F6" w:rsidRDefault="00EB75F6" w:rsidP="00EB75F6">
            <w:pPr>
              <w:spacing w:after="0" w:line="240" w:lineRule="auto"/>
              <w:jc w:val="both"/>
              <w:rPr>
                <w:rFonts w:ascii="Times New Roman" w:eastAsia="Calibri" w:hAnsi="Times New Roman"/>
                <w:color w:val="0070C0"/>
              </w:rPr>
            </w:pPr>
            <w:r w:rsidRPr="00EB75F6">
              <w:rPr>
                <w:rFonts w:ascii="Times New Roman" w:eastAsia="Calibri" w:hAnsi="Times New Roman"/>
              </w:rPr>
              <w:t>6250 и 6430. Подобряване на състоянието им. Недопускане на унищожаване на пригодни местообитания и загуба на площи. Недопускане на оран и промяна на земеползването на тревните местообитания.</w:t>
            </w:r>
            <w:r w:rsidRPr="00EB75F6">
              <w:rPr>
                <w:rFonts w:eastAsia="Calibri"/>
                <w:lang w:val="en-US"/>
              </w:rPr>
              <w:t xml:space="preserve"> </w:t>
            </w:r>
            <w:r w:rsidRPr="00EB75F6">
              <w:rPr>
                <w:rFonts w:ascii="Times New Roman" w:eastAsia="Calibri" w:hAnsi="Times New Roman"/>
              </w:rPr>
              <w:t>Предприемане на мерки за контрол върху инвазивните видове.</w:t>
            </w:r>
          </w:p>
        </w:tc>
      </w:tr>
      <w:tr w:rsidR="00EB75F6" w:rsidRPr="00EB75F6" w:rsidTr="005A0A3C">
        <w:tc>
          <w:tcPr>
            <w:tcW w:w="1418" w:type="dxa"/>
          </w:tcPr>
          <w:p w:rsidR="00EB75F6" w:rsidRPr="003A4F26" w:rsidRDefault="00EB75F6" w:rsidP="00EB75F6">
            <w:pPr>
              <w:spacing w:after="0" w:line="240" w:lineRule="auto"/>
              <w:rPr>
                <w:rFonts w:ascii="Times New Roman" w:eastAsia="Calibri" w:hAnsi="Times New Roman"/>
                <w:b/>
                <w:bCs/>
              </w:rPr>
            </w:pPr>
            <w:r w:rsidRPr="003A4F26">
              <w:rPr>
                <w:rFonts w:ascii="Times New Roman" w:eastAsia="Calibri" w:hAnsi="Times New Roman"/>
                <w:b/>
                <w:bCs/>
              </w:rPr>
              <w:t>Свързаност на местообитанията</w:t>
            </w:r>
            <w:r w:rsidRPr="003A4F26">
              <w:rPr>
                <w:rFonts w:ascii="Times New Roman" w:eastAsia="Calibri" w:hAnsi="Times New Roman"/>
                <w:b/>
              </w:rPr>
              <w:t xml:space="preserve"> </w:t>
            </w:r>
          </w:p>
        </w:tc>
        <w:tc>
          <w:tcPr>
            <w:tcW w:w="1276" w:type="dxa"/>
          </w:tcPr>
          <w:p w:rsidR="00EB75F6" w:rsidRPr="00EB75F6" w:rsidRDefault="00EB75F6" w:rsidP="00EB75F6">
            <w:pPr>
              <w:spacing w:after="0" w:line="240" w:lineRule="auto"/>
              <w:jc w:val="center"/>
              <w:rPr>
                <w:rFonts w:ascii="Times New Roman" w:eastAsia="Calibri" w:hAnsi="Times New Roman"/>
              </w:rPr>
            </w:pPr>
            <w:r w:rsidRPr="00EB75F6">
              <w:rPr>
                <w:rFonts w:ascii="Times New Roman" w:eastAsia="Calibri" w:hAnsi="Times New Roman"/>
              </w:rPr>
              <w:t>наличие/ отсъствие на бариери</w:t>
            </w:r>
            <w:r w:rsidRPr="00EB75F6">
              <w:rPr>
                <w:rFonts w:ascii="Times New Roman" w:eastAsia="Calibri" w:hAnsi="Times New Roman"/>
              </w:rPr>
              <w:br/>
            </w:r>
          </w:p>
          <w:p w:rsidR="00EB75F6" w:rsidRPr="00EB75F6" w:rsidRDefault="00EB75F6" w:rsidP="00EB75F6">
            <w:pPr>
              <w:spacing w:after="0" w:line="240" w:lineRule="auto"/>
              <w:jc w:val="center"/>
              <w:rPr>
                <w:rFonts w:ascii="Times New Roman" w:eastAsia="Calibri" w:hAnsi="Times New Roman"/>
              </w:rPr>
            </w:pPr>
          </w:p>
        </w:tc>
        <w:tc>
          <w:tcPr>
            <w:tcW w:w="1417"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 xml:space="preserve">Липсват изкуствени бариери за свободното придвижване на индивиди и респективно за генетичен обмен в </w:t>
            </w:r>
            <w:r w:rsidRPr="00EB75F6">
              <w:rPr>
                <w:rFonts w:ascii="Times New Roman" w:eastAsia="Calibri" w:hAnsi="Times New Roman"/>
              </w:rPr>
              <w:lastRenderedPageBreak/>
              <w:t xml:space="preserve">рамките на популацията в  пригодните местообитания в зоната и в съседните територии. </w:t>
            </w:r>
          </w:p>
        </w:tc>
        <w:tc>
          <w:tcPr>
            <w:tcW w:w="3260" w:type="dxa"/>
          </w:tcPr>
          <w:p w:rsidR="00EB75F6" w:rsidRPr="00EB75F6" w:rsidRDefault="00EB75F6" w:rsidP="00EB75F6">
            <w:pPr>
              <w:spacing w:after="0" w:line="240" w:lineRule="auto"/>
              <w:jc w:val="both"/>
              <w:rPr>
                <w:rFonts w:ascii="Times New Roman" w:eastAsia="Calibri" w:hAnsi="Times New Roman"/>
                <w:color w:val="0070C0"/>
              </w:rPr>
            </w:pPr>
            <w:r w:rsidRPr="00EB75F6">
              <w:rPr>
                <w:rFonts w:ascii="Times New Roman" w:eastAsia="Calibri" w:hAnsi="Times New Roman"/>
              </w:rPr>
              <w:lastRenderedPageBreak/>
              <w:t xml:space="preserve">В зоната липсват изкуствени непреодолими бариери за свободното придвижване на вида, които биха довели до инбридинг и негативна тенденция по отношение на състоянието на популацията в зоната. </w:t>
            </w:r>
          </w:p>
        </w:tc>
        <w:tc>
          <w:tcPr>
            <w:tcW w:w="2835" w:type="dxa"/>
          </w:tcPr>
          <w:p w:rsidR="00EB75F6" w:rsidRPr="00EB75F6" w:rsidRDefault="00EB75F6" w:rsidP="00EB75F6">
            <w:pPr>
              <w:spacing w:before="120" w:after="120" w:line="240" w:lineRule="auto"/>
              <w:jc w:val="both"/>
              <w:rPr>
                <w:rFonts w:ascii="Times New Roman" w:eastAsia="Calibri" w:hAnsi="Times New Roman"/>
              </w:rPr>
            </w:pPr>
            <w:r w:rsidRPr="00EB75F6">
              <w:rPr>
                <w:rFonts w:ascii="Times New Roman" w:eastAsia="Calibri" w:hAnsi="Times New Roman"/>
              </w:rPr>
              <w:t>Поддържане на добра свързаност между пригодните местообитания на пъстрия пор.</w:t>
            </w:r>
          </w:p>
          <w:p w:rsidR="00EB75F6" w:rsidRPr="00EB75F6" w:rsidRDefault="00EB75F6" w:rsidP="00EB75F6">
            <w:pPr>
              <w:spacing w:after="0" w:line="240" w:lineRule="auto"/>
              <w:jc w:val="both"/>
              <w:rPr>
                <w:rFonts w:ascii="Times New Roman" w:eastAsia="Calibri" w:hAnsi="Times New Roman"/>
                <w:color w:val="0070C0"/>
              </w:rPr>
            </w:pPr>
            <w:r w:rsidRPr="00EB75F6">
              <w:rPr>
                <w:rFonts w:ascii="Times New Roman" w:eastAsia="Calibri" w:hAnsi="Times New Roman"/>
              </w:rPr>
              <w:t>Не се създават нови изкуствени бариери.</w:t>
            </w:r>
          </w:p>
        </w:tc>
      </w:tr>
      <w:tr w:rsidR="00EB75F6" w:rsidRPr="00EB75F6" w:rsidTr="005A0A3C">
        <w:tc>
          <w:tcPr>
            <w:tcW w:w="1418" w:type="dxa"/>
          </w:tcPr>
          <w:p w:rsidR="00EB75F6" w:rsidRPr="003A4F26" w:rsidRDefault="00EB75F6" w:rsidP="00EB75F6">
            <w:pPr>
              <w:spacing w:after="0" w:line="240" w:lineRule="auto"/>
              <w:rPr>
                <w:rFonts w:ascii="Times New Roman" w:eastAsia="Calibri" w:hAnsi="Times New Roman"/>
                <w:b/>
                <w:bCs/>
              </w:rPr>
            </w:pPr>
            <w:bookmarkStart w:id="108" w:name="_Hlk57117153"/>
            <w:r w:rsidRPr="003A4F26">
              <w:rPr>
                <w:rFonts w:ascii="Times New Roman" w:eastAsia="Calibri" w:hAnsi="Times New Roman"/>
                <w:b/>
                <w:bCs/>
              </w:rPr>
              <w:lastRenderedPageBreak/>
              <w:t>Състояние на хранителната база</w:t>
            </w:r>
          </w:p>
          <w:bookmarkEnd w:id="108"/>
          <w:p w:rsidR="00EB75F6" w:rsidRPr="003A4F26" w:rsidRDefault="00EB75F6" w:rsidP="00EB75F6">
            <w:pPr>
              <w:spacing w:after="0" w:line="240" w:lineRule="auto"/>
              <w:rPr>
                <w:rFonts w:ascii="Times New Roman" w:eastAsia="Calibri" w:hAnsi="Times New Roman"/>
                <w:b/>
                <w:bCs/>
              </w:rPr>
            </w:pPr>
          </w:p>
        </w:tc>
        <w:tc>
          <w:tcPr>
            <w:tcW w:w="1276" w:type="dxa"/>
          </w:tcPr>
          <w:p w:rsidR="00EB75F6" w:rsidRPr="00EB75F6" w:rsidRDefault="00EB75F6" w:rsidP="00EB75F6">
            <w:pPr>
              <w:spacing w:after="0" w:line="240" w:lineRule="auto"/>
              <w:jc w:val="both"/>
              <w:rPr>
                <w:rFonts w:ascii="Times New Roman" w:eastAsia="Calibri" w:hAnsi="Times New Roman"/>
                <w:strike/>
                <w:lang w:val="en-US"/>
              </w:rPr>
            </w:pPr>
            <w:r w:rsidRPr="00EB75F6">
              <w:rPr>
                <w:rFonts w:ascii="Times New Roman" w:eastAsia="Calibri" w:hAnsi="Times New Roman"/>
              </w:rPr>
              <w:t xml:space="preserve">Брой колонии </w:t>
            </w:r>
          </w:p>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 xml:space="preserve">и обилие на лалугер </w:t>
            </w:r>
            <w:r w:rsidRPr="00EB75F6">
              <w:rPr>
                <w:rFonts w:ascii="Times New Roman" w:eastAsia="Calibri" w:hAnsi="Times New Roman"/>
                <w:lang w:val="en-US"/>
              </w:rPr>
              <w:t>(</w:t>
            </w:r>
            <w:r w:rsidRPr="00EB75F6">
              <w:rPr>
                <w:rFonts w:ascii="Times New Roman" w:eastAsia="Calibri" w:hAnsi="Times New Roman"/>
                <w:i/>
                <w:iCs/>
                <w:lang w:val="en-US"/>
              </w:rPr>
              <w:t>S. citellus</w:t>
            </w:r>
            <w:r w:rsidRPr="00EB75F6">
              <w:rPr>
                <w:rFonts w:ascii="Times New Roman" w:eastAsia="Calibri" w:hAnsi="Times New Roman"/>
                <w:lang w:val="en-US"/>
              </w:rPr>
              <w:t>)</w:t>
            </w:r>
            <w:r w:rsidRPr="00EB75F6">
              <w:rPr>
                <w:rFonts w:ascii="Times New Roman" w:eastAsia="Calibri" w:hAnsi="Times New Roman"/>
              </w:rPr>
              <w:t xml:space="preserve">, обилие на сляпо куче </w:t>
            </w:r>
            <w:r w:rsidRPr="00EB75F6">
              <w:rPr>
                <w:rFonts w:ascii="Times New Roman" w:eastAsia="Calibri" w:hAnsi="Times New Roman"/>
                <w:lang w:val="en-US"/>
              </w:rPr>
              <w:t>(</w:t>
            </w:r>
            <w:r w:rsidRPr="00EB75F6">
              <w:rPr>
                <w:rFonts w:ascii="Times New Roman" w:eastAsia="Calibri" w:hAnsi="Times New Roman"/>
                <w:i/>
                <w:iCs/>
                <w:lang w:val="en-US"/>
              </w:rPr>
              <w:t>N. leucodon</w:t>
            </w:r>
            <w:r w:rsidRPr="00EB75F6">
              <w:rPr>
                <w:rFonts w:ascii="Times New Roman" w:eastAsia="Calibri" w:hAnsi="Times New Roman"/>
                <w:lang w:val="en-US"/>
              </w:rPr>
              <w:t xml:space="preserve">) </w:t>
            </w:r>
            <w:r w:rsidRPr="00EB75F6">
              <w:rPr>
                <w:rFonts w:ascii="Times New Roman" w:eastAsia="Calibri" w:hAnsi="Times New Roman"/>
              </w:rPr>
              <w:t>и обикновена полевка</w:t>
            </w:r>
            <w:r w:rsidRPr="00EB75F6">
              <w:rPr>
                <w:rFonts w:ascii="Times New Roman" w:eastAsia="Calibri" w:hAnsi="Times New Roman"/>
                <w:lang w:val="en-US"/>
              </w:rPr>
              <w:t xml:space="preserve"> (</w:t>
            </w:r>
            <w:r w:rsidRPr="00EB75F6">
              <w:rPr>
                <w:rFonts w:ascii="Times New Roman" w:eastAsia="Calibri" w:hAnsi="Times New Roman"/>
                <w:i/>
                <w:iCs/>
                <w:lang w:val="en-US"/>
              </w:rPr>
              <w:t>M. arvalis</w:t>
            </w:r>
            <w:r w:rsidRPr="00EB75F6">
              <w:rPr>
                <w:rFonts w:ascii="Times New Roman" w:eastAsia="Calibri" w:hAnsi="Times New Roman"/>
                <w:lang w:val="en-US"/>
              </w:rPr>
              <w:t>)</w:t>
            </w:r>
            <w:r w:rsidRPr="00EB75F6">
              <w:rPr>
                <w:rFonts w:ascii="Times New Roman" w:eastAsia="Calibri" w:hAnsi="Times New Roman"/>
                <w:lang w:val="en-GB"/>
              </w:rPr>
              <w:t xml:space="preserve">, </w:t>
            </w:r>
            <w:r w:rsidRPr="00EB75F6">
              <w:rPr>
                <w:rFonts w:ascii="Times New Roman" w:eastAsia="Calibri" w:hAnsi="Times New Roman"/>
              </w:rPr>
              <w:t>брой находища на хомяци (</w:t>
            </w:r>
            <w:r w:rsidRPr="00EB75F6">
              <w:rPr>
                <w:rFonts w:ascii="Times New Roman" w:eastAsia="Calibri" w:hAnsi="Times New Roman"/>
                <w:i/>
                <w:iCs/>
              </w:rPr>
              <w:t>Mesocricetus newtoni</w:t>
            </w:r>
            <w:r w:rsidRPr="00EB75F6">
              <w:rPr>
                <w:rFonts w:ascii="Times New Roman" w:eastAsia="Calibri" w:hAnsi="Times New Roman"/>
              </w:rPr>
              <w:t xml:space="preserve">, </w:t>
            </w:r>
            <w:r w:rsidRPr="00EB75F6">
              <w:rPr>
                <w:rFonts w:ascii="Times New Roman" w:eastAsia="Calibri" w:hAnsi="Times New Roman"/>
                <w:i/>
                <w:iCs/>
              </w:rPr>
              <w:t>Cricetus cricetus</w:t>
            </w:r>
            <w:r w:rsidRPr="00EB75F6">
              <w:rPr>
                <w:rFonts w:ascii="Times New Roman" w:eastAsia="Calibri" w:hAnsi="Times New Roman"/>
              </w:rPr>
              <w:t xml:space="preserve">) </w:t>
            </w:r>
          </w:p>
        </w:tc>
        <w:tc>
          <w:tcPr>
            <w:tcW w:w="1417"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Присъствие на сляпото куче в пригодните тревни местообитания;</w:t>
            </w:r>
          </w:p>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неизвестен брой находища на хомяци</w:t>
            </w:r>
          </w:p>
          <w:p w:rsidR="00EB75F6" w:rsidRPr="00EB75F6" w:rsidRDefault="00EB75F6" w:rsidP="00EB75F6">
            <w:pPr>
              <w:spacing w:after="0" w:line="240" w:lineRule="auto"/>
              <w:jc w:val="both"/>
              <w:rPr>
                <w:rFonts w:ascii="Times New Roman" w:eastAsia="Calibri" w:hAnsi="Times New Roman"/>
                <w:strike/>
                <w:color w:val="0070C0"/>
              </w:rPr>
            </w:pPr>
          </w:p>
        </w:tc>
        <w:tc>
          <w:tcPr>
            <w:tcW w:w="3260" w:type="dxa"/>
          </w:tcPr>
          <w:p w:rsidR="00EB75F6" w:rsidRPr="00EB75F6" w:rsidRDefault="00EB75F6" w:rsidP="00EB75F6">
            <w:pPr>
              <w:spacing w:after="0" w:line="240" w:lineRule="auto"/>
              <w:jc w:val="both"/>
              <w:rPr>
                <w:rFonts w:ascii="Times New Roman" w:eastAsia="Calibri" w:hAnsi="Times New Roman"/>
                <w:color w:val="00B050"/>
              </w:rPr>
            </w:pPr>
            <w:r w:rsidRPr="00EB75F6">
              <w:rPr>
                <w:rFonts w:ascii="Times New Roman" w:eastAsia="Calibri" w:hAnsi="Times New Roman"/>
              </w:rPr>
              <w:t xml:space="preserve">Оптимална плячка за пъстрия пор в зоната е само сляпото куче, но обилието му е относително ниско поради малката площ на тревните местообитания. Хранителната база включва основно субоптимална плячка, като тя е обилна и разнообразна, особено във влажните местообитания край езерото Сребърна. Не са приложими целеви стойности на популациите на плячката поради специфичния й характер  в зоната. Обилието на плячката в типичните за вида местообитания да се поддържа посредством опазване на тревните местообитания. </w:t>
            </w:r>
          </w:p>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color w:val="0070C0"/>
              </w:rPr>
              <w:t xml:space="preserve"> </w:t>
            </w:r>
            <w:r w:rsidRPr="00EB75F6">
              <w:rPr>
                <w:rFonts w:ascii="Times New Roman" w:eastAsia="Calibri" w:hAnsi="Times New Roman"/>
              </w:rPr>
              <w:t>Необходими са допълнителни проучвания за събиране на актуални данни за броя находища на черногръдия хомяк. Поддържане или подобряване състоянието на локалната му популация в зависимост от данните.</w:t>
            </w:r>
          </w:p>
          <w:p w:rsidR="00EB75F6" w:rsidRPr="00EB75F6" w:rsidRDefault="00EB75F6" w:rsidP="00EB75F6">
            <w:pPr>
              <w:spacing w:after="0" w:line="240" w:lineRule="auto"/>
              <w:jc w:val="both"/>
              <w:rPr>
                <w:rFonts w:ascii="Times New Roman" w:eastAsia="Calibri" w:hAnsi="Times New Roman"/>
                <w:color w:val="0070C0"/>
              </w:rPr>
            </w:pPr>
          </w:p>
        </w:tc>
        <w:tc>
          <w:tcPr>
            <w:tcW w:w="2835"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Увеличаване обилието на оптималната и субоптималната плячка посредством подобряване състоянието на тревните местообитания.</w:t>
            </w:r>
          </w:p>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Да се установи броя на находищата на черногръдия хомяк с оглед</w:t>
            </w:r>
            <w:r w:rsidRPr="00EB75F6">
              <w:rPr>
                <w:rFonts w:eastAsia="Calibri"/>
              </w:rPr>
              <w:t xml:space="preserve"> </w:t>
            </w:r>
            <w:r w:rsidRPr="00EB75F6">
              <w:rPr>
                <w:rFonts w:ascii="Times New Roman" w:eastAsia="Calibri" w:hAnsi="Times New Roman"/>
              </w:rPr>
              <w:t xml:space="preserve">уточняване на целевата стойност на параметъра по този показател. </w:t>
            </w:r>
          </w:p>
          <w:p w:rsidR="00EB75F6" w:rsidRPr="00EB75F6" w:rsidRDefault="00EB75F6" w:rsidP="00EB75F6">
            <w:pPr>
              <w:spacing w:after="0" w:line="240" w:lineRule="auto"/>
              <w:jc w:val="both"/>
              <w:rPr>
                <w:rFonts w:ascii="Times New Roman" w:eastAsia="Calibri" w:hAnsi="Times New Roman"/>
                <w:color w:val="0070C0"/>
              </w:rPr>
            </w:pPr>
          </w:p>
        </w:tc>
      </w:tr>
      <w:tr w:rsidR="00EB75F6" w:rsidRPr="00EB75F6" w:rsidTr="005A0A3C">
        <w:tc>
          <w:tcPr>
            <w:tcW w:w="1418" w:type="dxa"/>
            <w:tcBorders>
              <w:top w:val="single" w:sz="4" w:space="0" w:color="auto"/>
              <w:left w:val="single" w:sz="4" w:space="0" w:color="auto"/>
              <w:bottom w:val="single" w:sz="4" w:space="0" w:color="auto"/>
              <w:right w:val="single" w:sz="4" w:space="0" w:color="auto"/>
            </w:tcBorders>
            <w:shd w:val="clear" w:color="auto" w:fill="auto"/>
          </w:tcPr>
          <w:p w:rsidR="00EB75F6" w:rsidRPr="003A4F26" w:rsidRDefault="00EB75F6" w:rsidP="00EB75F6">
            <w:pPr>
              <w:spacing w:after="0" w:line="240" w:lineRule="auto"/>
              <w:jc w:val="both"/>
              <w:rPr>
                <w:rFonts w:ascii="Times New Roman" w:eastAsia="Calibri" w:hAnsi="Times New Roman"/>
                <w:b/>
              </w:rPr>
            </w:pPr>
            <w:r w:rsidRPr="003A4F26">
              <w:rPr>
                <w:rFonts w:ascii="Times New Roman" w:eastAsia="Calibri" w:hAnsi="Times New Roman"/>
                <w:b/>
              </w:rPr>
              <w:t xml:space="preserve"> </w:t>
            </w:r>
            <w:bookmarkStart w:id="109" w:name="_Hlk84409799"/>
            <w:r w:rsidRPr="003A4F26">
              <w:rPr>
                <w:rFonts w:ascii="Times New Roman" w:eastAsia="Calibri" w:hAnsi="Times New Roman"/>
                <w:b/>
              </w:rPr>
              <w:t xml:space="preserve">Състояние на местообитанията в находищата на оптималната плячка </w:t>
            </w:r>
            <w:r w:rsidRPr="003A4F26">
              <w:rPr>
                <w:rFonts w:ascii="Times New Roman" w:eastAsia="Calibri" w:hAnsi="Times New Roman"/>
                <w:b/>
                <w:lang w:val="en-US"/>
              </w:rPr>
              <w:t>(</w:t>
            </w:r>
            <w:r w:rsidRPr="003A4F26">
              <w:rPr>
                <w:rFonts w:ascii="Times New Roman" w:eastAsia="Calibri" w:hAnsi="Times New Roman"/>
                <w:b/>
              </w:rPr>
              <w:t>лалугера</w:t>
            </w:r>
            <w:r w:rsidRPr="003A4F26">
              <w:rPr>
                <w:rFonts w:ascii="Times New Roman" w:eastAsia="Calibri" w:hAnsi="Times New Roman"/>
                <w:b/>
                <w:lang w:val="en-US"/>
              </w:rPr>
              <w:t>)</w:t>
            </w:r>
            <w:bookmarkEnd w:id="109"/>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B75F6" w:rsidRPr="00EB75F6" w:rsidRDefault="00EB75F6" w:rsidP="00EB75F6">
            <w:pPr>
              <w:spacing w:after="0" w:line="240" w:lineRule="auto"/>
              <w:jc w:val="center"/>
              <w:rPr>
                <w:rFonts w:ascii="Times New Roman" w:eastAsia="Calibri" w:hAnsi="Times New Roman"/>
              </w:rPr>
            </w:pPr>
            <w:r w:rsidRPr="00EB75F6">
              <w:rPr>
                <w:rFonts w:ascii="Times New Roman" w:eastAsia="Calibri" w:hAnsi="Times New Roman"/>
              </w:rPr>
              <w:t>Височина на тревната растителност в местообитанието; отсъствие на сукцесионни процеси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неприложимо</w:t>
            </w:r>
          </w:p>
        </w:tc>
        <w:tc>
          <w:tcPr>
            <w:tcW w:w="3260"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 xml:space="preserve">Този параметър не е приложим в ЗЗ „Сребърна“ поради липса на доказателства за настоящо присъствие на лалугер на територията й. Същевременно възможността за възстановяване на вида посредством естествени процеси минимална предвид възможностите за разселване на лалугера, площта и състоянието на подходящите местообитания и тяхната относителна изолираност от сходни такива извън зоната. </w:t>
            </w:r>
          </w:p>
        </w:tc>
        <w:tc>
          <w:tcPr>
            <w:tcW w:w="2835" w:type="dxa"/>
          </w:tcPr>
          <w:p w:rsidR="00EB75F6" w:rsidRPr="00EB75F6" w:rsidRDefault="00EB75F6" w:rsidP="00EB75F6">
            <w:pPr>
              <w:spacing w:after="0" w:line="240" w:lineRule="auto"/>
              <w:jc w:val="both"/>
              <w:rPr>
                <w:rFonts w:ascii="Times New Roman" w:eastAsia="Calibri" w:hAnsi="Times New Roman"/>
                <w:color w:val="0070C0"/>
              </w:rPr>
            </w:pPr>
            <w:r w:rsidRPr="00EB75F6">
              <w:rPr>
                <w:rFonts w:ascii="Times New Roman" w:eastAsia="Calibri" w:hAnsi="Times New Roman"/>
                <w:color w:val="0070C0"/>
              </w:rPr>
              <w:t xml:space="preserve"> </w:t>
            </w:r>
          </w:p>
        </w:tc>
      </w:tr>
      <w:tr w:rsidR="00EB75F6" w:rsidRPr="00EB75F6" w:rsidTr="005A0A3C">
        <w:tc>
          <w:tcPr>
            <w:tcW w:w="1418" w:type="dxa"/>
            <w:tcBorders>
              <w:top w:val="single" w:sz="4" w:space="0" w:color="auto"/>
              <w:left w:val="single" w:sz="4" w:space="0" w:color="auto"/>
              <w:bottom w:val="single" w:sz="4" w:space="0" w:color="auto"/>
              <w:right w:val="single" w:sz="4" w:space="0" w:color="auto"/>
            </w:tcBorders>
            <w:shd w:val="clear" w:color="auto" w:fill="auto"/>
          </w:tcPr>
          <w:p w:rsidR="00EB75F6" w:rsidRPr="003A4F26" w:rsidRDefault="00EB75F6" w:rsidP="00EB75F6">
            <w:pPr>
              <w:spacing w:after="0" w:line="240" w:lineRule="auto"/>
              <w:jc w:val="both"/>
              <w:rPr>
                <w:rFonts w:ascii="Times New Roman" w:eastAsia="Calibri" w:hAnsi="Times New Roman"/>
                <w:b/>
              </w:rPr>
            </w:pPr>
            <w:bookmarkStart w:id="110" w:name="_Hlk84501671"/>
            <w:r w:rsidRPr="003A4F26">
              <w:rPr>
                <w:rFonts w:ascii="Times New Roman" w:eastAsia="Calibri" w:hAnsi="Times New Roman"/>
                <w:b/>
              </w:rPr>
              <w:t xml:space="preserve">Използване </w:t>
            </w:r>
            <w:r w:rsidRPr="003A4F26">
              <w:rPr>
                <w:rFonts w:ascii="Times New Roman" w:eastAsia="Calibri" w:hAnsi="Times New Roman"/>
                <w:b/>
              </w:rPr>
              <w:lastRenderedPageBreak/>
              <w:t>на пестициди /вкл. родентициди/ в местообитанията на пъстрия пор</w:t>
            </w:r>
            <w:bookmarkEnd w:id="110"/>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B75F6" w:rsidRPr="00EB75F6" w:rsidRDefault="00EB75F6" w:rsidP="00EB75F6">
            <w:pPr>
              <w:spacing w:after="0" w:line="240" w:lineRule="auto"/>
              <w:jc w:val="center"/>
              <w:rPr>
                <w:rFonts w:ascii="Times New Roman" w:eastAsia="Calibri" w:hAnsi="Times New Roman"/>
              </w:rPr>
            </w:pPr>
            <w:r w:rsidRPr="00EB75F6">
              <w:rPr>
                <w:rFonts w:ascii="Times New Roman" w:eastAsia="Calibri" w:hAnsi="Times New Roman"/>
              </w:rPr>
              <w:lastRenderedPageBreak/>
              <w:t xml:space="preserve">Не се </w:t>
            </w:r>
            <w:r w:rsidRPr="00EB75F6">
              <w:rPr>
                <w:rFonts w:ascii="Times New Roman" w:eastAsia="Calibri" w:hAnsi="Times New Roman"/>
              </w:rPr>
              <w:lastRenderedPageBreak/>
              <w:t xml:space="preserve">ползват такива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lastRenderedPageBreak/>
              <w:t xml:space="preserve">Не се </w:t>
            </w:r>
            <w:r w:rsidRPr="00EB75F6">
              <w:rPr>
                <w:rFonts w:ascii="Times New Roman" w:eastAsia="Calibri" w:hAnsi="Times New Roman"/>
              </w:rPr>
              <w:lastRenderedPageBreak/>
              <w:t xml:space="preserve">ползват такива в тревните местообитания и на разстояние 150 м от тях </w:t>
            </w:r>
          </w:p>
        </w:tc>
        <w:tc>
          <w:tcPr>
            <w:tcW w:w="3260"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lastRenderedPageBreak/>
              <w:t xml:space="preserve">Този параметър е свързан с </w:t>
            </w:r>
            <w:r w:rsidRPr="00EB75F6">
              <w:rPr>
                <w:rFonts w:ascii="Times New Roman" w:eastAsia="Calibri" w:hAnsi="Times New Roman"/>
              </w:rPr>
              <w:lastRenderedPageBreak/>
              <w:t xml:space="preserve">контрол на дейностите в местата, където е най-вероятно да ловува пъстрият пор: </w:t>
            </w:r>
          </w:p>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 xml:space="preserve"> откритите тревни местообитания и на разстояние 150 м от тях в съседни територии </w:t>
            </w:r>
            <w:r w:rsidRPr="00EB75F6">
              <w:rPr>
                <w:rFonts w:ascii="Times New Roman" w:eastAsia="Calibri" w:hAnsi="Times New Roman"/>
                <w:lang w:val="en-US"/>
              </w:rPr>
              <w:t>(</w:t>
            </w:r>
            <w:r w:rsidRPr="00EB75F6">
              <w:rPr>
                <w:rFonts w:ascii="Times New Roman" w:eastAsia="Calibri" w:hAnsi="Times New Roman"/>
              </w:rPr>
              <w:t>напр. обработваеми площи</w:t>
            </w:r>
            <w:r w:rsidRPr="00EB75F6">
              <w:rPr>
                <w:rFonts w:ascii="Times New Roman" w:eastAsia="Calibri" w:hAnsi="Times New Roman"/>
                <w:lang w:val="en-US"/>
              </w:rPr>
              <w:t>)</w:t>
            </w:r>
            <w:r w:rsidRPr="00EB75F6">
              <w:rPr>
                <w:rFonts w:ascii="Times New Roman" w:eastAsia="Calibri" w:hAnsi="Times New Roman"/>
              </w:rPr>
              <w:t>. В ЗЗ „Сребърна“ е необходим контрол предимно в контактуващите с нея обработваеми площи и малките участъци от такива в южната част на зоната. Мярката се отнася не само до родентицидите, които се използват за борба с гризачите, но и до всички пестициди, тъй като те могат да имат негативно действие върху преживяемостта и размножаването на консументите в хранителните вериги.</w:t>
            </w:r>
          </w:p>
        </w:tc>
        <w:tc>
          <w:tcPr>
            <w:tcW w:w="2835"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lastRenderedPageBreak/>
              <w:t xml:space="preserve">Поддържане обилието на </w:t>
            </w:r>
            <w:r w:rsidRPr="00EB75F6">
              <w:rPr>
                <w:rFonts w:ascii="Times New Roman" w:eastAsia="Calibri" w:hAnsi="Times New Roman"/>
              </w:rPr>
              <w:lastRenderedPageBreak/>
              <w:t xml:space="preserve">гризачите, които представляват основна хранителна база на пъстрия пор. Недопускане на натравяне на индивиди при поглъщане на плячка. </w:t>
            </w:r>
          </w:p>
          <w:p w:rsidR="00EB75F6" w:rsidRPr="00EB75F6" w:rsidRDefault="00EB75F6" w:rsidP="00EB75F6">
            <w:pPr>
              <w:spacing w:after="0" w:line="240" w:lineRule="auto"/>
              <w:jc w:val="both"/>
              <w:rPr>
                <w:rFonts w:ascii="Times New Roman" w:eastAsia="Calibri" w:hAnsi="Times New Roman"/>
                <w:color w:val="0070C0"/>
              </w:rPr>
            </w:pPr>
          </w:p>
        </w:tc>
      </w:tr>
    </w:tbl>
    <w:p w:rsidR="00EB75F6" w:rsidRPr="00EB75F6" w:rsidRDefault="00EB75F6" w:rsidP="00EB75F6">
      <w:pPr>
        <w:spacing w:after="0" w:line="240" w:lineRule="auto"/>
        <w:contextualSpacing/>
        <w:rPr>
          <w:rFonts w:ascii="Times New Roman" w:eastAsia="Calibri" w:hAnsi="Times New Roman"/>
          <w:color w:val="0070C0"/>
          <w:sz w:val="24"/>
          <w:szCs w:val="24"/>
          <w:lang w:val="en-US"/>
        </w:rPr>
      </w:pPr>
    </w:p>
    <w:p w:rsidR="00EB75F6" w:rsidRPr="00EB75F6" w:rsidRDefault="00EB75F6" w:rsidP="00EB75F6">
      <w:pPr>
        <w:suppressAutoHyphens/>
        <w:autoSpaceDN w:val="0"/>
        <w:spacing w:after="0" w:line="240" w:lineRule="auto"/>
        <w:jc w:val="both"/>
        <w:textAlignment w:val="baseline"/>
        <w:rPr>
          <w:rFonts w:ascii="Times New Roman" w:eastAsia="Calibri" w:hAnsi="Times New Roman"/>
          <w:sz w:val="24"/>
          <w:szCs w:val="24"/>
        </w:rPr>
      </w:pPr>
      <w:r w:rsidRPr="00EB75F6">
        <w:rPr>
          <w:rFonts w:ascii="Times New Roman" w:eastAsia="Calibri" w:hAnsi="Times New Roman"/>
          <w:b/>
          <w:bCs/>
          <w:sz w:val="24"/>
          <w:szCs w:val="24"/>
        </w:rPr>
        <w:t>7. Необходимост от актуализация на СФ на защитената зона</w:t>
      </w:r>
    </w:p>
    <w:p w:rsidR="00EB75F6" w:rsidRPr="00EB75F6" w:rsidRDefault="00EB75F6" w:rsidP="00EB75F6">
      <w:pPr>
        <w:suppressAutoHyphens/>
        <w:autoSpaceDN w:val="0"/>
        <w:spacing w:after="0" w:line="240" w:lineRule="auto"/>
        <w:ind w:firstLine="709"/>
        <w:jc w:val="both"/>
        <w:textAlignment w:val="baseline"/>
        <w:rPr>
          <w:rFonts w:ascii="Times New Roman" w:eastAsia="Calibri" w:hAnsi="Times New Roman"/>
          <w:sz w:val="24"/>
          <w:szCs w:val="24"/>
        </w:rPr>
      </w:pPr>
      <w:r w:rsidRPr="00EB75F6">
        <w:rPr>
          <w:rFonts w:ascii="Times New Roman" w:eastAsia="Calibri" w:hAnsi="Times New Roman"/>
          <w:sz w:val="24"/>
          <w:szCs w:val="24"/>
        </w:rPr>
        <w:t xml:space="preserve">Не се препоръчват промени в Стандартния формуляр на ЗЗ „Сребърна“ по отношение на оценките за пъстрия пор поради липсата на сигурни актуални данни за вида на територията на зоната. В категория „Качество на данните“ е посочено, че те са недостатъчни, което отразява недостига на информация за този рядък и труден за регистриране вид. </w:t>
      </w:r>
    </w:p>
    <w:p w:rsidR="00EB75F6" w:rsidRPr="00EB75F6" w:rsidRDefault="00EB75F6" w:rsidP="00EB75F6">
      <w:pPr>
        <w:spacing w:after="0" w:line="240" w:lineRule="auto"/>
        <w:contextualSpacing/>
        <w:rPr>
          <w:rFonts w:ascii="Times New Roman" w:eastAsia="Calibri" w:hAnsi="Times New Roman"/>
          <w:sz w:val="24"/>
          <w:szCs w:val="24"/>
          <w:lang w:val="en-US"/>
        </w:rPr>
      </w:pPr>
    </w:p>
    <w:p w:rsidR="00EB75F6" w:rsidRPr="00EB75F6" w:rsidRDefault="00EB75F6" w:rsidP="00EB75F6">
      <w:pPr>
        <w:spacing w:after="0" w:line="240" w:lineRule="auto"/>
        <w:jc w:val="both"/>
        <w:rPr>
          <w:rFonts w:ascii="Times New Roman" w:hAnsi="Times New Roman"/>
          <w:b/>
          <w:sz w:val="24"/>
          <w:szCs w:val="24"/>
          <w:lang w:eastAsia="bg-BG"/>
        </w:rPr>
      </w:pPr>
      <w:r w:rsidRPr="00EB75F6">
        <w:rPr>
          <w:rFonts w:ascii="Times New Roman" w:hAnsi="Times New Roman"/>
          <w:b/>
          <w:sz w:val="24"/>
          <w:szCs w:val="24"/>
          <w:lang w:eastAsia="bg-BG"/>
        </w:rPr>
        <w:t>8. Цитирана литература</w:t>
      </w:r>
    </w:p>
    <w:p w:rsidR="00EB75F6" w:rsidRPr="00EB75F6" w:rsidRDefault="00EB75F6" w:rsidP="00EB75F6">
      <w:pPr>
        <w:spacing w:after="0" w:line="240" w:lineRule="auto"/>
        <w:ind w:left="709" w:hanging="709"/>
        <w:jc w:val="both"/>
        <w:rPr>
          <w:rFonts w:ascii="Times New Roman" w:eastAsia="Calibri" w:hAnsi="Times New Roman"/>
          <w:sz w:val="24"/>
          <w:szCs w:val="24"/>
        </w:rPr>
      </w:pPr>
      <w:r w:rsidRPr="00EB75F6">
        <w:rPr>
          <w:rFonts w:ascii="Times New Roman" w:eastAsia="Calibri" w:hAnsi="Times New Roman"/>
          <w:sz w:val="24"/>
          <w:szCs w:val="24"/>
        </w:rPr>
        <w:t>Бисерков, В., Пехливанов, Л., Иванова, Н., Хинков, Г., Железов, Г. 2016. План за управление на поддържан резерват „Сребърна“. Том 1, 257 с., pdf, DOI: 10.13140/RG.2.2.36503.52642</w:t>
      </w:r>
    </w:p>
    <w:p w:rsidR="00EB75F6" w:rsidRPr="00EB75F6" w:rsidRDefault="00EB75F6" w:rsidP="00EB75F6">
      <w:pPr>
        <w:spacing w:after="0" w:line="240" w:lineRule="auto"/>
        <w:ind w:left="709" w:hanging="709"/>
        <w:jc w:val="both"/>
        <w:rPr>
          <w:rFonts w:ascii="Times New Roman" w:eastAsia="Calibri" w:hAnsi="Times New Roman"/>
          <w:sz w:val="24"/>
          <w:szCs w:val="24"/>
          <w:lang w:val="en-US"/>
        </w:rPr>
      </w:pPr>
      <w:r w:rsidRPr="00EB75F6">
        <w:rPr>
          <w:rFonts w:ascii="Times New Roman" w:eastAsia="Calibri" w:hAnsi="Times New Roman"/>
          <w:sz w:val="24"/>
          <w:szCs w:val="24"/>
        </w:rPr>
        <w:t>Зидарова, С.</w:t>
      </w:r>
      <w:r w:rsidRPr="00EB75F6">
        <w:rPr>
          <w:rFonts w:ascii="Times New Roman" w:eastAsia="Calibri" w:hAnsi="Times New Roman"/>
          <w:sz w:val="24"/>
          <w:szCs w:val="24"/>
          <w:lang w:val="en-US"/>
        </w:rPr>
        <w:t xml:space="preserve"> 2013. Доклад за разпространение и оценка на ПС на целеви вид 26</w:t>
      </w:r>
      <w:r w:rsidRPr="00EB75F6">
        <w:rPr>
          <w:rFonts w:ascii="Times New Roman" w:eastAsia="Calibri" w:hAnsi="Times New Roman"/>
          <w:sz w:val="24"/>
          <w:szCs w:val="24"/>
        </w:rPr>
        <w:t>35</w:t>
      </w:r>
      <w:r w:rsidRPr="00EB75F6">
        <w:rPr>
          <w:rFonts w:ascii="Times New Roman" w:eastAsia="Calibri" w:hAnsi="Times New Roman"/>
          <w:sz w:val="24"/>
          <w:szCs w:val="24"/>
          <w:lang w:val="en-US"/>
        </w:rPr>
        <w:t xml:space="preserve">. </w:t>
      </w:r>
      <w:r w:rsidRPr="00EB75F6">
        <w:rPr>
          <w:rFonts w:ascii="Times New Roman" w:eastAsia="Calibri" w:hAnsi="Times New Roman"/>
          <w:sz w:val="24"/>
          <w:szCs w:val="24"/>
        </w:rPr>
        <w:t>Пъстър пор</w:t>
      </w:r>
      <w:r w:rsidRPr="00EB75F6">
        <w:rPr>
          <w:rFonts w:ascii="Times New Roman" w:eastAsia="Calibri" w:hAnsi="Times New Roman"/>
          <w:sz w:val="24"/>
          <w:szCs w:val="24"/>
          <w:lang w:val="en-US"/>
        </w:rPr>
        <w:t xml:space="preserve"> (</w:t>
      </w:r>
      <w:r w:rsidRPr="00EB75F6">
        <w:rPr>
          <w:rFonts w:ascii="Times New Roman" w:eastAsia="Calibri" w:hAnsi="Times New Roman"/>
          <w:i/>
          <w:iCs/>
          <w:sz w:val="24"/>
          <w:szCs w:val="24"/>
          <w:lang w:val="en-US"/>
        </w:rPr>
        <w:t>Vormela peregusna</w:t>
      </w:r>
      <w:r w:rsidRPr="00EB75F6">
        <w:rPr>
          <w:rFonts w:ascii="Times New Roman" w:eastAsia="Calibri" w:hAnsi="Times New Roman"/>
          <w:sz w:val="24"/>
          <w:szCs w:val="24"/>
          <w:lang w:val="en-US"/>
        </w:rPr>
        <w:t>) в ЗЗ BG0000241 „</w:t>
      </w:r>
      <w:r w:rsidRPr="00EB75F6">
        <w:rPr>
          <w:rFonts w:ascii="Times New Roman" w:eastAsia="Calibri" w:hAnsi="Times New Roman"/>
          <w:sz w:val="24"/>
          <w:szCs w:val="24"/>
        </w:rPr>
        <w:t>Сребърна</w:t>
      </w:r>
      <w:r w:rsidRPr="00EB75F6">
        <w:rPr>
          <w:rFonts w:ascii="Times New Roman" w:eastAsia="Calibri" w:hAnsi="Times New Roman"/>
          <w:sz w:val="24"/>
          <w:szCs w:val="24"/>
          <w:lang w:val="en-US"/>
        </w:rPr>
        <w:t xml:space="preserve">“. Проект „Картиране и определяне на природозащитното състояние на природни местообитания и видове – фаза І“. Обособена позиция 4: Картиране и определяне природозащитното състояние на бозайници, без прилепи. В интернет на адрес: </w:t>
      </w:r>
      <w:hyperlink r:id="rId207" w:history="1">
        <w:r w:rsidRPr="00EB75F6">
          <w:rPr>
            <w:rFonts w:ascii="Times New Roman" w:eastAsia="Calibri" w:hAnsi="Times New Roman"/>
            <w:sz w:val="24"/>
            <w:szCs w:val="24"/>
            <w:u w:val="single"/>
            <w:lang w:val="en-US"/>
          </w:rPr>
          <w:t>http://natura2000.moew.government.bg/Home/Natura2000ProtectedSites</w:t>
        </w:r>
      </w:hyperlink>
    </w:p>
    <w:p w:rsidR="00EB75F6" w:rsidRPr="00EB75F6" w:rsidRDefault="00EB75F6" w:rsidP="00EB75F6">
      <w:pPr>
        <w:spacing w:after="0" w:line="240" w:lineRule="auto"/>
        <w:ind w:left="709" w:hanging="709"/>
        <w:jc w:val="both"/>
        <w:rPr>
          <w:rFonts w:ascii="Times New Roman" w:eastAsia="Calibri" w:hAnsi="Times New Roman"/>
          <w:sz w:val="24"/>
          <w:szCs w:val="24"/>
          <w:u w:val="single"/>
        </w:rPr>
      </w:pPr>
      <w:r w:rsidRPr="00EB75F6">
        <w:rPr>
          <w:rFonts w:ascii="Times New Roman" w:eastAsia="Calibri" w:hAnsi="Times New Roman"/>
          <w:sz w:val="24"/>
          <w:szCs w:val="24"/>
        </w:rPr>
        <w:t xml:space="preserve">Зидарова, С. Попов, В. </w:t>
      </w:r>
      <w:r w:rsidRPr="00EB75F6">
        <w:rPr>
          <w:rFonts w:ascii="Times New Roman" w:eastAsia="Calibri" w:hAnsi="Times New Roman"/>
          <w:sz w:val="24"/>
          <w:szCs w:val="24"/>
          <w:lang w:val="en-US"/>
        </w:rPr>
        <w:t>(</w:t>
      </w:r>
      <w:r w:rsidRPr="00EB75F6">
        <w:rPr>
          <w:rFonts w:ascii="Times New Roman" w:eastAsia="Calibri" w:hAnsi="Times New Roman"/>
          <w:sz w:val="24"/>
          <w:szCs w:val="24"/>
        </w:rPr>
        <w:t>2013</w:t>
      </w:r>
      <w:r w:rsidRPr="00EB75F6">
        <w:rPr>
          <w:rFonts w:ascii="Times New Roman" w:eastAsia="Calibri" w:hAnsi="Times New Roman"/>
          <w:sz w:val="24"/>
          <w:szCs w:val="24"/>
          <w:lang w:val="en-US"/>
        </w:rPr>
        <w:t>)</w:t>
      </w:r>
      <w:r w:rsidRPr="00EB75F6">
        <w:rPr>
          <w:rFonts w:ascii="Times New Roman" w:eastAsia="Calibri" w:hAnsi="Times New Roman"/>
          <w:sz w:val="24"/>
          <w:szCs w:val="24"/>
        </w:rPr>
        <w:t>. Общ доклад за целеви вид: 2635. Пъстър пор (</w:t>
      </w:r>
      <w:r w:rsidRPr="00EB75F6">
        <w:rPr>
          <w:rFonts w:ascii="Times New Roman" w:eastAsia="Calibri" w:hAnsi="Times New Roman"/>
          <w:i/>
          <w:iCs/>
          <w:sz w:val="24"/>
          <w:szCs w:val="24"/>
        </w:rPr>
        <w:t>Vormela peregusna</w:t>
      </w:r>
      <w:r w:rsidRPr="00EB75F6">
        <w:rPr>
          <w:rFonts w:ascii="Times New Roman" w:eastAsia="Calibri" w:hAnsi="Times New Roman"/>
          <w:sz w:val="24"/>
          <w:szCs w:val="24"/>
        </w:rPr>
        <w:t>).</w:t>
      </w:r>
      <w:hyperlink r:id="rId208" w:history="1">
        <w:r w:rsidRPr="00EB75F6">
          <w:rPr>
            <w:rFonts w:ascii="Times New Roman" w:eastAsia="Calibri" w:hAnsi="Times New Roman"/>
            <w:sz w:val="24"/>
            <w:szCs w:val="24"/>
            <w:u w:val="single"/>
          </w:rPr>
          <w:t>http://natura2000.moew.government.bg/Home/Reports?reportType=Mammals</w:t>
        </w:r>
      </w:hyperlink>
    </w:p>
    <w:p w:rsidR="00EB75F6" w:rsidRPr="00EB75F6" w:rsidRDefault="00EB75F6" w:rsidP="00EB75F6">
      <w:pPr>
        <w:spacing w:after="0" w:line="240" w:lineRule="auto"/>
        <w:ind w:left="709" w:hanging="709"/>
        <w:jc w:val="both"/>
        <w:rPr>
          <w:rFonts w:ascii="Times New Roman" w:hAnsi="Times New Roman"/>
          <w:sz w:val="24"/>
          <w:szCs w:val="24"/>
          <w:lang w:eastAsia="bg-BG"/>
        </w:rPr>
      </w:pPr>
      <w:r w:rsidRPr="00EB75F6">
        <w:rPr>
          <w:rFonts w:ascii="Times New Roman" w:hAnsi="Times New Roman"/>
          <w:sz w:val="24"/>
          <w:szCs w:val="24"/>
          <w:lang w:eastAsia="bg-BG"/>
        </w:rPr>
        <w:t xml:space="preserve">Пешев, Ц., Пешев, Д., Попов, В. 2004. Фауна на България. Т. 27. Mammalia. 620 с. Академично Издателство „Марин Дринов”. София. ISBN 954-430-860-1 </w:t>
      </w:r>
    </w:p>
    <w:p w:rsidR="00EB75F6" w:rsidRPr="00EB75F6" w:rsidRDefault="00EB75F6" w:rsidP="00EB75F6">
      <w:pPr>
        <w:spacing w:after="0" w:line="240" w:lineRule="auto"/>
        <w:ind w:left="709" w:hanging="709"/>
        <w:jc w:val="both"/>
        <w:rPr>
          <w:rFonts w:ascii="Times New Roman" w:eastAsia="Calibri" w:hAnsi="Times New Roman"/>
          <w:sz w:val="24"/>
          <w:szCs w:val="24"/>
        </w:rPr>
      </w:pPr>
      <w:r w:rsidRPr="00EB75F6">
        <w:rPr>
          <w:rFonts w:ascii="Times New Roman" w:eastAsia="Calibri" w:hAnsi="Times New Roman"/>
          <w:sz w:val="24"/>
          <w:szCs w:val="24"/>
        </w:rPr>
        <w:t>Сичанов Д. 2006. Пространствено (биотопично) разпределение на наземните дребни бозайници (Mammalia: Insectivora, Rodentia) в района на резерват Сребърна и прилежащите територии, Дис. за образователна и научна степен доктор, БАН, ЦЛОЕ, София, 181стр.</w:t>
      </w:r>
    </w:p>
    <w:p w:rsidR="00EB75F6" w:rsidRPr="00EB75F6" w:rsidRDefault="00EB75F6" w:rsidP="00EB75F6">
      <w:pPr>
        <w:spacing w:after="0" w:line="240" w:lineRule="auto"/>
        <w:ind w:left="709" w:hanging="709"/>
        <w:jc w:val="both"/>
        <w:rPr>
          <w:rFonts w:ascii="Times New Roman" w:eastAsia="Calibri" w:hAnsi="Times New Roman"/>
          <w:sz w:val="24"/>
          <w:szCs w:val="24"/>
        </w:rPr>
      </w:pPr>
      <w:r w:rsidRPr="00EB75F6">
        <w:rPr>
          <w:rFonts w:ascii="Times New Roman" w:eastAsia="Calibri" w:hAnsi="Times New Roman"/>
          <w:sz w:val="24"/>
          <w:szCs w:val="24"/>
        </w:rPr>
        <w:lastRenderedPageBreak/>
        <w:t xml:space="preserve">Спасов, Н. </w:t>
      </w:r>
      <w:r w:rsidRPr="00EB75F6">
        <w:rPr>
          <w:rFonts w:ascii="Times New Roman" w:eastAsia="Calibri" w:hAnsi="Times New Roman"/>
          <w:sz w:val="24"/>
          <w:szCs w:val="24"/>
          <w:lang w:val="en-US"/>
        </w:rPr>
        <w:t>(</w:t>
      </w:r>
      <w:r w:rsidRPr="00EB75F6">
        <w:rPr>
          <w:rFonts w:ascii="Times New Roman" w:eastAsia="Calibri" w:hAnsi="Times New Roman"/>
          <w:sz w:val="24"/>
          <w:szCs w:val="24"/>
        </w:rPr>
        <w:t>2007</w:t>
      </w:r>
      <w:r w:rsidRPr="00EB75F6">
        <w:rPr>
          <w:rFonts w:ascii="Times New Roman" w:eastAsia="Calibri" w:hAnsi="Times New Roman"/>
          <w:sz w:val="24"/>
          <w:szCs w:val="24"/>
          <w:lang w:val="en-US"/>
        </w:rPr>
        <w:t>)</w:t>
      </w:r>
      <w:r w:rsidRPr="00EB75F6">
        <w:rPr>
          <w:rFonts w:ascii="Times New Roman" w:eastAsia="Calibri" w:hAnsi="Times New Roman"/>
          <w:sz w:val="24"/>
          <w:szCs w:val="24"/>
        </w:rPr>
        <w:t>. Пъстър пор (</w:t>
      </w:r>
      <w:r w:rsidRPr="00EB75F6">
        <w:rPr>
          <w:rFonts w:ascii="Times New Roman" w:eastAsia="Calibri" w:hAnsi="Times New Roman"/>
          <w:i/>
          <w:iCs/>
          <w:sz w:val="24"/>
          <w:szCs w:val="24"/>
          <w:lang w:val="en-US"/>
        </w:rPr>
        <w:t>Vormela peregusna</w:t>
      </w:r>
      <w:r w:rsidRPr="00EB75F6">
        <w:rPr>
          <w:rFonts w:ascii="Times New Roman" w:eastAsia="Calibri" w:hAnsi="Times New Roman"/>
          <w:sz w:val="24"/>
          <w:szCs w:val="24"/>
        </w:rPr>
        <w:t xml:space="preserve">). В: Попов, В., Спасов, Н., Иванова, Т., Михова, Б. и Георгиев, К. </w:t>
      </w:r>
      <w:r w:rsidRPr="00EB75F6">
        <w:rPr>
          <w:rFonts w:ascii="Times New Roman" w:eastAsia="Calibri" w:hAnsi="Times New Roman"/>
          <w:sz w:val="24"/>
          <w:szCs w:val="24"/>
          <w:lang w:val="en-US"/>
        </w:rPr>
        <w:t>(</w:t>
      </w:r>
      <w:r w:rsidRPr="00EB75F6">
        <w:rPr>
          <w:rFonts w:ascii="Times New Roman" w:eastAsia="Calibri" w:hAnsi="Times New Roman"/>
          <w:sz w:val="24"/>
          <w:szCs w:val="24"/>
        </w:rPr>
        <w:t>ред.</w:t>
      </w:r>
      <w:r w:rsidRPr="00EB75F6">
        <w:rPr>
          <w:rFonts w:ascii="Times New Roman" w:eastAsia="Calibri" w:hAnsi="Times New Roman"/>
          <w:sz w:val="24"/>
          <w:szCs w:val="24"/>
          <w:lang w:val="en-US"/>
        </w:rPr>
        <w:t>)</w:t>
      </w:r>
      <w:r w:rsidRPr="00EB75F6">
        <w:rPr>
          <w:rFonts w:ascii="Times New Roman" w:eastAsia="Calibri" w:hAnsi="Times New Roman"/>
          <w:sz w:val="24"/>
          <w:szCs w:val="24"/>
        </w:rPr>
        <w:t>: Бозайниците, важни за опазване в България. Изд. Dutch Mammal Society VZZ, Arnhem, The Netherlands</w:t>
      </w:r>
      <w:r w:rsidRPr="00EB75F6">
        <w:rPr>
          <w:rFonts w:ascii="Times New Roman" w:eastAsia="Calibri" w:hAnsi="Times New Roman"/>
          <w:sz w:val="24"/>
          <w:szCs w:val="24"/>
          <w:lang w:val="en-US"/>
        </w:rPr>
        <w:t>:</w:t>
      </w:r>
      <w:r w:rsidRPr="00EB75F6">
        <w:rPr>
          <w:rFonts w:ascii="Times New Roman" w:eastAsia="Calibri" w:hAnsi="Times New Roman"/>
          <w:sz w:val="24"/>
          <w:szCs w:val="24"/>
        </w:rPr>
        <w:t xml:space="preserve"> 270-273.</w:t>
      </w:r>
    </w:p>
    <w:p w:rsidR="00EB75F6" w:rsidRPr="00EB75F6" w:rsidRDefault="00EB75F6" w:rsidP="00EB75F6">
      <w:pPr>
        <w:spacing w:after="0" w:line="240" w:lineRule="auto"/>
        <w:ind w:left="709" w:hanging="709"/>
        <w:jc w:val="both"/>
        <w:rPr>
          <w:rFonts w:ascii="Times New Roman" w:eastAsia="Calibri" w:hAnsi="Times New Roman"/>
          <w:sz w:val="24"/>
          <w:szCs w:val="24"/>
        </w:rPr>
      </w:pPr>
      <w:bookmarkStart w:id="111" w:name="_Hlk87345908"/>
      <w:r w:rsidRPr="00EB75F6">
        <w:rPr>
          <w:rFonts w:ascii="Times New Roman" w:eastAsia="Calibri" w:hAnsi="Times New Roman"/>
          <w:sz w:val="24"/>
          <w:szCs w:val="24"/>
        </w:rPr>
        <w:t xml:space="preserve">Спасов, Н., Спиридонов, Ж. (2011). </w:t>
      </w:r>
      <w:bookmarkEnd w:id="111"/>
      <w:r w:rsidRPr="00EB75F6">
        <w:rPr>
          <w:rFonts w:ascii="Times New Roman" w:eastAsia="Calibri" w:hAnsi="Times New Roman"/>
          <w:sz w:val="24"/>
          <w:szCs w:val="24"/>
        </w:rPr>
        <w:t>Пъстър пор (</w:t>
      </w:r>
      <w:r w:rsidRPr="00EB75F6">
        <w:rPr>
          <w:rFonts w:ascii="Times New Roman" w:eastAsia="Calibri" w:hAnsi="Times New Roman"/>
          <w:i/>
          <w:iCs/>
          <w:sz w:val="24"/>
          <w:szCs w:val="24"/>
        </w:rPr>
        <w:t>Vormela peregusna</w:t>
      </w:r>
      <w:r w:rsidRPr="00EB75F6">
        <w:rPr>
          <w:rFonts w:ascii="Times New Roman" w:eastAsia="Calibri" w:hAnsi="Times New Roman"/>
          <w:sz w:val="24"/>
          <w:szCs w:val="24"/>
        </w:rPr>
        <w:t xml:space="preserve"> Guldenstaedt, 1770). В: Големански V (ред.) Червена книга на България. Том 2. Животни. БАН и МОСВ. София</w:t>
      </w:r>
    </w:p>
    <w:p w:rsidR="00EB75F6" w:rsidRPr="00EB75F6" w:rsidRDefault="00EB75F6" w:rsidP="00EB75F6">
      <w:pPr>
        <w:spacing w:after="0" w:line="240" w:lineRule="auto"/>
        <w:ind w:left="720" w:hanging="720"/>
        <w:contextualSpacing/>
        <w:jc w:val="both"/>
        <w:rPr>
          <w:rFonts w:ascii="Times New Roman" w:eastAsia="Calibri" w:hAnsi="Times New Roman"/>
          <w:sz w:val="24"/>
          <w:szCs w:val="24"/>
          <w:lang w:val="en-US"/>
        </w:rPr>
      </w:pPr>
      <w:r w:rsidRPr="00EB75F6">
        <w:rPr>
          <w:rFonts w:ascii="Times New Roman" w:eastAsia="Calibri" w:hAnsi="Times New Roman"/>
          <w:sz w:val="24"/>
          <w:szCs w:val="24"/>
          <w:lang w:val="en-US"/>
        </w:rPr>
        <w:t>Kodzhabashev, N., Dipchikova, S., Teofilova, T. (2020). New and Conservationally Significant Small Mammals in the Diet of Two Wintering Groups of Long-eared Owls (Asio otus L.) from the Region of Silistra (NE Bulgaria). Ecologia Balkanica, Special Edition 3 : 117-128.</w:t>
      </w:r>
    </w:p>
    <w:p w:rsidR="00EB75F6" w:rsidRPr="00EB75F6" w:rsidRDefault="00EB75F6" w:rsidP="00EB75F6">
      <w:pPr>
        <w:spacing w:after="0" w:line="240" w:lineRule="auto"/>
        <w:ind w:left="709" w:hanging="709"/>
        <w:jc w:val="both"/>
        <w:rPr>
          <w:rFonts w:ascii="Times New Roman" w:eastAsia="Calibri" w:hAnsi="Times New Roman"/>
          <w:sz w:val="24"/>
          <w:szCs w:val="24"/>
          <w:lang w:val="en-GB"/>
        </w:rPr>
      </w:pPr>
      <w:r w:rsidRPr="00EB75F6">
        <w:rPr>
          <w:rFonts w:ascii="Times New Roman" w:eastAsia="Calibri" w:hAnsi="Times New Roman"/>
          <w:sz w:val="24"/>
          <w:szCs w:val="24"/>
          <w:lang w:val="en-GB"/>
        </w:rPr>
        <w:t>Mitchell-Jones, A.</w:t>
      </w:r>
      <w:r w:rsidRPr="00EB75F6">
        <w:rPr>
          <w:rFonts w:ascii="Times New Roman" w:eastAsia="Calibri" w:hAnsi="Times New Roman"/>
          <w:sz w:val="24"/>
          <w:szCs w:val="24"/>
        </w:rPr>
        <w:t xml:space="preserve"> </w:t>
      </w:r>
      <w:r w:rsidRPr="00EB75F6">
        <w:rPr>
          <w:rFonts w:ascii="Times New Roman" w:eastAsia="Calibri" w:hAnsi="Times New Roman"/>
          <w:sz w:val="24"/>
          <w:szCs w:val="24"/>
          <w:lang w:val="en-GB"/>
        </w:rPr>
        <w:t xml:space="preserve">J., Amori, G., Bogdanowicz, W., Krystufek, B., Reijnders, P.J.H., Spitzenberger, F., Stubbe, M., Thissen, J.B.M., Vohralik, V., Zima, J. </w:t>
      </w:r>
      <w:r w:rsidRPr="00EB75F6">
        <w:rPr>
          <w:rFonts w:ascii="Times New Roman" w:eastAsia="Calibri" w:hAnsi="Times New Roman"/>
          <w:sz w:val="24"/>
          <w:szCs w:val="24"/>
          <w:lang w:val="en-US"/>
        </w:rPr>
        <w:t>(</w:t>
      </w:r>
      <w:r w:rsidRPr="00EB75F6">
        <w:rPr>
          <w:rFonts w:ascii="Times New Roman" w:eastAsia="Calibri" w:hAnsi="Times New Roman"/>
          <w:sz w:val="24"/>
          <w:szCs w:val="24"/>
          <w:lang w:val="en-GB"/>
        </w:rPr>
        <w:t xml:space="preserve">1999). The atlas of European mammals. Poyser London: 38-39. </w:t>
      </w:r>
    </w:p>
    <w:p w:rsidR="00EB75F6" w:rsidRPr="00EB75F6" w:rsidRDefault="00EB75F6" w:rsidP="00EB75F6">
      <w:pPr>
        <w:spacing w:after="0" w:line="240" w:lineRule="auto"/>
        <w:ind w:left="709" w:hanging="709"/>
        <w:jc w:val="both"/>
        <w:rPr>
          <w:rFonts w:ascii="Times New Roman" w:eastAsia="Calibri" w:hAnsi="Times New Roman"/>
          <w:sz w:val="24"/>
          <w:szCs w:val="24"/>
          <w:lang w:val="en-GB"/>
        </w:rPr>
      </w:pPr>
      <w:r w:rsidRPr="00EB75F6">
        <w:rPr>
          <w:rFonts w:ascii="Times New Roman" w:eastAsia="Calibri" w:hAnsi="Times New Roman"/>
          <w:sz w:val="24"/>
          <w:szCs w:val="24"/>
          <w:lang w:val="en-GB"/>
        </w:rPr>
        <w:t>Popov, V., Zidarova, S., Pandourski, I. (2019). Mammals in Danubian Region of Bulgaria: Species Composition, Distribution, Habitats, And Conservation. – In: Biodiversity of the Bulgarian-Romanian Section, Publisher: Nova Science Publishers, Inc., 399 – 419.</w:t>
      </w:r>
    </w:p>
    <w:p w:rsidR="00EB75F6" w:rsidRPr="00EB75F6" w:rsidDel="0028265B" w:rsidRDefault="00EB75F6" w:rsidP="00EB75F6">
      <w:pPr>
        <w:spacing w:after="0" w:line="240" w:lineRule="auto"/>
        <w:ind w:left="709" w:hanging="709"/>
        <w:jc w:val="both"/>
        <w:rPr>
          <w:rFonts w:ascii="Times New Roman" w:eastAsia="Calibri" w:hAnsi="Times New Roman"/>
          <w:sz w:val="24"/>
          <w:szCs w:val="24"/>
        </w:rPr>
      </w:pPr>
      <w:r w:rsidRPr="00EB75F6">
        <w:rPr>
          <w:rFonts w:ascii="Times New Roman" w:eastAsia="Calibri" w:hAnsi="Times New Roman"/>
          <w:sz w:val="24"/>
          <w:szCs w:val="24"/>
        </w:rPr>
        <w:t xml:space="preserve">Sichanov D., Popov V., Biserkov V., Zidarova S., Chipev  N. </w:t>
      </w:r>
      <w:r w:rsidRPr="00EB75F6">
        <w:rPr>
          <w:rFonts w:ascii="Times New Roman" w:eastAsia="Calibri" w:hAnsi="Times New Roman"/>
          <w:sz w:val="24"/>
          <w:szCs w:val="24"/>
          <w:lang w:val="en-US"/>
        </w:rPr>
        <w:t>(</w:t>
      </w:r>
      <w:r w:rsidRPr="00EB75F6">
        <w:rPr>
          <w:rFonts w:ascii="Times New Roman" w:eastAsia="Calibri" w:hAnsi="Times New Roman"/>
          <w:sz w:val="24"/>
          <w:szCs w:val="24"/>
        </w:rPr>
        <w:t>2006</w:t>
      </w:r>
      <w:r w:rsidRPr="00EB75F6">
        <w:rPr>
          <w:rFonts w:ascii="Times New Roman" w:eastAsia="Calibri" w:hAnsi="Times New Roman"/>
          <w:sz w:val="24"/>
          <w:szCs w:val="24"/>
          <w:lang w:val="en-US"/>
        </w:rPr>
        <w:t>)</w:t>
      </w:r>
      <w:r w:rsidRPr="00EB75F6">
        <w:rPr>
          <w:rFonts w:ascii="Times New Roman" w:eastAsia="Calibri" w:hAnsi="Times New Roman"/>
          <w:sz w:val="24"/>
          <w:szCs w:val="24"/>
        </w:rPr>
        <w:t>. Spatial pattern and diversity of small mammal assemblages in the area of Srebarna Managed Nature Reserve (NE Bulgaria)</w:t>
      </w:r>
      <w:r w:rsidRPr="00EB75F6">
        <w:rPr>
          <w:rFonts w:ascii="Times New Roman" w:eastAsia="Calibri" w:hAnsi="Times New Roman"/>
          <w:sz w:val="24"/>
          <w:szCs w:val="24"/>
          <w:lang w:val="en-US"/>
        </w:rPr>
        <w:t>.</w:t>
      </w:r>
      <w:r w:rsidRPr="00EB75F6">
        <w:rPr>
          <w:rFonts w:ascii="Times New Roman" w:eastAsia="Calibri" w:hAnsi="Times New Roman"/>
          <w:sz w:val="24"/>
          <w:szCs w:val="24"/>
        </w:rPr>
        <w:t xml:space="preserve"> Acta zool. bulg., 58 (2): 209-222.   </w:t>
      </w:r>
    </w:p>
    <w:p w:rsidR="00EB75F6" w:rsidRPr="00EB75F6" w:rsidRDefault="00EB75F6" w:rsidP="00EB75F6">
      <w:pPr>
        <w:spacing w:after="0" w:line="240" w:lineRule="auto"/>
        <w:ind w:left="709" w:hanging="709"/>
        <w:rPr>
          <w:rFonts w:ascii="Times New Roman" w:eastAsia="Calibri" w:hAnsi="Times New Roman"/>
          <w:sz w:val="24"/>
          <w:szCs w:val="24"/>
          <w:lang w:val="en-US"/>
        </w:rPr>
      </w:pPr>
      <w:bookmarkStart w:id="112" w:name="_Hlk57198342"/>
      <w:r w:rsidRPr="00EB75F6">
        <w:rPr>
          <w:rFonts w:ascii="Times New Roman" w:eastAsia="Calibri" w:hAnsi="Times New Roman"/>
          <w:sz w:val="24"/>
          <w:szCs w:val="24"/>
          <w:lang w:val="en-US"/>
        </w:rPr>
        <w:t>Spassov</w:t>
      </w:r>
      <w:bookmarkEnd w:id="112"/>
      <w:r w:rsidRPr="00EB75F6">
        <w:rPr>
          <w:rFonts w:ascii="Times New Roman" w:eastAsia="Calibri" w:hAnsi="Times New Roman"/>
          <w:sz w:val="24"/>
          <w:szCs w:val="24"/>
          <w:lang w:val="en-US"/>
        </w:rPr>
        <w:t>, N., Georgiev, K., Ivanova, N., Ivanov, V. (2002). Study of the status of marbled polecat (</w:t>
      </w:r>
      <w:r w:rsidRPr="00EB75F6">
        <w:rPr>
          <w:rFonts w:ascii="Times New Roman" w:eastAsia="Calibri" w:hAnsi="Times New Roman"/>
          <w:i/>
          <w:iCs/>
          <w:sz w:val="24"/>
          <w:szCs w:val="24"/>
          <w:lang w:val="en-US"/>
        </w:rPr>
        <w:t>Vormela peregusna peregusna</w:t>
      </w:r>
      <w:r w:rsidRPr="00EB75F6">
        <w:rPr>
          <w:rFonts w:ascii="Times New Roman" w:eastAsia="Calibri" w:hAnsi="Times New Roman"/>
          <w:sz w:val="24"/>
          <w:szCs w:val="24"/>
          <w:lang w:val="en-US"/>
        </w:rPr>
        <w:t xml:space="preserve"> Guld.) in Western and North-Eastern Bulgaria with data on the status of its potential main prey species and competitors. Historia naturalis bulgarica, 14: 123-140.</w:t>
      </w:r>
    </w:p>
    <w:p w:rsidR="00EB75F6" w:rsidRPr="00EB75F6" w:rsidRDefault="00EB75F6" w:rsidP="00EB75F6">
      <w:pPr>
        <w:spacing w:after="0" w:line="240" w:lineRule="auto"/>
        <w:ind w:left="720" w:hanging="720"/>
        <w:contextualSpacing/>
        <w:jc w:val="both"/>
        <w:rPr>
          <w:rFonts w:ascii="Times New Roman" w:eastAsia="Calibri" w:hAnsi="Times New Roman"/>
          <w:sz w:val="24"/>
          <w:szCs w:val="24"/>
          <w:lang w:val="en-US"/>
        </w:rPr>
      </w:pPr>
      <w:bookmarkStart w:id="113" w:name="_Hlk87349988"/>
      <w:r w:rsidRPr="00EB75F6">
        <w:rPr>
          <w:rFonts w:ascii="Times New Roman" w:eastAsia="Calibri" w:hAnsi="Times New Roman"/>
          <w:sz w:val="24"/>
          <w:szCs w:val="24"/>
          <w:lang w:val="en-US"/>
        </w:rPr>
        <w:t xml:space="preserve">Zlatanova, D., Popova, E. (2018). </w:t>
      </w:r>
      <w:bookmarkEnd w:id="113"/>
      <w:r w:rsidRPr="00EB75F6">
        <w:rPr>
          <w:rFonts w:ascii="Times New Roman" w:eastAsia="Calibri" w:hAnsi="Times New Roman"/>
          <w:sz w:val="24"/>
          <w:szCs w:val="24"/>
          <w:lang w:val="en-US"/>
        </w:rPr>
        <w:t>Biodiversity estimates from different camera trap surveys: A case study from Osogovo mt., Bulgaria. Nature Conservation Research 3(2):13-25.</w:t>
      </w:r>
    </w:p>
    <w:p w:rsidR="00EB75F6" w:rsidRPr="00EB75F6" w:rsidRDefault="00EB75F6" w:rsidP="00EB75F6">
      <w:pPr>
        <w:spacing w:before="240" w:after="160" w:line="360" w:lineRule="auto"/>
        <w:ind w:left="709" w:hanging="709"/>
        <w:jc w:val="both"/>
        <w:rPr>
          <w:rFonts w:ascii="Times New Roman" w:eastAsia="Calibri" w:hAnsi="Times New Roman"/>
          <w:sz w:val="24"/>
          <w:szCs w:val="24"/>
        </w:rPr>
      </w:pPr>
      <w:r w:rsidRPr="00EB75F6">
        <w:rPr>
          <w:rFonts w:ascii="Times New Roman" w:eastAsia="Calibri" w:hAnsi="Times New Roman"/>
          <w:i/>
          <w:iCs/>
          <w:sz w:val="24"/>
          <w:szCs w:val="24"/>
        </w:rPr>
        <w:t>Автор</w:t>
      </w:r>
      <w:r w:rsidRPr="00EB75F6">
        <w:rPr>
          <w:rFonts w:ascii="Times New Roman" w:eastAsia="Calibri" w:hAnsi="Times New Roman"/>
          <w:sz w:val="24"/>
          <w:szCs w:val="24"/>
        </w:rPr>
        <w:t>: Сирма Зидарова</w:t>
      </w:r>
    </w:p>
    <w:p w:rsidR="00EB75F6" w:rsidRDefault="00EB75F6" w:rsidP="001033EC">
      <w:pPr>
        <w:rPr>
          <w:rFonts w:ascii="Times New Roman" w:hAnsi="Times New Roman"/>
          <w:color w:val="1F497D" w:themeColor="text2"/>
          <w:sz w:val="28"/>
          <w:szCs w:val="28"/>
        </w:rPr>
      </w:pPr>
    </w:p>
    <w:p w:rsidR="001033EC" w:rsidRDefault="001033EC" w:rsidP="00BF7AC4">
      <w:pPr>
        <w:outlineLvl w:val="0"/>
        <w:rPr>
          <w:rFonts w:ascii="Times New Roman" w:hAnsi="Times New Roman"/>
          <w:b/>
          <w:color w:val="1F497D" w:themeColor="text2"/>
          <w:sz w:val="28"/>
          <w:szCs w:val="28"/>
          <w:u w:val="single"/>
        </w:rPr>
      </w:pPr>
      <w:bookmarkStart w:id="114" w:name="_Toc98838569"/>
      <w:r w:rsidRPr="001033EC">
        <w:rPr>
          <w:rFonts w:ascii="Times New Roman" w:hAnsi="Times New Roman"/>
          <w:b/>
          <w:color w:val="1F497D" w:themeColor="text2"/>
          <w:sz w:val="28"/>
          <w:szCs w:val="28"/>
          <w:u w:val="single"/>
        </w:rPr>
        <w:t>Птици</w:t>
      </w:r>
      <w:bookmarkEnd w:id="114"/>
    </w:p>
    <w:p w:rsidR="00BF7AC4" w:rsidRPr="00BF7AC4" w:rsidRDefault="00BF7AC4" w:rsidP="00BF7AC4">
      <w:pPr>
        <w:spacing w:after="120"/>
        <w:jc w:val="both"/>
        <w:rPr>
          <w:rFonts w:ascii="Times New Roman" w:hAnsi="Times New Roman"/>
          <w:sz w:val="24"/>
          <w:szCs w:val="24"/>
        </w:rPr>
      </w:pPr>
      <w:r w:rsidRPr="00BF7AC4">
        <w:rPr>
          <w:rFonts w:ascii="Times New Roman" w:hAnsi="Times New Roman"/>
          <w:i/>
          <w:sz w:val="24"/>
          <w:szCs w:val="24"/>
        </w:rPr>
        <w:t>Автори</w:t>
      </w:r>
      <w:r w:rsidRPr="00BF7AC4">
        <w:rPr>
          <w:rFonts w:ascii="Times New Roman" w:hAnsi="Times New Roman"/>
          <w:sz w:val="24"/>
          <w:szCs w:val="24"/>
        </w:rPr>
        <w:t>: Николай Караиванов, Невена Иванова, Боян Мичев, Мартин Маринов, Кристина Панова</w:t>
      </w:r>
    </w:p>
    <w:p w:rsidR="00BF7AC4" w:rsidRPr="00F14CE3" w:rsidRDefault="00BF7AC4" w:rsidP="00BF7AC4">
      <w:pPr>
        <w:spacing w:after="120"/>
        <w:jc w:val="both"/>
        <w:rPr>
          <w:rFonts w:ascii="Times New Roman" w:hAnsi="Times New Roman"/>
          <w:b/>
          <w:sz w:val="24"/>
          <w:szCs w:val="24"/>
        </w:rPr>
      </w:pPr>
      <w:r w:rsidRPr="00F14CE3">
        <w:rPr>
          <w:rFonts w:ascii="Times New Roman" w:hAnsi="Times New Roman"/>
          <w:b/>
          <w:sz w:val="24"/>
          <w:szCs w:val="24"/>
        </w:rPr>
        <w:t>Резултати от полевите изследвания</w:t>
      </w:r>
    </w:p>
    <w:p w:rsidR="00BF7AC4" w:rsidRDefault="00BF7AC4" w:rsidP="00BF7AC4">
      <w:pPr>
        <w:pStyle w:val="NormalWeb"/>
        <w:spacing w:before="0" w:beforeAutospacing="0" w:after="0"/>
        <w:ind w:firstLine="567"/>
        <w:jc w:val="both"/>
      </w:pPr>
      <w:r>
        <w:rPr>
          <w:color w:val="000000"/>
        </w:rPr>
        <w:t xml:space="preserve">Зоната е посетена два пъти във връзка с разработването на целите в периодите </w:t>
      </w:r>
      <w:r>
        <w:t>17-21.05.2021 и 22-25.06.2021 г.</w:t>
      </w:r>
    </w:p>
    <w:p w:rsidR="00BF7AC4" w:rsidRDefault="00BF7AC4" w:rsidP="00BF7AC4">
      <w:pPr>
        <w:pStyle w:val="NormalWeb"/>
        <w:spacing w:before="0" w:beforeAutospacing="0" w:after="0"/>
        <w:ind w:firstLine="567"/>
        <w:jc w:val="both"/>
      </w:pPr>
      <w:r>
        <w:t>Наблюденията бяха концентрирани върху гнездящите птици, главно колониално гнездящи чаплови птици в тръстиковите масиви на блатото.</w:t>
      </w:r>
    </w:p>
    <w:p w:rsidR="00BF7AC4" w:rsidRDefault="00BF7AC4" w:rsidP="00BF7AC4">
      <w:pPr>
        <w:pStyle w:val="NormalWeb"/>
        <w:spacing w:before="0" w:beforeAutospacing="0" w:after="0"/>
        <w:ind w:firstLine="567"/>
        <w:jc w:val="both"/>
      </w:pPr>
      <w:r>
        <w:t>Бяха ползвани както трансектни методи, така и стационарни наблюдения на чапловите колонии, сутрин рано и късно вечер, за определяне видовия състав и числеността на птиците в колониите.</w:t>
      </w:r>
    </w:p>
    <w:p w:rsidR="00BF7AC4" w:rsidRDefault="00BF7AC4" w:rsidP="00BF7AC4">
      <w:pPr>
        <w:pStyle w:val="NormalWeb"/>
        <w:spacing w:before="0" w:beforeAutospacing="0" w:after="0"/>
        <w:ind w:firstLine="567"/>
        <w:jc w:val="both"/>
      </w:pPr>
      <w:r>
        <w:t xml:space="preserve">Предмет на опазване в зоната са 105 вида птици, от които приоритетни са посочени 16 вида със значителна част от националната популация (категория А). От тях 13 вида наблюдавахме при теренните изследвания, а при 9 беше потвърдено гнездене. Останалите 3 вида които не бяха установени са зимуващи или мигриращи, като сезона за наблюдение не беше подходящ за тях и логично не бяха наблюдавани - </w:t>
      </w:r>
      <w:r w:rsidRPr="00F81760">
        <w:t>голяма белочела гъска</w:t>
      </w:r>
      <w:r>
        <w:t xml:space="preserve"> (</w:t>
      </w:r>
      <w:r w:rsidRPr="00F81760">
        <w:rPr>
          <w:i/>
        </w:rPr>
        <w:t>Anser albifrons</w:t>
      </w:r>
      <w:r>
        <w:t>), ледена потапница (</w:t>
      </w:r>
      <w:r w:rsidRPr="00F81760">
        <w:rPr>
          <w:i/>
        </w:rPr>
        <w:t>Clangula hyemalis</w:t>
      </w:r>
      <w:r>
        <w:t>) и сив жерав (</w:t>
      </w:r>
      <w:r w:rsidRPr="00F81760">
        <w:rPr>
          <w:i/>
        </w:rPr>
        <w:t>Grus grus</w:t>
      </w:r>
      <w:r>
        <w:t>).</w:t>
      </w:r>
    </w:p>
    <w:p w:rsidR="00BF7AC4" w:rsidRDefault="00BF7AC4" w:rsidP="00BF7AC4">
      <w:pPr>
        <w:pStyle w:val="NormalWeb"/>
        <w:spacing w:before="0" w:beforeAutospacing="0" w:after="0"/>
        <w:ind w:firstLine="567"/>
        <w:jc w:val="both"/>
      </w:pPr>
      <w:r>
        <w:lastRenderedPageBreak/>
        <w:t>Къдроглавите пеликани тази година са гнездили с много нисък гнездови успех. След компрометиране на колонията едва 7-8 двойки са излюпили малки, като голяма част от популацията се е преместила на о. Белене и малка част в Калимок. Наблюдавахме около 30 неразмножаващи се розови пеликана и единични къдроглави пеликани.</w:t>
      </w:r>
    </w:p>
    <w:p w:rsidR="00BF7AC4" w:rsidRDefault="00BF7AC4" w:rsidP="00BF7AC4">
      <w:pPr>
        <w:pStyle w:val="NormalWeb"/>
        <w:spacing w:before="0" w:beforeAutospacing="0" w:after="0"/>
        <w:ind w:firstLine="567"/>
        <w:jc w:val="both"/>
      </w:pPr>
      <w:r>
        <w:t>Установихме че белобузите рибарки (</w:t>
      </w:r>
      <w:r w:rsidRPr="00FC47EE">
        <w:rPr>
          <w:i/>
        </w:rPr>
        <w:t>Chlidonais hybrida</w:t>
      </w:r>
      <w:r>
        <w:t>) са със значително по ниска численост, около 20 до 40 дв., от дадените в СФ 68-160 двойки.</w:t>
      </w:r>
    </w:p>
    <w:p w:rsidR="00BF7AC4" w:rsidRDefault="00BF7AC4" w:rsidP="00BF7AC4">
      <w:pPr>
        <w:pStyle w:val="NormalWeb"/>
        <w:spacing w:before="0" w:beforeAutospacing="0" w:after="0"/>
        <w:ind w:firstLine="567"/>
        <w:jc w:val="both"/>
      </w:pPr>
      <w:r>
        <w:t>Локализирахме 3 чаплови колонии и малки корморани гнездящи в тръстиката. Ползвахме и дрон за преброяване на гнездата.</w:t>
      </w:r>
    </w:p>
    <w:p w:rsidR="00BF7AC4" w:rsidRPr="00EB4F56" w:rsidRDefault="00BF7AC4" w:rsidP="00BF7AC4">
      <w:pPr>
        <w:pStyle w:val="NormalWeb"/>
        <w:spacing w:before="0" w:beforeAutospacing="0" w:after="0"/>
        <w:ind w:firstLine="567"/>
        <w:jc w:val="both"/>
      </w:pPr>
      <w:r w:rsidRPr="00EB4F56">
        <w:t>Ръждива чапла (</w:t>
      </w:r>
      <w:r w:rsidRPr="00EB4F56">
        <w:rPr>
          <w:i/>
          <w:iCs/>
        </w:rPr>
        <w:t>Ardea purpurea</w:t>
      </w:r>
      <w:r w:rsidRPr="00EB4F56">
        <w:t>) – 5 двойки;</w:t>
      </w:r>
    </w:p>
    <w:p w:rsidR="00BF7AC4" w:rsidRPr="00EB4F56" w:rsidRDefault="00BF7AC4" w:rsidP="00BF7AC4">
      <w:pPr>
        <w:pStyle w:val="NormalWeb"/>
        <w:spacing w:before="0" w:beforeAutospacing="0" w:after="0"/>
        <w:ind w:firstLine="567"/>
        <w:jc w:val="both"/>
      </w:pPr>
      <w:r w:rsidRPr="00EB4F56">
        <w:t>Гривеста чапла (</w:t>
      </w:r>
      <w:r w:rsidRPr="00EB4F56">
        <w:rPr>
          <w:i/>
          <w:iCs/>
        </w:rPr>
        <w:t>Ardeolla raloides</w:t>
      </w:r>
      <w:r w:rsidRPr="00EB4F56">
        <w:t>) – 6-10 двойки;</w:t>
      </w:r>
    </w:p>
    <w:p w:rsidR="00BF7AC4" w:rsidRPr="00EB4F56" w:rsidRDefault="00BF7AC4" w:rsidP="00BF7AC4">
      <w:pPr>
        <w:pStyle w:val="NormalWeb"/>
        <w:spacing w:before="0" w:beforeAutospacing="0" w:after="0"/>
        <w:ind w:firstLine="567"/>
        <w:jc w:val="both"/>
      </w:pPr>
      <w:r w:rsidRPr="00EB4F56">
        <w:t>Голяма бяла чапла (</w:t>
      </w:r>
      <w:r w:rsidRPr="00EB4F56">
        <w:rPr>
          <w:i/>
          <w:iCs/>
        </w:rPr>
        <w:t>Egretta alba</w:t>
      </w:r>
      <w:r w:rsidRPr="00EB4F56">
        <w:t>) поне 2 двойки;</w:t>
      </w:r>
    </w:p>
    <w:p w:rsidR="00BF7AC4" w:rsidRPr="00EB4F56" w:rsidRDefault="00BF7AC4" w:rsidP="00BF7AC4">
      <w:pPr>
        <w:pStyle w:val="NormalWeb"/>
        <w:spacing w:before="0" w:beforeAutospacing="0" w:after="0"/>
        <w:ind w:firstLine="567"/>
        <w:jc w:val="both"/>
      </w:pPr>
      <w:r w:rsidRPr="00EB4F56">
        <w:t>Малка бяла чапла (</w:t>
      </w:r>
      <w:r w:rsidRPr="00EB4F56">
        <w:rPr>
          <w:i/>
          <w:iCs/>
        </w:rPr>
        <w:t>Egretta garzetta</w:t>
      </w:r>
      <w:r w:rsidRPr="00EB4F56">
        <w:t>) около 10 двойки;</w:t>
      </w:r>
    </w:p>
    <w:p w:rsidR="00BF7AC4" w:rsidRPr="00EB4F56" w:rsidRDefault="00BF7AC4" w:rsidP="00BF7AC4">
      <w:pPr>
        <w:pStyle w:val="NormalWeb"/>
        <w:spacing w:before="0" w:beforeAutospacing="0" w:after="0"/>
        <w:ind w:firstLine="567"/>
        <w:jc w:val="both"/>
      </w:pPr>
      <w:r w:rsidRPr="00EB4F56">
        <w:t>Нощна чапла (</w:t>
      </w:r>
      <w:r w:rsidRPr="00EB4F56">
        <w:rPr>
          <w:i/>
          <w:iCs/>
        </w:rPr>
        <w:t>Nycticorax nycticorax</w:t>
      </w:r>
      <w:r w:rsidRPr="00EB4F56">
        <w:t>) около 20 двойки;</w:t>
      </w:r>
    </w:p>
    <w:p w:rsidR="00BF7AC4" w:rsidRPr="00EB4F56" w:rsidRDefault="00BF7AC4" w:rsidP="00BF7AC4">
      <w:pPr>
        <w:pStyle w:val="NormalWeb"/>
        <w:spacing w:before="0" w:beforeAutospacing="0" w:after="0"/>
        <w:ind w:firstLine="567"/>
        <w:jc w:val="both"/>
      </w:pPr>
      <w:r w:rsidRPr="00EB4F56">
        <w:t>Бяла лопатарка (</w:t>
      </w:r>
      <w:r w:rsidRPr="00EB4F56">
        <w:rPr>
          <w:i/>
          <w:iCs/>
        </w:rPr>
        <w:t>Platalea leucorodia</w:t>
      </w:r>
      <w:r w:rsidRPr="00EB4F56">
        <w:t>) – 5 двойки;</w:t>
      </w:r>
    </w:p>
    <w:p w:rsidR="00BF7AC4" w:rsidRPr="00EB4F56" w:rsidRDefault="00BF7AC4" w:rsidP="00BF7AC4">
      <w:pPr>
        <w:pStyle w:val="NormalWeb"/>
        <w:spacing w:before="0" w:beforeAutospacing="0" w:after="0"/>
        <w:ind w:firstLine="567"/>
        <w:jc w:val="both"/>
      </w:pPr>
      <w:r w:rsidRPr="00EB4F56">
        <w:t>Блестящ ибис (</w:t>
      </w:r>
      <w:r w:rsidRPr="00EB4F56">
        <w:rPr>
          <w:i/>
          <w:iCs/>
        </w:rPr>
        <w:t>Plegadis falcinellus</w:t>
      </w:r>
      <w:r w:rsidRPr="00EB4F56">
        <w:t>) – 8-10 двойки;</w:t>
      </w:r>
    </w:p>
    <w:p w:rsidR="00BF7AC4" w:rsidRPr="00EB4F56" w:rsidRDefault="00BF7AC4" w:rsidP="00BF7AC4">
      <w:pPr>
        <w:pStyle w:val="NormalWeb"/>
        <w:spacing w:before="0" w:beforeAutospacing="0" w:after="0"/>
        <w:ind w:firstLine="567"/>
        <w:jc w:val="both"/>
      </w:pPr>
      <w:r>
        <w:t>Сивата гъска (</w:t>
      </w:r>
      <w:r w:rsidRPr="00F81760">
        <w:rPr>
          <w:i/>
        </w:rPr>
        <w:t>Anser anser</w:t>
      </w:r>
      <w:r>
        <w:t>) гнезди с добра численост в зоната, като броя размножаващи се двойки установени от нас е по-висок от дадения в стандартния формуляр.</w:t>
      </w:r>
    </w:p>
    <w:p w:rsidR="00BF7AC4" w:rsidRPr="00E608F3" w:rsidRDefault="00BF7AC4" w:rsidP="00BF7AC4">
      <w:pPr>
        <w:spacing w:after="120"/>
        <w:jc w:val="both"/>
        <w:rPr>
          <w:rFonts w:ascii="Times New Roman" w:hAnsi="Times New Roman"/>
          <w:sz w:val="24"/>
          <w:szCs w:val="24"/>
        </w:rPr>
      </w:pPr>
    </w:p>
    <w:p w:rsidR="00BF7AC4" w:rsidRPr="00BF7AC4"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15" w:name="_Toc89106056"/>
      <w:bookmarkStart w:id="116" w:name="_Toc98838570"/>
      <w:r w:rsidRPr="00BF7AC4">
        <w:rPr>
          <w:rFonts w:ascii="Times New Roman" w:hAnsi="Times New Roman"/>
          <w:color w:val="1F497D" w:themeColor="text2"/>
          <w:sz w:val="28"/>
          <w:szCs w:val="28"/>
          <w:lang w:eastAsia="bg-BG"/>
        </w:rPr>
        <w:t xml:space="preserve">Специфични цели за А002 </w:t>
      </w:r>
      <w:r w:rsidRPr="00BF7AC4">
        <w:rPr>
          <w:rFonts w:ascii="Times New Roman" w:hAnsi="Times New Roman"/>
          <w:i/>
          <w:iCs/>
          <w:color w:val="1F497D" w:themeColor="text2"/>
          <w:sz w:val="28"/>
          <w:szCs w:val="28"/>
          <w:lang w:eastAsia="bg-BG"/>
        </w:rPr>
        <w:t>Gavia arctica</w:t>
      </w:r>
      <w:r w:rsidRPr="00BF7AC4">
        <w:rPr>
          <w:rFonts w:ascii="Times New Roman" w:hAnsi="Times New Roman"/>
          <w:color w:val="1F497D" w:themeColor="text2"/>
          <w:sz w:val="28"/>
          <w:szCs w:val="28"/>
          <w:lang w:eastAsia="bg-BG"/>
        </w:rPr>
        <w:t xml:space="preserve"> (черногуш гмуркач)</w:t>
      </w:r>
      <w:bookmarkEnd w:id="115"/>
      <w:bookmarkEnd w:id="116"/>
    </w:p>
    <w:p w:rsidR="00BF7AC4" w:rsidRPr="00BF7AC4" w:rsidRDefault="00BF7AC4" w:rsidP="00BF7AC4">
      <w:pPr>
        <w:spacing w:after="0" w:line="240" w:lineRule="auto"/>
        <w:jc w:val="both"/>
        <w:rPr>
          <w:rFonts w:ascii="Times New Roman" w:hAnsi="Times New Roman"/>
          <w:sz w:val="24"/>
          <w:szCs w:val="24"/>
          <w:lang w:eastAsia="bg-BG"/>
        </w:rPr>
      </w:pP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Дължината на тялото: 63-75 cm, тегло 2,3 (при женските) до 3,4 kg (при мъжките), размахът на крилата: 100-130 cm. В брачно оперение темето, тилът и задната част на врата са кадифено светлосиви. Предната част на шията и гърлото са черни. Тялото отгоре е с ясни бели петна. В зимно оперение шията отстрани е наполовина тъмна, със сива задна и бяла предна част. Няма бяло петно около окото. Горната страна на тялото е равномерно тъмно сива. Без полов диморфизъм, със слаби възрастови различия. Младите са като възрастните в зимно оперение, но със светли окрайнини на перата отгоре, образуващи люспест рисунък. Младежката оперение се запазва до средата на зимата (Svensson, 2009).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Редовно мигриращ, зимуващ и летуващ вид за страната. Най-многочисления представител на рода за нашата фауна (Нанкинов, 2012). У нас птиците пристигат в края на септември и началото на октомври, като се задържат най-късно до средата на май. Най-много птици са наблюдавани в черноморските заливи, черноморските езера и околностите на гр. София. Единични половонезрели птици остават в черноморските заливи през цялото лято. Все пак най-много птици се наблюдават през зимата.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През размножителния период обитава езерата на тундрата и тайгата, лесостепите и степите. Зимуващите и мигриращи през нашата страна птици се срещат главно по Черноморското крайбрежие, морските заливи, Черноморските блата и езера, но се срещат и в големи вътрешни водоеми и по-малки водни басейни до 2300 м.н.в (Симеонов и др., 1990). Подходящи местообитания според Директивата за хабитатите са 1110, 1130, 1150, 1160, както и сладководни местообитания от типа на 3130, 3150, 3260 и 3270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lastRenderedPageBreak/>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Хранят се с риба, миди, ракообразни, водни насекоми и техните ларви. Малките се хранят с водни безгръбначни животни, а по-късно и с дребна риба.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Видът е наблюдаван в Северна България, Софийско и Пловдивско и по Черноморието. Срещат се предимно единични екземпляри. Включен в Приложение 1 на Директивата за птиците. Според IUCN – LC (Least Concern). Не е включен в Червената книга на България. Включен в Приложения 2 и 3 на ЗБР.</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Съгласно Докладването от 2019 г. (за периода 2013 – 2018 г.) националната зимуваща популация на вида се оценява на 50 – 650 индивида. Мигриращата популация (за периода 2001-2018 г.) се оценява на 200-900 индивида. Краткосрочната тенденция на популацията (за периода 2000 – 2018 г.) е нарастваща, а дългосрочната (за периода 1980 – 2018 г.) е флуктуираща, променлива. За зимуващата популация са посочени следните заплахи и влияния: G01, K04.</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СФ на зоната видът е преминаващ и зимуващ.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1 индивид</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0,1-0,5 %</w:t>
      </w:r>
      <w:r w:rsidRPr="00A8783E">
        <w:rPr>
          <w:rFonts w:ascii="Times New Roman" w:hAnsi="Times New Roman"/>
          <w:sz w:val="24"/>
          <w:szCs w:val="24"/>
          <w:lang w:eastAsia="bg-BG"/>
        </w:rPr>
        <w:t xml:space="preserve"> от националната популация (оценка „C“). Опазването на вида е отлично (оценка „A“), популацията не е изолирана в рамките на разширен ареал (оценка „С“). Общата оценка на стойността на зоната за съхранение на вида е „С“ – значима стойност.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СФ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на вида се оценява на </w:t>
      </w:r>
      <w:r w:rsidRPr="00A8783E">
        <w:rPr>
          <w:rFonts w:ascii="Times New Roman" w:hAnsi="Times New Roman"/>
          <w:b/>
          <w:bCs/>
          <w:sz w:val="24"/>
          <w:szCs w:val="24"/>
          <w:lang w:eastAsia="bg-BG"/>
        </w:rPr>
        <w:t>1 индивид</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0,1-2 %</w:t>
      </w:r>
      <w:r w:rsidRPr="00A8783E">
        <w:rPr>
          <w:rFonts w:ascii="Times New Roman" w:hAnsi="Times New Roman"/>
          <w:color w:val="000000"/>
          <w:sz w:val="24"/>
          <w:szCs w:val="24"/>
          <w:lang w:eastAsia="bg-BG"/>
        </w:rPr>
        <w:t xml:space="preserve"> </w:t>
      </w:r>
      <w:r w:rsidRPr="00A8783E">
        <w:rPr>
          <w:rFonts w:ascii="Times New Roman" w:hAnsi="Times New Roman"/>
          <w:sz w:val="24"/>
          <w:szCs w:val="24"/>
          <w:lang w:eastAsia="bg-BG"/>
        </w:rPr>
        <w:t>от националната зимуваща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В Дунавската равнина е малочислен мигрант, наблюдаван в периода от септември до януари, когато стоящите води замръзват. Предпочита по-обширни водоеми – най-вече яз. Г. Дъбник (51% от всички наблюдавани индивиди), яз. Телиш, р. Дунав, яз. Каменец, яз. Александрово. В язовирите обикновено се придържа в най-дълбоките участъци. През пролетта не е установяван (Шурулинков и др., 2005). Черногушият гмуркач се среща с единични бройки по поречието на р. Дунав през есенно-зимния период на годината. В резервата „Сребърна“ е регистриран през декември 1987 г. и 1988 г. (ebird.org, D. Mitev). В периода 1977-1996 г. е рядка зимуваща птица в България със средна численост около 44 индивида. Най-голяма част от птиците се концентрират по най-южните части на южното Черноморие (Michev, Profirov, 2003). Според плана за управление на ПР „Сребърна“ общият брой на зимуващите птици за периода 2008-2013 г. е 1 инд. През 2019 г. и 2020 г. при средно-зимните преброявания по р. Дунав видът е наблюдаван с численост от 4 птици на 12.01.2019 г. и 9 птици на 11.01.2020 г., но на територията на СЗЗ „Сребърна“ не е отчетен.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3"/>
        <w:gridCol w:w="1134"/>
        <w:gridCol w:w="1275"/>
        <w:gridCol w:w="2694"/>
        <w:gridCol w:w="2541"/>
      </w:tblGrid>
      <w:tr w:rsidR="00A8783E" w:rsidRPr="00A8783E" w:rsidTr="005B5318">
        <w:trPr>
          <w:tblHeader/>
          <w:jc w:val="center"/>
        </w:trPr>
        <w:tc>
          <w:tcPr>
            <w:tcW w:w="1693" w:type="dxa"/>
            <w:shd w:val="clear" w:color="auto" w:fill="DBE5F1"/>
            <w:vAlign w:val="center"/>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Мерна единица </w:t>
            </w:r>
          </w:p>
        </w:tc>
        <w:tc>
          <w:tcPr>
            <w:tcW w:w="1275" w:type="dxa"/>
            <w:shd w:val="clear" w:color="auto" w:fill="DBE5F1"/>
            <w:vAlign w:val="center"/>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Целева стойност </w:t>
            </w:r>
          </w:p>
        </w:tc>
        <w:tc>
          <w:tcPr>
            <w:tcW w:w="2694" w:type="dxa"/>
            <w:shd w:val="clear" w:color="auto" w:fill="DBE5F1"/>
            <w:vAlign w:val="center"/>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Допълнителна информация </w:t>
            </w:r>
          </w:p>
        </w:tc>
        <w:tc>
          <w:tcPr>
            <w:tcW w:w="2541" w:type="dxa"/>
            <w:shd w:val="clear" w:color="auto" w:fill="DBE5F1"/>
            <w:vAlign w:val="center"/>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Специфични за зоната цели за опазване </w:t>
            </w:r>
          </w:p>
        </w:tc>
      </w:tr>
      <w:tr w:rsidR="00A8783E" w:rsidRPr="00A8783E" w:rsidTr="005B5318">
        <w:trPr>
          <w:trHeight w:val="606"/>
          <w:jc w:val="center"/>
        </w:trPr>
        <w:tc>
          <w:tcPr>
            <w:tcW w:w="169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27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1 инд.</w:t>
            </w:r>
          </w:p>
        </w:tc>
        <w:tc>
          <w:tcPr>
            <w:tcW w:w="2694" w:type="dxa"/>
          </w:tcPr>
          <w:p w:rsidR="00A8783E" w:rsidRPr="00A8783E" w:rsidRDefault="00A8783E" w:rsidP="00A8783E">
            <w:pPr>
              <w:spacing w:after="0" w:line="240" w:lineRule="auto"/>
              <w:jc w:val="both"/>
              <w:rPr>
                <w:rFonts w:ascii="Times New Roman" w:hAnsi="Times New Roman"/>
                <w:lang w:eastAsia="bg-BG"/>
              </w:rPr>
            </w:pP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 СФ за концентрацията на вида в зоната е посочена численост 1 инд. </w:t>
            </w:r>
          </w:p>
          <w:p w:rsidR="00A8783E" w:rsidRPr="00A8783E" w:rsidRDefault="00A8783E" w:rsidP="00A8783E">
            <w:pPr>
              <w:spacing w:after="0" w:line="240" w:lineRule="auto"/>
              <w:jc w:val="both"/>
              <w:rPr>
                <w:rFonts w:ascii="Times New Roman" w:hAnsi="Times New Roman"/>
                <w:lang w:eastAsia="bg-BG"/>
              </w:rPr>
            </w:pPr>
          </w:p>
        </w:tc>
        <w:tc>
          <w:tcPr>
            <w:tcW w:w="254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популацията най-малко 1 инд. Да се извърши целенасочен мониторинг за установяване на размера на мигриращата популация до 2025 г. като се следва одобрена от ИАОС методика.</w:t>
            </w:r>
          </w:p>
        </w:tc>
      </w:tr>
      <w:tr w:rsidR="00A8783E" w:rsidRPr="00A8783E" w:rsidTr="005B5318">
        <w:trPr>
          <w:trHeight w:val="748"/>
          <w:jc w:val="center"/>
        </w:trPr>
        <w:tc>
          <w:tcPr>
            <w:tcW w:w="169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зимуващата популация</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27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1 инд.</w:t>
            </w:r>
          </w:p>
        </w:tc>
        <w:tc>
          <w:tcPr>
            <w:tcW w:w="269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Целевата стойност е определена от СФ и данните от онлайн платформата ebird.org. Тези данни се нуждаят от потвърждение в резултат на адекватен мониторинг в периода октомври – февруари месец.</w:t>
            </w:r>
          </w:p>
        </w:tc>
        <w:tc>
          <w:tcPr>
            <w:tcW w:w="254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Редовен мониторинг на зимуващите водолюбиви птици като се следва одобрена от ИАОС методика.</w:t>
            </w:r>
          </w:p>
        </w:tc>
      </w:tr>
      <w:tr w:rsidR="00A8783E" w:rsidRPr="00A8783E" w:rsidTr="005B5318">
        <w:trPr>
          <w:trHeight w:val="560"/>
          <w:jc w:val="center"/>
        </w:trPr>
        <w:tc>
          <w:tcPr>
            <w:tcW w:w="169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хранителни местообитания на вида</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7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275</w:t>
            </w:r>
          </w:p>
        </w:tc>
        <w:tc>
          <w:tcPr>
            <w:tcW w:w="269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Данните са взети от СФ като % на местообитание N06 - Вътрешни водни тела (застояла вода, течаща вода).</w:t>
            </w:r>
          </w:p>
        </w:tc>
        <w:tc>
          <w:tcPr>
            <w:tcW w:w="254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Това местообитание няма как да се поддържа, може само да се мониторира.</w:t>
            </w:r>
          </w:p>
        </w:tc>
      </w:tr>
      <w:tr w:rsidR="00A8783E" w:rsidRPr="00A8783E" w:rsidTr="005B5318">
        <w:trPr>
          <w:trHeight w:val="748"/>
          <w:jc w:val="center"/>
        </w:trPr>
        <w:tc>
          <w:tcPr>
            <w:tcW w:w="169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 по биологичен елемент риби (JDS4-Fish)</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5 степенна скала за екологично състояние</w:t>
            </w:r>
          </w:p>
        </w:tc>
        <w:tc>
          <w:tcPr>
            <w:tcW w:w="127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1-Отлично/2-Добро</w:t>
            </w:r>
          </w:p>
        </w:tc>
        <w:tc>
          <w:tcPr>
            <w:tcW w:w="2694" w:type="dxa"/>
          </w:tcPr>
          <w:tbl>
            <w:tblPr>
              <w:tblW w:w="3333" w:type="dxa"/>
              <w:jc w:val="center"/>
              <w:tblLayout w:type="fixed"/>
              <w:tblCellMar>
                <w:left w:w="70" w:type="dxa"/>
                <w:right w:w="70" w:type="dxa"/>
              </w:tblCellMar>
              <w:tblLook w:val="00A0" w:firstRow="1" w:lastRow="0" w:firstColumn="1" w:lastColumn="0" w:noHBand="0" w:noVBand="0"/>
            </w:tblPr>
            <w:tblGrid>
              <w:gridCol w:w="3333"/>
            </w:tblGrid>
            <w:tr w:rsidR="00A8783E" w:rsidRPr="00A8783E" w:rsidTr="005B5318">
              <w:trPr>
                <w:trHeight w:val="63"/>
                <w:jc w:val="center"/>
              </w:trPr>
              <w:tc>
                <w:tcPr>
                  <w:tcW w:w="3333"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firstLine="454"/>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295"/>
                <w:jc w:val="center"/>
              </w:trPr>
              <w:tc>
                <w:tcPr>
                  <w:tcW w:w="3333"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firstLine="454"/>
                    <w:rPr>
                      <w:rFonts w:ascii="Times New Roman" w:hAnsi="Times New Roman"/>
                      <w:lang w:eastAsia="bg-BG"/>
                    </w:rPr>
                  </w:pPr>
                  <w:r w:rsidRPr="00A8783E">
                    <w:rPr>
                      <w:rFonts w:ascii="Times New Roman" w:hAnsi="Times New Roman"/>
                      <w:lang w:eastAsia="bg-BG"/>
                    </w:rPr>
                    <w:t>1-Отлично - High</w:t>
                  </w:r>
                </w:p>
              </w:tc>
            </w:tr>
            <w:tr w:rsidR="00A8783E" w:rsidRPr="00A8783E" w:rsidTr="005B5318">
              <w:trPr>
                <w:trHeight w:val="295"/>
                <w:jc w:val="center"/>
              </w:trPr>
              <w:tc>
                <w:tcPr>
                  <w:tcW w:w="3333"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firstLine="454"/>
                    <w:rPr>
                      <w:rFonts w:ascii="Times New Roman" w:hAnsi="Times New Roman"/>
                      <w:lang w:eastAsia="bg-BG"/>
                    </w:rPr>
                  </w:pPr>
                  <w:r w:rsidRPr="00A8783E">
                    <w:rPr>
                      <w:rFonts w:ascii="Times New Roman" w:hAnsi="Times New Roman"/>
                      <w:lang w:eastAsia="bg-BG"/>
                    </w:rPr>
                    <w:t>2-Добро - Good</w:t>
                  </w:r>
                </w:p>
              </w:tc>
            </w:tr>
            <w:tr w:rsidR="00A8783E" w:rsidRPr="00A8783E" w:rsidTr="005B5318">
              <w:trPr>
                <w:trHeight w:val="295"/>
                <w:jc w:val="center"/>
              </w:trPr>
              <w:tc>
                <w:tcPr>
                  <w:tcW w:w="3333"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firstLine="454"/>
                    <w:rPr>
                      <w:rFonts w:ascii="Times New Roman" w:hAnsi="Times New Roman"/>
                      <w:lang w:eastAsia="bg-BG"/>
                    </w:rPr>
                  </w:pPr>
                  <w:r w:rsidRPr="00A8783E">
                    <w:rPr>
                      <w:rFonts w:ascii="Times New Roman" w:hAnsi="Times New Roman"/>
                      <w:lang w:eastAsia="bg-BG"/>
                    </w:rPr>
                    <w:t>3-Умерено - Moderate</w:t>
                  </w:r>
                </w:p>
              </w:tc>
            </w:tr>
            <w:tr w:rsidR="00A8783E" w:rsidRPr="00A8783E" w:rsidTr="005B5318">
              <w:trPr>
                <w:trHeight w:val="295"/>
                <w:jc w:val="center"/>
              </w:trPr>
              <w:tc>
                <w:tcPr>
                  <w:tcW w:w="3333"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firstLine="454"/>
                    <w:rPr>
                      <w:rFonts w:ascii="Times New Roman" w:hAnsi="Times New Roman"/>
                      <w:lang w:eastAsia="bg-BG"/>
                    </w:rPr>
                  </w:pPr>
                  <w:r w:rsidRPr="00A8783E">
                    <w:rPr>
                      <w:rFonts w:ascii="Times New Roman" w:hAnsi="Times New Roman"/>
                      <w:lang w:eastAsia="bg-BG"/>
                    </w:rPr>
                    <w:t>4-Лошо - Poor</w:t>
                  </w:r>
                </w:p>
              </w:tc>
            </w:tr>
            <w:tr w:rsidR="00A8783E" w:rsidRPr="00A8783E" w:rsidTr="005B5318">
              <w:trPr>
                <w:trHeight w:val="295"/>
                <w:jc w:val="center"/>
              </w:trPr>
              <w:tc>
                <w:tcPr>
                  <w:tcW w:w="3333"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firstLine="454"/>
                    <w:rPr>
                      <w:rFonts w:ascii="Times New Roman" w:hAnsi="Times New Roman"/>
                      <w:lang w:eastAsia="bg-BG"/>
                    </w:rPr>
                  </w:pPr>
                  <w:r w:rsidRPr="00A8783E">
                    <w:rPr>
                      <w:rFonts w:ascii="Times New Roman" w:hAnsi="Times New Roman"/>
                      <w:lang w:eastAsia="bg-BG"/>
                    </w:rPr>
                    <w:t>5-Много лошо - Bad</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на р. Дунав в пункт „Силистра“ е оценено на </w:t>
            </w:r>
            <w:r w:rsidRPr="00A8783E">
              <w:rPr>
                <w:rFonts w:ascii="Times New Roman" w:hAnsi="Times New Roman"/>
                <w:b/>
                <w:bCs/>
                <w:lang w:eastAsia="bg-BG"/>
              </w:rPr>
              <w:t>умерено (3)</w:t>
            </w:r>
            <w:r w:rsidRPr="00A8783E">
              <w:rPr>
                <w:rFonts w:ascii="Times New Roman" w:hAnsi="Times New Roman"/>
                <w:lang w:eastAsia="bg-BG"/>
              </w:rPr>
              <w:t xml:space="preserve"> според доклада на JDS4 (2019-2020, табл. 5, стр. 51). Екологичното състояние на езерото Сребърна по БЕК Риби е оценено като </w:t>
            </w:r>
            <w:r w:rsidRPr="00A8783E">
              <w:rPr>
                <w:rFonts w:ascii="Times New Roman" w:hAnsi="Times New Roman"/>
                <w:b/>
                <w:bCs/>
                <w:lang w:eastAsia="bg-BG"/>
              </w:rPr>
              <w:t>„Умерено“</w:t>
            </w:r>
            <w:r w:rsidRPr="00A8783E">
              <w:rPr>
                <w:rFonts w:ascii="Times New Roman" w:hAnsi="Times New Roman"/>
                <w:lang w:eastAsia="bg-BG"/>
              </w:rPr>
              <w:t>, Отлично по БЕК Макрозообентос и Лошо – по БЕК Фитопланктон и БЕК Макрофити.</w:t>
            </w:r>
          </w:p>
        </w:tc>
        <w:tc>
          <w:tcPr>
            <w:tcW w:w="254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20" w:line="259" w:lineRule="auto"/>
        <w:jc w:val="both"/>
        <w:rPr>
          <w:rFonts w:ascii="Times New Roman" w:hAnsi="Times New Roman"/>
          <w:sz w:val="24"/>
          <w:szCs w:val="24"/>
        </w:rPr>
      </w:pPr>
    </w:p>
    <w:p w:rsidR="00A8783E" w:rsidRPr="00A8783E" w:rsidRDefault="00A8783E" w:rsidP="00A8783E">
      <w:pPr>
        <w:keepNext/>
        <w:keepLines/>
        <w:spacing w:before="40" w:after="0" w:line="259" w:lineRule="auto"/>
        <w:outlineLvl w:val="1"/>
        <w:rPr>
          <w:rFonts w:ascii="Times New Roman" w:hAnsi="Times New Roman"/>
          <w:color w:val="2E74B5"/>
          <w:sz w:val="28"/>
          <w:szCs w:val="28"/>
          <w:lang w:eastAsia="bg-BG"/>
        </w:rPr>
      </w:pPr>
      <w:bookmarkStart w:id="117" w:name="_Toc89106057"/>
      <w:bookmarkStart w:id="118" w:name="_Toc98741896"/>
      <w:bookmarkStart w:id="119" w:name="_Toc98838571"/>
      <w:r w:rsidRPr="00A8783E">
        <w:rPr>
          <w:rFonts w:ascii="Times New Roman" w:hAnsi="Times New Roman"/>
          <w:color w:val="2E74B5"/>
          <w:sz w:val="28"/>
          <w:szCs w:val="28"/>
          <w:lang w:eastAsia="bg-BG"/>
        </w:rPr>
        <w:t xml:space="preserve">Специфични цели за А004 </w:t>
      </w:r>
      <w:r w:rsidRPr="00A8783E">
        <w:rPr>
          <w:rFonts w:ascii="Times New Roman" w:hAnsi="Times New Roman"/>
          <w:i/>
          <w:iCs/>
          <w:color w:val="2E74B5"/>
          <w:sz w:val="28"/>
          <w:szCs w:val="28"/>
          <w:lang w:val="en-US" w:eastAsia="bg-BG"/>
        </w:rPr>
        <w:t>Tachybaptus</w:t>
      </w:r>
      <w:r w:rsidRPr="00A8783E">
        <w:rPr>
          <w:rFonts w:ascii="Times New Roman" w:hAnsi="Times New Roman"/>
          <w:i/>
          <w:iCs/>
          <w:color w:val="2E74B5"/>
          <w:sz w:val="28"/>
          <w:szCs w:val="28"/>
          <w:lang w:eastAsia="bg-BG"/>
        </w:rPr>
        <w:t xml:space="preserve"> </w:t>
      </w:r>
      <w:r w:rsidRPr="00A8783E">
        <w:rPr>
          <w:rFonts w:ascii="Times New Roman" w:hAnsi="Times New Roman"/>
          <w:i/>
          <w:iCs/>
          <w:color w:val="2E74B5"/>
          <w:sz w:val="28"/>
          <w:szCs w:val="28"/>
          <w:lang w:val="en-US" w:eastAsia="bg-BG"/>
        </w:rPr>
        <w:t>ruficollis</w:t>
      </w:r>
      <w:r w:rsidRPr="00A8783E">
        <w:rPr>
          <w:rFonts w:ascii="Times New Roman" w:hAnsi="Times New Roman"/>
          <w:color w:val="2E74B5"/>
          <w:sz w:val="28"/>
          <w:szCs w:val="28"/>
          <w:lang w:eastAsia="bg-BG"/>
        </w:rPr>
        <w:t xml:space="preserve"> (малък гмурец)</w:t>
      </w:r>
      <w:bookmarkEnd w:id="117"/>
      <w:bookmarkEnd w:id="118"/>
      <w:bookmarkEnd w:id="119"/>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Дължината на тялото: 23-29 cm, размах на крилата: 40-45 cm. В брачно оперение темето, гърбът и вратът са черно-кафяви. Бузите, шията и горната част на гърдите са кестеняво-рижи. Тялото отстрани е черно-кафяво. В зимно оперение общата окраска е по-светла и размита. Бузите, шията и гърдите бежово-кафяви. Подбрадието и коремът – бели. Гърбът е тъмен. Без полов диморфизъм, със слаби възрастови различия. Младите са като възрастните в зимно оперение, но с тъмни ивици зад и под окото (</w:t>
      </w:r>
      <w:r w:rsidRPr="00A8783E">
        <w:rPr>
          <w:rFonts w:ascii="Times New Roman" w:hAnsi="Times New Roman"/>
          <w:sz w:val="24"/>
          <w:szCs w:val="24"/>
          <w:lang w:val="en-US" w:eastAsia="bg-BG"/>
        </w:rPr>
        <w:t>Svensson</w:t>
      </w:r>
      <w:r w:rsidRPr="00A8783E">
        <w:rPr>
          <w:rFonts w:ascii="Times New Roman" w:hAnsi="Times New Roman"/>
          <w:sz w:val="24"/>
          <w:szCs w:val="24"/>
          <w:lang w:eastAsia="bg-BG"/>
        </w:rPr>
        <w:t xml:space="preserve">, 2009; Симеонов и др., 1990; </w:t>
      </w:r>
      <w:r w:rsidRPr="00A8783E">
        <w:rPr>
          <w:rFonts w:ascii="Times New Roman" w:hAnsi="Times New Roman"/>
          <w:sz w:val="24"/>
          <w:szCs w:val="24"/>
          <w:lang w:val="en-US" w:eastAsia="bg-BG"/>
        </w:rPr>
        <w:t>Cramp</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and</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Simmons</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eds</w:t>
      </w:r>
      <w:r w:rsidRPr="00A8783E">
        <w:rPr>
          <w:rFonts w:ascii="Times New Roman" w:hAnsi="Times New Roman"/>
          <w:sz w:val="24"/>
          <w:szCs w:val="24"/>
          <w:lang w:eastAsia="bg-BG"/>
        </w:rPr>
        <w:t xml:space="preserve">., 1977).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Гнездящ, мигриращ и зимуващ вид за страната. Зимува по незамръзналите водоеми в границите на гнездовия ареал. Птици от Северна и Средна Европа зимуват по Черноморието. Миграцията е от началото на септември до март. В средата на зимата по водоемите на страната се задържат няколко стотин екземпляра – между 400 и 1500 индивида съгласно Докладването от 2019 г. По-големи струпвания са установени във Варненското езеро, залива при Бургас и яз. Искър. Гнезди на отделни двойки и в колонии. Снася в края на април, началото на май 4 до 10 бели яйца. Малките са гнездобегълци (Симеонов и др., 1990; Нанкинов, 2012).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През размножителния период, миграция и зимуване обитава както равнинните, така и планински водоеми. Среща се в малки и големи сладководни или бракични водоеми, като езера, реки, блата, канали, рибарници, утайници и др., обрасли с тръстика, камъш, папур и друга водна растителност до 800 м.н.в. При миграция и зимуване се концентрира предимно по морските заливи, крайморските езера и блата и язовирите (Симеонов и др., 1990). 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Храни се с дребна риба, ракообразни, миди, жаби, водни насекоми и техните ларви, а също така и с водорасли (Нанкинов, 2012).</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eastAsia="GroteskHSBg-Light" w:hAnsi="Times New Roman"/>
          <w:sz w:val="24"/>
          <w:szCs w:val="24"/>
          <w:lang w:eastAsia="bg-BG"/>
        </w:rPr>
      </w:pPr>
      <w:r w:rsidRPr="00A8783E">
        <w:rPr>
          <w:rFonts w:ascii="Times New Roman" w:eastAsia="GroteskHSBg-Light" w:hAnsi="Times New Roman"/>
          <w:sz w:val="24"/>
          <w:szCs w:val="24"/>
          <w:lang w:eastAsia="bg-BG"/>
        </w:rPr>
        <w:t>Видът е разпространен в цялата равнинна и полупланинска част на страната, където има макар и малки влажни зони, обрасли с висша водна растителност. Основната част от популацията е концентрирана в Тракийската низина, по Дунавското и Черноморското крайбрежие, в Дунавската равнина, Софийското поле и по долините на по-големите реки</w:t>
      </w:r>
      <w:r w:rsidRPr="00A8783E">
        <w:rPr>
          <w:rFonts w:ascii="Times New Roman" w:hAnsi="Times New Roman"/>
          <w:sz w:val="24"/>
          <w:szCs w:val="24"/>
          <w:lang w:eastAsia="bg-BG"/>
        </w:rPr>
        <w:t xml:space="preserve"> (Янков отг. ред., 2007). </w:t>
      </w:r>
      <w:r w:rsidRPr="00A8783E">
        <w:rPr>
          <w:rFonts w:ascii="Times New Roman" w:eastAsia="GroteskHSBg-Light" w:hAnsi="Times New Roman"/>
          <w:sz w:val="24"/>
          <w:szCs w:val="24"/>
          <w:lang w:eastAsia="bg-BG"/>
        </w:rPr>
        <w:t xml:space="preserve">В Тунджанската равнина гнездови находища има по р. Тунджа, в редица рибарници, язовири и микроязовири. През зимния период малките гмурци се концентрират в речните вирове по р. Тунджа, кариерите покрай реката и язовирите (Даскалова и др., 2020). </w:t>
      </w:r>
      <w:r w:rsidRPr="00A8783E">
        <w:rPr>
          <w:rFonts w:ascii="Times New Roman" w:hAnsi="Times New Roman"/>
          <w:sz w:val="24"/>
          <w:szCs w:val="24"/>
          <w:lang w:eastAsia="bg-BG"/>
        </w:rPr>
        <w:t>По дунавското крайбрежие видът е разпространен в почти всички подходящи местообитания, но не е многочислен. Регистриран е във влажни зони, покрити с гъсти тръстикови масиви. Броят варира между 24 и 50 гн. двойки, но предвид характера на местообитанието и ниската откриваемост, вероятно числеността е по-висока (</w:t>
      </w:r>
      <w:r w:rsidRPr="00A8783E">
        <w:rPr>
          <w:rFonts w:ascii="Times New Roman" w:hAnsi="Times New Roman"/>
          <w:sz w:val="24"/>
          <w:szCs w:val="24"/>
          <w:lang w:val="en-US" w:eastAsia="bg-BG"/>
        </w:rPr>
        <w:t>Shurulinkov</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et</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al</w:t>
      </w:r>
      <w:r w:rsidRPr="00A8783E">
        <w:rPr>
          <w:rFonts w:ascii="Times New Roman" w:hAnsi="Times New Roman"/>
          <w:sz w:val="24"/>
          <w:szCs w:val="24"/>
          <w:lang w:eastAsia="bg-BG"/>
        </w:rPr>
        <w:t>., 2019).</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видът е слабо засегнат –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Включен в Червената книга на България в категорията „Уязвим вид”. Включен в Приложение 3 на ЗБР.</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 xml:space="preserve">Съгласно Докладването от 2019 г. (за периода 2013 – 2018 г.) националната гнездяща популация на вида се оценява на 500 – 1500 двойки, а според Янков, 2007 числеността е 800 – 1900 двойки. Краткосрочната тенденция на популацията (за периода 2000 – 2018 г.), както и дългосрочната (за периода 1980 – 2018 г.) е неизвестна. За гнездовата популация са посочени следните заплахи: </w:t>
      </w:r>
      <w:r w:rsidRPr="00A8783E">
        <w:rPr>
          <w:rFonts w:ascii="Times New Roman" w:hAnsi="Times New Roman"/>
          <w:sz w:val="24"/>
          <w:szCs w:val="24"/>
          <w:lang w:val="en-GB" w:eastAsia="bg-BG"/>
        </w:rPr>
        <w:t>G</w:t>
      </w:r>
      <w:r w:rsidRPr="00A8783E">
        <w:rPr>
          <w:rFonts w:ascii="Times New Roman" w:hAnsi="Times New Roman"/>
          <w:sz w:val="24"/>
          <w:szCs w:val="24"/>
          <w:lang w:eastAsia="bg-BG"/>
        </w:rPr>
        <w:t xml:space="preserve">05, </w:t>
      </w:r>
      <w:r w:rsidRPr="00A8783E">
        <w:rPr>
          <w:rFonts w:ascii="Times New Roman" w:hAnsi="Times New Roman"/>
          <w:sz w:val="24"/>
          <w:szCs w:val="24"/>
          <w:lang w:val="en-US" w:eastAsia="bg-BG"/>
        </w:rPr>
        <w:t>G</w:t>
      </w:r>
      <w:r w:rsidRPr="00A8783E">
        <w:rPr>
          <w:rFonts w:ascii="Times New Roman" w:hAnsi="Times New Roman"/>
          <w:sz w:val="24"/>
          <w:szCs w:val="24"/>
          <w:lang w:eastAsia="bg-BG"/>
        </w:rPr>
        <w:t xml:space="preserve">06, </w:t>
      </w:r>
      <w:r w:rsidRPr="00A8783E">
        <w:rPr>
          <w:rFonts w:ascii="Times New Roman" w:hAnsi="Times New Roman"/>
          <w:sz w:val="24"/>
          <w:szCs w:val="24"/>
          <w:lang w:val="en-US" w:eastAsia="bg-BG"/>
        </w:rPr>
        <w:t>J</w:t>
      </w:r>
      <w:r w:rsidRPr="00A8783E">
        <w:rPr>
          <w:rFonts w:ascii="Times New Roman" w:hAnsi="Times New Roman"/>
          <w:sz w:val="24"/>
          <w:szCs w:val="24"/>
          <w:lang w:eastAsia="bg-BG"/>
        </w:rPr>
        <w:t xml:space="preserve">02, </w:t>
      </w:r>
      <w:r w:rsidRPr="00A8783E">
        <w:rPr>
          <w:rFonts w:ascii="Times New Roman" w:hAnsi="Times New Roman"/>
          <w:sz w:val="24"/>
          <w:szCs w:val="24"/>
          <w:lang w:val="en-GB" w:eastAsia="bg-BG"/>
        </w:rPr>
        <w:t>F</w:t>
      </w:r>
      <w:r w:rsidRPr="00A8783E">
        <w:rPr>
          <w:rFonts w:ascii="Times New Roman" w:hAnsi="Times New Roman"/>
          <w:sz w:val="24"/>
          <w:szCs w:val="24"/>
          <w:lang w:eastAsia="bg-BG"/>
        </w:rPr>
        <w:t>02.</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Зимуващата популация е оценена на 400 – 1500 индивида, като по данни от  Средно зимно преброяване за България през период 2013-2018, минималната зимуваща популация е 384 индивида, а максималната – 987. Краткосрочната тенденция на популацията (за периода 2000 – 2018 г.) е нарастваща, а дългосрочната (за периода 1980 – 2018 г.) е флуктуираща, променлива.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Мигриращата национална популация е оценена на 500 – 1000 индивида. За мигриращата популация са посочени следните заплахи: К04, </w:t>
      </w:r>
      <w:r w:rsidRPr="00A8783E">
        <w:rPr>
          <w:rFonts w:ascii="Times New Roman" w:hAnsi="Times New Roman"/>
          <w:sz w:val="24"/>
          <w:szCs w:val="24"/>
          <w:lang w:val="en-GB" w:eastAsia="bg-BG"/>
        </w:rPr>
        <w:t>F</w:t>
      </w:r>
      <w:r w:rsidRPr="00A8783E">
        <w:rPr>
          <w:rFonts w:ascii="Times New Roman" w:hAnsi="Times New Roman"/>
          <w:sz w:val="24"/>
          <w:szCs w:val="24"/>
          <w:lang w:eastAsia="bg-BG"/>
        </w:rPr>
        <w:t xml:space="preserve">26, </w:t>
      </w:r>
      <w:r w:rsidRPr="00A8783E">
        <w:rPr>
          <w:rFonts w:ascii="Times New Roman" w:hAnsi="Times New Roman"/>
          <w:sz w:val="24"/>
          <w:szCs w:val="24"/>
          <w:lang w:val="en-GB" w:eastAsia="bg-BG"/>
        </w:rPr>
        <w:t>G</w:t>
      </w:r>
      <w:r w:rsidRPr="00A8783E">
        <w:rPr>
          <w:rFonts w:ascii="Times New Roman" w:hAnsi="Times New Roman"/>
          <w:sz w:val="24"/>
          <w:szCs w:val="24"/>
          <w:lang w:eastAsia="bg-BG"/>
        </w:rPr>
        <w:t>12.</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СФ на зоната вида е гнездящ, преминаващ и зимуващ. </w:t>
      </w:r>
      <w:r w:rsidRPr="00A8783E">
        <w:rPr>
          <w:rFonts w:ascii="Times New Roman" w:hAnsi="Times New Roman"/>
          <w:b/>
          <w:bCs/>
          <w:sz w:val="24"/>
          <w:szCs w:val="24"/>
          <w:lang w:eastAsia="bg-BG"/>
        </w:rPr>
        <w:t>Гнездящата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10 - 15 двойки</w:t>
      </w:r>
      <w:r w:rsidRPr="00A8783E">
        <w:rPr>
          <w:rFonts w:ascii="Times New Roman" w:hAnsi="Times New Roman"/>
          <w:sz w:val="24"/>
          <w:szCs w:val="24"/>
          <w:lang w:eastAsia="bg-BG"/>
        </w:rPr>
        <w:t>, което представлява 1,0 - 2,0 %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СФ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 на </w:t>
      </w:r>
      <w:r w:rsidRPr="00A8783E">
        <w:rPr>
          <w:rFonts w:ascii="Times New Roman" w:hAnsi="Times New Roman"/>
          <w:b/>
          <w:bCs/>
          <w:sz w:val="24"/>
          <w:szCs w:val="24"/>
          <w:lang w:eastAsia="bg-BG"/>
        </w:rPr>
        <w:t>1 - 13 индивида</w:t>
      </w:r>
      <w:r w:rsidRPr="00A8783E">
        <w:rPr>
          <w:rFonts w:ascii="Times New Roman" w:hAnsi="Times New Roman"/>
          <w:sz w:val="24"/>
          <w:szCs w:val="24"/>
          <w:lang w:eastAsia="bg-BG"/>
        </w:rPr>
        <w:t>, което е 0,2 – 1,3 %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СФ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на вида се оценява на </w:t>
      </w:r>
      <w:r w:rsidRPr="00A8783E">
        <w:rPr>
          <w:rFonts w:ascii="Times New Roman" w:hAnsi="Times New Roman"/>
          <w:b/>
          <w:bCs/>
          <w:sz w:val="24"/>
          <w:szCs w:val="24"/>
          <w:lang w:eastAsia="bg-BG"/>
        </w:rPr>
        <w:t>0 - 1 индивид</w:t>
      </w:r>
      <w:r w:rsidRPr="00A8783E">
        <w:rPr>
          <w:rFonts w:ascii="Times New Roman" w:hAnsi="Times New Roman"/>
          <w:sz w:val="24"/>
          <w:szCs w:val="24"/>
          <w:lang w:eastAsia="bg-BG"/>
        </w:rPr>
        <w:t>, което е 0,07 – 0,3</w:t>
      </w:r>
      <w:r w:rsidRPr="00A8783E">
        <w:rPr>
          <w:rFonts w:ascii="Times New Roman" w:hAnsi="Times New Roman"/>
          <w:b/>
          <w:bCs/>
          <w:sz w:val="24"/>
          <w:szCs w:val="24"/>
          <w:lang w:eastAsia="bg-BG"/>
        </w:rPr>
        <w:t xml:space="preserve"> </w:t>
      </w:r>
      <w:r w:rsidRPr="00A8783E">
        <w:rPr>
          <w:rFonts w:ascii="Times New Roman" w:hAnsi="Times New Roman"/>
          <w:sz w:val="24"/>
          <w:szCs w:val="24"/>
          <w:lang w:eastAsia="bg-BG"/>
        </w:rPr>
        <w:t>% 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color w:val="000000"/>
          <w:sz w:val="24"/>
          <w:szCs w:val="24"/>
          <w:lang w:eastAsia="bg-BG"/>
        </w:rPr>
      </w:pPr>
      <w:r w:rsidRPr="00A8783E">
        <w:rPr>
          <w:rFonts w:ascii="Times New Roman" w:hAnsi="Times New Roman"/>
          <w:i/>
          <w:iCs/>
          <w:color w:val="000000"/>
          <w:sz w:val="24"/>
          <w:szCs w:val="24"/>
          <w:lang w:eastAsia="bg-BG"/>
        </w:rPr>
        <w:t>Гнездяща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Най-многочисления вид от гмурците, след големия гмурец, като в Сребърна е по-малоброен (Иванов, 1979). Публикуваната информация за гнезденето на вида в зоната през 2001 и 2002 г. е съответно 27 и 23 двойки (</w:t>
      </w:r>
      <w:r w:rsidRPr="00A8783E">
        <w:rPr>
          <w:rFonts w:ascii="Times New Roman" w:hAnsi="Times New Roman"/>
          <w:color w:val="000000"/>
          <w:sz w:val="24"/>
          <w:szCs w:val="24"/>
          <w:lang w:val="en-US" w:eastAsia="bg-BG"/>
        </w:rPr>
        <w:t>Kamburova</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and</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xml:space="preserve">, 2003). В периода 2006-2013 г. се посочва численост между 5 и 15 двойки, като Сребърна е най-важното място за гнездене на вида по дунавското крайбрежие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xml:space="preserve">., 2019). В Сребърна гнездят около 32% от двойките размножаващи се по дунавското крайбрежие. Според Матеева и др. (2013) в зоната са гнездили минимум 15 двойки през 2012 г. В Актуализирания Плана за управление на ПР „Сребърна” (2014 г.), се посочва че видът гнезди в обширните тръстикови масиви (хелофитна растителност), с численост 15-20 дв. или около 1% от националната гнездова популация. </w:t>
      </w:r>
      <w:r w:rsidRPr="00A8783E">
        <w:rPr>
          <w:rFonts w:ascii="Times New Roman" w:hAnsi="Times New Roman"/>
          <w:sz w:val="24"/>
          <w:szCs w:val="24"/>
          <w:lang w:eastAsia="bg-BG"/>
        </w:rPr>
        <w:t xml:space="preserve">При теренните проучвания през 2021 г. видът бе наблюдаван на 20.05.2021 в югозападния край на езерото (под селото). </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Зимуваща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Данните за зимуването на вида в зоната са от средно зимните преброявания от 2013 до 2020 г., ПУ на ПР „Сребърна” и публикациите на Иванов (1979 и 2008). При средно-зимните преброявания видът е наблюдаван на 13.01.2018 в езерото Сребърна – 1 </w:t>
      </w:r>
      <w:r w:rsidRPr="00A8783E">
        <w:rPr>
          <w:rFonts w:ascii="Times New Roman" w:hAnsi="Times New Roman"/>
          <w:sz w:val="24"/>
          <w:szCs w:val="24"/>
          <w:lang w:eastAsia="bg-BG"/>
        </w:rPr>
        <w:lastRenderedPageBreak/>
        <w:t>екземпляр. През зимата видът е рядък, като единични индивиди зимуват по-често в реката. При преброявания в реката между Сомовит и Силистра през 1984-2005 г, видът е установен през три години: 1984 – 10 птици, 1996 – 7 птици и 2005 г. – 18 птици. За 25 годишен период 1977-2001 г, през зимата са наблюдавани общо 6 малки гмурци (</w:t>
      </w:r>
      <w:r w:rsidRPr="00A8783E">
        <w:rPr>
          <w:rFonts w:ascii="Times New Roman" w:hAnsi="Times New Roman"/>
          <w:sz w:val="24"/>
          <w:szCs w:val="24"/>
          <w:lang w:val="en-US" w:eastAsia="bg-BG"/>
        </w:rPr>
        <w:t>Michev</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and</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Profirov</w:t>
      </w:r>
      <w:r w:rsidRPr="00A8783E">
        <w:rPr>
          <w:rFonts w:ascii="Times New Roman" w:hAnsi="Times New Roman"/>
          <w:sz w:val="24"/>
          <w:szCs w:val="24"/>
          <w:lang w:eastAsia="bg-BG"/>
        </w:rPr>
        <w:t>, 2003). От 2008 до 2013 г. зимуване на вида е отбелязано само през 2012 г. – 16 птици (ПУ „Сребърна”, по данни от ИАОС).</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Мигрираща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В извън гнездовия период малкия гмурец е най-масов през есента, от септември до януари, като по-късно числеността му намалява със замръзването на водоемите (Шурулинков и др., 2005). Липсват публикувани данни за концентрацията на вида в зоната по време на миграция. </w:t>
      </w:r>
    </w:p>
    <w:p w:rsidR="00A8783E" w:rsidRPr="00A8783E" w:rsidRDefault="00A8783E" w:rsidP="00A8783E">
      <w:pPr>
        <w:spacing w:after="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От посочените в Докладването от 2019 г. заплахи и влияния за гнездящата, мигриращата и зимуващата популация: </w:t>
      </w:r>
      <w:r w:rsidRPr="00A8783E">
        <w:rPr>
          <w:rFonts w:ascii="Times New Roman" w:hAnsi="Times New Roman"/>
          <w:sz w:val="24"/>
          <w:szCs w:val="24"/>
          <w:lang w:val="en-GB" w:eastAsia="bg-BG"/>
        </w:rPr>
        <w:t>G</w:t>
      </w:r>
      <w:r w:rsidRPr="00A8783E">
        <w:rPr>
          <w:rFonts w:ascii="Times New Roman" w:hAnsi="Times New Roman"/>
          <w:sz w:val="24"/>
          <w:szCs w:val="24"/>
          <w:lang w:eastAsia="bg-BG"/>
        </w:rPr>
        <w:t xml:space="preserve">05, </w:t>
      </w:r>
      <w:r w:rsidRPr="00A8783E">
        <w:rPr>
          <w:rFonts w:ascii="Times New Roman" w:hAnsi="Times New Roman"/>
          <w:sz w:val="24"/>
          <w:szCs w:val="24"/>
          <w:lang w:val="en-US" w:eastAsia="bg-BG"/>
        </w:rPr>
        <w:t>G</w:t>
      </w:r>
      <w:r w:rsidRPr="00A8783E">
        <w:rPr>
          <w:rFonts w:ascii="Times New Roman" w:hAnsi="Times New Roman"/>
          <w:sz w:val="24"/>
          <w:szCs w:val="24"/>
          <w:lang w:eastAsia="bg-BG"/>
        </w:rPr>
        <w:t xml:space="preserve">06, </w:t>
      </w:r>
      <w:r w:rsidRPr="00A8783E">
        <w:rPr>
          <w:rFonts w:ascii="Times New Roman" w:hAnsi="Times New Roman"/>
          <w:sz w:val="24"/>
          <w:szCs w:val="24"/>
          <w:lang w:val="en-US" w:eastAsia="bg-BG"/>
        </w:rPr>
        <w:t>J</w:t>
      </w:r>
      <w:r w:rsidRPr="00A8783E">
        <w:rPr>
          <w:rFonts w:ascii="Times New Roman" w:hAnsi="Times New Roman"/>
          <w:sz w:val="24"/>
          <w:szCs w:val="24"/>
          <w:lang w:eastAsia="bg-BG"/>
        </w:rPr>
        <w:t xml:space="preserve">02, </w:t>
      </w:r>
      <w:r w:rsidRPr="00A8783E">
        <w:rPr>
          <w:rFonts w:ascii="Times New Roman" w:hAnsi="Times New Roman"/>
          <w:sz w:val="24"/>
          <w:szCs w:val="24"/>
          <w:lang w:val="en-GB" w:eastAsia="bg-BG"/>
        </w:rPr>
        <w:t>F</w:t>
      </w:r>
      <w:r w:rsidRPr="00A8783E">
        <w:rPr>
          <w:rFonts w:ascii="Times New Roman" w:hAnsi="Times New Roman"/>
          <w:sz w:val="24"/>
          <w:szCs w:val="24"/>
          <w:lang w:eastAsia="bg-BG"/>
        </w:rPr>
        <w:t xml:space="preserve">02, К04, </w:t>
      </w:r>
      <w:r w:rsidRPr="00A8783E">
        <w:rPr>
          <w:rFonts w:ascii="Times New Roman" w:hAnsi="Times New Roman"/>
          <w:sz w:val="24"/>
          <w:szCs w:val="24"/>
          <w:lang w:val="en-GB" w:eastAsia="bg-BG"/>
        </w:rPr>
        <w:t>F</w:t>
      </w:r>
      <w:r w:rsidRPr="00A8783E">
        <w:rPr>
          <w:rFonts w:ascii="Times New Roman" w:hAnsi="Times New Roman"/>
          <w:sz w:val="24"/>
          <w:szCs w:val="24"/>
          <w:lang w:eastAsia="bg-BG"/>
        </w:rPr>
        <w:t xml:space="preserve">26, </w:t>
      </w:r>
      <w:r w:rsidRPr="00A8783E">
        <w:rPr>
          <w:rFonts w:ascii="Times New Roman" w:hAnsi="Times New Roman"/>
          <w:sz w:val="24"/>
          <w:szCs w:val="24"/>
          <w:lang w:val="en-GB" w:eastAsia="bg-BG"/>
        </w:rPr>
        <w:t>G</w:t>
      </w:r>
      <w:r w:rsidRPr="00A8783E">
        <w:rPr>
          <w:rFonts w:ascii="Times New Roman" w:hAnsi="Times New Roman"/>
          <w:sz w:val="24"/>
          <w:szCs w:val="24"/>
          <w:lang w:eastAsia="bg-BG"/>
        </w:rPr>
        <w:t xml:space="preserve">12, валидни за зоната са: </w:t>
      </w:r>
      <w:r w:rsidRPr="00A8783E">
        <w:rPr>
          <w:rFonts w:ascii="Times New Roman" w:hAnsi="Times New Roman"/>
          <w:sz w:val="24"/>
          <w:szCs w:val="24"/>
          <w:lang w:val="en-GB"/>
        </w:rPr>
        <w:t>G</w:t>
      </w:r>
      <w:r w:rsidRPr="00A8783E">
        <w:rPr>
          <w:rFonts w:ascii="Times New Roman" w:hAnsi="Times New Roman"/>
          <w:sz w:val="24"/>
          <w:szCs w:val="24"/>
        </w:rPr>
        <w:t xml:space="preserve">06 – Сладководен риболов и улов на черупчести организми (спортен); </w:t>
      </w:r>
      <w:r w:rsidRPr="00A8783E">
        <w:rPr>
          <w:rFonts w:ascii="Times New Roman" w:hAnsi="Times New Roman"/>
          <w:sz w:val="24"/>
          <w:szCs w:val="24"/>
          <w:lang w:val="en-GB"/>
        </w:rPr>
        <w:t>G</w:t>
      </w:r>
      <w:r w:rsidRPr="00A8783E">
        <w:rPr>
          <w:rFonts w:ascii="Times New Roman" w:hAnsi="Times New Roman"/>
          <w:sz w:val="24"/>
          <w:szCs w:val="24"/>
        </w:rPr>
        <w:t xml:space="preserve">12 - Прилов и инцидентно убиване (при риболовни и ловни дейности); К04 - Изменение на хидродинамичните характеристики. </w:t>
      </w:r>
      <w:r w:rsidRPr="00A8783E">
        <w:rPr>
          <w:rFonts w:ascii="Times New Roman" w:hAnsi="Times New Roman"/>
          <w:sz w:val="24"/>
          <w:szCs w:val="24"/>
          <w:lang w:eastAsia="bg-BG"/>
        </w:rPr>
        <w:t xml:space="preserve">Заплахи за видовете птици в зоната са бракониерството и незаконния отстрел, както и риболов с мрежени уреди, пожари в тръстиковите масиви и безпокойство.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2"/>
        <w:gridCol w:w="1359"/>
        <w:gridCol w:w="1417"/>
        <w:gridCol w:w="2610"/>
        <w:gridCol w:w="2187"/>
      </w:tblGrid>
      <w:tr w:rsidR="00A8783E" w:rsidRPr="00A8783E" w:rsidTr="005B5318">
        <w:trPr>
          <w:tblHeader/>
          <w:jc w:val="center"/>
        </w:trPr>
        <w:tc>
          <w:tcPr>
            <w:tcW w:w="1622"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359"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417"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610"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187"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622"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гнездовата популацията</w:t>
            </w:r>
          </w:p>
        </w:tc>
        <w:tc>
          <w:tcPr>
            <w:tcW w:w="1359"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417"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10 - 15 двойки </w:t>
            </w:r>
          </w:p>
        </w:tc>
        <w:tc>
          <w:tcPr>
            <w:tcW w:w="261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настоящия СФ (актуализиран през 2018 г.) са посочени 10 – 15 гнездящи двойки. Тези данни се потвърждават от извършен мониторинг в защитената зона през гнездовия период на 2021 г. и литературни източници през последните години.</w:t>
            </w:r>
          </w:p>
        </w:tc>
        <w:tc>
          <w:tcPr>
            <w:tcW w:w="218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популацията на вида в зоната в размер от най-малко 10 двойки.</w:t>
            </w:r>
          </w:p>
        </w:tc>
      </w:tr>
      <w:tr w:rsidR="00A8783E" w:rsidRPr="00A8783E" w:rsidTr="005B5318">
        <w:trPr>
          <w:jc w:val="center"/>
        </w:trPr>
        <w:tc>
          <w:tcPr>
            <w:tcW w:w="1622"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359"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41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1 – 13 инд.</w:t>
            </w:r>
          </w:p>
        </w:tc>
        <w:tc>
          <w:tcPr>
            <w:tcW w:w="2610" w:type="dxa"/>
          </w:tcPr>
          <w:p w:rsidR="00A8783E" w:rsidRPr="00A8783E" w:rsidRDefault="00A8783E" w:rsidP="00A8783E">
            <w:pPr>
              <w:spacing w:after="0" w:line="240" w:lineRule="auto"/>
              <w:jc w:val="both"/>
              <w:rPr>
                <w:rFonts w:ascii="Times New Roman" w:hAnsi="Times New Roman"/>
                <w:color w:val="000000"/>
                <w:lang w:eastAsia="bg-BG"/>
              </w:rPr>
            </w:pPr>
            <w:r w:rsidRPr="00A8783E">
              <w:rPr>
                <w:rFonts w:ascii="Times New Roman" w:hAnsi="Times New Roman"/>
                <w:lang w:eastAsia="bg-BG"/>
              </w:rPr>
              <w:t xml:space="preserve">Определена на база данните от СФ. </w:t>
            </w:r>
            <w:r w:rsidRPr="00A8783E">
              <w:rPr>
                <w:rFonts w:ascii="Times New Roman" w:hAnsi="Times New Roman"/>
                <w:color w:val="000000"/>
                <w:lang w:eastAsia="bg-BG"/>
              </w:rPr>
              <w:t xml:space="preserve">Не са налични данни за настоящата мигрираща численост на вида в зоната, поради което е предвидена междинна цел. </w:t>
            </w:r>
          </w:p>
          <w:p w:rsidR="00A8783E" w:rsidRPr="00A8783E" w:rsidRDefault="00A8783E" w:rsidP="00A8783E">
            <w:pPr>
              <w:spacing w:after="0" w:line="240" w:lineRule="auto"/>
              <w:jc w:val="both"/>
              <w:rPr>
                <w:rFonts w:ascii="Times New Roman" w:hAnsi="Times New Roman"/>
                <w:lang w:eastAsia="bg-BG"/>
              </w:rPr>
            </w:pPr>
          </w:p>
        </w:tc>
        <w:tc>
          <w:tcPr>
            <w:tcW w:w="218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Междинна цел до 2025 г.: Да се извърши целенасочен мониторинг за установяване на размера на мигриращата популация.</w:t>
            </w:r>
          </w:p>
        </w:tc>
      </w:tr>
      <w:tr w:rsidR="00A8783E" w:rsidRPr="00A8783E" w:rsidTr="005B5318">
        <w:trPr>
          <w:jc w:val="center"/>
        </w:trPr>
        <w:tc>
          <w:tcPr>
            <w:tcW w:w="1622"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зимуващата популация</w:t>
            </w:r>
          </w:p>
        </w:tc>
        <w:tc>
          <w:tcPr>
            <w:tcW w:w="1359"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41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0 - 1</w:t>
            </w:r>
          </w:p>
        </w:tc>
        <w:tc>
          <w:tcPr>
            <w:tcW w:w="261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Определена на база данните от СФ. По данни от средно зимните преброявания (СЗП), ПУ и др. видът нередовно зимува с единични птици.</w:t>
            </w:r>
          </w:p>
        </w:tc>
        <w:tc>
          <w:tcPr>
            <w:tcW w:w="2187"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Поддържане на зимуващата популация в зоната в размер от най-малко 1 индивид.</w:t>
            </w:r>
          </w:p>
        </w:tc>
      </w:tr>
      <w:tr w:rsidR="00A8783E" w:rsidRPr="00A8783E" w:rsidTr="005B5318">
        <w:trPr>
          <w:jc w:val="center"/>
        </w:trPr>
        <w:tc>
          <w:tcPr>
            <w:tcW w:w="1622"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Местообитан</w:t>
            </w:r>
            <w:r w:rsidRPr="00A8783E">
              <w:rPr>
                <w:rFonts w:ascii="Times New Roman" w:hAnsi="Times New Roman"/>
                <w:b/>
                <w:bCs/>
                <w:lang w:eastAsia="bg-BG"/>
              </w:rPr>
              <w:lastRenderedPageBreak/>
              <w:t xml:space="preserve">ие на вида: </w:t>
            </w:r>
            <w:r w:rsidRPr="00A8783E">
              <w:rPr>
                <w:rFonts w:ascii="Times New Roman" w:hAnsi="Times New Roman"/>
                <w:lang w:eastAsia="bg-BG"/>
              </w:rPr>
              <w:t>Площ на подходящите гнездови местообитания на вида</w:t>
            </w:r>
          </w:p>
        </w:tc>
        <w:tc>
          <w:tcPr>
            <w:tcW w:w="1359"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ha</w:t>
            </w:r>
          </w:p>
        </w:tc>
        <w:tc>
          <w:tcPr>
            <w:tcW w:w="141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 най-малко </w:t>
            </w:r>
            <w:r w:rsidRPr="00A8783E">
              <w:rPr>
                <w:rFonts w:ascii="Times New Roman" w:hAnsi="Times New Roman"/>
                <w:lang w:eastAsia="bg-BG"/>
              </w:rPr>
              <w:lastRenderedPageBreak/>
              <w:t xml:space="preserve">565 </w:t>
            </w:r>
          </w:p>
        </w:tc>
        <w:tc>
          <w:tcPr>
            <w:tcW w:w="261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 xml:space="preserve">Изчислена на база </w:t>
            </w:r>
            <w:r w:rsidRPr="00A8783E">
              <w:rPr>
                <w:rFonts w:ascii="Times New Roman" w:hAnsi="Times New Roman"/>
                <w:lang w:eastAsia="bg-BG"/>
              </w:rPr>
              <w:lastRenderedPageBreak/>
              <w:t xml:space="preserve">„мочурища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18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 xml:space="preserve">Поддържане на </w:t>
            </w:r>
            <w:r w:rsidRPr="00A8783E">
              <w:rPr>
                <w:rFonts w:ascii="Times New Roman" w:hAnsi="Times New Roman"/>
                <w:lang w:eastAsia="bg-BG"/>
              </w:rPr>
              <w:lastRenderedPageBreak/>
              <w:t>площта на подходящите гнездови местообитания на вида в защитената зона чрез поддържане на оптимално ниво на водата в езерото.</w:t>
            </w:r>
          </w:p>
        </w:tc>
      </w:tr>
      <w:tr w:rsidR="00A8783E" w:rsidRPr="00A8783E" w:rsidTr="005B5318">
        <w:trPr>
          <w:jc w:val="center"/>
        </w:trPr>
        <w:tc>
          <w:tcPr>
            <w:tcW w:w="1622"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359"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41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най-малко 840 </w:t>
            </w:r>
          </w:p>
        </w:tc>
        <w:tc>
          <w:tcPr>
            <w:tcW w:w="261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Включва гнездовото местообитание и всички стоящи и течащи води в зоната.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 xml:space="preserve">07-мочурища и блата и </w:t>
            </w:r>
            <w:r w:rsidRPr="00A8783E">
              <w:rPr>
                <w:rFonts w:ascii="Times New Roman" w:hAnsi="Times New Roman"/>
                <w:lang w:val="en-US" w:eastAsia="bg-BG"/>
              </w:rPr>
              <w:t>N</w:t>
            </w:r>
            <w:r w:rsidRPr="00A8783E">
              <w:rPr>
                <w:rFonts w:ascii="Times New Roman" w:hAnsi="Times New Roman"/>
                <w:lang w:eastAsia="bg-BG"/>
              </w:rPr>
              <w:t>06-вътрешни водни тела.</w:t>
            </w:r>
          </w:p>
        </w:tc>
        <w:tc>
          <w:tcPr>
            <w:tcW w:w="218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площта на подходящите хранителни местообитания на вида в зоната чрез поддържане на оптимално ниво на водата в езерото.</w:t>
            </w:r>
          </w:p>
        </w:tc>
      </w:tr>
      <w:tr w:rsidR="00A8783E" w:rsidRPr="00A8783E" w:rsidTr="005B5318">
        <w:trPr>
          <w:jc w:val="center"/>
        </w:trPr>
        <w:tc>
          <w:tcPr>
            <w:tcW w:w="1622"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риби (</w:t>
            </w:r>
            <w:r w:rsidRPr="00A8783E">
              <w:rPr>
                <w:rFonts w:ascii="Times New Roman" w:hAnsi="Times New Roman"/>
                <w:lang w:val="en-GB" w:eastAsia="bg-BG"/>
              </w:rPr>
              <w:t>JDS</w:t>
            </w:r>
            <w:r w:rsidRPr="00A8783E">
              <w:rPr>
                <w:rFonts w:ascii="Times New Roman" w:hAnsi="Times New Roman"/>
                <w:lang w:eastAsia="bg-BG"/>
              </w:rPr>
              <w:t>4-</w:t>
            </w:r>
            <w:r w:rsidRPr="00A8783E">
              <w:rPr>
                <w:rFonts w:ascii="Times New Roman" w:hAnsi="Times New Roman"/>
                <w:lang w:val="en-GB" w:eastAsia="bg-BG"/>
              </w:rPr>
              <w:t>Fish</w:t>
            </w:r>
            <w:r w:rsidRPr="00A8783E">
              <w:rPr>
                <w:rFonts w:ascii="Times New Roman" w:hAnsi="Times New Roman"/>
                <w:lang w:eastAsia="bg-BG"/>
              </w:rPr>
              <w:t>)</w:t>
            </w:r>
          </w:p>
        </w:tc>
        <w:tc>
          <w:tcPr>
            <w:tcW w:w="1359"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41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610" w:type="dxa"/>
          </w:tcPr>
          <w:tbl>
            <w:tblPr>
              <w:tblW w:w="3029" w:type="dxa"/>
              <w:tblInd w:w="3" w:type="dxa"/>
              <w:tblLayout w:type="fixed"/>
              <w:tblCellMar>
                <w:left w:w="70" w:type="dxa"/>
                <w:right w:w="70" w:type="dxa"/>
              </w:tblCellMar>
              <w:tblLook w:val="00A0" w:firstRow="1" w:lastRow="0" w:firstColumn="1" w:lastColumn="0" w:noHBand="0" w:noVBand="0"/>
            </w:tblPr>
            <w:tblGrid>
              <w:gridCol w:w="3029"/>
            </w:tblGrid>
            <w:tr w:rsidR="00A8783E" w:rsidRPr="00A8783E" w:rsidTr="005B5318">
              <w:trPr>
                <w:trHeight w:val="318"/>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169"/>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169"/>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169"/>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169"/>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169"/>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169"/>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4 (2019-2020, Табл. 5, стр. 51).</w:t>
            </w:r>
          </w:p>
        </w:tc>
        <w:tc>
          <w:tcPr>
            <w:tcW w:w="2187"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before="119" w:after="119" w:line="240" w:lineRule="auto"/>
        <w:rPr>
          <w:rFonts w:ascii="Times New Roman" w:hAnsi="Times New Roman"/>
          <w:b/>
          <w:bCs/>
          <w:sz w:val="24"/>
          <w:szCs w:val="24"/>
          <w:lang w:eastAsia="bg-BG"/>
        </w:rPr>
      </w:pPr>
      <w:bookmarkStart w:id="120" w:name="_Toc68572058"/>
      <w:r w:rsidRPr="00A8783E">
        <w:rPr>
          <w:rFonts w:ascii="Times New Roman" w:hAnsi="Times New Roman"/>
          <w:b/>
          <w:bCs/>
          <w:sz w:val="24"/>
          <w:szCs w:val="24"/>
          <w:lang w:eastAsia="bg-BG"/>
        </w:rPr>
        <w:t xml:space="preserve">6. Необходимост от промени в СФ за </w:t>
      </w:r>
      <w:bookmarkEnd w:id="120"/>
      <w:r w:rsidRPr="00A8783E">
        <w:rPr>
          <w:rFonts w:ascii="Times New Roman" w:hAnsi="Times New Roman"/>
          <w:b/>
          <w:bCs/>
          <w:sz w:val="24"/>
          <w:szCs w:val="24"/>
          <w:lang w:eastAsia="bg-BG"/>
        </w:rPr>
        <w:t>СЗЗ BG0000241 „Сребърна“</w:t>
      </w:r>
    </w:p>
    <w:p w:rsidR="00A8783E" w:rsidRPr="00A8783E" w:rsidRDefault="00A8783E" w:rsidP="00A8783E">
      <w:pPr>
        <w:spacing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Предвид наличната информация за настоящата численост на вида в защитената зона по време на гнездене, миграция и зимуване, не е необходима актуализация на СФ.</w:t>
      </w:r>
    </w:p>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2E74B5"/>
          <w:sz w:val="28"/>
          <w:szCs w:val="28"/>
          <w:lang w:eastAsia="bg-BG"/>
        </w:rPr>
      </w:pPr>
      <w:bookmarkStart w:id="121" w:name="_Toc89106058"/>
      <w:bookmarkStart w:id="122" w:name="_Toc98741897"/>
      <w:bookmarkStart w:id="123" w:name="_Toc98838572"/>
      <w:r w:rsidRPr="00A8783E">
        <w:rPr>
          <w:rFonts w:ascii="Times New Roman" w:hAnsi="Times New Roman"/>
          <w:color w:val="2E74B5"/>
          <w:sz w:val="28"/>
          <w:szCs w:val="28"/>
          <w:lang w:eastAsia="bg-BG"/>
        </w:rPr>
        <w:t xml:space="preserve">Специфични цели за А005 </w:t>
      </w:r>
      <w:r w:rsidRPr="00A8783E">
        <w:rPr>
          <w:rFonts w:ascii="Times New Roman" w:hAnsi="Times New Roman"/>
          <w:i/>
          <w:iCs/>
          <w:color w:val="2E74B5"/>
          <w:sz w:val="28"/>
          <w:szCs w:val="28"/>
          <w:lang w:val="en-US" w:eastAsia="bg-BG"/>
        </w:rPr>
        <w:t>Podiceps</w:t>
      </w:r>
      <w:r w:rsidRPr="00A8783E">
        <w:rPr>
          <w:rFonts w:ascii="Times New Roman" w:hAnsi="Times New Roman"/>
          <w:i/>
          <w:iCs/>
          <w:color w:val="2E74B5"/>
          <w:sz w:val="28"/>
          <w:szCs w:val="28"/>
          <w:lang w:eastAsia="bg-BG"/>
        </w:rPr>
        <w:t xml:space="preserve"> </w:t>
      </w:r>
      <w:r w:rsidRPr="00A8783E">
        <w:rPr>
          <w:rFonts w:ascii="Times New Roman" w:hAnsi="Times New Roman"/>
          <w:i/>
          <w:iCs/>
          <w:color w:val="2E74B5"/>
          <w:sz w:val="28"/>
          <w:szCs w:val="28"/>
          <w:lang w:val="en-US" w:eastAsia="bg-BG"/>
        </w:rPr>
        <w:t>cristatus</w:t>
      </w:r>
      <w:r w:rsidRPr="00A8783E">
        <w:rPr>
          <w:rFonts w:ascii="Times New Roman" w:hAnsi="Times New Roman"/>
          <w:color w:val="2E74B5"/>
          <w:sz w:val="28"/>
          <w:szCs w:val="28"/>
          <w:lang w:eastAsia="bg-BG"/>
        </w:rPr>
        <w:t xml:space="preserve"> (голям гмурец)</w:t>
      </w:r>
      <w:bookmarkEnd w:id="121"/>
      <w:bookmarkEnd w:id="122"/>
      <w:bookmarkEnd w:id="123"/>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Дължината на тялото: 46-51 cm, размах на крилата: 59-73 cm. Най-едрият гмурец с дълго, ниско тяло и дълга, тънка шия, държана изправена или свита с глава на гърба. В брачно оперение перата по челото, темето и тила са черни. Теменните пера са дълги и образуват „рогчета”. Перата около ушите и бузите също са удължени, кафяво-рижи, на върха черни и образуват „бакенбарди”. Мъжките са с по-широки „бакенбарди” и по-дълги „рогчета”. Гърбът и крилата са тъмнокафяви, около-очното поле, шията, гърдите и коремът са бели, слабините светло-кафеникави. През зимата отсъстват „бакенбардите” и „рогчетата”. Перата край бузите са бели, шията отпред, гърдите и </w:t>
      </w:r>
      <w:r w:rsidRPr="00A8783E">
        <w:rPr>
          <w:rFonts w:ascii="Times New Roman" w:hAnsi="Times New Roman"/>
          <w:sz w:val="24"/>
          <w:szCs w:val="24"/>
          <w:lang w:eastAsia="bg-BG"/>
        </w:rPr>
        <w:lastRenderedPageBreak/>
        <w:t>коремът също са бели. При големия гмурец бялото в зимното оперение е повече от при другите видове гмурци. С бяло над окото и черна ивица от окото до човката. Почти без полов диморфизъм. При младите бузите са с ивици, човката е бледорозова. (</w:t>
      </w:r>
      <w:r w:rsidRPr="00A8783E">
        <w:rPr>
          <w:rFonts w:ascii="Times New Roman" w:hAnsi="Times New Roman"/>
          <w:sz w:val="24"/>
          <w:szCs w:val="24"/>
          <w:lang w:val="en-US" w:eastAsia="bg-BG"/>
        </w:rPr>
        <w:t>Svensson</w:t>
      </w:r>
      <w:r w:rsidRPr="00A8783E">
        <w:rPr>
          <w:rFonts w:ascii="Times New Roman" w:hAnsi="Times New Roman"/>
          <w:sz w:val="24"/>
          <w:szCs w:val="24"/>
          <w:lang w:eastAsia="bg-BG"/>
        </w:rPr>
        <w:t xml:space="preserve">, 2009; Симеонов и др., 1990).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Гнездящ, мигриращ и зимуващ вид за страната. Зимува по не замръзналите водоеми в Западна и Южна Европа. Миграцията е през септември-ноември и февруари-март. В резултат на миграции през есента и зимата числеността му нараства неколкократно особено в морските заливи, крайморските езера и по-големите вътрешни водоеми. У нас зимуват птици от европейската територия на Русия, скандинавските страни, Чехия, Полша, Румъния. Гнезди на отделни двойки и в колонии. Снася през март - април, 1 до 9 яйца. Малките са гнездобегълци (Симеонов и др., 1990; Нанкинов, 2012).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През размножителния период обитава езера, крайбрежия на реки, блата, канали, рибарници, утайници и др., обрасли с тръстика, камъш, папур и друга водна растителност до 800 м.н.в. При миграция и зимуване посещава както тези водоеми, така и много често морските заливи, крайморските езера и блата и високо разположени язовири – Доспат, Камчия, Искър, Батак и др. (Симеонов и др., 1990). 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Храни се с дребна риба, ракообразни, миди, жаби, водни насекоми и техните ларви, а също така и с водни растения. Младите се изхранват предимно с насекоми (Симеонов и др., 1990).</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eastAsia="GroteskHSBg-Light" w:hAnsi="Times New Roman"/>
          <w:sz w:val="24"/>
          <w:szCs w:val="24"/>
          <w:lang w:eastAsia="bg-BG"/>
        </w:rPr>
        <w:t>Разпространението на вида е разпръснато и групово във всички равнинни райони. Основната част от популацията е концентрирана в Дунавската равнина и покрай р. Дунав, Тракийската низина, по Черноморското крайбрежие и в Софийското поле</w:t>
      </w:r>
      <w:r w:rsidRPr="00A8783E">
        <w:rPr>
          <w:rFonts w:ascii="Times New Roman" w:hAnsi="Times New Roman"/>
          <w:sz w:val="24"/>
          <w:szCs w:val="24"/>
          <w:lang w:eastAsia="bg-BG"/>
        </w:rPr>
        <w:t xml:space="preserve"> (Янков отг. ред., 2007). В началото на 20-ти век настъпва депресия на вида и близо половин столетие той мъти само по Черноморското крайбрежие и р. Дунав. След 1960 г. птиците увеличават числеността си и заселват водоемите във вътрешността на страната (Симеонов и др., 1990). По дунавското крайбрежие видът е широко разпространен и често срещан. Общият брой гнездящи двойки варира между 46 и 78. Основното място за размножаване е езерото Сребърна, следват рибарниците Хаджидимитрово и блатата на о. Персина. Други съществен обекти са загубили значението си за вида след пресушаването им и превръщането им в обработваема земя през 2012 г. – рибарници Мечка и рибарници Орсоя (</w:t>
      </w:r>
      <w:r w:rsidRPr="00A8783E">
        <w:rPr>
          <w:rFonts w:ascii="Times New Roman" w:hAnsi="Times New Roman"/>
          <w:sz w:val="24"/>
          <w:szCs w:val="24"/>
          <w:lang w:val="en-US" w:eastAsia="bg-BG"/>
        </w:rPr>
        <w:t>Shurulinkov</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et</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al</w:t>
      </w:r>
      <w:r w:rsidRPr="00A8783E">
        <w:rPr>
          <w:rFonts w:ascii="Times New Roman" w:hAnsi="Times New Roman"/>
          <w:sz w:val="24"/>
          <w:szCs w:val="24"/>
          <w:lang w:eastAsia="bg-BG"/>
        </w:rPr>
        <w:t>., 2019).</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видът е слабо засегнат –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Включен в Червената книга на България в категорията „Уязвим вид”. Включен в Приложение 3 на ЗБР.</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Докладването от 2019 г. (за периода 2013 – 2018 г.) националната гнездяща популация на вида се оценява на 550 – 1500 двойки, а според Янков, 2007 числеността е 400 – 600 двойки. Краткосрочната тенденция на популацията (за периода 2000 – 2018 г.), както и дългосрочната (за периода 1980 – 2018 г.) е стабилна. За гнездовата популация са посочени следните заплахи: </w:t>
      </w:r>
      <w:r w:rsidRPr="00A8783E">
        <w:rPr>
          <w:rFonts w:ascii="Times New Roman" w:hAnsi="Times New Roman"/>
          <w:sz w:val="24"/>
          <w:szCs w:val="24"/>
          <w:lang w:val="en-US" w:eastAsia="bg-BG"/>
        </w:rPr>
        <w:t>G</w:t>
      </w:r>
      <w:r w:rsidRPr="00A8783E">
        <w:rPr>
          <w:rFonts w:ascii="Times New Roman" w:hAnsi="Times New Roman"/>
          <w:sz w:val="24"/>
          <w:szCs w:val="24"/>
          <w:lang w:eastAsia="bg-BG"/>
        </w:rPr>
        <w:t xml:space="preserve">06, </w:t>
      </w:r>
      <w:r w:rsidRPr="00A8783E">
        <w:rPr>
          <w:rFonts w:ascii="Times New Roman" w:hAnsi="Times New Roman"/>
          <w:sz w:val="24"/>
          <w:szCs w:val="24"/>
          <w:lang w:val="en-US" w:eastAsia="bg-BG"/>
        </w:rPr>
        <w:t>J</w:t>
      </w:r>
      <w:r w:rsidRPr="00A8783E">
        <w:rPr>
          <w:rFonts w:ascii="Times New Roman" w:hAnsi="Times New Roman"/>
          <w:sz w:val="24"/>
          <w:szCs w:val="24"/>
          <w:lang w:eastAsia="bg-BG"/>
        </w:rPr>
        <w:t xml:space="preserve">02, </w:t>
      </w:r>
      <w:r w:rsidRPr="00A8783E">
        <w:rPr>
          <w:rFonts w:ascii="Times New Roman" w:hAnsi="Times New Roman"/>
          <w:sz w:val="24"/>
          <w:szCs w:val="24"/>
          <w:lang w:val="en-US" w:eastAsia="bg-BG"/>
        </w:rPr>
        <w:t>J</w:t>
      </w:r>
      <w:r w:rsidRPr="00A8783E">
        <w:rPr>
          <w:rFonts w:ascii="Times New Roman" w:hAnsi="Times New Roman"/>
          <w:sz w:val="24"/>
          <w:szCs w:val="24"/>
          <w:lang w:eastAsia="bg-BG"/>
        </w:rPr>
        <w:t xml:space="preserve">03, </w:t>
      </w:r>
      <w:r w:rsidRPr="00A8783E">
        <w:rPr>
          <w:rFonts w:ascii="Times New Roman" w:hAnsi="Times New Roman"/>
          <w:sz w:val="24"/>
          <w:szCs w:val="24"/>
          <w:lang w:val="en-GB" w:eastAsia="bg-BG"/>
        </w:rPr>
        <w:t>F</w:t>
      </w:r>
      <w:r w:rsidRPr="00A8783E">
        <w:rPr>
          <w:rFonts w:ascii="Times New Roman" w:hAnsi="Times New Roman"/>
          <w:sz w:val="24"/>
          <w:szCs w:val="24"/>
          <w:lang w:eastAsia="bg-BG"/>
        </w:rPr>
        <w:t>05.</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 xml:space="preserve">Зимуващата популация е оценена на 1850 – 5000 индивида. Краткосрочната тенденция на популацията (за периода 2000 – 2018 г.) е нарастваща, а дългосрочната (за периода 1980 – 2018 г.) е намаляваща.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Мигриращата национална популация е оценена на 500 – 1000 индивида. За мигриращата популация са посочени следните заплахи: </w:t>
      </w:r>
      <w:r w:rsidRPr="00A8783E">
        <w:rPr>
          <w:rFonts w:ascii="Times New Roman" w:hAnsi="Times New Roman"/>
          <w:sz w:val="24"/>
          <w:szCs w:val="24"/>
          <w:lang w:val="en-US" w:eastAsia="bg-BG"/>
        </w:rPr>
        <w:t>J</w:t>
      </w:r>
      <w:r w:rsidRPr="00A8783E">
        <w:rPr>
          <w:rFonts w:ascii="Times New Roman" w:hAnsi="Times New Roman"/>
          <w:sz w:val="24"/>
          <w:szCs w:val="24"/>
          <w:lang w:eastAsia="bg-BG"/>
        </w:rPr>
        <w:t xml:space="preserve">02, </w:t>
      </w:r>
      <w:r w:rsidRPr="00A8783E">
        <w:rPr>
          <w:rFonts w:ascii="Times New Roman" w:hAnsi="Times New Roman"/>
          <w:sz w:val="24"/>
          <w:szCs w:val="24"/>
          <w:lang w:val="en-GB" w:eastAsia="bg-BG"/>
        </w:rPr>
        <w:t>F</w:t>
      </w:r>
      <w:r w:rsidRPr="00A8783E">
        <w:rPr>
          <w:rFonts w:ascii="Times New Roman" w:hAnsi="Times New Roman"/>
          <w:sz w:val="24"/>
          <w:szCs w:val="24"/>
          <w:lang w:eastAsia="bg-BG"/>
        </w:rPr>
        <w:t xml:space="preserve">26, </w:t>
      </w:r>
      <w:r w:rsidRPr="00A8783E">
        <w:rPr>
          <w:rFonts w:ascii="Times New Roman" w:hAnsi="Times New Roman"/>
          <w:sz w:val="24"/>
          <w:szCs w:val="24"/>
          <w:lang w:val="en-GB" w:eastAsia="bg-BG"/>
        </w:rPr>
        <w:t>F</w:t>
      </w:r>
      <w:r w:rsidRPr="00A8783E">
        <w:rPr>
          <w:rFonts w:ascii="Times New Roman" w:hAnsi="Times New Roman"/>
          <w:sz w:val="24"/>
          <w:szCs w:val="24"/>
          <w:lang w:eastAsia="bg-BG"/>
        </w:rPr>
        <w:t xml:space="preserve">05, </w:t>
      </w:r>
      <w:r w:rsidRPr="00A8783E">
        <w:rPr>
          <w:rFonts w:ascii="Times New Roman" w:hAnsi="Times New Roman"/>
          <w:sz w:val="24"/>
          <w:szCs w:val="24"/>
          <w:lang w:val="en-GB" w:eastAsia="bg-BG"/>
        </w:rPr>
        <w:t>G</w:t>
      </w:r>
      <w:r w:rsidRPr="00A8783E">
        <w:rPr>
          <w:rFonts w:ascii="Times New Roman" w:hAnsi="Times New Roman"/>
          <w:sz w:val="24"/>
          <w:szCs w:val="24"/>
          <w:lang w:eastAsia="bg-BG"/>
        </w:rPr>
        <w:t>12.</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вида е гнездящ, преминаващ и зимуващ. </w:t>
      </w:r>
      <w:r w:rsidRPr="00A8783E">
        <w:rPr>
          <w:rFonts w:ascii="Times New Roman" w:hAnsi="Times New Roman"/>
          <w:b/>
          <w:bCs/>
          <w:sz w:val="24"/>
          <w:szCs w:val="24"/>
          <w:lang w:eastAsia="bg-BG"/>
        </w:rPr>
        <w:t>Гнездящата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26 - 30 двойки</w:t>
      </w:r>
      <w:r w:rsidRPr="00A8783E">
        <w:rPr>
          <w:rFonts w:ascii="Times New Roman" w:hAnsi="Times New Roman"/>
          <w:sz w:val="24"/>
          <w:szCs w:val="24"/>
          <w:lang w:eastAsia="bg-BG"/>
        </w:rPr>
        <w:t>, което представлява 2,0 - 4,7 %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СФ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 на </w:t>
      </w:r>
      <w:r w:rsidRPr="00A8783E">
        <w:rPr>
          <w:rFonts w:ascii="Times New Roman" w:hAnsi="Times New Roman"/>
          <w:b/>
          <w:bCs/>
          <w:sz w:val="24"/>
          <w:szCs w:val="24"/>
          <w:lang w:eastAsia="bg-BG"/>
        </w:rPr>
        <w:t>6 - 26 индивида</w:t>
      </w:r>
      <w:r w:rsidRPr="00A8783E">
        <w:rPr>
          <w:rFonts w:ascii="Times New Roman" w:hAnsi="Times New Roman"/>
          <w:sz w:val="24"/>
          <w:szCs w:val="24"/>
          <w:lang w:eastAsia="bg-BG"/>
        </w:rPr>
        <w:t>, което е 1,2 – 2,6 %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СФ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на вида се оценява на </w:t>
      </w:r>
      <w:r w:rsidRPr="00A8783E">
        <w:rPr>
          <w:rFonts w:ascii="Times New Roman" w:hAnsi="Times New Roman"/>
          <w:b/>
          <w:bCs/>
          <w:sz w:val="24"/>
          <w:szCs w:val="24"/>
          <w:lang w:eastAsia="bg-BG"/>
        </w:rPr>
        <w:t>0 - 3 индивида</w:t>
      </w:r>
      <w:r w:rsidRPr="00A8783E">
        <w:rPr>
          <w:rFonts w:ascii="Times New Roman" w:hAnsi="Times New Roman"/>
          <w:sz w:val="24"/>
          <w:szCs w:val="24"/>
          <w:lang w:eastAsia="bg-BG"/>
        </w:rPr>
        <w:t>, което е 0,06 – 0,2 % 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color w:val="000000"/>
          <w:sz w:val="24"/>
          <w:szCs w:val="24"/>
          <w:lang w:eastAsia="bg-BG"/>
        </w:rPr>
      </w:pPr>
      <w:r w:rsidRPr="00A8783E">
        <w:rPr>
          <w:rFonts w:ascii="Times New Roman" w:hAnsi="Times New Roman"/>
          <w:i/>
          <w:iCs/>
          <w:color w:val="000000"/>
          <w:sz w:val="24"/>
          <w:szCs w:val="24"/>
          <w:lang w:eastAsia="bg-BG"/>
        </w:rPr>
        <w:t>Гнездяща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Най-многочисления вид от гмурците. Публикуваната информация за гнезденето на вида в зоната през 2001 и 2002 г. е съответно 20 и 34 дв. (</w:t>
      </w:r>
      <w:r w:rsidRPr="00A8783E">
        <w:rPr>
          <w:rFonts w:ascii="Times New Roman" w:hAnsi="Times New Roman"/>
          <w:color w:val="000000"/>
          <w:sz w:val="24"/>
          <w:szCs w:val="24"/>
          <w:lang w:val="en-US" w:eastAsia="bg-BG"/>
        </w:rPr>
        <w:t>Kamburova</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xml:space="preserve">, 2003). В периода 2006-2013 г. се посочва численост между 9 и 29 дв.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xml:space="preserve">., 2019). Според Матеева и др. (2013) в зоната са гнездили 27 двойки през 2012 г. В Актуализирания План за управление на поддържан резерват „Сребърна” (2014 г.), се посочва че видът гнезди в обширните тръстикови масиви (хелофитна растителност), с численост 30-35 дв. или около 6% от националната гнездова популация. </w:t>
      </w:r>
      <w:r w:rsidRPr="00A8783E">
        <w:rPr>
          <w:rFonts w:ascii="Times New Roman" w:hAnsi="Times New Roman"/>
          <w:sz w:val="24"/>
          <w:szCs w:val="24"/>
          <w:lang w:eastAsia="bg-BG"/>
        </w:rPr>
        <w:t xml:space="preserve">При теренните проучвания през 2021 г. видът бе наблюдаван многократно през май и юни месец, предимно в южния и западен край на езерото. Установени са най-малко 7 двойки и повече от 14 птици в подходящи гнездови биотопи. Наблюдавани са и двойки с малки. </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Зимуваща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Данните за зимуването на вида в зоната са от средно зимните преброявания от 2013 до 2020 г. (ПУ на ПР „Сребърна”) и публикациите на Иванов (1979 и 2008). Видът е обикновен по време на прелета през октомври и март. През декември и януари отделни индивиди зимуват в Сребърна, като водоема е без особено значение за зимуването на вида </w:t>
      </w:r>
      <w:r w:rsidRPr="00A8783E">
        <w:rPr>
          <w:rFonts w:ascii="Times New Roman" w:hAnsi="Times New Roman"/>
          <w:color w:val="000000"/>
          <w:sz w:val="24"/>
          <w:szCs w:val="24"/>
          <w:lang w:eastAsia="bg-BG"/>
        </w:rPr>
        <w:t xml:space="preserve">(Иванов, 1979). </w:t>
      </w:r>
      <w:r w:rsidRPr="00A8783E">
        <w:rPr>
          <w:rFonts w:ascii="Times New Roman" w:hAnsi="Times New Roman"/>
          <w:sz w:val="24"/>
          <w:szCs w:val="24"/>
          <w:lang w:eastAsia="bg-BG"/>
        </w:rPr>
        <w:t>При средно-зимните преброявания видът е наблюдаван на 12.01.2013 в езерото Сребърна – 1 екз., 18.01.2015 – 1 екз. През зимата видът е рядък, като единични екземпляри зимуват по-често в реката. При преброявания в реката между Сомовит и Силистра през 1984-2005 г., видът е установен с числености между 5 и 60 птици. За 25 годишен период 1977-2001 г., през зимата са наблюдавани общо 11 големи гмурци (</w:t>
      </w:r>
      <w:r w:rsidRPr="00A8783E">
        <w:rPr>
          <w:rFonts w:ascii="Times New Roman" w:hAnsi="Times New Roman"/>
          <w:sz w:val="24"/>
          <w:szCs w:val="24"/>
          <w:lang w:val="en-US" w:eastAsia="bg-BG"/>
        </w:rPr>
        <w:t>Michev</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and</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Profirov</w:t>
      </w:r>
      <w:r w:rsidRPr="00A8783E">
        <w:rPr>
          <w:rFonts w:ascii="Times New Roman" w:hAnsi="Times New Roman"/>
          <w:sz w:val="24"/>
          <w:szCs w:val="24"/>
          <w:lang w:eastAsia="bg-BG"/>
        </w:rPr>
        <w:t>, 2003). От 2008 до 2013 г. зимуване на вида е отбелязано само през 2013 г.: 1 индивид (ПУ „Сребърна”, по данни от ИАОС).</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Мигрираща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 xml:space="preserve">В извън гнездовия период големият гмурец е най-масов през септември до март по язовирите и микроязовирите в Дунавската равнина (Шурулинков и др., 2005). Очевидно в Дунав и в ЗЗ „Сребърна” видът зимува с ниски числености и нередовно. Липсват публикувани данни за концентрацията на вида в зоната по време на миграция. </w:t>
      </w:r>
    </w:p>
    <w:p w:rsidR="00A8783E" w:rsidRPr="00A8783E" w:rsidRDefault="00A8783E" w:rsidP="00A8783E">
      <w:pPr>
        <w:spacing w:after="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От посочените в Докладването от 2019 г. заплахи и влияния за гнездящата, мигриращата и зимуващата популация: </w:t>
      </w:r>
      <w:r w:rsidRPr="00A8783E">
        <w:rPr>
          <w:rFonts w:ascii="Times New Roman" w:hAnsi="Times New Roman"/>
          <w:sz w:val="24"/>
          <w:szCs w:val="24"/>
          <w:lang w:val="en-US" w:eastAsia="bg-BG"/>
        </w:rPr>
        <w:t>G</w:t>
      </w:r>
      <w:r w:rsidRPr="00A8783E">
        <w:rPr>
          <w:rFonts w:ascii="Times New Roman" w:hAnsi="Times New Roman"/>
          <w:sz w:val="24"/>
          <w:szCs w:val="24"/>
          <w:lang w:eastAsia="bg-BG"/>
        </w:rPr>
        <w:t xml:space="preserve">06, </w:t>
      </w:r>
      <w:r w:rsidRPr="00A8783E">
        <w:rPr>
          <w:rFonts w:ascii="Times New Roman" w:hAnsi="Times New Roman"/>
          <w:sz w:val="24"/>
          <w:szCs w:val="24"/>
          <w:lang w:val="en-US" w:eastAsia="bg-BG"/>
        </w:rPr>
        <w:t>J</w:t>
      </w:r>
      <w:r w:rsidRPr="00A8783E">
        <w:rPr>
          <w:rFonts w:ascii="Times New Roman" w:hAnsi="Times New Roman"/>
          <w:sz w:val="24"/>
          <w:szCs w:val="24"/>
          <w:lang w:eastAsia="bg-BG"/>
        </w:rPr>
        <w:t xml:space="preserve">02, </w:t>
      </w:r>
      <w:r w:rsidRPr="00A8783E">
        <w:rPr>
          <w:rFonts w:ascii="Times New Roman" w:hAnsi="Times New Roman"/>
          <w:sz w:val="24"/>
          <w:szCs w:val="24"/>
          <w:lang w:val="en-US" w:eastAsia="bg-BG"/>
        </w:rPr>
        <w:t>J</w:t>
      </w:r>
      <w:r w:rsidRPr="00A8783E">
        <w:rPr>
          <w:rFonts w:ascii="Times New Roman" w:hAnsi="Times New Roman"/>
          <w:sz w:val="24"/>
          <w:szCs w:val="24"/>
          <w:lang w:eastAsia="bg-BG"/>
        </w:rPr>
        <w:t xml:space="preserve">03, </w:t>
      </w:r>
      <w:r w:rsidRPr="00A8783E">
        <w:rPr>
          <w:rFonts w:ascii="Times New Roman" w:hAnsi="Times New Roman"/>
          <w:sz w:val="24"/>
          <w:szCs w:val="24"/>
          <w:lang w:val="en-GB" w:eastAsia="bg-BG"/>
        </w:rPr>
        <w:t>F</w:t>
      </w:r>
      <w:r w:rsidRPr="00A8783E">
        <w:rPr>
          <w:rFonts w:ascii="Times New Roman" w:hAnsi="Times New Roman"/>
          <w:sz w:val="24"/>
          <w:szCs w:val="24"/>
          <w:lang w:eastAsia="bg-BG"/>
        </w:rPr>
        <w:t xml:space="preserve">05, </w:t>
      </w:r>
      <w:r w:rsidRPr="00A8783E">
        <w:rPr>
          <w:rFonts w:ascii="Times New Roman" w:hAnsi="Times New Roman"/>
          <w:sz w:val="24"/>
          <w:szCs w:val="24"/>
          <w:lang w:val="en-GB" w:eastAsia="bg-BG"/>
        </w:rPr>
        <w:t>F</w:t>
      </w:r>
      <w:r w:rsidRPr="00A8783E">
        <w:rPr>
          <w:rFonts w:ascii="Times New Roman" w:hAnsi="Times New Roman"/>
          <w:sz w:val="24"/>
          <w:szCs w:val="24"/>
          <w:lang w:eastAsia="bg-BG"/>
        </w:rPr>
        <w:t xml:space="preserve">26, </w:t>
      </w:r>
      <w:r w:rsidRPr="00A8783E">
        <w:rPr>
          <w:rFonts w:ascii="Times New Roman" w:hAnsi="Times New Roman"/>
          <w:sz w:val="24"/>
          <w:szCs w:val="24"/>
          <w:lang w:val="en-GB" w:eastAsia="bg-BG"/>
        </w:rPr>
        <w:t>G</w:t>
      </w:r>
      <w:r w:rsidRPr="00A8783E">
        <w:rPr>
          <w:rFonts w:ascii="Times New Roman" w:hAnsi="Times New Roman"/>
          <w:sz w:val="24"/>
          <w:szCs w:val="24"/>
          <w:lang w:eastAsia="bg-BG"/>
        </w:rPr>
        <w:t xml:space="preserve">12, валидни за зоната са: </w:t>
      </w:r>
      <w:r w:rsidRPr="00A8783E">
        <w:rPr>
          <w:rFonts w:ascii="Times New Roman" w:hAnsi="Times New Roman"/>
          <w:sz w:val="24"/>
          <w:szCs w:val="24"/>
          <w:lang w:val="en-GB"/>
        </w:rPr>
        <w:t>G</w:t>
      </w:r>
      <w:r w:rsidRPr="00A8783E">
        <w:rPr>
          <w:rFonts w:ascii="Times New Roman" w:hAnsi="Times New Roman"/>
          <w:sz w:val="24"/>
          <w:szCs w:val="24"/>
        </w:rPr>
        <w:t xml:space="preserve">06 – Сладководен риболов и улов на черупчести организми (спортен); </w:t>
      </w:r>
      <w:r w:rsidRPr="00A8783E">
        <w:rPr>
          <w:rFonts w:ascii="Times New Roman" w:hAnsi="Times New Roman"/>
          <w:sz w:val="24"/>
          <w:szCs w:val="24"/>
          <w:lang w:val="en-GB"/>
        </w:rPr>
        <w:t>G</w:t>
      </w:r>
      <w:r w:rsidRPr="00A8783E">
        <w:rPr>
          <w:rFonts w:ascii="Times New Roman" w:hAnsi="Times New Roman"/>
          <w:sz w:val="24"/>
          <w:szCs w:val="24"/>
        </w:rPr>
        <w:t xml:space="preserve">12 - Приулов и инцидентно убиване (при риболовни и ловни дейности); </w:t>
      </w:r>
      <w:r w:rsidRPr="00A8783E">
        <w:rPr>
          <w:rFonts w:ascii="Times New Roman" w:hAnsi="Times New Roman"/>
          <w:sz w:val="24"/>
          <w:szCs w:val="24"/>
          <w:lang w:eastAsia="bg-BG"/>
        </w:rPr>
        <w:t xml:space="preserve">Заплахи за видовете птици в зоната са бракониерството и незаконния отстрел, както и риболов с мрежени уреди, пожари в тръстиковите масиви и безпокойство.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1418"/>
        <w:gridCol w:w="1276"/>
        <w:gridCol w:w="2767"/>
        <w:gridCol w:w="2171"/>
      </w:tblGrid>
      <w:tr w:rsidR="00A8783E" w:rsidRPr="00A8783E" w:rsidTr="005B5318">
        <w:trPr>
          <w:tblHeader/>
          <w:jc w:val="center"/>
        </w:trPr>
        <w:tc>
          <w:tcPr>
            <w:tcW w:w="156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418"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27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767"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171"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564"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гнездовата популацията</w:t>
            </w:r>
          </w:p>
        </w:tc>
        <w:tc>
          <w:tcPr>
            <w:tcW w:w="141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26 - 30 двойки </w:t>
            </w:r>
          </w:p>
        </w:tc>
        <w:tc>
          <w:tcPr>
            <w:tcW w:w="276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настоящия СФ (актуализиран през 2018 г.) са посочени 26 – 30 гнездящи двойки. Тези данни се потвърждават от извършен мониторинг в защитената зона през гнездовия период на 2021 г и литературни източници през последните години.</w:t>
            </w:r>
          </w:p>
        </w:tc>
        <w:tc>
          <w:tcPr>
            <w:tcW w:w="21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популацията на вида в зоната в размер от най-малко 26 дв. чрез поддържане на гнездовите местообитания на вида в зоната.</w:t>
            </w:r>
          </w:p>
        </w:tc>
      </w:tr>
      <w:tr w:rsidR="00A8783E" w:rsidRPr="00A8783E" w:rsidTr="005B5318">
        <w:trPr>
          <w:jc w:val="center"/>
        </w:trPr>
        <w:tc>
          <w:tcPr>
            <w:tcW w:w="1564"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41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6 – 26 инд.</w:t>
            </w:r>
          </w:p>
        </w:tc>
        <w:tc>
          <w:tcPr>
            <w:tcW w:w="2767" w:type="dxa"/>
          </w:tcPr>
          <w:p w:rsidR="00A8783E" w:rsidRPr="00A8783E" w:rsidRDefault="00A8783E" w:rsidP="00A8783E">
            <w:pPr>
              <w:autoSpaceDE w:val="0"/>
              <w:autoSpaceDN w:val="0"/>
              <w:adjustRightInd w:val="0"/>
              <w:spacing w:after="0" w:line="240" w:lineRule="auto"/>
              <w:jc w:val="both"/>
              <w:rPr>
                <w:rFonts w:ascii="Times New Roman" w:hAnsi="Times New Roman"/>
                <w:color w:val="000000"/>
                <w:lang w:eastAsia="bg-BG"/>
              </w:rPr>
            </w:pPr>
            <w:r w:rsidRPr="00A8783E">
              <w:rPr>
                <w:rFonts w:ascii="Times New Roman" w:hAnsi="Times New Roman"/>
                <w:color w:val="000000"/>
                <w:lang w:eastAsia="bg-BG"/>
              </w:rPr>
              <w:t xml:space="preserve">Целевата стойност е определена на базата на данните в СФ. Не са налични данни за настоящата мигрираща численост на вида в зоната, поради което е предвидена междинна цел. </w:t>
            </w:r>
          </w:p>
        </w:tc>
        <w:tc>
          <w:tcPr>
            <w:tcW w:w="21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Междинна цел до 2025 г.: Да се извърши целенасочен мониторинг за установяване на размера на мигриращата популация на вида в зоната.</w:t>
            </w:r>
          </w:p>
        </w:tc>
      </w:tr>
      <w:tr w:rsidR="00A8783E" w:rsidRPr="00A8783E" w:rsidTr="005B5318">
        <w:trPr>
          <w:jc w:val="center"/>
        </w:trPr>
        <w:tc>
          <w:tcPr>
            <w:tcW w:w="1564"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зимуващата популация</w:t>
            </w:r>
          </w:p>
        </w:tc>
        <w:tc>
          <w:tcPr>
            <w:tcW w:w="141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0 – 3 инд.</w:t>
            </w:r>
          </w:p>
        </w:tc>
        <w:tc>
          <w:tcPr>
            <w:tcW w:w="276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Според СФ на зоната числеността на зимуващите индивиди е между 0 и 3. По данни от средно зимните преброявания (СЗП) през 2013 и 2015 г. е установен по 1 екз.</w:t>
            </w:r>
          </w:p>
        </w:tc>
        <w:tc>
          <w:tcPr>
            <w:tcW w:w="2171"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Поддържане на зимуващата популация на вида в зоната в размер най-малко от 1 инд. Тази стойност ще зависи силно от температурите през зимата.</w:t>
            </w:r>
          </w:p>
        </w:tc>
      </w:tr>
      <w:tr w:rsidR="00A8783E" w:rsidRPr="00A8783E" w:rsidTr="005B5318">
        <w:trPr>
          <w:jc w:val="center"/>
        </w:trPr>
        <w:tc>
          <w:tcPr>
            <w:tcW w:w="1564"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41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565</w:t>
            </w:r>
          </w:p>
        </w:tc>
        <w:tc>
          <w:tcPr>
            <w:tcW w:w="276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местообитание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1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Поддържане и увеличаване на площта на подходящите гнездови местообитания на вида в защитената зона чрез поддържане на </w:t>
            </w:r>
            <w:r w:rsidRPr="00A8783E">
              <w:rPr>
                <w:rFonts w:ascii="Times New Roman" w:hAnsi="Times New Roman"/>
                <w:lang w:eastAsia="bg-BG"/>
              </w:rPr>
              <w:lastRenderedPageBreak/>
              <w:t>оптимално ниво на водата в езерото.</w:t>
            </w:r>
          </w:p>
        </w:tc>
      </w:tr>
      <w:tr w:rsidR="00A8783E" w:rsidRPr="00A8783E" w:rsidTr="005B5318">
        <w:trPr>
          <w:jc w:val="center"/>
        </w:trPr>
        <w:tc>
          <w:tcPr>
            <w:tcW w:w="1564"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41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840</w:t>
            </w:r>
          </w:p>
        </w:tc>
        <w:tc>
          <w:tcPr>
            <w:tcW w:w="276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Включва гнездовото местообитание и всички стоящи и течащи води в зоната.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 xml:space="preserve">07-мочурища и блата и </w:t>
            </w:r>
            <w:r w:rsidRPr="00A8783E">
              <w:rPr>
                <w:rFonts w:ascii="Times New Roman" w:hAnsi="Times New Roman"/>
                <w:lang w:val="en-US" w:eastAsia="bg-BG"/>
              </w:rPr>
              <w:t>N</w:t>
            </w:r>
            <w:r w:rsidRPr="00A8783E">
              <w:rPr>
                <w:rFonts w:ascii="Times New Roman" w:hAnsi="Times New Roman"/>
                <w:lang w:eastAsia="bg-BG"/>
              </w:rPr>
              <w:t>06-вътрешни водни тела.</w:t>
            </w:r>
          </w:p>
        </w:tc>
        <w:tc>
          <w:tcPr>
            <w:tcW w:w="21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хранителни местообитания на вида чрез поддържане на оптимално ниво на водата в езерото.</w:t>
            </w:r>
          </w:p>
        </w:tc>
      </w:tr>
      <w:tr w:rsidR="00A8783E" w:rsidRPr="00A8783E" w:rsidTr="005B5318">
        <w:trPr>
          <w:jc w:val="center"/>
        </w:trPr>
        <w:tc>
          <w:tcPr>
            <w:tcW w:w="1564"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риби (</w:t>
            </w:r>
            <w:r w:rsidRPr="00A8783E">
              <w:rPr>
                <w:rFonts w:ascii="Times New Roman" w:hAnsi="Times New Roman"/>
                <w:lang w:val="en-GB" w:eastAsia="bg-BG"/>
              </w:rPr>
              <w:t>JDS</w:t>
            </w:r>
            <w:r w:rsidRPr="00A8783E">
              <w:rPr>
                <w:rFonts w:ascii="Times New Roman" w:hAnsi="Times New Roman"/>
                <w:lang w:eastAsia="bg-BG"/>
              </w:rPr>
              <w:t>4-</w:t>
            </w:r>
            <w:r w:rsidRPr="00A8783E">
              <w:rPr>
                <w:rFonts w:ascii="Times New Roman" w:hAnsi="Times New Roman"/>
                <w:lang w:val="en-GB" w:eastAsia="bg-BG"/>
              </w:rPr>
              <w:t>Fish</w:t>
            </w:r>
            <w:r w:rsidRPr="00A8783E">
              <w:rPr>
                <w:rFonts w:ascii="Times New Roman" w:hAnsi="Times New Roman"/>
                <w:lang w:eastAsia="bg-BG"/>
              </w:rPr>
              <w:t>)</w:t>
            </w:r>
          </w:p>
        </w:tc>
        <w:tc>
          <w:tcPr>
            <w:tcW w:w="1418"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767" w:type="dxa"/>
          </w:tcPr>
          <w:tbl>
            <w:tblPr>
              <w:tblW w:w="2689" w:type="dxa"/>
              <w:tblInd w:w="3" w:type="dxa"/>
              <w:tblLayout w:type="fixed"/>
              <w:tblCellMar>
                <w:left w:w="70" w:type="dxa"/>
                <w:right w:w="70" w:type="dxa"/>
              </w:tblCellMar>
              <w:tblLook w:val="00A0" w:firstRow="1" w:lastRow="0" w:firstColumn="1" w:lastColumn="0" w:noHBand="0" w:noVBand="0"/>
            </w:tblPr>
            <w:tblGrid>
              <w:gridCol w:w="2689"/>
            </w:tblGrid>
            <w:tr w:rsidR="00A8783E" w:rsidRPr="00A8783E" w:rsidTr="005B5318">
              <w:trPr>
                <w:trHeight w:val="310"/>
              </w:trPr>
              <w:tc>
                <w:tcPr>
                  <w:tcW w:w="2689"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310"/>
              </w:trPr>
              <w:tc>
                <w:tcPr>
                  <w:tcW w:w="268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90"/>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310"/>
              </w:trPr>
              <w:tc>
                <w:tcPr>
                  <w:tcW w:w="268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90"/>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310"/>
              </w:trPr>
              <w:tc>
                <w:tcPr>
                  <w:tcW w:w="268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90"/>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310"/>
              </w:trPr>
              <w:tc>
                <w:tcPr>
                  <w:tcW w:w="268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90"/>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310"/>
              </w:trPr>
              <w:tc>
                <w:tcPr>
                  <w:tcW w:w="268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90"/>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 xml:space="preserve">4 (2019-2020, Табл. 5, стр. 51). Екологичното състояние на езерото Сребърна по БЕК Риби е оценено като </w:t>
            </w:r>
            <w:r w:rsidRPr="00A8783E">
              <w:rPr>
                <w:rFonts w:ascii="Times New Roman" w:hAnsi="Times New Roman"/>
                <w:b/>
                <w:bCs/>
                <w:lang w:eastAsia="bg-BG"/>
              </w:rPr>
              <w:t>„Умерено“</w:t>
            </w:r>
            <w:r w:rsidRPr="00A8783E">
              <w:rPr>
                <w:rFonts w:ascii="Times New Roman" w:hAnsi="Times New Roman"/>
                <w:lang w:eastAsia="bg-BG"/>
              </w:rPr>
              <w:t>, Отлично по БЕК Макрозообентос и Лошо – по БЕК Фитопланктон и БЕК Макрофити.</w:t>
            </w:r>
          </w:p>
        </w:tc>
        <w:tc>
          <w:tcPr>
            <w:tcW w:w="2171"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before="119" w:after="119" w:line="240" w:lineRule="auto"/>
        <w:rPr>
          <w:rFonts w:ascii="Times New Roman" w:hAnsi="Times New Roman"/>
          <w:b/>
          <w:bCs/>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lang w:eastAsia="bg-BG"/>
        </w:rPr>
        <w:t xml:space="preserve">Предвид наличната информация за настоящата гнездова численост на вида в защитената зона е необходима актуализация на СФ: </w:t>
      </w:r>
      <w:r w:rsidRPr="00A8783E">
        <w:rPr>
          <w:rFonts w:ascii="Times New Roman" w:hAnsi="Times New Roman"/>
          <w:sz w:val="24"/>
          <w:szCs w:val="24"/>
        </w:rPr>
        <w:t>По отношение на гнездящата популация предлагаме промяна в значението на зоната за националната гнездяща популация на вида от категория „С“ в категория „В“, тъй като числеността е над 2 % от националната гнездяща популация на 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175"/>
        <w:gridCol w:w="175"/>
        <w:gridCol w:w="572"/>
        <w:gridCol w:w="605"/>
        <w:gridCol w:w="594"/>
        <w:gridCol w:w="578"/>
        <w:gridCol w:w="839"/>
        <w:gridCol w:w="950"/>
        <w:gridCol w:w="622"/>
        <w:gridCol w:w="522"/>
        <w:gridCol w:w="578"/>
      </w:tblGrid>
      <w:tr w:rsidR="00A8783E" w:rsidRPr="00A8783E" w:rsidTr="005B5318">
        <w:trPr>
          <w:jc w:val="center"/>
        </w:trPr>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Species</w:t>
            </w:r>
          </w:p>
        </w:tc>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Code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Scientific Name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NP</w:t>
            </w:r>
          </w:p>
        </w:tc>
        <w:tc>
          <w:tcPr>
            <w:tcW w:w="0" w:type="auto"/>
            <w:gridSpan w:val="2"/>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T</w:t>
            </w:r>
          </w:p>
        </w:tc>
        <w:tc>
          <w:tcPr>
            <w:tcW w:w="0" w:type="auto"/>
            <w:gridSpan w:val="2"/>
            <w:shd w:val="clear" w:color="auto" w:fill="D9D9D9"/>
            <w:vAlign w:val="center"/>
          </w:tcPr>
          <w:p w:rsidR="00A8783E" w:rsidRPr="00A8783E" w:rsidRDefault="00A8783E" w:rsidP="00A8783E">
            <w:pPr>
              <w:spacing w:after="0" w:line="240" w:lineRule="auto"/>
              <w:jc w:val="center"/>
              <w:rPr>
                <w:rFonts w:ascii="Times New Roman" w:hAnsi="Times New Roman"/>
                <w:b/>
                <w:bCs/>
                <w:sz w:val="20"/>
                <w:szCs w:val="20"/>
                <w:lang w:eastAsia="en-GB"/>
              </w:rPr>
            </w:pPr>
            <w:r w:rsidRPr="00A8783E">
              <w:rPr>
                <w:rFonts w:ascii="Times New Roman" w:hAnsi="Times New Roman"/>
                <w:b/>
                <w:bCs/>
                <w:sz w:val="20"/>
                <w:szCs w:val="20"/>
                <w:lang w:eastAsia="en-GB"/>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D.qual.</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Iso.</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Glo.</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en-GB"/>
              </w:rPr>
              <w:t>В</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bg-BG"/>
              </w:rPr>
              <w:t>A005</w:t>
            </w:r>
          </w:p>
        </w:tc>
        <w:tc>
          <w:tcPr>
            <w:tcW w:w="0" w:type="auto"/>
            <w:vAlign w:val="center"/>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eastAsia="bg-BG"/>
              </w:rPr>
            </w:pPr>
            <w:r w:rsidRPr="00A8783E">
              <w:rPr>
                <w:rFonts w:ascii="Times New Roman" w:hAnsi="Times New Roman"/>
                <w:i/>
                <w:iCs/>
                <w:color w:val="000000"/>
                <w:sz w:val="20"/>
                <w:szCs w:val="20"/>
                <w:lang w:eastAsia="bg-BG"/>
              </w:rPr>
              <w:t>Podiceps cristatus</w:t>
            </w:r>
          </w:p>
          <w:p w:rsidR="00A8783E" w:rsidRPr="00A8783E" w:rsidRDefault="00A8783E" w:rsidP="00A8783E">
            <w:pPr>
              <w:autoSpaceDE w:val="0"/>
              <w:autoSpaceDN w:val="0"/>
              <w:adjustRightInd w:val="0"/>
              <w:spacing w:after="0" w:line="240" w:lineRule="auto"/>
              <w:rPr>
                <w:rFonts w:ascii="Times New Roman" w:hAnsi="Times New Roman"/>
                <w:color w:val="000000"/>
                <w:sz w:val="20"/>
                <w:szCs w:val="20"/>
                <w:lang w:eastAsia="bg-BG"/>
              </w:rPr>
            </w:pP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gridSpan w:val="2"/>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r</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sz w:val="20"/>
                <w:szCs w:val="20"/>
                <w:lang w:eastAsia="bg-BG"/>
              </w:rPr>
              <w:t>26</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sz w:val="20"/>
                <w:szCs w:val="20"/>
                <w:lang w:eastAsia="bg-BG"/>
              </w:rPr>
              <w:t>30</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color w:val="000000"/>
                <w:sz w:val="20"/>
                <w:szCs w:val="20"/>
                <w:lang w:val="en-US" w:eastAsia="bg-BG"/>
              </w:rPr>
              <w:t>p</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eastAsia="bg-BG"/>
              </w:rPr>
              <w:t>В</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r>
    </w:tbl>
    <w:p w:rsidR="00A8783E" w:rsidRPr="00A8783E" w:rsidRDefault="00A8783E" w:rsidP="00A8783E">
      <w:pPr>
        <w:keepNext/>
        <w:keepLines/>
        <w:spacing w:before="40" w:after="0" w:line="259" w:lineRule="auto"/>
        <w:rPr>
          <w:rFonts w:ascii="Calibri Light" w:hAnsi="Calibri Light" w:cs="Calibri Light"/>
          <w:color w:val="2E74B5"/>
          <w:sz w:val="26"/>
          <w:szCs w:val="26"/>
          <w:lang w:eastAsia="bg-BG"/>
        </w:rPr>
      </w:pPr>
      <w:bookmarkStart w:id="124" w:name="_Toc89106059"/>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25" w:name="_Toc98741898"/>
      <w:bookmarkStart w:id="126" w:name="_Toc98838573"/>
      <w:r w:rsidRPr="00A8783E">
        <w:rPr>
          <w:rFonts w:ascii="Times New Roman" w:hAnsi="Times New Roman"/>
          <w:color w:val="1F497D"/>
          <w:sz w:val="28"/>
          <w:szCs w:val="28"/>
          <w:lang w:eastAsia="bg-BG"/>
        </w:rPr>
        <w:t xml:space="preserve">Специфични цели за А006 </w:t>
      </w:r>
      <w:r w:rsidRPr="00A8783E">
        <w:rPr>
          <w:rFonts w:ascii="Times New Roman" w:hAnsi="Times New Roman"/>
          <w:i/>
          <w:iCs/>
          <w:color w:val="1F497D"/>
          <w:sz w:val="28"/>
          <w:szCs w:val="28"/>
          <w:lang w:val="en-US" w:eastAsia="bg-BG"/>
        </w:rPr>
        <w:t>Podiceps</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US" w:eastAsia="bg-BG"/>
        </w:rPr>
        <w:t>grisegena</w:t>
      </w:r>
      <w:r w:rsidRPr="00A8783E">
        <w:rPr>
          <w:rFonts w:ascii="Times New Roman" w:hAnsi="Times New Roman"/>
          <w:color w:val="1F497D"/>
          <w:sz w:val="28"/>
          <w:szCs w:val="28"/>
          <w:lang w:eastAsia="bg-BG"/>
        </w:rPr>
        <w:t xml:space="preserve"> (червеноврат гмурец)</w:t>
      </w:r>
      <w:bookmarkEnd w:id="124"/>
      <w:bookmarkEnd w:id="125"/>
      <w:bookmarkEnd w:id="126"/>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Дължината на тялото: 40-46 cm, размах на крилата: 77-85 cm. В брачно оперение челото, темето и тила са черни. Теменните пера са леко удължени, като образуват неясна качулка. Гърлото и бузите са пепелявосиви. Шията и горната част на гърдите са ръждиви до тъмнокафяви откъм гръбната страна. Гърбът и крилата са тъмнокафяви, коремът бял. Има малко жълто петно в основата на човката. През зимата окраската на главата е без резки черно-бели контрасти. Шията и горната част на гърдите са сиво-бели. Клюнът е по-светъл. Няма полов диморфизъм. При младите оперението е като възрастните в зимно оперение, бузите са с ивици, жълтото на човката е повече, а горната част на шията отпред е червеникаво-кафява. (</w:t>
      </w:r>
      <w:r w:rsidRPr="00A8783E">
        <w:rPr>
          <w:rFonts w:ascii="Times New Roman" w:hAnsi="Times New Roman"/>
          <w:sz w:val="24"/>
          <w:szCs w:val="24"/>
          <w:lang w:val="en-US" w:eastAsia="bg-BG"/>
        </w:rPr>
        <w:t>Svensson</w:t>
      </w:r>
      <w:r w:rsidRPr="00A8783E">
        <w:rPr>
          <w:rFonts w:ascii="Times New Roman" w:hAnsi="Times New Roman"/>
          <w:sz w:val="24"/>
          <w:szCs w:val="24"/>
          <w:lang w:eastAsia="bg-BG"/>
        </w:rPr>
        <w:t xml:space="preserve">, 2009; Симеонов и др. 1990).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Гнездящ, мигриращ и зимуващ вид за страната. Зимува рядко по Черноморието, край р. Дунав и вътрешните водоеми. Миграцията е през август-ноември и февруари-април. В резултат на миграции през есента числеността му нараства, като се среща на малки групи. Гнезди на отделни двойки и в колонии. Разстоянието между отделните гнезда в колониите е около 10 м. Строи няколко гнезда, като едно е основно. Гнездото е сред водната растителност. Снася в края на април и през май, 2 до 6 яйца. Малките са гнездобегълци (Симеонов и др., 1990; Нанкинов, 2012).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Обитава равнинни водоеми с богата водна растителност. Предпочита биотопи, където петна водна растителност се редуват с участъци открита водна площ. Избягва водоеми които се посещават от човека (Симеонов и др., 1990). 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Храни се предимно с водни насекоми и техните ларви, а също така и с дребни риби, жаби, миди, ракообразни, водни растения, семена и листа (Симеонов и др., 1990).</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eastAsia="GroteskHSBg-Light" w:hAnsi="Times New Roman"/>
          <w:sz w:val="24"/>
          <w:szCs w:val="24"/>
          <w:lang w:eastAsia="bg-BG"/>
        </w:rPr>
        <w:t>Разпространен е в изолирани гнездовища по Дунавското крайбрежие, на места в Тракийската низина и покрай Черно море. Най-значимите и постоянни гнездовища са във влажните зони по р. Дунав.</w:t>
      </w:r>
      <w:r w:rsidRPr="00A8783E">
        <w:rPr>
          <w:rFonts w:ascii="Times New Roman" w:hAnsi="Times New Roman"/>
          <w:sz w:val="24"/>
          <w:szCs w:val="24"/>
          <w:lang w:eastAsia="bg-BG"/>
        </w:rPr>
        <w:t xml:space="preserve"> (Янков отг. ред., 2007). </w:t>
      </w:r>
      <w:r w:rsidRPr="00A8783E">
        <w:rPr>
          <w:rFonts w:ascii="Times New Roman" w:eastAsia="GroteskHSBg-Light" w:hAnsi="Times New Roman"/>
          <w:sz w:val="24"/>
          <w:szCs w:val="24"/>
          <w:lang w:eastAsia="bg-BG"/>
        </w:rPr>
        <w:t xml:space="preserve">В края на XIX и първата половина на ХХ в. малоброен, силно локализиран, с изолирани находища. С мащабното пресушаване на блатата през първата половина на ХХ в. популацията почти напълно е унищожена и видът се смята изчезнал като гнездящ (Патев, 1950), но след 1950 г. е налице частично възстановяване. Около 1980 г. популацията не надвишава 50 дв. с най-многочислено и стабилно гнездовище на о. Белене: 20–25 дв. (Иванов, 1985). </w:t>
      </w:r>
      <w:r w:rsidRPr="00A8783E">
        <w:rPr>
          <w:rFonts w:ascii="Times New Roman" w:hAnsi="Times New Roman"/>
          <w:sz w:val="24"/>
          <w:szCs w:val="24"/>
          <w:lang w:eastAsia="bg-BG"/>
        </w:rPr>
        <w:t xml:space="preserve">Общата тенденция на броя на двойките за периода 2006-2013 г. е положителна главно поради подобряването на качеството на местообитанията в някои местообитания - блатата Персина и рибарниците Калимок след създаването на нови водни връзки на тези блата с река Дунав през 2008 г. Положителната тенденция в броя на червеногушите гмурци е </w:t>
      </w:r>
      <w:r w:rsidRPr="00A8783E">
        <w:rPr>
          <w:rFonts w:ascii="Times New Roman" w:hAnsi="Times New Roman"/>
          <w:sz w:val="24"/>
          <w:szCs w:val="24"/>
          <w:lang w:eastAsia="bg-BG"/>
        </w:rPr>
        <w:lastRenderedPageBreak/>
        <w:t>видима през последните 30 години. През 80-те години на миналия век са били стабилни и постоянни гнездовите находища на вида в езерото Сребърна, Гарванското блато и Персинските блата, но няма данни за наличието на вида при рибарниците Калимок, Мечка, Орсоя и Хаджидимитрово (Симеонов и др., 1990). Разширението на гнездовите находища е установено след 1990 г. В рибарници Хаджидимитрово, видът е намерен да гнезди през 2004 г. (</w:t>
      </w:r>
      <w:r w:rsidRPr="00A8783E">
        <w:rPr>
          <w:rFonts w:ascii="Times New Roman" w:hAnsi="Times New Roman"/>
          <w:sz w:val="24"/>
          <w:szCs w:val="24"/>
          <w:lang w:val="en-US" w:eastAsia="bg-BG"/>
        </w:rPr>
        <w:t>Shurulinkov</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et</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al</w:t>
      </w:r>
      <w:r w:rsidRPr="00A8783E">
        <w:rPr>
          <w:rFonts w:ascii="Times New Roman" w:hAnsi="Times New Roman"/>
          <w:sz w:val="24"/>
          <w:szCs w:val="24"/>
          <w:lang w:eastAsia="bg-BG"/>
        </w:rPr>
        <w:t>., 2019).</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видът е слабо засегнат –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Включен в Червената книга на България в категорията „Застрашен вид”. Включен в Приложение 3 на ЗБР.</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Докладването от 2019 г. (за периода 2013 – 2018 г.) националната гнездяща популация на вида се оценява на 30 – 80 двойки, а според Червена книга на България (2015) числеността е 20 – 50 двойки. Краткосрочната тенденция на популацията (за периода 2000 – 2018 г.) е намаляваща, а дългосрочната (за периода 1980 – 2018 г.) е флуктуираща, променлива. За гнездовата популация са посочени следните заплахи: М07, </w:t>
      </w:r>
      <w:r w:rsidRPr="00A8783E">
        <w:rPr>
          <w:rFonts w:ascii="Times New Roman" w:hAnsi="Times New Roman"/>
          <w:sz w:val="24"/>
          <w:szCs w:val="24"/>
          <w:lang w:val="en-US" w:eastAsia="bg-BG"/>
        </w:rPr>
        <w:t>G</w:t>
      </w:r>
      <w:r w:rsidRPr="00A8783E">
        <w:rPr>
          <w:rFonts w:ascii="Times New Roman" w:hAnsi="Times New Roman"/>
          <w:sz w:val="24"/>
          <w:szCs w:val="24"/>
          <w:lang w:eastAsia="bg-BG"/>
        </w:rPr>
        <w:t xml:space="preserve">05, </w:t>
      </w:r>
      <w:r w:rsidRPr="00A8783E">
        <w:rPr>
          <w:rFonts w:ascii="Times New Roman" w:hAnsi="Times New Roman"/>
          <w:sz w:val="24"/>
          <w:szCs w:val="24"/>
          <w:lang w:val="en-US" w:eastAsia="bg-BG"/>
        </w:rPr>
        <w:t>G</w:t>
      </w:r>
      <w:r w:rsidRPr="00A8783E">
        <w:rPr>
          <w:rFonts w:ascii="Times New Roman" w:hAnsi="Times New Roman"/>
          <w:sz w:val="24"/>
          <w:szCs w:val="24"/>
          <w:lang w:eastAsia="bg-BG"/>
        </w:rPr>
        <w:t>06.</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Зимуващата популация е оценена на 10 – 50 индивида. Краткосрочната тенденция на популацията (за периода 2000 – 2018 г.), както и дългосрочната (за периода 1980 – 2018 г.) е флуктуираща, променлива.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Мигриращата национална популация е оценена на 30 – 150 индивида. За мигриращата популация са посочени следните заплахи: </w:t>
      </w:r>
      <w:r w:rsidRPr="00A8783E">
        <w:rPr>
          <w:rFonts w:ascii="Times New Roman" w:hAnsi="Times New Roman"/>
          <w:sz w:val="24"/>
          <w:szCs w:val="24"/>
          <w:lang w:val="en-US" w:eastAsia="bg-BG"/>
        </w:rPr>
        <w:t>J</w:t>
      </w:r>
      <w:r w:rsidRPr="00A8783E">
        <w:rPr>
          <w:rFonts w:ascii="Times New Roman" w:hAnsi="Times New Roman"/>
          <w:sz w:val="24"/>
          <w:szCs w:val="24"/>
          <w:lang w:eastAsia="bg-BG"/>
        </w:rPr>
        <w:t xml:space="preserve">02, </w:t>
      </w:r>
      <w:r w:rsidRPr="00A8783E">
        <w:rPr>
          <w:rFonts w:ascii="Times New Roman" w:hAnsi="Times New Roman"/>
          <w:sz w:val="24"/>
          <w:szCs w:val="24"/>
          <w:lang w:val="en-GB" w:eastAsia="bg-BG"/>
        </w:rPr>
        <w:t>F</w:t>
      </w:r>
      <w:r w:rsidRPr="00A8783E">
        <w:rPr>
          <w:rFonts w:ascii="Times New Roman" w:hAnsi="Times New Roman"/>
          <w:sz w:val="24"/>
          <w:szCs w:val="24"/>
          <w:lang w:eastAsia="bg-BG"/>
        </w:rPr>
        <w:t xml:space="preserve">26, </w:t>
      </w:r>
      <w:r w:rsidRPr="00A8783E">
        <w:rPr>
          <w:rFonts w:ascii="Times New Roman" w:hAnsi="Times New Roman"/>
          <w:sz w:val="24"/>
          <w:szCs w:val="24"/>
          <w:lang w:val="en-GB" w:eastAsia="bg-BG"/>
        </w:rPr>
        <w:t>F</w:t>
      </w:r>
      <w:r w:rsidRPr="00A8783E">
        <w:rPr>
          <w:rFonts w:ascii="Times New Roman" w:hAnsi="Times New Roman"/>
          <w:sz w:val="24"/>
          <w:szCs w:val="24"/>
          <w:lang w:eastAsia="bg-BG"/>
        </w:rPr>
        <w:t xml:space="preserve">05, </w:t>
      </w:r>
      <w:r w:rsidRPr="00A8783E">
        <w:rPr>
          <w:rFonts w:ascii="Times New Roman" w:hAnsi="Times New Roman"/>
          <w:sz w:val="24"/>
          <w:szCs w:val="24"/>
          <w:lang w:val="en-GB" w:eastAsia="bg-BG"/>
        </w:rPr>
        <w:t>G</w:t>
      </w:r>
      <w:r w:rsidRPr="00A8783E">
        <w:rPr>
          <w:rFonts w:ascii="Times New Roman" w:hAnsi="Times New Roman"/>
          <w:sz w:val="24"/>
          <w:szCs w:val="24"/>
          <w:lang w:eastAsia="bg-BG"/>
        </w:rPr>
        <w:t>12.</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вида е гнездящ. </w:t>
      </w:r>
      <w:r w:rsidRPr="00A8783E">
        <w:rPr>
          <w:rFonts w:ascii="Times New Roman" w:hAnsi="Times New Roman"/>
          <w:b/>
          <w:bCs/>
          <w:sz w:val="24"/>
          <w:szCs w:val="24"/>
          <w:lang w:eastAsia="bg-BG"/>
        </w:rPr>
        <w:t>Гнездящата</w:t>
      </w:r>
      <w:r w:rsidRPr="00A8783E">
        <w:rPr>
          <w:rFonts w:ascii="Times New Roman" w:hAnsi="Times New Roman"/>
          <w:sz w:val="24"/>
          <w:szCs w:val="24"/>
          <w:lang w:eastAsia="bg-BG"/>
        </w:rPr>
        <w:t xml:space="preserve"> популация се оценява на до </w:t>
      </w:r>
      <w:r w:rsidRPr="00A8783E">
        <w:rPr>
          <w:rFonts w:ascii="Times New Roman" w:hAnsi="Times New Roman"/>
          <w:b/>
          <w:bCs/>
          <w:sz w:val="24"/>
          <w:szCs w:val="24"/>
          <w:lang w:eastAsia="bg-BG"/>
        </w:rPr>
        <w:t>6 двойки</w:t>
      </w:r>
      <w:r w:rsidRPr="00A8783E">
        <w:rPr>
          <w:rFonts w:ascii="Times New Roman" w:hAnsi="Times New Roman"/>
          <w:sz w:val="24"/>
          <w:szCs w:val="24"/>
          <w:lang w:eastAsia="bg-BG"/>
        </w:rPr>
        <w:t>, което представлява 7,5 - 20,0 % от националната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Видът гнезди с ниска численост в цялата страна и по поречието на р. Дунав. По-значими гнездовища са Персинските блата и рибарници Калимок. Публикуваната информация за гнезденето на вида в Сребърна през 2001 и 2002 г. е съответно 1 и 4 двойки, а през 2004, 2005 и 2006 г., съответно 2, 1 и 5 двойки (</w:t>
      </w:r>
      <w:r w:rsidRPr="00A8783E">
        <w:rPr>
          <w:rFonts w:ascii="Times New Roman" w:hAnsi="Times New Roman"/>
          <w:color w:val="000000"/>
          <w:sz w:val="24"/>
          <w:szCs w:val="24"/>
          <w:lang w:val="en-US" w:eastAsia="bg-BG"/>
        </w:rPr>
        <w:t>Kamburova</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xml:space="preserve">, 2003; </w:t>
      </w:r>
      <w:r w:rsidRPr="00A8783E">
        <w:rPr>
          <w:rFonts w:ascii="Times New Roman" w:hAnsi="Times New Roman"/>
          <w:sz w:val="24"/>
          <w:szCs w:val="24"/>
          <w:lang w:val="en-US" w:eastAsia="bg-BG"/>
        </w:rPr>
        <w:t>Kambourova</w:t>
      </w:r>
      <w:r w:rsidRPr="00A8783E">
        <w:rPr>
          <w:rFonts w:ascii="Times New Roman" w:hAnsi="Times New Roman"/>
          <w:sz w:val="24"/>
          <w:szCs w:val="24"/>
          <w:lang w:eastAsia="bg-BG"/>
        </w:rPr>
        <w:t>, 2012</w:t>
      </w:r>
      <w:r w:rsidRPr="00A8783E">
        <w:rPr>
          <w:rFonts w:ascii="Times New Roman" w:hAnsi="Times New Roman"/>
          <w:color w:val="000000"/>
          <w:sz w:val="24"/>
          <w:szCs w:val="24"/>
          <w:lang w:eastAsia="bg-BG"/>
        </w:rPr>
        <w:t xml:space="preserve">). В периода 2006-2013 г. се посочва численост между 3 и 5 дв., като Сребърна не е най-важното място за гнездене на вида по дунавското крайбрежие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xml:space="preserve">., 2019). Според Матеева и др. (2013) в зоната са гнездили 2-5 дв. през 2012 г. В Актуализирания План за управление на ПР „Сребърна” (2015 г.), се посочва че видът гнезди в обширни водни площи с вкоренена тръстика, с численост 1-2 дв. или около 2,5% от националната гнездова популация. </w:t>
      </w:r>
      <w:r w:rsidRPr="00A8783E">
        <w:rPr>
          <w:rFonts w:ascii="Times New Roman" w:hAnsi="Times New Roman"/>
          <w:sz w:val="24"/>
          <w:szCs w:val="24"/>
          <w:lang w:eastAsia="bg-BG"/>
        </w:rPr>
        <w:t xml:space="preserve">При теренните проучвания през 2021 г. видът бе наблюдаван на 18 и 20.05.2021 – 2 двойки. </w:t>
      </w:r>
    </w:p>
    <w:p w:rsidR="00A8783E" w:rsidRPr="00A8783E" w:rsidRDefault="00A8783E" w:rsidP="00A8783E">
      <w:pPr>
        <w:spacing w:after="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От посочените в Докладването от 2019 г. заплахи и влияния за гнездящата популация: М07, </w:t>
      </w:r>
      <w:r w:rsidRPr="00A8783E">
        <w:rPr>
          <w:rFonts w:ascii="Times New Roman" w:hAnsi="Times New Roman"/>
          <w:sz w:val="24"/>
          <w:szCs w:val="24"/>
          <w:lang w:val="en-US" w:eastAsia="bg-BG"/>
        </w:rPr>
        <w:t>G</w:t>
      </w:r>
      <w:r w:rsidRPr="00A8783E">
        <w:rPr>
          <w:rFonts w:ascii="Times New Roman" w:hAnsi="Times New Roman"/>
          <w:sz w:val="24"/>
          <w:szCs w:val="24"/>
          <w:lang w:eastAsia="bg-BG"/>
        </w:rPr>
        <w:t xml:space="preserve">05, </w:t>
      </w:r>
      <w:r w:rsidRPr="00A8783E">
        <w:rPr>
          <w:rFonts w:ascii="Times New Roman" w:hAnsi="Times New Roman"/>
          <w:sz w:val="24"/>
          <w:szCs w:val="24"/>
          <w:lang w:val="en-US" w:eastAsia="bg-BG"/>
        </w:rPr>
        <w:t>G</w:t>
      </w:r>
      <w:r w:rsidRPr="00A8783E">
        <w:rPr>
          <w:rFonts w:ascii="Times New Roman" w:hAnsi="Times New Roman"/>
          <w:sz w:val="24"/>
          <w:szCs w:val="24"/>
          <w:lang w:eastAsia="bg-BG"/>
        </w:rPr>
        <w:t xml:space="preserve">06, валидни за зоната са: </w:t>
      </w:r>
      <w:r w:rsidRPr="00A8783E">
        <w:rPr>
          <w:rFonts w:ascii="Times New Roman" w:hAnsi="Times New Roman"/>
          <w:sz w:val="24"/>
          <w:szCs w:val="24"/>
          <w:lang w:val="en-GB" w:eastAsia="bg-BG"/>
        </w:rPr>
        <w:t>G</w:t>
      </w:r>
      <w:r w:rsidRPr="00A8783E">
        <w:rPr>
          <w:rFonts w:ascii="Times New Roman" w:hAnsi="Times New Roman"/>
          <w:sz w:val="24"/>
          <w:szCs w:val="24"/>
          <w:lang w:eastAsia="bg-BG"/>
        </w:rPr>
        <w:t xml:space="preserve">12-Приулов и инцидентно убиване (при риболовни и ловни дейности); </w:t>
      </w:r>
      <w:r w:rsidRPr="00A8783E">
        <w:rPr>
          <w:rFonts w:ascii="Times New Roman" w:hAnsi="Times New Roman"/>
          <w:sz w:val="24"/>
          <w:szCs w:val="24"/>
          <w:lang w:val="en-GB"/>
        </w:rPr>
        <w:t>G</w:t>
      </w:r>
      <w:r w:rsidRPr="00A8783E">
        <w:rPr>
          <w:rFonts w:ascii="Times New Roman" w:hAnsi="Times New Roman"/>
          <w:sz w:val="24"/>
          <w:szCs w:val="24"/>
        </w:rPr>
        <w:t xml:space="preserve">06 – Сладководен риболов и улов на черупчести организми (спортен); </w:t>
      </w:r>
      <w:r w:rsidRPr="00A8783E">
        <w:rPr>
          <w:rFonts w:ascii="Times New Roman" w:hAnsi="Times New Roman"/>
          <w:sz w:val="24"/>
          <w:szCs w:val="24"/>
          <w:lang w:eastAsia="bg-BG"/>
        </w:rPr>
        <w:t xml:space="preserve">Заплахи за видовете птици в зоната са бракониерството и незаконния отстрел, както и риболов с мрежени уреди, пожари в тръстиковите масиви и безпокойство.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1275"/>
        <w:gridCol w:w="1134"/>
        <w:gridCol w:w="2902"/>
        <w:gridCol w:w="2193"/>
      </w:tblGrid>
      <w:tr w:rsidR="00A8783E" w:rsidRPr="00A8783E" w:rsidTr="005B5318">
        <w:trPr>
          <w:tblHeader/>
          <w:jc w:val="center"/>
        </w:trPr>
        <w:tc>
          <w:tcPr>
            <w:tcW w:w="1702"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lastRenderedPageBreak/>
              <w:t>Параметър</w:t>
            </w:r>
          </w:p>
        </w:tc>
        <w:tc>
          <w:tcPr>
            <w:tcW w:w="1275"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13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902"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193"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702"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гнездовата популацията</w:t>
            </w:r>
          </w:p>
        </w:tc>
        <w:tc>
          <w:tcPr>
            <w:tcW w:w="127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13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2 - 6 двойки </w:t>
            </w:r>
          </w:p>
        </w:tc>
        <w:tc>
          <w:tcPr>
            <w:tcW w:w="290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Целевата стойност е определена на база данните от СФ, от извършен мониторинг в защитената зона през гнездовия период на 2021 г. и от литературни източници през последните години. Следва да се посочи мин. численост от поне 2 двойки.</w:t>
            </w:r>
          </w:p>
        </w:tc>
        <w:tc>
          <w:tcPr>
            <w:tcW w:w="219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популацията на вида в зоната в размер от най-малко 2 двойки чрез поддържане на гнездовите местообитания на вида в зоната.</w:t>
            </w:r>
          </w:p>
        </w:tc>
      </w:tr>
      <w:tr w:rsidR="00A8783E" w:rsidRPr="00A8783E" w:rsidTr="005B5318">
        <w:trPr>
          <w:jc w:val="center"/>
        </w:trPr>
        <w:tc>
          <w:tcPr>
            <w:tcW w:w="1702"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27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565</w:t>
            </w:r>
          </w:p>
        </w:tc>
        <w:tc>
          <w:tcPr>
            <w:tcW w:w="290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19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площта на подходящите гнездови местообитания на вида в защитената зона чрез поддържане на оптимално ниво на водата в езерото.</w:t>
            </w:r>
          </w:p>
        </w:tc>
      </w:tr>
      <w:tr w:rsidR="00A8783E" w:rsidRPr="00A8783E" w:rsidTr="005B5318">
        <w:trPr>
          <w:jc w:val="center"/>
        </w:trPr>
        <w:tc>
          <w:tcPr>
            <w:tcW w:w="1702"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27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най-малко 565 </w:t>
            </w:r>
          </w:p>
        </w:tc>
        <w:tc>
          <w:tcPr>
            <w:tcW w:w="290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Включва гнездовото местообитание.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07-мочурища и блата.</w:t>
            </w:r>
          </w:p>
        </w:tc>
        <w:tc>
          <w:tcPr>
            <w:tcW w:w="219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площта на подходящите хранителни местообитания на вида чрез поддържане на оптимално ниво на водата в езерото.</w:t>
            </w:r>
          </w:p>
        </w:tc>
      </w:tr>
      <w:tr w:rsidR="00A8783E" w:rsidRPr="00A8783E" w:rsidTr="005B5318">
        <w:trPr>
          <w:jc w:val="center"/>
        </w:trPr>
        <w:tc>
          <w:tcPr>
            <w:tcW w:w="1702"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риби и водни безгръбначни животни</w:t>
            </w:r>
          </w:p>
        </w:tc>
        <w:tc>
          <w:tcPr>
            <w:tcW w:w="1275"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902" w:type="dxa"/>
          </w:tcPr>
          <w:tbl>
            <w:tblPr>
              <w:tblW w:w="3029" w:type="dxa"/>
              <w:tblInd w:w="3" w:type="dxa"/>
              <w:tblLayout w:type="fixed"/>
              <w:tblCellMar>
                <w:left w:w="70" w:type="dxa"/>
                <w:right w:w="70" w:type="dxa"/>
              </w:tblCellMar>
              <w:tblLook w:val="00A0" w:firstRow="1" w:lastRow="0" w:firstColumn="1" w:lastColumn="0" w:noHBand="0" w:noVBand="0"/>
            </w:tblPr>
            <w:tblGrid>
              <w:gridCol w:w="3029"/>
            </w:tblGrid>
            <w:tr w:rsidR="00A8783E" w:rsidRPr="00A8783E" w:rsidTr="005B5318">
              <w:trPr>
                <w:trHeight w:val="321"/>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99"/>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321"/>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99"/>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321"/>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99"/>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321"/>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99"/>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321"/>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99"/>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321"/>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99"/>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Екологичното състояние на езерото Сребърна по БЕК Риби е оценено като „Умерено“, Отлично по БЕК Макрозообентос.</w:t>
            </w:r>
          </w:p>
        </w:tc>
        <w:tc>
          <w:tcPr>
            <w:tcW w:w="2193"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before="119" w:after="119" w:line="240" w:lineRule="auto"/>
        <w:rPr>
          <w:rFonts w:ascii="Times New Roman" w:hAnsi="Times New Roman"/>
          <w:b/>
          <w:bCs/>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lang w:eastAsia="bg-BG"/>
        </w:rPr>
        <w:t xml:space="preserve">Предвид наличната информация за настоящата гнездова численост на вида в защитената зона е необходима актуализация на СФ: </w:t>
      </w:r>
      <w:r w:rsidRPr="00A8783E">
        <w:rPr>
          <w:rFonts w:ascii="Times New Roman" w:hAnsi="Times New Roman"/>
          <w:sz w:val="24"/>
          <w:szCs w:val="24"/>
        </w:rPr>
        <w:t>По отношение на гнездящата популация предлагаме промяна в минималната гнездова численост на поне 2 двойки.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175"/>
        <w:gridCol w:w="175"/>
        <w:gridCol w:w="572"/>
        <w:gridCol w:w="605"/>
        <w:gridCol w:w="594"/>
        <w:gridCol w:w="578"/>
        <w:gridCol w:w="839"/>
        <w:gridCol w:w="950"/>
        <w:gridCol w:w="622"/>
        <w:gridCol w:w="522"/>
        <w:gridCol w:w="578"/>
      </w:tblGrid>
      <w:tr w:rsidR="00A8783E" w:rsidRPr="00A8783E" w:rsidTr="005B5318">
        <w:trPr>
          <w:jc w:val="center"/>
        </w:trPr>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Species</w:t>
            </w:r>
          </w:p>
        </w:tc>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Code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Scientific Name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NP</w:t>
            </w:r>
          </w:p>
        </w:tc>
        <w:tc>
          <w:tcPr>
            <w:tcW w:w="0" w:type="auto"/>
            <w:gridSpan w:val="2"/>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T</w:t>
            </w:r>
          </w:p>
        </w:tc>
        <w:tc>
          <w:tcPr>
            <w:tcW w:w="0" w:type="auto"/>
            <w:gridSpan w:val="2"/>
            <w:shd w:val="clear" w:color="auto" w:fill="D9D9D9"/>
            <w:vAlign w:val="center"/>
          </w:tcPr>
          <w:p w:rsidR="00A8783E" w:rsidRPr="00A8783E" w:rsidRDefault="00A8783E" w:rsidP="00A8783E">
            <w:pPr>
              <w:spacing w:after="0" w:line="240" w:lineRule="auto"/>
              <w:jc w:val="center"/>
              <w:rPr>
                <w:rFonts w:ascii="Times New Roman" w:hAnsi="Times New Roman"/>
                <w:b/>
                <w:bCs/>
                <w:sz w:val="20"/>
                <w:szCs w:val="20"/>
                <w:lang w:eastAsia="en-GB"/>
              </w:rPr>
            </w:pPr>
            <w:r w:rsidRPr="00A8783E">
              <w:rPr>
                <w:rFonts w:ascii="Times New Roman" w:hAnsi="Times New Roman"/>
                <w:b/>
                <w:bCs/>
                <w:sz w:val="20"/>
                <w:szCs w:val="20"/>
                <w:lang w:eastAsia="en-GB"/>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D.qual.</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Iso.</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Glo.</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en-GB"/>
              </w:rPr>
              <w:t>В</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bg-BG"/>
              </w:rPr>
              <w:t>A006</w:t>
            </w:r>
          </w:p>
        </w:tc>
        <w:tc>
          <w:tcPr>
            <w:tcW w:w="0" w:type="auto"/>
            <w:vAlign w:val="center"/>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eastAsia="bg-BG"/>
              </w:rPr>
            </w:pPr>
            <w:r w:rsidRPr="00A8783E">
              <w:rPr>
                <w:rFonts w:ascii="Times New Roman" w:hAnsi="Times New Roman"/>
                <w:i/>
                <w:iCs/>
                <w:color w:val="000000"/>
                <w:sz w:val="20"/>
                <w:szCs w:val="20"/>
                <w:lang w:eastAsia="bg-BG"/>
              </w:rPr>
              <w:t xml:space="preserve">Podiceps </w:t>
            </w:r>
            <w:r w:rsidRPr="00A8783E">
              <w:rPr>
                <w:rFonts w:ascii="Times New Roman" w:hAnsi="Times New Roman"/>
                <w:i/>
                <w:iCs/>
                <w:color w:val="000000"/>
                <w:sz w:val="20"/>
                <w:szCs w:val="20"/>
                <w:lang w:val="en-US" w:eastAsia="bg-BG"/>
              </w:rPr>
              <w:lastRenderedPageBreak/>
              <w:t>grisegena</w:t>
            </w:r>
          </w:p>
          <w:p w:rsidR="00A8783E" w:rsidRPr="00A8783E" w:rsidRDefault="00A8783E" w:rsidP="00A8783E">
            <w:pPr>
              <w:autoSpaceDE w:val="0"/>
              <w:autoSpaceDN w:val="0"/>
              <w:adjustRightInd w:val="0"/>
              <w:spacing w:after="0" w:line="240" w:lineRule="auto"/>
              <w:rPr>
                <w:rFonts w:ascii="Times New Roman" w:hAnsi="Times New Roman"/>
                <w:color w:val="000000"/>
                <w:sz w:val="20"/>
                <w:szCs w:val="20"/>
                <w:lang w:eastAsia="bg-BG"/>
              </w:rPr>
            </w:pP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gridSpan w:val="2"/>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r</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eastAsia="bg-BG"/>
              </w:rPr>
              <w:t>2</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bg-BG"/>
              </w:rPr>
              <w:t>6</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color w:val="000000"/>
                <w:sz w:val="20"/>
                <w:szCs w:val="20"/>
                <w:lang w:val="en-US" w:eastAsia="bg-BG"/>
              </w:rPr>
              <w:t>p</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bg-BG"/>
              </w:rPr>
              <w:t>В</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С</w:t>
            </w: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27" w:name="_Toc89106060"/>
      <w:bookmarkStart w:id="128" w:name="_Toc98741899"/>
      <w:bookmarkStart w:id="129" w:name="_Toc98838574"/>
      <w:r w:rsidRPr="00A8783E">
        <w:rPr>
          <w:rFonts w:ascii="Times New Roman" w:hAnsi="Times New Roman"/>
          <w:color w:val="1F497D"/>
          <w:sz w:val="28"/>
          <w:szCs w:val="28"/>
          <w:lang w:eastAsia="bg-BG"/>
        </w:rPr>
        <w:t xml:space="preserve">Специфични цели за А008 </w:t>
      </w:r>
      <w:r w:rsidRPr="00A8783E">
        <w:rPr>
          <w:rFonts w:ascii="Times New Roman" w:hAnsi="Times New Roman"/>
          <w:i/>
          <w:iCs/>
          <w:color w:val="1F497D"/>
          <w:sz w:val="28"/>
          <w:szCs w:val="28"/>
          <w:lang w:val="en-US" w:eastAsia="bg-BG"/>
        </w:rPr>
        <w:t>Podiceps</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US" w:eastAsia="bg-BG"/>
        </w:rPr>
        <w:t>nigricollis</w:t>
      </w:r>
      <w:r w:rsidRPr="00A8783E">
        <w:rPr>
          <w:rFonts w:ascii="Times New Roman" w:hAnsi="Times New Roman"/>
          <w:color w:val="1F497D"/>
          <w:sz w:val="28"/>
          <w:szCs w:val="28"/>
          <w:lang w:eastAsia="bg-BG"/>
        </w:rPr>
        <w:t xml:space="preserve"> (черноврат гмурец)</w:t>
      </w:r>
      <w:bookmarkEnd w:id="127"/>
      <w:bookmarkEnd w:id="128"/>
      <w:bookmarkEnd w:id="129"/>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Дължината на тялото 28-34 cm, тегло 0,250 – 0,350 kg, размахът на крилата - 56-60 cm. В брачно оперение главата, вратът, гърбът и крилата са черни. Теменните пера са леко удължени. Зад очите и областта на ушите със снопче тънки, златисто-рижи пера. Коремът и подкрилията са бели. Слабините са ръждиви. Клюнът е слабо извит нагоре. През зимата рижият цвят в оперението липсва. На тила без удължени пера. Общия тон в окраската по-светъл. Зад ушите бяло петно. Гърлото, шията, гърдите и коремът бели. Има тъмносива яка. Няма полов диморфизъм. При младите оперението е като възрастните в зимно оперение, бузите са с бежов оттенък, шията е по-тъмна (</w:t>
      </w:r>
      <w:r w:rsidRPr="00A8783E">
        <w:rPr>
          <w:rFonts w:ascii="Times New Roman" w:hAnsi="Times New Roman"/>
          <w:sz w:val="24"/>
          <w:szCs w:val="24"/>
          <w:lang w:val="en-US" w:eastAsia="bg-BG"/>
        </w:rPr>
        <w:t>Svensson</w:t>
      </w:r>
      <w:r w:rsidRPr="00A8783E">
        <w:rPr>
          <w:rFonts w:ascii="Times New Roman" w:hAnsi="Times New Roman"/>
          <w:sz w:val="24"/>
          <w:szCs w:val="24"/>
          <w:lang w:eastAsia="bg-BG"/>
        </w:rPr>
        <w:t xml:space="preserve">, 2009; Симеонов и др., 1990).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Гнездящ, мигриращ и зимуващ вид за страната. Среща се по водоемите на страната целогодишно. Забележима миграция се наблюдава през октомври – март. През нашата страна мигрират и зимуват индивиди излюпени в Румъния, Европейска Русия, Украйна, Чехия, Полша, Словакия и Германия. Многочислен през зимата, особено по Черномоското крайбрежие. Гнезди на отделни двойки и в колонии. Двойките се оформят още през зимата или през пролетния прелет. Гнездото е плаващо сред водната растителност. Снася през май 3 до 8 яйца. Мътят и двамата родители около 20-25 дни. Малките са гнездобегълци (Симеонов и др., 1990; Нанкинов, 2012).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Целогодишно обитава сладководни и солени водоеми, но предпочита блата, езера, старици на реки, разположени от морската равнище до 3000 м.н.в., богато обрасли с растителност, притежаващи открита водна площ и плитки участъци (Симеонов и др., 1990). През зимата e близо до морския бряг и в крайбрежните езера, по-рядко в големи, не замръзващи сладководни басейни, язовири и др. 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Храни се с дребни риби, жаби, миди, ракообразни водни насекоми и техните ларви. През размножителния период с безгръбначни. Насекомите съставляват над 90% от храната  (Симеонов и др., 1990).</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autoSpaceDE w:val="0"/>
        <w:autoSpaceDN w:val="0"/>
        <w:adjustRightInd w:val="0"/>
        <w:spacing w:before="120" w:after="120" w:line="240" w:lineRule="auto"/>
        <w:jc w:val="both"/>
        <w:rPr>
          <w:rFonts w:ascii="Times New Roman" w:eastAsia="GroteskHSBg-Light" w:hAnsi="Times New Roman"/>
          <w:sz w:val="24"/>
          <w:szCs w:val="24"/>
          <w:lang w:eastAsia="bg-BG"/>
        </w:rPr>
      </w:pPr>
      <w:r w:rsidRPr="00A8783E">
        <w:rPr>
          <w:rFonts w:ascii="Times New Roman" w:eastAsia="GroteskHSBg-Light" w:hAnsi="Times New Roman"/>
          <w:sz w:val="24"/>
          <w:szCs w:val="24"/>
          <w:lang w:eastAsia="bg-BG"/>
        </w:rPr>
        <w:t>Гнезди в изолирани гнездовища, по-ясно групирани по Дунавското крайбрежие, с единични находища, повечето без данни за сигурно гнездене покрай Черно море, в Добруджа, Софийското поле и Тракийската низина.</w:t>
      </w:r>
      <w:r w:rsidRPr="00A8783E">
        <w:rPr>
          <w:rFonts w:ascii="Times New Roman" w:hAnsi="Times New Roman"/>
          <w:sz w:val="24"/>
          <w:szCs w:val="24"/>
          <w:lang w:eastAsia="bg-BG"/>
        </w:rPr>
        <w:t xml:space="preserve"> (Янков отг. ред., 2007). В миналото е обитавал основно по-големите блата по поречието на р. Дунав и Бургаските езера. Сега единични двойки се размножават нередовно в резервата „Сребърна“ и рибарниците „Калимок“ (Червена книга на България, 2015). Постоянно размножаващи </w:t>
      </w:r>
      <w:r w:rsidRPr="00A8783E">
        <w:rPr>
          <w:rFonts w:ascii="Times New Roman" w:hAnsi="Times New Roman"/>
          <w:sz w:val="24"/>
          <w:szCs w:val="24"/>
          <w:lang w:eastAsia="bg-BG"/>
        </w:rPr>
        <w:lastRenderedPageBreak/>
        <w:t>се двойки има на остров Персина, но броят им също е много променлив. Установено е, че там гнездят 1 - 26 двойки през различни години. Други важни находища за вида са езерото Сребърна - 0-8 двойки (2006-8 двойки), рибарници Калимок - 0-6 двойки (2013 г. - 6 двойки) и Гарванско блато (2010 г. - 4 двойки) (</w:t>
      </w:r>
      <w:r w:rsidRPr="00A8783E">
        <w:rPr>
          <w:rFonts w:ascii="Times New Roman" w:hAnsi="Times New Roman"/>
          <w:sz w:val="24"/>
          <w:szCs w:val="24"/>
          <w:lang w:val="en-US" w:eastAsia="bg-BG"/>
        </w:rPr>
        <w:t>Shurulinkov</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et</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al</w:t>
      </w:r>
      <w:r w:rsidRPr="00A8783E">
        <w:rPr>
          <w:rFonts w:ascii="Times New Roman" w:hAnsi="Times New Roman"/>
          <w:sz w:val="24"/>
          <w:szCs w:val="24"/>
          <w:lang w:eastAsia="bg-BG"/>
        </w:rPr>
        <w:t>., 2019).</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видът е слабо засегнат –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Включен в Червената книга на България в категорията „Критично застрашен вид”. Включен в Приложение 3 на ЗБР.</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Докладването от 2019 г. (за периода 2013 – 2018 г.) националната гнездяща популация на вида се оценява на 20 – 60 двойки, а според Червената книга (2015) числеността не превишава 40 двойки. Краткосрочната тенденция на популацията (за периода 2000 – 2018 г.), както и дългосрочната (за периода 1980 – 2018 г.) е намаляваща. За гнездовата популация са посочени следните заплахи: М07, </w:t>
      </w:r>
      <w:r w:rsidRPr="00A8783E">
        <w:rPr>
          <w:rFonts w:ascii="Times New Roman" w:hAnsi="Times New Roman"/>
          <w:sz w:val="24"/>
          <w:szCs w:val="24"/>
          <w:lang w:val="en-US" w:eastAsia="bg-BG"/>
        </w:rPr>
        <w:t>G</w:t>
      </w:r>
      <w:r w:rsidRPr="00A8783E">
        <w:rPr>
          <w:rFonts w:ascii="Times New Roman" w:hAnsi="Times New Roman"/>
          <w:sz w:val="24"/>
          <w:szCs w:val="24"/>
          <w:lang w:eastAsia="bg-BG"/>
        </w:rPr>
        <w:t xml:space="preserve">05, </w:t>
      </w:r>
      <w:r w:rsidRPr="00A8783E">
        <w:rPr>
          <w:rFonts w:ascii="Times New Roman" w:hAnsi="Times New Roman"/>
          <w:sz w:val="24"/>
          <w:szCs w:val="24"/>
          <w:lang w:val="en-US" w:eastAsia="bg-BG"/>
        </w:rPr>
        <w:t>G</w:t>
      </w:r>
      <w:r w:rsidRPr="00A8783E">
        <w:rPr>
          <w:rFonts w:ascii="Times New Roman" w:hAnsi="Times New Roman"/>
          <w:sz w:val="24"/>
          <w:szCs w:val="24"/>
          <w:lang w:eastAsia="bg-BG"/>
        </w:rPr>
        <w:t>06.</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Зимуващата популация е оценена на 500 – 2000 индивида. Краткосрочната тенденция на популацията (за периода 2000 – 2018 г.) е флуктуираща, променлива, а дългосрочната (за периода 1980 – 2018 г.) е намаляваща.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Мигриращата национална популация е оценена на 100 – 500 индивида. За мигриращата популация са посочени следните заплахи: К04, </w:t>
      </w:r>
      <w:r w:rsidRPr="00A8783E">
        <w:rPr>
          <w:rFonts w:ascii="Times New Roman" w:hAnsi="Times New Roman"/>
          <w:sz w:val="24"/>
          <w:szCs w:val="24"/>
          <w:lang w:val="en-GB" w:eastAsia="bg-BG"/>
        </w:rPr>
        <w:t>F</w:t>
      </w:r>
      <w:r w:rsidRPr="00A8783E">
        <w:rPr>
          <w:rFonts w:ascii="Times New Roman" w:hAnsi="Times New Roman"/>
          <w:sz w:val="24"/>
          <w:szCs w:val="24"/>
          <w:lang w:eastAsia="bg-BG"/>
        </w:rPr>
        <w:t xml:space="preserve">26, </w:t>
      </w:r>
      <w:r w:rsidRPr="00A8783E">
        <w:rPr>
          <w:rFonts w:ascii="Times New Roman" w:hAnsi="Times New Roman"/>
          <w:sz w:val="24"/>
          <w:szCs w:val="24"/>
          <w:lang w:val="en-GB" w:eastAsia="bg-BG"/>
        </w:rPr>
        <w:t>F</w:t>
      </w:r>
      <w:r w:rsidRPr="00A8783E">
        <w:rPr>
          <w:rFonts w:ascii="Times New Roman" w:hAnsi="Times New Roman"/>
          <w:sz w:val="24"/>
          <w:szCs w:val="24"/>
          <w:lang w:eastAsia="bg-BG"/>
        </w:rPr>
        <w:t xml:space="preserve">05, </w:t>
      </w:r>
      <w:r w:rsidRPr="00A8783E">
        <w:rPr>
          <w:rFonts w:ascii="Times New Roman" w:hAnsi="Times New Roman"/>
          <w:sz w:val="24"/>
          <w:szCs w:val="24"/>
          <w:lang w:val="en-GB" w:eastAsia="bg-BG"/>
        </w:rPr>
        <w:t>G</w:t>
      </w:r>
      <w:r w:rsidRPr="00A8783E">
        <w:rPr>
          <w:rFonts w:ascii="Times New Roman" w:hAnsi="Times New Roman"/>
          <w:sz w:val="24"/>
          <w:szCs w:val="24"/>
          <w:lang w:eastAsia="bg-BG"/>
        </w:rPr>
        <w:t>12.</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СФ на зоната вида е гнездящ и мигриращ. </w:t>
      </w:r>
      <w:r w:rsidRPr="00A8783E">
        <w:rPr>
          <w:rFonts w:ascii="Times New Roman" w:hAnsi="Times New Roman"/>
          <w:b/>
          <w:bCs/>
          <w:sz w:val="24"/>
          <w:szCs w:val="24"/>
          <w:lang w:eastAsia="bg-BG"/>
        </w:rPr>
        <w:t>Гнездящата</w:t>
      </w:r>
      <w:r w:rsidRPr="00A8783E">
        <w:rPr>
          <w:rFonts w:ascii="Times New Roman" w:hAnsi="Times New Roman"/>
          <w:sz w:val="24"/>
          <w:szCs w:val="24"/>
          <w:lang w:eastAsia="bg-BG"/>
        </w:rPr>
        <w:t xml:space="preserve"> популация се оценява на до </w:t>
      </w:r>
      <w:r w:rsidRPr="00A8783E">
        <w:rPr>
          <w:rFonts w:ascii="Times New Roman" w:hAnsi="Times New Roman"/>
          <w:b/>
          <w:bCs/>
          <w:sz w:val="24"/>
          <w:szCs w:val="24"/>
          <w:lang w:eastAsia="bg-BG"/>
        </w:rPr>
        <w:t>5 двойки</w:t>
      </w:r>
      <w:r w:rsidRPr="00A8783E">
        <w:rPr>
          <w:rFonts w:ascii="Times New Roman" w:hAnsi="Times New Roman"/>
          <w:sz w:val="24"/>
          <w:szCs w:val="24"/>
          <w:lang w:eastAsia="bg-BG"/>
        </w:rPr>
        <w:t>, което представлява 8,3 - 25,0 % от националната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СФ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 на </w:t>
      </w:r>
      <w:r w:rsidRPr="00A8783E">
        <w:rPr>
          <w:rFonts w:ascii="Times New Roman" w:hAnsi="Times New Roman"/>
          <w:b/>
          <w:bCs/>
          <w:sz w:val="24"/>
          <w:szCs w:val="24"/>
          <w:lang w:eastAsia="bg-BG"/>
        </w:rPr>
        <w:t>6 индивида</w:t>
      </w:r>
      <w:r w:rsidRPr="00A8783E">
        <w:rPr>
          <w:rFonts w:ascii="Times New Roman" w:hAnsi="Times New Roman"/>
          <w:sz w:val="24"/>
          <w:szCs w:val="24"/>
          <w:lang w:eastAsia="bg-BG"/>
        </w:rPr>
        <w:t>, което е 1,2 – 6,0 % от националната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Гнездяща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Рядък за страната вид с изолирани гнездовища. Популацията е концентрирана предимно по Дунав. Видът е гнездил в миналото с високи числености в блатата на остров Персина, където понастоящем е единственото постоянно гнездовище. Публикуваната информация за гнезденето на вида в зоната посочва през 2001 и 2002 г. съответно 2 и 1 двойки (</w:t>
      </w:r>
      <w:r w:rsidRPr="00A8783E">
        <w:rPr>
          <w:rFonts w:ascii="Times New Roman" w:hAnsi="Times New Roman"/>
          <w:color w:val="000000"/>
          <w:sz w:val="24"/>
          <w:szCs w:val="24"/>
          <w:lang w:val="en-US" w:eastAsia="bg-BG"/>
        </w:rPr>
        <w:t>Kamburova</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xml:space="preserve">, 2003). В периода 2006-2013 г. се посочва численост между 0 и 8 дв., като Сребърна е най-важното място за гнездене на вида по дунавското крайбрежие. През 2006 г. са гнездили 8 двойки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xml:space="preserve">., 2019). Според Матеева и др. (2013) в зоната са гнездили 2-5 дв. през 2012 г. Според </w:t>
      </w:r>
      <w:r w:rsidRPr="00A8783E">
        <w:rPr>
          <w:rFonts w:ascii="Times New Roman" w:hAnsi="Times New Roman"/>
          <w:sz w:val="24"/>
          <w:szCs w:val="24"/>
          <w:lang w:val="en-US" w:eastAsia="bg-BG"/>
        </w:rPr>
        <w:t>Kambourova</w:t>
      </w:r>
      <w:r w:rsidRPr="00A8783E">
        <w:rPr>
          <w:rFonts w:ascii="Times New Roman" w:hAnsi="Times New Roman"/>
          <w:sz w:val="24"/>
          <w:szCs w:val="24"/>
          <w:lang w:eastAsia="bg-BG"/>
        </w:rPr>
        <w:t xml:space="preserve"> (2012) в резервата Сребърна </w:t>
      </w:r>
      <w:r w:rsidRPr="00A8783E">
        <w:rPr>
          <w:rFonts w:ascii="Times New Roman" w:hAnsi="Times New Roman"/>
          <w:color w:val="000000"/>
          <w:sz w:val="24"/>
          <w:szCs w:val="24"/>
          <w:lang w:eastAsia="bg-BG"/>
        </w:rPr>
        <w:t xml:space="preserve">през 2004, 2005 и 2006 г., са гнездили съответно 1, 3 и 5 двойки черноврати гмурци. В Актуализирания плана за управление на ПР „Сребърна” (2015 г.), се посочва че видът гнезди с единични двойки в естествените водни площи с вкоренена тръстика, с численост 1-2 дв. или около 3% от националната гнездова популация. </w:t>
      </w:r>
      <w:r w:rsidRPr="00A8783E">
        <w:rPr>
          <w:rFonts w:ascii="Times New Roman" w:hAnsi="Times New Roman"/>
          <w:sz w:val="24"/>
          <w:szCs w:val="24"/>
          <w:lang w:eastAsia="bg-BG"/>
        </w:rPr>
        <w:t>При теренните проучвания през 2021 г. видът не бе наблюдаван в защитената зона през размножителния период.</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Мигрираща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 xml:space="preserve">По време на миграция видът е отбелязван нередовно през пролетната и есенна миграция (Иванов, 1979). При средно-зимните преброявания е наблюдаван в река Дунав с много ниски числености – 2019: 6 екз., като при о. Пожарево са регистрирани 3 черноврати гмурци и през 2020 г. един екземпляр, далеч на запад, в района на Арчар. Няма данни за зимуване на вида в ЗЗ „Сребърна”. Липсват публикувани данни за концентрацията на вида в зоната по време на миграция. </w:t>
      </w:r>
    </w:p>
    <w:p w:rsidR="00A8783E" w:rsidRPr="00A8783E" w:rsidRDefault="00A8783E" w:rsidP="00A8783E">
      <w:pPr>
        <w:spacing w:after="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От посочените в Докладването от 2019 г. заплахи и влияния за гнездящата и мигриращата популация: М07, </w:t>
      </w:r>
      <w:r w:rsidRPr="00A8783E">
        <w:rPr>
          <w:rFonts w:ascii="Times New Roman" w:hAnsi="Times New Roman"/>
          <w:sz w:val="24"/>
          <w:szCs w:val="24"/>
          <w:lang w:val="en-US" w:eastAsia="bg-BG"/>
        </w:rPr>
        <w:t>G</w:t>
      </w:r>
      <w:r w:rsidRPr="00A8783E">
        <w:rPr>
          <w:rFonts w:ascii="Times New Roman" w:hAnsi="Times New Roman"/>
          <w:sz w:val="24"/>
          <w:szCs w:val="24"/>
          <w:lang w:eastAsia="bg-BG"/>
        </w:rPr>
        <w:t xml:space="preserve">05, </w:t>
      </w:r>
      <w:r w:rsidRPr="00A8783E">
        <w:rPr>
          <w:rFonts w:ascii="Times New Roman" w:hAnsi="Times New Roman"/>
          <w:sz w:val="24"/>
          <w:szCs w:val="24"/>
          <w:lang w:val="en-US" w:eastAsia="bg-BG"/>
        </w:rPr>
        <w:t>G</w:t>
      </w:r>
      <w:r w:rsidRPr="00A8783E">
        <w:rPr>
          <w:rFonts w:ascii="Times New Roman" w:hAnsi="Times New Roman"/>
          <w:sz w:val="24"/>
          <w:szCs w:val="24"/>
          <w:lang w:eastAsia="bg-BG"/>
        </w:rPr>
        <w:t xml:space="preserve">06, К04, </w:t>
      </w:r>
      <w:r w:rsidRPr="00A8783E">
        <w:rPr>
          <w:rFonts w:ascii="Times New Roman" w:hAnsi="Times New Roman"/>
          <w:sz w:val="24"/>
          <w:szCs w:val="24"/>
          <w:lang w:val="en-GB" w:eastAsia="bg-BG"/>
        </w:rPr>
        <w:t>F</w:t>
      </w:r>
      <w:r w:rsidRPr="00A8783E">
        <w:rPr>
          <w:rFonts w:ascii="Times New Roman" w:hAnsi="Times New Roman"/>
          <w:sz w:val="24"/>
          <w:szCs w:val="24"/>
          <w:lang w:eastAsia="bg-BG"/>
        </w:rPr>
        <w:t xml:space="preserve">26, </w:t>
      </w:r>
      <w:r w:rsidRPr="00A8783E">
        <w:rPr>
          <w:rFonts w:ascii="Times New Roman" w:hAnsi="Times New Roman"/>
          <w:sz w:val="24"/>
          <w:szCs w:val="24"/>
          <w:lang w:val="en-GB" w:eastAsia="bg-BG"/>
        </w:rPr>
        <w:t>F</w:t>
      </w:r>
      <w:r w:rsidRPr="00A8783E">
        <w:rPr>
          <w:rFonts w:ascii="Times New Roman" w:hAnsi="Times New Roman"/>
          <w:sz w:val="24"/>
          <w:szCs w:val="24"/>
          <w:lang w:eastAsia="bg-BG"/>
        </w:rPr>
        <w:t xml:space="preserve">05, </w:t>
      </w:r>
      <w:r w:rsidRPr="00A8783E">
        <w:rPr>
          <w:rFonts w:ascii="Times New Roman" w:hAnsi="Times New Roman"/>
          <w:sz w:val="24"/>
          <w:szCs w:val="24"/>
          <w:lang w:val="en-GB" w:eastAsia="bg-BG"/>
        </w:rPr>
        <w:t>G</w:t>
      </w:r>
      <w:r w:rsidRPr="00A8783E">
        <w:rPr>
          <w:rFonts w:ascii="Times New Roman" w:hAnsi="Times New Roman"/>
          <w:sz w:val="24"/>
          <w:szCs w:val="24"/>
          <w:lang w:eastAsia="bg-BG"/>
        </w:rPr>
        <w:t xml:space="preserve">12, валидни за зоната са: </w:t>
      </w:r>
      <w:r w:rsidRPr="00A8783E">
        <w:rPr>
          <w:rFonts w:ascii="Times New Roman" w:hAnsi="Times New Roman"/>
          <w:sz w:val="24"/>
          <w:szCs w:val="24"/>
          <w:lang w:val="en-GB"/>
        </w:rPr>
        <w:t>G</w:t>
      </w:r>
      <w:r w:rsidRPr="00A8783E">
        <w:rPr>
          <w:rFonts w:ascii="Times New Roman" w:hAnsi="Times New Roman"/>
          <w:sz w:val="24"/>
          <w:szCs w:val="24"/>
        </w:rPr>
        <w:t xml:space="preserve">06–Сладководен риболов и улов на черупчести организми (спортен); </w:t>
      </w:r>
      <w:r w:rsidRPr="00A8783E">
        <w:rPr>
          <w:rFonts w:ascii="Times New Roman" w:hAnsi="Times New Roman"/>
          <w:sz w:val="24"/>
          <w:szCs w:val="24"/>
          <w:lang w:val="en-GB"/>
        </w:rPr>
        <w:t>G</w:t>
      </w:r>
      <w:r w:rsidRPr="00A8783E">
        <w:rPr>
          <w:rFonts w:ascii="Times New Roman" w:hAnsi="Times New Roman"/>
          <w:sz w:val="24"/>
          <w:szCs w:val="24"/>
        </w:rPr>
        <w:t xml:space="preserve">12-Прилов и инцидентно убиване (при риболовни и ловни дейности); К04-Изменение на хидродинамичните характеристики. </w:t>
      </w:r>
      <w:r w:rsidRPr="00A8783E">
        <w:rPr>
          <w:rFonts w:ascii="Times New Roman" w:hAnsi="Times New Roman"/>
          <w:sz w:val="24"/>
          <w:szCs w:val="24"/>
          <w:lang w:eastAsia="bg-BG"/>
        </w:rPr>
        <w:t xml:space="preserve">Заплахи за видовете птици в зоната са бракониерството и незаконния отстрел, както и риболов с мрежени уреди, пожари в тръстиковите масиви и безпокойство.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1555"/>
        <w:gridCol w:w="1130"/>
        <w:gridCol w:w="2781"/>
        <w:gridCol w:w="2171"/>
      </w:tblGrid>
      <w:tr w:rsidR="00A8783E" w:rsidRPr="00A8783E" w:rsidTr="005B5318">
        <w:trPr>
          <w:tblHeader/>
          <w:jc w:val="center"/>
        </w:trPr>
        <w:tc>
          <w:tcPr>
            <w:tcW w:w="1563"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555"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130"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781"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171"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56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гнездовата популацията</w:t>
            </w:r>
          </w:p>
        </w:tc>
        <w:tc>
          <w:tcPr>
            <w:tcW w:w="155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130"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0 - 5 двойки </w:t>
            </w:r>
          </w:p>
        </w:tc>
        <w:tc>
          <w:tcPr>
            <w:tcW w:w="278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Целевата стойност е определена на база данните от СФ, от извършен мониторинг в защитената зона през гнездовия период на 2021 г. и от литературни източници през последните години.</w:t>
            </w:r>
          </w:p>
        </w:tc>
        <w:tc>
          <w:tcPr>
            <w:tcW w:w="21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популацията на вида в зоната в размер най-малко 1 двойка чрез поддържане на подходящите местообитания в зоната.</w:t>
            </w:r>
          </w:p>
        </w:tc>
      </w:tr>
      <w:tr w:rsidR="00A8783E" w:rsidRPr="00A8783E" w:rsidTr="005B5318">
        <w:trPr>
          <w:jc w:val="center"/>
        </w:trPr>
        <w:tc>
          <w:tcPr>
            <w:tcW w:w="156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55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13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0 – 6 инд.</w:t>
            </w:r>
          </w:p>
        </w:tc>
        <w:tc>
          <w:tcPr>
            <w:tcW w:w="2781" w:type="dxa"/>
          </w:tcPr>
          <w:p w:rsidR="00A8783E" w:rsidRPr="00A8783E" w:rsidRDefault="00A8783E" w:rsidP="00A8783E">
            <w:pPr>
              <w:spacing w:after="0" w:line="240" w:lineRule="auto"/>
              <w:jc w:val="both"/>
              <w:rPr>
                <w:rFonts w:ascii="Times New Roman" w:hAnsi="Times New Roman"/>
                <w:color w:val="000000"/>
                <w:lang w:eastAsia="bg-BG"/>
              </w:rPr>
            </w:pPr>
            <w:r w:rsidRPr="00A8783E">
              <w:rPr>
                <w:rFonts w:ascii="Times New Roman" w:hAnsi="Times New Roman"/>
                <w:lang w:eastAsia="bg-BG"/>
              </w:rPr>
              <w:t xml:space="preserve">В СФ за концентрацията на вида по време на миграция в зоната е посочена стойност до 6 инд. </w:t>
            </w:r>
            <w:r w:rsidRPr="00A8783E">
              <w:rPr>
                <w:rFonts w:ascii="Times New Roman" w:hAnsi="Times New Roman"/>
                <w:color w:val="000000"/>
                <w:lang w:eastAsia="bg-BG"/>
              </w:rPr>
              <w:t xml:space="preserve">Не са налични данни за настоящата мигрираща численост на вида в зоната, поради което е предвидена междинна цел. </w:t>
            </w:r>
          </w:p>
          <w:p w:rsidR="00A8783E" w:rsidRPr="00A8783E" w:rsidRDefault="00A8783E" w:rsidP="00A8783E">
            <w:pPr>
              <w:spacing w:after="0" w:line="240" w:lineRule="auto"/>
              <w:jc w:val="both"/>
              <w:rPr>
                <w:rFonts w:ascii="Times New Roman" w:hAnsi="Times New Roman"/>
                <w:lang w:eastAsia="bg-BG"/>
              </w:rPr>
            </w:pPr>
          </w:p>
        </w:tc>
        <w:tc>
          <w:tcPr>
            <w:tcW w:w="21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jc w:val="center"/>
        </w:trPr>
        <w:tc>
          <w:tcPr>
            <w:tcW w:w="156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55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13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565</w:t>
            </w:r>
          </w:p>
        </w:tc>
        <w:tc>
          <w:tcPr>
            <w:tcW w:w="278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местообитание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1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гнездови местообитания на вида в защитената зона чрез поддържане на оптимално ниво на водата в езерото.</w:t>
            </w:r>
          </w:p>
        </w:tc>
      </w:tr>
      <w:tr w:rsidR="00A8783E" w:rsidRPr="00A8783E" w:rsidTr="005B5318">
        <w:trPr>
          <w:jc w:val="center"/>
        </w:trPr>
        <w:tc>
          <w:tcPr>
            <w:tcW w:w="156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 xml:space="preserve">Площ на подходящите хранителни </w:t>
            </w:r>
            <w:r w:rsidRPr="00A8783E">
              <w:rPr>
                <w:rFonts w:ascii="Times New Roman" w:hAnsi="Times New Roman"/>
                <w:lang w:eastAsia="bg-BG"/>
              </w:rPr>
              <w:lastRenderedPageBreak/>
              <w:t>местообитания на вида</w:t>
            </w:r>
            <w:r w:rsidRPr="00A8783E">
              <w:rPr>
                <w:rFonts w:ascii="Times New Roman" w:hAnsi="Times New Roman"/>
                <w:b/>
                <w:bCs/>
                <w:lang w:eastAsia="bg-BG"/>
              </w:rPr>
              <w:t xml:space="preserve"> </w:t>
            </w:r>
          </w:p>
        </w:tc>
        <w:tc>
          <w:tcPr>
            <w:tcW w:w="155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ha</w:t>
            </w:r>
          </w:p>
        </w:tc>
        <w:tc>
          <w:tcPr>
            <w:tcW w:w="113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840</w:t>
            </w:r>
          </w:p>
        </w:tc>
        <w:tc>
          <w:tcPr>
            <w:tcW w:w="278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Включва гнездовото местообитание и всички стоящи и течащи води в зоната. Данните са взети от СФ като % на </w:t>
            </w:r>
            <w:r w:rsidRPr="00A8783E">
              <w:rPr>
                <w:rFonts w:ascii="Times New Roman" w:hAnsi="Times New Roman"/>
                <w:lang w:eastAsia="bg-BG"/>
              </w:rPr>
              <w:lastRenderedPageBreak/>
              <w:t xml:space="preserve">местообитание </w:t>
            </w:r>
            <w:r w:rsidRPr="00A8783E">
              <w:rPr>
                <w:rFonts w:ascii="Times New Roman" w:hAnsi="Times New Roman"/>
                <w:lang w:val="en-GB" w:eastAsia="bg-BG"/>
              </w:rPr>
              <w:t>N</w:t>
            </w:r>
            <w:r w:rsidRPr="00A8783E">
              <w:rPr>
                <w:rFonts w:ascii="Times New Roman" w:hAnsi="Times New Roman"/>
                <w:lang w:eastAsia="bg-BG"/>
              </w:rPr>
              <w:t xml:space="preserve">07-мочурища и блата и </w:t>
            </w:r>
            <w:r w:rsidRPr="00A8783E">
              <w:rPr>
                <w:rFonts w:ascii="Times New Roman" w:hAnsi="Times New Roman"/>
                <w:lang w:val="en-US" w:eastAsia="bg-BG"/>
              </w:rPr>
              <w:t>N</w:t>
            </w:r>
            <w:r w:rsidRPr="00A8783E">
              <w:rPr>
                <w:rFonts w:ascii="Times New Roman" w:hAnsi="Times New Roman"/>
                <w:lang w:eastAsia="bg-BG"/>
              </w:rPr>
              <w:t>06-вътрешни водни тела.</w:t>
            </w:r>
          </w:p>
        </w:tc>
        <w:tc>
          <w:tcPr>
            <w:tcW w:w="21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 xml:space="preserve">Поддържане и увеличаване на площта на подходящите хранителни </w:t>
            </w:r>
            <w:r w:rsidRPr="00A8783E">
              <w:rPr>
                <w:rFonts w:ascii="Times New Roman" w:hAnsi="Times New Roman"/>
                <w:lang w:eastAsia="bg-BG"/>
              </w:rPr>
              <w:lastRenderedPageBreak/>
              <w:t>местообитания на вида чрез поддържане на оптимално ниво на водата в езерото.</w:t>
            </w:r>
          </w:p>
        </w:tc>
      </w:tr>
      <w:tr w:rsidR="00A8783E" w:rsidRPr="00A8783E" w:rsidTr="005B5318">
        <w:trPr>
          <w:jc w:val="center"/>
        </w:trPr>
        <w:tc>
          <w:tcPr>
            <w:tcW w:w="156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риби (</w:t>
            </w:r>
            <w:r w:rsidRPr="00A8783E">
              <w:rPr>
                <w:rFonts w:ascii="Times New Roman" w:hAnsi="Times New Roman"/>
                <w:lang w:val="en-GB" w:eastAsia="bg-BG"/>
              </w:rPr>
              <w:t>JDS</w:t>
            </w:r>
            <w:r w:rsidRPr="00A8783E">
              <w:rPr>
                <w:rFonts w:ascii="Times New Roman" w:hAnsi="Times New Roman"/>
                <w:lang w:eastAsia="bg-BG"/>
              </w:rPr>
              <w:t>4-</w:t>
            </w:r>
            <w:r w:rsidRPr="00A8783E">
              <w:rPr>
                <w:rFonts w:ascii="Times New Roman" w:hAnsi="Times New Roman"/>
                <w:lang w:val="en-GB" w:eastAsia="bg-BG"/>
              </w:rPr>
              <w:t>Fish</w:t>
            </w:r>
            <w:r w:rsidRPr="00A8783E">
              <w:rPr>
                <w:rFonts w:ascii="Times New Roman" w:hAnsi="Times New Roman"/>
                <w:lang w:eastAsia="bg-BG"/>
              </w:rPr>
              <w:t>)</w:t>
            </w:r>
          </w:p>
        </w:tc>
        <w:tc>
          <w:tcPr>
            <w:tcW w:w="1555"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13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781" w:type="dxa"/>
          </w:tcPr>
          <w:tbl>
            <w:tblPr>
              <w:tblW w:w="3029" w:type="dxa"/>
              <w:tblInd w:w="3" w:type="dxa"/>
              <w:tblLayout w:type="fixed"/>
              <w:tblCellMar>
                <w:left w:w="70" w:type="dxa"/>
                <w:right w:w="70" w:type="dxa"/>
              </w:tblCellMar>
              <w:tblLook w:val="00A0" w:firstRow="1" w:lastRow="0" w:firstColumn="1" w:lastColumn="0" w:noHBand="0" w:noVBand="0"/>
            </w:tblPr>
            <w:tblGrid>
              <w:gridCol w:w="3029"/>
            </w:tblGrid>
            <w:tr w:rsidR="00A8783E" w:rsidRPr="00A8783E" w:rsidTr="005B5318">
              <w:trPr>
                <w:trHeight w:val="318"/>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380"/>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4 (2019-2020, Табл. 5, стр. 51).</w:t>
            </w:r>
          </w:p>
        </w:tc>
        <w:tc>
          <w:tcPr>
            <w:tcW w:w="2171"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before="119" w:after="119" w:line="240" w:lineRule="auto"/>
        <w:rPr>
          <w:rFonts w:ascii="Times New Roman" w:hAnsi="Times New Roman"/>
          <w:b/>
          <w:bCs/>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Предвид наличната информация за настоящата численост на вида в защитената зона по време на гнездене и миграция, не е необходима актуализация на СФ.</w:t>
      </w:r>
    </w:p>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30" w:name="_Toc89106061"/>
      <w:bookmarkStart w:id="131" w:name="_Toc98741900"/>
      <w:bookmarkStart w:id="132" w:name="_Toc98838575"/>
      <w:r w:rsidRPr="00A8783E">
        <w:rPr>
          <w:rFonts w:ascii="Times New Roman" w:hAnsi="Times New Roman"/>
          <w:color w:val="1F497D"/>
          <w:sz w:val="28"/>
          <w:szCs w:val="28"/>
          <w:lang w:eastAsia="bg-BG"/>
        </w:rPr>
        <w:t xml:space="preserve">Специфични цели за А391 </w:t>
      </w:r>
      <w:r w:rsidRPr="00A8783E">
        <w:rPr>
          <w:rFonts w:ascii="Times New Roman" w:hAnsi="Times New Roman"/>
          <w:i/>
          <w:iCs/>
          <w:color w:val="1F497D"/>
          <w:sz w:val="28"/>
          <w:szCs w:val="28"/>
          <w:lang w:val="en-GB" w:eastAsia="bg-BG"/>
        </w:rPr>
        <w:t>Phalacrocorax</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GB" w:eastAsia="bg-BG"/>
        </w:rPr>
        <w:t>carbo</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GB" w:eastAsia="bg-BG"/>
        </w:rPr>
        <w:t>sinensis</w:t>
      </w:r>
      <w:r w:rsidRPr="00A8783E">
        <w:rPr>
          <w:rFonts w:ascii="Times New Roman" w:hAnsi="Times New Roman"/>
          <w:color w:val="1F497D"/>
          <w:sz w:val="28"/>
          <w:szCs w:val="28"/>
          <w:lang w:eastAsia="bg-BG"/>
        </w:rPr>
        <w:t xml:space="preserve"> (голям корморан)</w:t>
      </w:r>
      <w:bookmarkEnd w:id="130"/>
      <w:bookmarkEnd w:id="131"/>
      <w:bookmarkEnd w:id="132"/>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Дължина на тялото: 77 – 94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Размах на крилата: 121 – 149 cm. Най-едрият от трите вида корморани, срещащи се в България. Има черно оперение с бели бузи и по едно бяло петно отстрани на хълбока (през размножителния период). Голата кожа в основата на долната получовка е жълта и заобиколена от бяла зона. Младите са черно-кафяви с белезникави гърди и корем. Плува и се гмурка добре. Оперението не е водонепромокаемо и след гмуркане каца по камъни и дървета в близост до водоема и се суши с разперени крила. Ловува поединично, или на групи.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Постоянен, гнездещо-прелетен, преминаващ и зимуващ вид за страната (Симеонов и др., 1990). По време на миграционния период ята от големи корморани могат да се срещнат по всички водоеми в страната, а по време на зимуването се концентрира предимно по поречието на река Дунав и Черноморското крайбрежие. По крайбрежието на Черно море видът мигрира от октомври до март, като есенният прелет е през октомври-ноември (Симеонов и др., 1990). Не мигрира на дълги разстояния. През зимата се струпва на ята в големи незамръзващи водоеми и по морското крайбрежие.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Големият корморан обитава сладководни и полусолени блата и езера, язовири, рибарници, крайбрежни скали и заливни гори. В България видът гнезди колониално, основно по дървета (дъб, хибридна и бяла топола, бяла върба и др.), но също така и по </w:t>
      </w:r>
      <w:r w:rsidRPr="00A8783E">
        <w:rPr>
          <w:rFonts w:ascii="Times New Roman" w:hAnsi="Times New Roman"/>
          <w:sz w:val="24"/>
          <w:szCs w:val="24"/>
          <w:lang w:eastAsia="bg-BG"/>
        </w:rPr>
        <w:lastRenderedPageBreak/>
        <w:t>метални конструкции на електропреносната мрежа. Образува и смесени колонии с лопатарка, блестящ ибис, малък корморан, сива, нощна, гривеста и малка бяла чапла. Снася 3 – 4 яйца, като има едно поколение годишно през периода април-май. Подходящото гнездово и хранително местообитание са близко разположени. Предпочитаните местообитания са 1130, 1150, 1160, 3130, 3150, 91</w:t>
      </w:r>
      <w:r w:rsidRPr="00A8783E">
        <w:rPr>
          <w:rFonts w:ascii="Times New Roman" w:hAnsi="Times New Roman"/>
          <w:sz w:val="24"/>
          <w:szCs w:val="24"/>
          <w:lang w:val="en-GB" w:eastAsia="bg-BG"/>
        </w:rPr>
        <w:t>D</w:t>
      </w:r>
      <w:r w:rsidRPr="00A8783E">
        <w:rPr>
          <w:rFonts w:ascii="Times New Roman" w:hAnsi="Times New Roman"/>
          <w:sz w:val="24"/>
          <w:szCs w:val="24"/>
          <w:lang w:eastAsia="bg-BG"/>
        </w:rPr>
        <w:t>0, 91</w:t>
      </w:r>
      <w:r w:rsidRPr="00A8783E">
        <w:rPr>
          <w:rFonts w:ascii="Times New Roman" w:hAnsi="Times New Roman"/>
          <w:sz w:val="24"/>
          <w:szCs w:val="24"/>
          <w:lang w:val="en-GB" w:eastAsia="bg-BG"/>
        </w:rPr>
        <w:t>E</w:t>
      </w:r>
      <w:r w:rsidRPr="00A8783E">
        <w:rPr>
          <w:rFonts w:ascii="Times New Roman" w:hAnsi="Times New Roman"/>
          <w:sz w:val="24"/>
          <w:szCs w:val="24"/>
          <w:lang w:eastAsia="bg-BG"/>
        </w:rPr>
        <w:t>0 и 91</w:t>
      </w:r>
      <w:r w:rsidRPr="00A8783E">
        <w:rPr>
          <w:rFonts w:ascii="Times New Roman" w:hAnsi="Times New Roman"/>
          <w:sz w:val="24"/>
          <w:szCs w:val="24"/>
          <w:lang w:val="en-GB" w:eastAsia="bg-BG"/>
        </w:rPr>
        <w:t>F</w:t>
      </w:r>
      <w:r w:rsidRPr="00A8783E">
        <w:rPr>
          <w:rFonts w:ascii="Times New Roman" w:hAnsi="Times New Roman"/>
          <w:sz w:val="24"/>
          <w:szCs w:val="24"/>
          <w:lang w:eastAsia="bg-BG"/>
        </w:rPr>
        <w:t>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Храни се с риба, предимно </w:t>
      </w:r>
      <w:r w:rsidRPr="00A8783E">
        <w:rPr>
          <w:rFonts w:ascii="Times New Roman" w:hAnsi="Times New Roman"/>
          <w:i/>
          <w:iCs/>
          <w:sz w:val="24"/>
          <w:szCs w:val="24"/>
          <w:lang w:val="en-GB" w:eastAsia="bg-BG"/>
        </w:rPr>
        <w:t>Cyprinus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carpio</w:t>
      </w:r>
      <w:r w:rsidRPr="00A8783E">
        <w:rPr>
          <w:rFonts w:ascii="Times New Roman" w:hAnsi="Times New Roman"/>
          <w:sz w:val="24"/>
          <w:szCs w:val="24"/>
          <w:lang w:eastAsia="bg-BG"/>
        </w:rPr>
        <w:t xml:space="preserve"> и </w:t>
      </w:r>
      <w:r w:rsidRPr="00A8783E">
        <w:rPr>
          <w:rFonts w:ascii="Times New Roman" w:hAnsi="Times New Roman"/>
          <w:i/>
          <w:iCs/>
          <w:sz w:val="24"/>
          <w:szCs w:val="24"/>
          <w:lang w:val="en-GB" w:eastAsia="bg-BG"/>
        </w:rPr>
        <w:t>Carassius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spp</w:t>
      </w:r>
      <w:r w:rsidRPr="00A8783E">
        <w:rPr>
          <w:rFonts w:ascii="Times New Roman" w:hAnsi="Times New Roman"/>
          <w:i/>
          <w:iCs/>
          <w:sz w:val="24"/>
          <w:szCs w:val="24"/>
          <w:lang w:eastAsia="bg-BG"/>
        </w:rPr>
        <w:t>.</w:t>
      </w:r>
      <w:r w:rsidRPr="00A8783E">
        <w:rPr>
          <w:rFonts w:ascii="Times New Roman" w:hAnsi="Times New Roman"/>
          <w:sz w:val="24"/>
          <w:szCs w:val="24"/>
          <w:lang w:eastAsia="bg-BG"/>
        </w:rPr>
        <w:t xml:space="preserve">, която лови поединично или в групи, понякога заедно с пеликани. Зависим е от големи водни басейни, богати на риба.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 разпръснато разпространение по Дунавското поречие, Черноморското крайбрежие и във вътрешността на страната (Янков отг. ред., 2007). Широко разпространен и многочислен колониален вид. Установени са общо 24 колонии в България. Повечето колонии са по р. Дунав и по Черноморското крайбрежие. Във вътрешността на страната е рядък и по-малоброен.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Природозащитният статус на големия корморан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е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xml:space="preserve">). Не е включен в Червената книга на България. Не е включен в приложенията на Директивата за птиците. Подлежащ на опазване и контрол по чл. 45 от ЗБР.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 на 2600 – 4800 двойки. Краткосрочната тенденция на популацията (за периода 2000 – 2018 г.) е нарастваща, а дългосрочната (за периода 1980 – 2018 г.) – също нарастваща. За гнездящата популация са посочени следните заплахи и влияния: F02, F05, G01, H01, J02, K01 и M08.</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Зимуващата популация е оценена на 7800 – 24 000 индивида. Краткосрочната тенденция на популацията (за периода 2000 – 2018 г.) е флуктуираща, а дългосрочната (за периода 1980 – 2018 г.) - нарастваща.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Мигриращата национална популация е оценена на 5000 – 16 000 индивида. Краткосрочната тенденция на популацията в рамките на Натура 2000 е флуктуираща.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СФ на зоната вида е гнездящ, мигриращ и зимуващ. </w:t>
      </w:r>
      <w:r w:rsidRPr="00A8783E">
        <w:rPr>
          <w:rFonts w:ascii="Times New Roman" w:hAnsi="Times New Roman"/>
          <w:b/>
          <w:bCs/>
          <w:sz w:val="24"/>
          <w:szCs w:val="24"/>
          <w:lang w:eastAsia="bg-BG"/>
        </w:rPr>
        <w:t>Гнездящата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0 до 3</w:t>
      </w:r>
      <w:r w:rsidRPr="00A8783E">
        <w:rPr>
          <w:rFonts w:ascii="Times New Roman" w:hAnsi="Times New Roman"/>
          <w:sz w:val="24"/>
          <w:szCs w:val="24"/>
          <w:lang w:eastAsia="bg-BG"/>
        </w:rPr>
        <w:t xml:space="preserve"> </w:t>
      </w:r>
      <w:r w:rsidRPr="00A8783E">
        <w:rPr>
          <w:rFonts w:ascii="Times New Roman" w:hAnsi="Times New Roman"/>
          <w:b/>
          <w:bCs/>
          <w:sz w:val="24"/>
          <w:szCs w:val="24"/>
          <w:lang w:eastAsia="bg-BG"/>
        </w:rPr>
        <w:t>двойки</w:t>
      </w:r>
      <w:r w:rsidRPr="00A8783E">
        <w:rPr>
          <w:rFonts w:ascii="Times New Roman" w:hAnsi="Times New Roman"/>
          <w:sz w:val="24"/>
          <w:szCs w:val="24"/>
          <w:lang w:eastAsia="bg-BG"/>
        </w:rPr>
        <w:t>, което представлява 0,06 - 0,1 % от националната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СФ размера на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е неизвестен, като е посочено че видът присъства в зоната (Р).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се оценява на</w:t>
      </w:r>
      <w:r w:rsidRPr="00A8783E">
        <w:rPr>
          <w:rFonts w:ascii="Times New Roman" w:hAnsi="Times New Roman"/>
          <w:b/>
          <w:bCs/>
          <w:sz w:val="24"/>
          <w:szCs w:val="24"/>
          <w:lang w:eastAsia="bg-BG"/>
        </w:rPr>
        <w:t xml:space="preserve"> до 145</w:t>
      </w:r>
      <w:r w:rsidRPr="00A8783E">
        <w:rPr>
          <w:rFonts w:ascii="Times New Roman" w:hAnsi="Times New Roman"/>
          <w:sz w:val="24"/>
          <w:szCs w:val="24"/>
          <w:lang w:eastAsia="bg-BG"/>
        </w:rPr>
        <w:t xml:space="preserve"> </w:t>
      </w:r>
      <w:r w:rsidRPr="00A8783E">
        <w:rPr>
          <w:rFonts w:ascii="Times New Roman" w:hAnsi="Times New Roman"/>
          <w:b/>
          <w:bCs/>
          <w:sz w:val="24"/>
          <w:szCs w:val="24"/>
          <w:lang w:eastAsia="bg-BG"/>
        </w:rPr>
        <w:t>индивида</w:t>
      </w:r>
      <w:r w:rsidRPr="00A8783E">
        <w:rPr>
          <w:rFonts w:ascii="Times New Roman" w:hAnsi="Times New Roman"/>
          <w:sz w:val="24"/>
          <w:szCs w:val="24"/>
          <w:lang w:eastAsia="bg-BG"/>
        </w:rPr>
        <w:t>, което представлява 0,6 - 1,8 %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lastRenderedPageBreak/>
        <w:t>Гнездяща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В миналото гнезди доста често по Дунав. През размножителния период са наблюдавани отделни птици или малки групи в резервата „Сребърна” (Симеонов и др., 1990). Числеността на видът по поречието на р. Дунав нараства през последните 30-40 години. До 1985 г. видът е известен от три дунавски колонии с численост 339 гнезда. При проучвания през 2006 – 2014 г. по поречието на р. Дунав, числеността на вида в 13 гнездови находища варира между 1573 и 2299 дв. (Shurulinkov et al., 2019). В резервата Сребърна видът не гнезди до 1987 г., когато са установени 22 гнезда (</w:t>
      </w:r>
      <w:r w:rsidRPr="00A8783E">
        <w:rPr>
          <w:rFonts w:ascii="Times New Roman" w:hAnsi="Times New Roman"/>
          <w:color w:val="000000"/>
          <w:sz w:val="24"/>
          <w:szCs w:val="24"/>
          <w:lang w:val="en-US" w:eastAsia="bg-BG"/>
        </w:rPr>
        <w:t>Ivanov</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al</w:t>
      </w:r>
      <w:r w:rsidRPr="00A8783E">
        <w:rPr>
          <w:rFonts w:ascii="Times New Roman" w:hAnsi="Times New Roman"/>
          <w:color w:val="000000"/>
          <w:sz w:val="24"/>
          <w:szCs w:val="24"/>
          <w:lang w:eastAsia="bg-BG"/>
        </w:rPr>
        <w:t xml:space="preserve">., 1997). В следващите години броят им остава постоянен. През 1989 г. е открита още една колония с 40 двойки в северната част на резервата. Общата численост на двойките достига около 70. Михов и др. (1997) дават численост в Сребърна от 90 до 540 гнездящи двойки. Според Kamburova, Michev (2003) в резервата Сребърна през 2001, 2002 и 2003 г. са гнездили съответно 400, 350 и 350 дв. По-късно Костадинова, Граматиков (2007) посочват 320-540 гнездящи двойки. В Сребърна големия корморан е установен през 2012 и 2014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xml:space="preserve">., 2019) с нова колония с 3 двойки в смесена колония в западния край на езерото с малки корморани, чапли, ибиси и лопатарки. Според Матеева и др. (2013) в зоната са гнездили също 3 двойки през 2012 г. В Актуализирания План за управление на ПР „Сребърна” (2015 г.), се посочва че видът гнезди към 2014 г. с численост 50-100 двойки или около 3,6% от националната гнездова популация. През май 2017 г. в ПР Сребърна са наблюдавани 66 птици. През 2008 г. е описана колония на голям корморан в близост до канала на ПР „Сребърна” между км 393 и 390, но през 2017 г. е установено че дърветата, на които са гнездили птиците са изсечени и колонията е изчезнала (Димитров, 2018). </w:t>
      </w:r>
      <w:r w:rsidRPr="00A8783E">
        <w:rPr>
          <w:rFonts w:ascii="Times New Roman" w:hAnsi="Times New Roman"/>
          <w:sz w:val="24"/>
          <w:szCs w:val="24"/>
          <w:lang w:eastAsia="bg-BG"/>
        </w:rPr>
        <w:t>При теренните проучвания през 2021 г. в защитената зона през размножителния период наблюдавахме 59 птици в различни места в границите на зоната, но без да бъде доказано сигурно гнездене. През м. юли 2021 г. при цялостно проучване по р. Дунав са установени 55 екземпляра в реката в границите на участъка срещу границата на ЗЗ.</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Мигрираща и зимуваща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По време на миграция видът е отбелязан с численост 0-2 инд.</w:t>
      </w:r>
      <w:r w:rsidRPr="00A8783E">
        <w:rPr>
          <w:rFonts w:ascii="Times New Roman" w:hAnsi="Times New Roman"/>
          <w:color w:val="000000"/>
          <w:sz w:val="24"/>
          <w:szCs w:val="24"/>
          <w:lang w:eastAsia="bg-BG"/>
        </w:rPr>
        <w:t xml:space="preserve"> (Михов и др, 1997 и Костадинова, Граматиков, 2007). </w:t>
      </w:r>
      <w:r w:rsidRPr="00A8783E">
        <w:rPr>
          <w:rFonts w:ascii="Times New Roman" w:hAnsi="Times New Roman"/>
          <w:sz w:val="24"/>
          <w:szCs w:val="24"/>
          <w:lang w:eastAsia="bg-BG"/>
        </w:rPr>
        <w:t>Същите автори посочват зимни числености между 30 и 500 птици. При средно-зимните преброявания видът е наблюдаван в Сребърна с много ниски числености: 2015 г. – 3 екз., а в р. Дунав срещу зоната са наблюдавани 10 птици през януари 2019 и 10 птици през 2020 г. За 25 годишен период 1977-2001 г, през зимата са наблюдавани общо 10 133 големи корморани (</w:t>
      </w:r>
      <w:r w:rsidRPr="00A8783E">
        <w:rPr>
          <w:rFonts w:ascii="Times New Roman" w:hAnsi="Times New Roman"/>
          <w:sz w:val="24"/>
          <w:szCs w:val="24"/>
          <w:lang w:val="en-US" w:eastAsia="bg-BG"/>
        </w:rPr>
        <w:t>Michev</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and</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Profirov</w:t>
      </w:r>
      <w:r w:rsidRPr="00A8783E">
        <w:rPr>
          <w:rFonts w:ascii="Times New Roman" w:hAnsi="Times New Roman"/>
          <w:sz w:val="24"/>
          <w:szCs w:val="24"/>
          <w:lang w:eastAsia="bg-BG"/>
        </w:rPr>
        <w:t xml:space="preserve">, 2003). От 2008 до 2013 г. зимуване на вида е отбелязано през 2008 г. – 1 инд., 2010 - 10 инд. и 2012 г. – 3 инд. (ПУ „Сребърна”, по данни от ИАОС). Числеността на зимуващите птици е много променлива, но с обща тенденция към силно намаляване през последните години. Липсват публикувани данни за концентрацията на вида в зоната по време на миграция. </w:t>
      </w:r>
    </w:p>
    <w:p w:rsidR="00A8783E" w:rsidRPr="00A8783E" w:rsidRDefault="00A8783E" w:rsidP="00A8783E">
      <w:pPr>
        <w:spacing w:after="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От посочените в Докладването от 2019 г. заплахи и влияния за гнездящата популация: F02, F05, G01, H01, J02, K01 и M08, валидни за зоната са: </w:t>
      </w:r>
      <w:r w:rsidRPr="00A8783E">
        <w:rPr>
          <w:rFonts w:ascii="Times New Roman" w:hAnsi="Times New Roman"/>
          <w:sz w:val="24"/>
          <w:szCs w:val="24"/>
        </w:rPr>
        <w:t xml:space="preserve">М08 - Наводняване (естествени процеси). </w:t>
      </w:r>
      <w:r w:rsidRPr="00A8783E">
        <w:rPr>
          <w:rFonts w:ascii="Times New Roman" w:hAnsi="Times New Roman"/>
          <w:sz w:val="24"/>
          <w:szCs w:val="24"/>
          <w:lang w:eastAsia="bg-BG"/>
        </w:rPr>
        <w:t xml:space="preserve">Заплахи за видовете птици в зоната са бракониерството и незаконния отстрел, както и риболов с мрежени уреди, пожари в тръстиковите масиви и безпокойство. Лимитиращ фактор за големия корморан е безпокойството и дърводобива, което води до унищожаване и нарушаване на гнездови местообитания.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8"/>
        <w:gridCol w:w="1134"/>
        <w:gridCol w:w="1134"/>
        <w:gridCol w:w="2918"/>
        <w:gridCol w:w="2171"/>
      </w:tblGrid>
      <w:tr w:rsidR="00A8783E" w:rsidRPr="00A8783E" w:rsidTr="005B5318">
        <w:trPr>
          <w:tblHeader/>
          <w:jc w:val="center"/>
        </w:trPr>
        <w:tc>
          <w:tcPr>
            <w:tcW w:w="1848"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lastRenderedPageBreak/>
              <w:t>Параметър</w:t>
            </w:r>
          </w:p>
        </w:tc>
        <w:tc>
          <w:tcPr>
            <w:tcW w:w="113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13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918"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171"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848"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гнездовата популацията</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13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0 - 3 двойки </w:t>
            </w:r>
          </w:p>
        </w:tc>
        <w:tc>
          <w:tcPr>
            <w:tcW w:w="291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 настоящия СФ (актуализиран през 2018 г.) са посочени до 3 гнездящи двойки. </w:t>
            </w:r>
          </w:p>
        </w:tc>
        <w:tc>
          <w:tcPr>
            <w:tcW w:w="21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популацията на вида в зоната в размер най-малко от 3 гнездящи двойки чрез поддържане на подходящите гнездови местообитания.</w:t>
            </w:r>
          </w:p>
        </w:tc>
      </w:tr>
      <w:tr w:rsidR="00A8783E" w:rsidRPr="00A8783E" w:rsidTr="005B5318">
        <w:trPr>
          <w:jc w:val="center"/>
        </w:trPr>
        <w:tc>
          <w:tcPr>
            <w:tcW w:w="1848"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0 – 2 инд.</w:t>
            </w:r>
          </w:p>
        </w:tc>
        <w:tc>
          <w:tcPr>
            <w:tcW w:w="2918" w:type="dxa"/>
          </w:tcPr>
          <w:p w:rsidR="00A8783E" w:rsidRPr="00A8783E" w:rsidRDefault="00A8783E" w:rsidP="00A8783E">
            <w:pPr>
              <w:autoSpaceDE w:val="0"/>
              <w:autoSpaceDN w:val="0"/>
              <w:adjustRightInd w:val="0"/>
              <w:spacing w:after="0" w:line="240" w:lineRule="auto"/>
              <w:jc w:val="both"/>
              <w:rPr>
                <w:rFonts w:ascii="Times New Roman" w:hAnsi="Times New Roman"/>
                <w:color w:val="000000"/>
                <w:lang w:eastAsia="bg-BG"/>
              </w:rPr>
            </w:pPr>
            <w:r w:rsidRPr="00A8783E">
              <w:rPr>
                <w:rFonts w:ascii="Times New Roman" w:hAnsi="Times New Roman"/>
                <w:color w:val="000000"/>
                <w:lang w:eastAsia="bg-BG"/>
              </w:rPr>
              <w:t xml:space="preserve">В СФ за концентрацията на вида по време на миграция в зоната няма посочена стойност.  Единствения източник посочва численост 0-2 инд. към 2007 г. Не са налични данни за настоящата мигрираща численост на вида в зоната, поради което е предвидена междинна цел. </w:t>
            </w:r>
          </w:p>
        </w:tc>
        <w:tc>
          <w:tcPr>
            <w:tcW w:w="21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jc w:val="center"/>
        </w:trPr>
        <w:tc>
          <w:tcPr>
            <w:tcW w:w="1848"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зимуващата популация</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13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0 – 145 инд.</w:t>
            </w:r>
          </w:p>
        </w:tc>
        <w:tc>
          <w:tcPr>
            <w:tcW w:w="2918" w:type="dxa"/>
          </w:tcPr>
          <w:p w:rsidR="00A8783E" w:rsidRPr="00A8783E" w:rsidRDefault="00A8783E" w:rsidP="00A8783E">
            <w:pPr>
              <w:spacing w:after="0" w:line="240" w:lineRule="auto"/>
              <w:jc w:val="both"/>
              <w:rPr>
                <w:rFonts w:ascii="Times New Roman" w:hAnsi="Times New Roman"/>
                <w:color w:val="000000"/>
                <w:lang w:eastAsia="bg-BG"/>
              </w:rPr>
            </w:pPr>
            <w:r w:rsidRPr="00A8783E">
              <w:rPr>
                <w:rFonts w:ascii="Times New Roman" w:hAnsi="Times New Roman"/>
                <w:lang w:eastAsia="bg-BG"/>
              </w:rPr>
              <w:t xml:space="preserve">В СФ за зимуващата популация на вида в зоната са посочени до 145 инд. Числеността на зимуващите птици е много променлива, но с обща тенденция към силно намаляване през последните години. </w:t>
            </w:r>
            <w:r w:rsidRPr="00A8783E">
              <w:rPr>
                <w:rFonts w:ascii="Times New Roman" w:hAnsi="Times New Roman"/>
                <w:color w:val="000000"/>
                <w:lang w:eastAsia="bg-BG"/>
              </w:rPr>
              <w:t>Необходино е да бъде предвидена междинна цел.</w:t>
            </w:r>
          </w:p>
        </w:tc>
        <w:tc>
          <w:tcPr>
            <w:tcW w:w="21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Да се извърши целенасочен мониторинг за установяване на размера на зимуващата популация до 2025 г.</w:t>
            </w:r>
          </w:p>
        </w:tc>
      </w:tr>
      <w:tr w:rsidR="00A8783E" w:rsidRPr="00A8783E" w:rsidTr="005B5318">
        <w:trPr>
          <w:jc w:val="center"/>
        </w:trPr>
        <w:tc>
          <w:tcPr>
            <w:tcW w:w="1848"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246</w:t>
            </w:r>
          </w:p>
        </w:tc>
        <w:tc>
          <w:tcPr>
            <w:tcW w:w="291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Площта на подходящото местообитание на гнездене е на база съхранени стари гори на остров Девня и в границите на ЗЗ, но зависи от горскостопанските мероприятия и засаждането на култури от хибридна топола на острова и в зоната.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16 – широколистни листопадни гори.</w:t>
            </w:r>
          </w:p>
        </w:tc>
        <w:tc>
          <w:tcPr>
            <w:tcW w:w="21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гнездови местообитания на вида в защитената зона, като бъдат съхранени естествените гори по дунавските острови и в зоната.</w:t>
            </w:r>
          </w:p>
        </w:tc>
      </w:tr>
      <w:tr w:rsidR="00A8783E" w:rsidRPr="00A8783E" w:rsidTr="005B5318">
        <w:trPr>
          <w:jc w:val="center"/>
        </w:trPr>
        <w:tc>
          <w:tcPr>
            <w:tcW w:w="1848"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най-малко 840 </w:t>
            </w:r>
          </w:p>
        </w:tc>
        <w:tc>
          <w:tcPr>
            <w:tcW w:w="291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Включва „блата и мочурища“ и всички стоящи и течащи води в зоната.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 xml:space="preserve">07-мочурища и блата и </w:t>
            </w:r>
            <w:r w:rsidRPr="00A8783E">
              <w:rPr>
                <w:rFonts w:ascii="Times New Roman" w:hAnsi="Times New Roman"/>
                <w:lang w:val="en-US" w:eastAsia="bg-BG"/>
              </w:rPr>
              <w:t>N</w:t>
            </w:r>
            <w:r w:rsidRPr="00A8783E">
              <w:rPr>
                <w:rFonts w:ascii="Times New Roman" w:hAnsi="Times New Roman"/>
                <w:lang w:eastAsia="bg-BG"/>
              </w:rPr>
              <w:t>06-вътрешни водни тела.</w:t>
            </w:r>
          </w:p>
        </w:tc>
        <w:tc>
          <w:tcPr>
            <w:tcW w:w="21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Поддържане и увеличаване на площта на подходящите хранителни местообитания на вида чрез поддържане на оптимално ниво на </w:t>
            </w:r>
            <w:r w:rsidRPr="00A8783E">
              <w:rPr>
                <w:rFonts w:ascii="Times New Roman" w:hAnsi="Times New Roman"/>
                <w:lang w:eastAsia="bg-BG"/>
              </w:rPr>
              <w:lastRenderedPageBreak/>
              <w:t>водата в езерото.</w:t>
            </w:r>
          </w:p>
        </w:tc>
      </w:tr>
      <w:tr w:rsidR="00A8783E" w:rsidRPr="00A8783E" w:rsidTr="005B5318">
        <w:trPr>
          <w:jc w:val="center"/>
        </w:trPr>
        <w:tc>
          <w:tcPr>
            <w:tcW w:w="1848"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риби (</w:t>
            </w:r>
            <w:r w:rsidRPr="00A8783E">
              <w:rPr>
                <w:rFonts w:ascii="Times New Roman" w:hAnsi="Times New Roman"/>
                <w:lang w:val="en-GB" w:eastAsia="bg-BG"/>
              </w:rPr>
              <w:t>JDS</w:t>
            </w:r>
            <w:r w:rsidRPr="00A8783E">
              <w:rPr>
                <w:rFonts w:ascii="Times New Roman" w:hAnsi="Times New Roman"/>
                <w:lang w:eastAsia="bg-BG"/>
              </w:rPr>
              <w:t>4-</w:t>
            </w:r>
            <w:r w:rsidRPr="00A8783E">
              <w:rPr>
                <w:rFonts w:ascii="Times New Roman" w:hAnsi="Times New Roman"/>
                <w:lang w:val="en-GB" w:eastAsia="bg-BG"/>
              </w:rPr>
              <w:t>Fish</w:t>
            </w:r>
            <w:r w:rsidRPr="00A8783E">
              <w:rPr>
                <w:rFonts w:ascii="Times New Roman" w:hAnsi="Times New Roman"/>
                <w:lang w:eastAsia="bg-BG"/>
              </w:rPr>
              <w:t>)</w:t>
            </w:r>
          </w:p>
        </w:tc>
        <w:tc>
          <w:tcPr>
            <w:tcW w:w="113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918" w:type="dxa"/>
          </w:tcPr>
          <w:tbl>
            <w:tblPr>
              <w:tblW w:w="3029" w:type="dxa"/>
              <w:tblInd w:w="3" w:type="dxa"/>
              <w:tblLayout w:type="fixed"/>
              <w:tblCellMar>
                <w:left w:w="70" w:type="dxa"/>
                <w:right w:w="70" w:type="dxa"/>
              </w:tblCellMar>
              <w:tblLook w:val="00A0" w:firstRow="1" w:lastRow="0" w:firstColumn="1" w:lastColumn="0" w:noHBand="0" w:noVBand="0"/>
            </w:tblPr>
            <w:tblGrid>
              <w:gridCol w:w="3029"/>
            </w:tblGrid>
            <w:tr w:rsidR="00A8783E" w:rsidRPr="00A8783E" w:rsidTr="005B5318">
              <w:trPr>
                <w:trHeight w:val="287"/>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380"/>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 xml:space="preserve">4 (2019-2020, Табл. 5, стр. 51). Екологичното състояние на езерото Сребърна по БЕК Риби е оценено като </w:t>
            </w:r>
            <w:r w:rsidRPr="00A8783E">
              <w:rPr>
                <w:rFonts w:ascii="Times New Roman" w:hAnsi="Times New Roman"/>
                <w:b/>
                <w:bCs/>
                <w:lang w:eastAsia="bg-BG"/>
              </w:rPr>
              <w:t>„Умерено“.</w:t>
            </w:r>
          </w:p>
        </w:tc>
        <w:tc>
          <w:tcPr>
            <w:tcW w:w="2171"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after="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Предвид наличната информация за настоящата гнездова и зимуваща численост на вида в защитената зона е необходима актуализация на СФ:</w:t>
      </w:r>
    </w:p>
    <w:p w:rsidR="00A8783E" w:rsidRPr="00A8783E" w:rsidRDefault="00A8783E" w:rsidP="00A8783E">
      <w:pPr>
        <w:numPr>
          <w:ilvl w:val="0"/>
          <w:numId w:val="22"/>
        </w:numPr>
        <w:spacing w:before="120" w:after="120" w:line="240" w:lineRule="auto"/>
        <w:ind w:left="567"/>
        <w:jc w:val="both"/>
        <w:rPr>
          <w:rFonts w:ascii="Times New Roman" w:hAnsi="Times New Roman"/>
          <w:sz w:val="24"/>
          <w:szCs w:val="24"/>
        </w:rPr>
      </w:pPr>
      <w:r w:rsidRPr="00A8783E">
        <w:rPr>
          <w:rFonts w:ascii="Times New Roman" w:hAnsi="Times New Roman"/>
          <w:sz w:val="24"/>
          <w:szCs w:val="24"/>
        </w:rPr>
        <w:t>По отношение на гнездящата и зимуващата популация предлагаме промяна в значението на зоната за националната гнездова и зимуваща популация на вида от категория „</w:t>
      </w:r>
      <w:r w:rsidRPr="00A8783E">
        <w:rPr>
          <w:rFonts w:ascii="Times New Roman" w:hAnsi="Times New Roman"/>
          <w:sz w:val="24"/>
          <w:szCs w:val="24"/>
          <w:lang w:val="en-GB"/>
        </w:rPr>
        <w:t>B</w:t>
      </w:r>
      <w:r w:rsidRPr="00A8783E">
        <w:rPr>
          <w:rFonts w:ascii="Times New Roman" w:hAnsi="Times New Roman"/>
          <w:sz w:val="24"/>
          <w:szCs w:val="24"/>
        </w:rPr>
        <w:t>“ и „А” в категория „С“, тъй като числеността е до 2 % от националните популации на вида.</w:t>
      </w:r>
    </w:p>
    <w:p w:rsidR="00A8783E" w:rsidRPr="00A8783E" w:rsidRDefault="00A8783E" w:rsidP="00A8783E">
      <w:pPr>
        <w:numPr>
          <w:ilvl w:val="0"/>
          <w:numId w:val="22"/>
        </w:numPr>
        <w:spacing w:before="120" w:after="120" w:line="240" w:lineRule="auto"/>
        <w:ind w:left="567"/>
        <w:jc w:val="both"/>
        <w:rPr>
          <w:rFonts w:ascii="Times New Roman" w:hAnsi="Times New Roman"/>
          <w:sz w:val="24"/>
          <w:szCs w:val="24"/>
        </w:rPr>
      </w:pPr>
      <w:r w:rsidRPr="00A8783E">
        <w:rPr>
          <w:rFonts w:ascii="Times New Roman" w:hAnsi="Times New Roman"/>
          <w:sz w:val="24"/>
          <w:szCs w:val="24"/>
        </w:rPr>
        <w:t>По отношение на мигриращата популация предлагаме числена стойност от 0-2 индивида на база на данните от Актуализиран план за управление на ПР Сребърна (2015).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639"/>
        <w:gridCol w:w="328"/>
        <w:gridCol w:w="456"/>
        <w:gridCol w:w="15"/>
        <w:gridCol w:w="346"/>
        <w:gridCol w:w="537"/>
        <w:gridCol w:w="566"/>
        <w:gridCol w:w="557"/>
        <w:gridCol w:w="541"/>
        <w:gridCol w:w="777"/>
        <w:gridCol w:w="877"/>
        <w:gridCol w:w="582"/>
        <w:gridCol w:w="492"/>
        <w:gridCol w:w="542"/>
      </w:tblGrid>
      <w:tr w:rsidR="00A8783E" w:rsidRPr="00A8783E" w:rsidTr="005B5318">
        <w:trPr>
          <w:jc w:val="center"/>
        </w:trPr>
        <w:tc>
          <w:tcPr>
            <w:tcW w:w="1865" w:type="pct"/>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r w:rsidRPr="00A8783E">
              <w:rPr>
                <w:rFonts w:ascii="Times New Roman" w:hAnsi="Times New Roman"/>
                <w:b/>
                <w:bCs/>
                <w:sz w:val="18"/>
                <w:szCs w:val="18"/>
                <w:lang w:eastAsia="en-GB"/>
              </w:rPr>
              <w:t>Species</w:t>
            </w:r>
          </w:p>
        </w:tc>
        <w:tc>
          <w:tcPr>
            <w:tcW w:w="1814" w:type="pct"/>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r w:rsidRPr="00A8783E">
              <w:rPr>
                <w:rFonts w:ascii="Times New Roman" w:hAnsi="Times New Roman"/>
                <w:b/>
                <w:bCs/>
                <w:sz w:val="18"/>
                <w:szCs w:val="18"/>
                <w:lang w:eastAsia="en-GB"/>
              </w:rPr>
              <w:t>Population in the site</w:t>
            </w:r>
          </w:p>
        </w:tc>
        <w:tc>
          <w:tcPr>
            <w:tcW w:w="1321" w:type="pct"/>
            <w:gridSpan w:val="4"/>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r w:rsidRPr="00A8783E">
              <w:rPr>
                <w:rFonts w:ascii="Times New Roman" w:hAnsi="Times New Roman"/>
                <w:b/>
                <w:bCs/>
                <w:sz w:val="18"/>
                <w:szCs w:val="18"/>
                <w:lang w:eastAsia="en-GB"/>
              </w:rPr>
              <w:t>Site assessment</w:t>
            </w:r>
          </w:p>
        </w:tc>
      </w:tr>
      <w:tr w:rsidR="00A8783E" w:rsidRPr="00A8783E" w:rsidTr="005B5318">
        <w:trPr>
          <w:jc w:val="center"/>
        </w:trPr>
        <w:tc>
          <w:tcPr>
            <w:tcW w:w="184"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w:t>
            </w:r>
          </w:p>
        </w:tc>
        <w:tc>
          <w:tcPr>
            <w:tcW w:w="342"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Code</w:t>
            </w:r>
          </w:p>
        </w:tc>
        <w:tc>
          <w:tcPr>
            <w:tcW w:w="929"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Scientific Name</w:t>
            </w:r>
          </w:p>
        </w:tc>
        <w:tc>
          <w:tcPr>
            <w:tcW w:w="159"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w:t>
            </w:r>
          </w:p>
        </w:tc>
        <w:tc>
          <w:tcPr>
            <w:tcW w:w="244"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r w:rsidRPr="00A8783E">
              <w:rPr>
                <w:rFonts w:ascii="Times New Roman" w:hAnsi="Times New Roman"/>
                <w:b/>
                <w:bCs/>
                <w:sz w:val="18"/>
                <w:szCs w:val="18"/>
                <w:lang w:eastAsia="en-GB"/>
              </w:rPr>
              <w:t>NP</w:t>
            </w:r>
          </w:p>
        </w:tc>
        <w:tc>
          <w:tcPr>
            <w:tcW w:w="178" w:type="pct"/>
            <w:gridSpan w:val="2"/>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r w:rsidRPr="00A8783E">
              <w:rPr>
                <w:rFonts w:ascii="Times New Roman" w:hAnsi="Times New Roman"/>
                <w:b/>
                <w:bCs/>
                <w:sz w:val="18"/>
                <w:szCs w:val="18"/>
                <w:lang w:eastAsia="en-GB"/>
              </w:rPr>
              <w:t>T</w:t>
            </w:r>
          </w:p>
        </w:tc>
        <w:tc>
          <w:tcPr>
            <w:tcW w:w="604" w:type="pct"/>
            <w:gridSpan w:val="2"/>
            <w:shd w:val="clear" w:color="auto" w:fill="D9D9D9"/>
            <w:vAlign w:val="center"/>
          </w:tcPr>
          <w:p w:rsidR="00A8783E" w:rsidRPr="00A8783E" w:rsidRDefault="00A8783E" w:rsidP="00A8783E">
            <w:pPr>
              <w:spacing w:after="0" w:line="240" w:lineRule="auto"/>
              <w:jc w:val="center"/>
              <w:rPr>
                <w:rFonts w:ascii="Times New Roman" w:hAnsi="Times New Roman"/>
                <w:b/>
                <w:bCs/>
                <w:sz w:val="18"/>
                <w:szCs w:val="18"/>
                <w:lang w:eastAsia="en-GB"/>
              </w:rPr>
            </w:pPr>
            <w:r w:rsidRPr="00A8783E">
              <w:rPr>
                <w:rFonts w:ascii="Times New Roman" w:hAnsi="Times New Roman"/>
                <w:b/>
                <w:bCs/>
                <w:sz w:val="18"/>
                <w:szCs w:val="18"/>
                <w:lang w:eastAsia="en-GB"/>
              </w:rPr>
              <w:t>Size</w:t>
            </w:r>
          </w:p>
        </w:tc>
        <w:tc>
          <w:tcPr>
            <w:tcW w:w="305"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r w:rsidRPr="00A8783E">
              <w:rPr>
                <w:rFonts w:ascii="Times New Roman" w:hAnsi="Times New Roman"/>
                <w:b/>
                <w:bCs/>
                <w:sz w:val="18"/>
                <w:szCs w:val="18"/>
                <w:lang w:eastAsia="en-GB"/>
              </w:rPr>
              <w:t>Unit</w:t>
            </w:r>
          </w:p>
        </w:tc>
        <w:tc>
          <w:tcPr>
            <w:tcW w:w="296"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r w:rsidRPr="00A8783E">
              <w:rPr>
                <w:rFonts w:ascii="Times New Roman" w:hAnsi="Times New Roman"/>
                <w:b/>
                <w:bCs/>
                <w:sz w:val="18"/>
                <w:szCs w:val="18"/>
                <w:lang w:eastAsia="en-GB"/>
              </w:rPr>
              <w:t>Cat.</w:t>
            </w:r>
          </w:p>
        </w:tc>
        <w:tc>
          <w:tcPr>
            <w:tcW w:w="439"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r w:rsidRPr="00A8783E">
              <w:rPr>
                <w:rFonts w:ascii="Times New Roman" w:hAnsi="Times New Roman"/>
                <w:b/>
                <w:bCs/>
                <w:sz w:val="18"/>
                <w:szCs w:val="18"/>
                <w:lang w:eastAsia="en-GB"/>
              </w:rPr>
              <w:t>D.qual.</w:t>
            </w:r>
          </w:p>
        </w:tc>
        <w:tc>
          <w:tcPr>
            <w:tcW w:w="440" w:type="pc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r w:rsidRPr="00A8783E">
              <w:rPr>
                <w:rFonts w:ascii="Times New Roman" w:hAnsi="Times New Roman"/>
                <w:b/>
                <w:bCs/>
                <w:sz w:val="18"/>
                <w:szCs w:val="18"/>
                <w:lang w:eastAsia="en-GB"/>
              </w:rPr>
              <w:t>A/B/C/D</w:t>
            </w:r>
          </w:p>
        </w:tc>
        <w:tc>
          <w:tcPr>
            <w:tcW w:w="882" w:type="pct"/>
            <w:gridSpan w:val="3"/>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r w:rsidRPr="00A8783E">
              <w:rPr>
                <w:rFonts w:ascii="Times New Roman" w:hAnsi="Times New Roman"/>
                <w:b/>
                <w:bCs/>
                <w:sz w:val="18"/>
                <w:szCs w:val="18"/>
                <w:lang w:eastAsia="en-GB"/>
              </w:rPr>
              <w:t>A/B/C</w:t>
            </w:r>
          </w:p>
        </w:tc>
      </w:tr>
      <w:tr w:rsidR="00A8783E" w:rsidRPr="00A8783E" w:rsidTr="005B5318">
        <w:trPr>
          <w:jc w:val="center"/>
        </w:trPr>
        <w:tc>
          <w:tcPr>
            <w:tcW w:w="184" w:type="pct"/>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342" w:type="pct"/>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929" w:type="pct"/>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159" w:type="pct"/>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244" w:type="pct"/>
            <w:vMerge/>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p>
        </w:tc>
        <w:tc>
          <w:tcPr>
            <w:tcW w:w="178" w:type="pct"/>
            <w:gridSpan w:val="2"/>
            <w:vMerge/>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p>
        </w:tc>
        <w:tc>
          <w:tcPr>
            <w:tcW w:w="293" w:type="pc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r w:rsidRPr="00A8783E">
              <w:rPr>
                <w:rFonts w:ascii="Times New Roman" w:hAnsi="Times New Roman"/>
                <w:b/>
                <w:bCs/>
                <w:sz w:val="18"/>
                <w:szCs w:val="18"/>
                <w:lang w:eastAsia="en-GB"/>
              </w:rPr>
              <w:t>Min</w:t>
            </w:r>
          </w:p>
        </w:tc>
        <w:tc>
          <w:tcPr>
            <w:tcW w:w="311" w:type="pc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r w:rsidRPr="00A8783E">
              <w:rPr>
                <w:rFonts w:ascii="Times New Roman" w:hAnsi="Times New Roman"/>
                <w:b/>
                <w:bCs/>
                <w:sz w:val="18"/>
                <w:szCs w:val="18"/>
                <w:lang w:eastAsia="en-GB"/>
              </w:rPr>
              <w:t>Max</w:t>
            </w:r>
          </w:p>
        </w:tc>
        <w:tc>
          <w:tcPr>
            <w:tcW w:w="305" w:type="pct"/>
            <w:vMerge/>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p>
        </w:tc>
        <w:tc>
          <w:tcPr>
            <w:tcW w:w="296" w:type="pct"/>
            <w:vMerge/>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p>
        </w:tc>
        <w:tc>
          <w:tcPr>
            <w:tcW w:w="439" w:type="pct"/>
            <w:vMerge/>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p>
        </w:tc>
        <w:tc>
          <w:tcPr>
            <w:tcW w:w="440" w:type="pc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r w:rsidRPr="00A8783E">
              <w:rPr>
                <w:rFonts w:ascii="Times New Roman" w:hAnsi="Times New Roman"/>
                <w:b/>
                <w:bCs/>
                <w:sz w:val="18"/>
                <w:szCs w:val="18"/>
                <w:lang w:eastAsia="en-GB"/>
              </w:rPr>
              <w:t>Pop.</w:t>
            </w:r>
          </w:p>
        </w:tc>
        <w:tc>
          <w:tcPr>
            <w:tcW w:w="320" w:type="pc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r w:rsidRPr="00A8783E">
              <w:rPr>
                <w:rFonts w:ascii="Times New Roman" w:hAnsi="Times New Roman"/>
                <w:b/>
                <w:bCs/>
                <w:sz w:val="18"/>
                <w:szCs w:val="18"/>
                <w:lang w:eastAsia="en-GB"/>
              </w:rPr>
              <w:t>Con.</w:t>
            </w:r>
          </w:p>
        </w:tc>
        <w:tc>
          <w:tcPr>
            <w:tcW w:w="266" w:type="pc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r w:rsidRPr="00A8783E">
              <w:rPr>
                <w:rFonts w:ascii="Times New Roman" w:hAnsi="Times New Roman"/>
                <w:b/>
                <w:bCs/>
                <w:sz w:val="18"/>
                <w:szCs w:val="18"/>
                <w:lang w:eastAsia="en-GB"/>
              </w:rPr>
              <w:t>Iso.</w:t>
            </w:r>
          </w:p>
        </w:tc>
        <w:tc>
          <w:tcPr>
            <w:tcW w:w="296" w:type="pc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lang w:eastAsia="en-GB"/>
              </w:rPr>
            </w:pPr>
            <w:r w:rsidRPr="00A8783E">
              <w:rPr>
                <w:rFonts w:ascii="Times New Roman" w:hAnsi="Times New Roman"/>
                <w:b/>
                <w:bCs/>
                <w:sz w:val="18"/>
                <w:szCs w:val="18"/>
                <w:lang w:eastAsia="en-GB"/>
              </w:rPr>
              <w:t>Glo.</w:t>
            </w:r>
          </w:p>
        </w:tc>
      </w:tr>
      <w:tr w:rsidR="00A8783E" w:rsidRPr="00A8783E" w:rsidTr="005B5318">
        <w:trPr>
          <w:trHeight w:val="295"/>
          <w:jc w:val="center"/>
        </w:trPr>
        <w:tc>
          <w:tcPr>
            <w:tcW w:w="184" w:type="pct"/>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en-GB"/>
              </w:rPr>
              <w:t>В</w:t>
            </w:r>
          </w:p>
        </w:tc>
        <w:tc>
          <w:tcPr>
            <w:tcW w:w="342" w:type="pct"/>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sz w:val="20"/>
                <w:szCs w:val="20"/>
                <w:lang w:eastAsia="bg-BG"/>
              </w:rPr>
              <w:t>A0</w:t>
            </w:r>
            <w:r w:rsidRPr="00A8783E">
              <w:rPr>
                <w:rFonts w:ascii="Times New Roman" w:hAnsi="Times New Roman"/>
                <w:sz w:val="20"/>
                <w:szCs w:val="20"/>
                <w:lang w:val="en-US" w:eastAsia="bg-BG"/>
              </w:rPr>
              <w:t>17</w:t>
            </w:r>
          </w:p>
        </w:tc>
        <w:tc>
          <w:tcPr>
            <w:tcW w:w="929" w:type="pct"/>
            <w:vAlign w:val="center"/>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eastAsia="bg-BG"/>
              </w:rPr>
            </w:pPr>
            <w:r w:rsidRPr="00A8783E">
              <w:rPr>
                <w:rFonts w:ascii="Times New Roman" w:hAnsi="Times New Roman"/>
                <w:i/>
                <w:iCs/>
                <w:color w:val="000000"/>
                <w:sz w:val="20"/>
                <w:szCs w:val="20"/>
                <w:lang w:val="en-US" w:eastAsia="bg-BG"/>
              </w:rPr>
              <w:t>Phalacrocorax carbo</w:t>
            </w:r>
          </w:p>
        </w:tc>
        <w:tc>
          <w:tcPr>
            <w:tcW w:w="159" w:type="pct"/>
            <w:vAlign w:val="center"/>
          </w:tcPr>
          <w:p w:rsidR="00A8783E" w:rsidRPr="00A8783E" w:rsidRDefault="00A8783E" w:rsidP="00A8783E">
            <w:pPr>
              <w:spacing w:after="0" w:line="240" w:lineRule="auto"/>
              <w:rPr>
                <w:rFonts w:ascii="Times New Roman" w:hAnsi="Times New Roman"/>
                <w:sz w:val="20"/>
                <w:szCs w:val="20"/>
                <w:lang w:eastAsia="en-GB"/>
              </w:rPr>
            </w:pPr>
          </w:p>
        </w:tc>
        <w:tc>
          <w:tcPr>
            <w:tcW w:w="244" w:type="pct"/>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178" w:type="pct"/>
            <w:gridSpan w:val="2"/>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r</w:t>
            </w:r>
          </w:p>
        </w:tc>
        <w:tc>
          <w:tcPr>
            <w:tcW w:w="293" w:type="pct"/>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eastAsia="en-GB"/>
              </w:rPr>
              <w:t>0</w:t>
            </w:r>
          </w:p>
        </w:tc>
        <w:tc>
          <w:tcPr>
            <w:tcW w:w="311" w:type="pct"/>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sz w:val="20"/>
                <w:szCs w:val="20"/>
                <w:lang w:eastAsia="bg-BG"/>
              </w:rPr>
              <w:t>3</w:t>
            </w:r>
          </w:p>
        </w:tc>
        <w:tc>
          <w:tcPr>
            <w:tcW w:w="305" w:type="pct"/>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color w:val="000000"/>
                <w:sz w:val="20"/>
                <w:szCs w:val="20"/>
                <w:lang w:val="en-US" w:eastAsia="bg-BG"/>
              </w:rPr>
              <w:t>p</w:t>
            </w:r>
          </w:p>
        </w:tc>
        <w:tc>
          <w:tcPr>
            <w:tcW w:w="296" w:type="pct"/>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439" w:type="pct"/>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440" w:type="pct"/>
            <w:vAlign w:val="center"/>
          </w:tcPr>
          <w:p w:rsidR="00A8783E" w:rsidRPr="00A8783E" w:rsidRDefault="00A8783E" w:rsidP="00A8783E">
            <w:pPr>
              <w:spacing w:after="0" w:line="240" w:lineRule="auto"/>
              <w:rPr>
                <w:rFonts w:ascii="Times New Roman" w:hAnsi="Times New Roman"/>
                <w:b/>
                <w:bCs/>
                <w:color w:val="FF0000"/>
                <w:sz w:val="20"/>
                <w:szCs w:val="20"/>
                <w:lang w:val="en-US" w:eastAsia="en-GB"/>
              </w:rPr>
            </w:pPr>
            <w:r w:rsidRPr="00A8783E">
              <w:rPr>
                <w:rFonts w:ascii="Times New Roman" w:hAnsi="Times New Roman"/>
                <w:b/>
                <w:bCs/>
                <w:color w:val="FF0000"/>
                <w:sz w:val="20"/>
                <w:szCs w:val="20"/>
                <w:lang w:val="en-US" w:eastAsia="bg-BG"/>
              </w:rPr>
              <w:t>C</w:t>
            </w:r>
          </w:p>
        </w:tc>
        <w:tc>
          <w:tcPr>
            <w:tcW w:w="320" w:type="pct"/>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c>
          <w:tcPr>
            <w:tcW w:w="266" w:type="pct"/>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296" w:type="pct"/>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r>
      <w:tr w:rsidR="00A8783E" w:rsidRPr="00A8783E" w:rsidTr="005B5318">
        <w:trPr>
          <w:trHeight w:val="295"/>
          <w:jc w:val="center"/>
        </w:trPr>
        <w:tc>
          <w:tcPr>
            <w:tcW w:w="184" w:type="pct"/>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en-GB"/>
              </w:rPr>
              <w:t>В</w:t>
            </w:r>
          </w:p>
        </w:tc>
        <w:tc>
          <w:tcPr>
            <w:tcW w:w="342" w:type="pct"/>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sz w:val="20"/>
                <w:szCs w:val="20"/>
                <w:lang w:eastAsia="bg-BG"/>
              </w:rPr>
              <w:t>A0</w:t>
            </w:r>
            <w:r w:rsidRPr="00A8783E">
              <w:rPr>
                <w:rFonts w:ascii="Times New Roman" w:hAnsi="Times New Roman"/>
                <w:sz w:val="20"/>
                <w:szCs w:val="20"/>
                <w:lang w:val="en-US" w:eastAsia="bg-BG"/>
              </w:rPr>
              <w:t>17</w:t>
            </w:r>
          </w:p>
        </w:tc>
        <w:tc>
          <w:tcPr>
            <w:tcW w:w="929" w:type="pct"/>
            <w:vAlign w:val="center"/>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eastAsia="bg-BG"/>
              </w:rPr>
            </w:pPr>
            <w:r w:rsidRPr="00A8783E">
              <w:rPr>
                <w:rFonts w:ascii="Times New Roman" w:hAnsi="Times New Roman"/>
                <w:i/>
                <w:iCs/>
                <w:color w:val="000000"/>
                <w:sz w:val="20"/>
                <w:szCs w:val="20"/>
                <w:lang w:val="en-US" w:eastAsia="bg-BG"/>
              </w:rPr>
              <w:t>Phalacrocorax carbo</w:t>
            </w:r>
          </w:p>
        </w:tc>
        <w:tc>
          <w:tcPr>
            <w:tcW w:w="159" w:type="pct"/>
            <w:vAlign w:val="center"/>
          </w:tcPr>
          <w:p w:rsidR="00A8783E" w:rsidRPr="00A8783E" w:rsidRDefault="00A8783E" w:rsidP="00A8783E">
            <w:pPr>
              <w:spacing w:after="0" w:line="240" w:lineRule="auto"/>
              <w:rPr>
                <w:rFonts w:ascii="Times New Roman" w:hAnsi="Times New Roman"/>
                <w:sz w:val="20"/>
                <w:szCs w:val="20"/>
                <w:lang w:eastAsia="en-GB"/>
              </w:rPr>
            </w:pPr>
          </w:p>
        </w:tc>
        <w:tc>
          <w:tcPr>
            <w:tcW w:w="244" w:type="pct"/>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178" w:type="pct"/>
            <w:gridSpan w:val="2"/>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c</w:t>
            </w:r>
          </w:p>
        </w:tc>
        <w:tc>
          <w:tcPr>
            <w:tcW w:w="293" w:type="pct"/>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eastAsia="en-GB"/>
              </w:rPr>
              <w:t>0</w:t>
            </w:r>
          </w:p>
        </w:tc>
        <w:tc>
          <w:tcPr>
            <w:tcW w:w="311" w:type="pct"/>
            <w:vAlign w:val="center"/>
          </w:tcPr>
          <w:p w:rsidR="00A8783E" w:rsidRPr="00A8783E" w:rsidRDefault="00A8783E" w:rsidP="00A8783E">
            <w:pPr>
              <w:spacing w:after="0" w:line="240" w:lineRule="auto"/>
              <w:rPr>
                <w:rFonts w:ascii="Times New Roman" w:hAnsi="Times New Roman"/>
                <w:b/>
                <w:bCs/>
                <w:color w:val="FF0000"/>
                <w:sz w:val="20"/>
                <w:szCs w:val="20"/>
                <w:lang w:val="en-US" w:eastAsia="en-GB"/>
              </w:rPr>
            </w:pPr>
            <w:r w:rsidRPr="00A8783E">
              <w:rPr>
                <w:rFonts w:ascii="Times New Roman" w:hAnsi="Times New Roman"/>
                <w:b/>
                <w:bCs/>
                <w:color w:val="FF0000"/>
                <w:sz w:val="20"/>
                <w:szCs w:val="20"/>
                <w:lang w:val="en-US" w:eastAsia="bg-BG"/>
              </w:rPr>
              <w:t>2</w:t>
            </w:r>
          </w:p>
        </w:tc>
        <w:tc>
          <w:tcPr>
            <w:tcW w:w="305" w:type="pct"/>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color w:val="000000"/>
                <w:sz w:val="20"/>
                <w:szCs w:val="20"/>
                <w:lang w:val="en-US" w:eastAsia="bg-BG"/>
              </w:rPr>
              <w:t>i</w:t>
            </w:r>
          </w:p>
        </w:tc>
        <w:tc>
          <w:tcPr>
            <w:tcW w:w="296" w:type="pct"/>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439" w:type="pct"/>
            <w:vAlign w:val="center"/>
          </w:tcPr>
          <w:p w:rsidR="00A8783E" w:rsidRPr="00A8783E" w:rsidRDefault="00A8783E" w:rsidP="00A8783E">
            <w:pPr>
              <w:spacing w:after="0" w:line="240" w:lineRule="auto"/>
              <w:rPr>
                <w:rFonts w:ascii="Times New Roman" w:hAnsi="Times New Roman"/>
                <w:b/>
                <w:bCs/>
                <w:color w:val="FF0000"/>
                <w:sz w:val="20"/>
                <w:szCs w:val="20"/>
                <w:lang w:val="en-US" w:eastAsia="en-GB"/>
              </w:rPr>
            </w:pPr>
            <w:r w:rsidRPr="00A8783E">
              <w:rPr>
                <w:rFonts w:ascii="Times New Roman" w:hAnsi="Times New Roman"/>
                <w:b/>
                <w:bCs/>
                <w:color w:val="FF0000"/>
                <w:sz w:val="20"/>
                <w:szCs w:val="20"/>
                <w:lang w:val="en-US" w:eastAsia="bg-BG"/>
              </w:rPr>
              <w:t>P</w:t>
            </w:r>
          </w:p>
        </w:tc>
        <w:tc>
          <w:tcPr>
            <w:tcW w:w="440" w:type="pct"/>
            <w:vAlign w:val="center"/>
          </w:tcPr>
          <w:p w:rsidR="00A8783E" w:rsidRPr="00A8783E" w:rsidRDefault="00A8783E" w:rsidP="00A8783E">
            <w:pPr>
              <w:spacing w:after="0" w:line="240" w:lineRule="auto"/>
              <w:rPr>
                <w:rFonts w:ascii="Times New Roman" w:hAnsi="Times New Roman"/>
                <w:b/>
                <w:bCs/>
                <w:color w:val="FF0000"/>
                <w:sz w:val="20"/>
                <w:szCs w:val="20"/>
                <w:lang w:val="en-US" w:eastAsia="en-GB"/>
              </w:rPr>
            </w:pPr>
            <w:r w:rsidRPr="00A8783E">
              <w:rPr>
                <w:rFonts w:ascii="Times New Roman" w:hAnsi="Times New Roman"/>
                <w:b/>
                <w:bCs/>
                <w:color w:val="FF0000"/>
                <w:sz w:val="20"/>
                <w:szCs w:val="20"/>
                <w:lang w:val="en-US" w:eastAsia="bg-BG"/>
              </w:rPr>
              <w:t>C</w:t>
            </w:r>
          </w:p>
        </w:tc>
        <w:tc>
          <w:tcPr>
            <w:tcW w:w="320" w:type="pct"/>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c>
          <w:tcPr>
            <w:tcW w:w="266" w:type="pct"/>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296" w:type="pct"/>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r>
      <w:tr w:rsidR="00A8783E" w:rsidRPr="00A8783E" w:rsidTr="005B5318">
        <w:trPr>
          <w:trHeight w:val="295"/>
          <w:jc w:val="center"/>
        </w:trPr>
        <w:tc>
          <w:tcPr>
            <w:tcW w:w="184" w:type="pct"/>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en-GB"/>
              </w:rPr>
              <w:t>В</w:t>
            </w:r>
          </w:p>
        </w:tc>
        <w:tc>
          <w:tcPr>
            <w:tcW w:w="342" w:type="pct"/>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sz w:val="20"/>
                <w:szCs w:val="20"/>
                <w:lang w:eastAsia="bg-BG"/>
              </w:rPr>
              <w:t>A0</w:t>
            </w:r>
            <w:r w:rsidRPr="00A8783E">
              <w:rPr>
                <w:rFonts w:ascii="Times New Roman" w:hAnsi="Times New Roman"/>
                <w:sz w:val="20"/>
                <w:szCs w:val="20"/>
                <w:lang w:val="en-US" w:eastAsia="bg-BG"/>
              </w:rPr>
              <w:t>17</w:t>
            </w:r>
          </w:p>
        </w:tc>
        <w:tc>
          <w:tcPr>
            <w:tcW w:w="929" w:type="pct"/>
            <w:vAlign w:val="center"/>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eastAsia="bg-BG"/>
              </w:rPr>
            </w:pPr>
            <w:r w:rsidRPr="00A8783E">
              <w:rPr>
                <w:rFonts w:ascii="Times New Roman" w:hAnsi="Times New Roman"/>
                <w:i/>
                <w:iCs/>
                <w:color w:val="000000"/>
                <w:sz w:val="20"/>
                <w:szCs w:val="20"/>
                <w:lang w:val="en-US" w:eastAsia="bg-BG"/>
              </w:rPr>
              <w:t>Phalacrocorax carbo</w:t>
            </w:r>
          </w:p>
        </w:tc>
        <w:tc>
          <w:tcPr>
            <w:tcW w:w="159" w:type="pct"/>
            <w:vAlign w:val="center"/>
          </w:tcPr>
          <w:p w:rsidR="00A8783E" w:rsidRPr="00A8783E" w:rsidRDefault="00A8783E" w:rsidP="00A8783E">
            <w:pPr>
              <w:spacing w:after="0" w:line="240" w:lineRule="auto"/>
              <w:rPr>
                <w:rFonts w:ascii="Times New Roman" w:hAnsi="Times New Roman"/>
                <w:sz w:val="20"/>
                <w:szCs w:val="20"/>
                <w:lang w:eastAsia="en-GB"/>
              </w:rPr>
            </w:pPr>
          </w:p>
        </w:tc>
        <w:tc>
          <w:tcPr>
            <w:tcW w:w="244" w:type="pct"/>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178" w:type="pct"/>
            <w:gridSpan w:val="2"/>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w</w:t>
            </w:r>
          </w:p>
        </w:tc>
        <w:tc>
          <w:tcPr>
            <w:tcW w:w="293" w:type="pct"/>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eastAsia="en-GB"/>
              </w:rPr>
              <w:t>0</w:t>
            </w:r>
          </w:p>
        </w:tc>
        <w:tc>
          <w:tcPr>
            <w:tcW w:w="311" w:type="pct"/>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sz w:val="20"/>
                <w:szCs w:val="20"/>
                <w:lang w:val="en-US" w:eastAsia="bg-BG"/>
              </w:rPr>
              <w:t>145</w:t>
            </w:r>
          </w:p>
        </w:tc>
        <w:tc>
          <w:tcPr>
            <w:tcW w:w="305" w:type="pct"/>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color w:val="000000"/>
                <w:sz w:val="20"/>
                <w:szCs w:val="20"/>
                <w:lang w:val="en-US" w:eastAsia="bg-BG"/>
              </w:rPr>
              <w:t>i</w:t>
            </w:r>
          </w:p>
        </w:tc>
        <w:tc>
          <w:tcPr>
            <w:tcW w:w="296" w:type="pct"/>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439" w:type="pct"/>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440" w:type="pct"/>
            <w:vAlign w:val="center"/>
          </w:tcPr>
          <w:p w:rsidR="00A8783E" w:rsidRPr="00A8783E" w:rsidRDefault="00A8783E" w:rsidP="00A8783E">
            <w:pPr>
              <w:spacing w:after="0" w:line="240" w:lineRule="auto"/>
              <w:rPr>
                <w:rFonts w:ascii="Times New Roman" w:hAnsi="Times New Roman"/>
                <w:b/>
                <w:bCs/>
                <w:color w:val="FF0000"/>
                <w:sz w:val="20"/>
                <w:szCs w:val="20"/>
                <w:lang w:val="en-US" w:eastAsia="en-GB"/>
              </w:rPr>
            </w:pPr>
            <w:r w:rsidRPr="00A8783E">
              <w:rPr>
                <w:rFonts w:ascii="Times New Roman" w:hAnsi="Times New Roman"/>
                <w:b/>
                <w:bCs/>
                <w:color w:val="FF0000"/>
                <w:sz w:val="20"/>
                <w:szCs w:val="20"/>
                <w:lang w:val="en-US" w:eastAsia="bg-BG"/>
              </w:rPr>
              <w:t>C</w:t>
            </w:r>
          </w:p>
        </w:tc>
        <w:tc>
          <w:tcPr>
            <w:tcW w:w="320" w:type="pct"/>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c>
          <w:tcPr>
            <w:tcW w:w="266" w:type="pct"/>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296" w:type="pct"/>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r>
    </w:tbl>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133" w:name="_Toc89106062"/>
      <w:bookmarkStart w:id="134" w:name="_Toc98741901"/>
      <w:bookmarkStart w:id="135" w:name="_Toc98838576"/>
      <w:r w:rsidRPr="00A8783E">
        <w:rPr>
          <w:rFonts w:ascii="Times New Roman" w:hAnsi="Times New Roman"/>
          <w:color w:val="1F497D"/>
          <w:sz w:val="28"/>
          <w:szCs w:val="28"/>
        </w:rPr>
        <w:t xml:space="preserve">Специфични цели за А019 </w:t>
      </w:r>
      <w:r w:rsidRPr="00A8783E">
        <w:rPr>
          <w:rFonts w:ascii="Times New Roman" w:hAnsi="Times New Roman"/>
          <w:i/>
          <w:iCs/>
          <w:color w:val="1F497D"/>
          <w:sz w:val="28"/>
          <w:szCs w:val="28"/>
          <w:lang w:val="en-GB"/>
        </w:rPr>
        <w:t>Pelecanus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GB"/>
        </w:rPr>
        <w:t>onocrotalus</w:t>
      </w:r>
      <w:r w:rsidRPr="00A8783E">
        <w:rPr>
          <w:rFonts w:ascii="Times New Roman" w:hAnsi="Times New Roman"/>
          <w:color w:val="1F497D"/>
          <w:sz w:val="28"/>
          <w:szCs w:val="28"/>
        </w:rPr>
        <w:t xml:space="preserve"> (розов пеликан)</w:t>
      </w:r>
      <w:bookmarkEnd w:id="133"/>
      <w:bookmarkEnd w:id="134"/>
      <w:bookmarkEnd w:id="135"/>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140 – 175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245 – 295 </w:t>
      </w:r>
      <w:r w:rsidRPr="00A8783E">
        <w:rPr>
          <w:rFonts w:ascii="Times New Roman" w:hAnsi="Times New Roman"/>
          <w:sz w:val="24"/>
          <w:szCs w:val="24"/>
          <w:lang w:val="en-US"/>
        </w:rPr>
        <w:t>cm</w:t>
      </w:r>
      <w:r w:rsidRPr="00A8783E">
        <w:rPr>
          <w:rFonts w:ascii="Times New Roman" w:hAnsi="Times New Roman"/>
          <w:sz w:val="24"/>
          <w:szCs w:val="24"/>
        </w:rPr>
        <w:t xml:space="preserve">. Една от най-едрите летящи птици. Оперението при възрастните е бяло, с розов оттенък през размножителния период. На тила с кичур от удължени пера. С голямо жълто петно на гушата. Клюнът е голям с яркожълто оранжева „торба“ през размножителния период. Ирисът е тъмен (червен), обкръжен от розова гола кожа. Краката са жълто-розови, по-червени при гнездене. В полет черните махови пера отдолу рязко контрастират с белите </w:t>
      </w:r>
      <w:r w:rsidRPr="00A8783E">
        <w:rPr>
          <w:rFonts w:ascii="Times New Roman" w:hAnsi="Times New Roman"/>
          <w:sz w:val="24"/>
          <w:szCs w:val="24"/>
        </w:rPr>
        <w:lastRenderedPageBreak/>
        <w:t xml:space="preserve">подкрилия. Младите са предимно с тъмно-кафеникаво и сиво оперение, с жълтеникава „торба“, с розова орбитална кожа и жълтеникаво-розови крака.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миналото розовият пеликан е гнездящо-прелетен и преминаващ. Днес е преминаващ и по изключение зимуващ (Симеонов и др., 1990). С рядко непериодично гнездене през отделни години в езеро Сребърна и в блато Песчина на остров Персин. Последното успешно гнездене е на пет двойки в езерото Сребърна през 2018 г. У нас се среща ежегодно основно по време на миграция, когато между 15 000 и 23 000 птици са регистрирани по Черноморското крайбрежие, основно около Бургас. През август хиляди розови пеликани се събират за почивка и хранене в Бургаското езеро (Вая). Пролетната миграция е от средата на март до средата на април, а есенната – от началото на август до началото на ноември (Симеонов и др.</w:t>
      </w:r>
      <w:r w:rsidRPr="00A8783E">
        <w:rPr>
          <w:rFonts w:ascii="Times New Roman" w:hAnsi="Times New Roman"/>
          <w:sz w:val="24"/>
          <w:szCs w:val="24"/>
          <w:lang w:val="en-US"/>
        </w:rPr>
        <w:t>q</w:t>
      </w:r>
      <w:r w:rsidRPr="00A8783E">
        <w:rPr>
          <w:rFonts w:ascii="Times New Roman" w:hAnsi="Times New Roman"/>
          <w:sz w:val="24"/>
          <w:szCs w:val="24"/>
        </w:rPr>
        <w:t xml:space="preserve"> 1990). Зимува в Африка. Отделни малки групи остават да зимуват в страната, основно по влажните зони в района на Южното Черноморско крайбрежие и Южна България.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Обитава обширни блата и езера, обрасли с тръстика и папур, с открити водни огледала и богати на риба, рибарници, язовири и полусолени водоеми. Розовият пеликан гнезди в големи самостоятелни и смесени (най-често с големи корморани и къдроглави пеликани) колонии, разположени на плаващи тръстикови острови, или изкуствени платформи. Пълното люпило е от 2-3 яйца. Мътят и двете птици, като имат едно поколение годишно в периода май-юли. Предпочитаните местообитания са 1130, 1150, 1160, 3130, 3140 и 3150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Храни се с риба, предимно </w:t>
      </w:r>
      <w:r w:rsidRPr="00A8783E">
        <w:rPr>
          <w:rFonts w:ascii="Times New Roman" w:hAnsi="Times New Roman"/>
          <w:i/>
          <w:iCs/>
          <w:sz w:val="24"/>
          <w:szCs w:val="24"/>
          <w:lang w:val="en-GB"/>
        </w:rPr>
        <w:t>Carassius</w:t>
      </w:r>
      <w:r w:rsidRPr="00A8783E">
        <w:rPr>
          <w:rFonts w:ascii="Times New Roman" w:hAnsi="Times New Roman"/>
          <w:i/>
          <w:iCs/>
          <w:sz w:val="24"/>
          <w:szCs w:val="24"/>
        </w:rPr>
        <w:t xml:space="preserve"> </w:t>
      </w:r>
      <w:r w:rsidRPr="00A8783E">
        <w:rPr>
          <w:rFonts w:ascii="Times New Roman" w:hAnsi="Times New Roman"/>
          <w:i/>
          <w:iCs/>
          <w:sz w:val="24"/>
          <w:szCs w:val="24"/>
          <w:lang w:val="en-GB"/>
        </w:rPr>
        <w:t>spp</w:t>
      </w:r>
      <w:r w:rsidRPr="00A8783E">
        <w:rPr>
          <w:rFonts w:ascii="Times New Roman" w:hAnsi="Times New Roman"/>
          <w:i/>
          <w:iCs/>
          <w:sz w:val="24"/>
          <w:szCs w:val="24"/>
        </w:rPr>
        <w:t xml:space="preserve">., </w:t>
      </w:r>
      <w:r w:rsidRPr="00A8783E">
        <w:rPr>
          <w:rFonts w:ascii="Times New Roman" w:hAnsi="Times New Roman"/>
          <w:i/>
          <w:iCs/>
          <w:sz w:val="24"/>
          <w:szCs w:val="24"/>
          <w:lang w:val="en-GB"/>
        </w:rPr>
        <w:t>Cyprinus</w:t>
      </w:r>
      <w:r w:rsidRPr="00A8783E">
        <w:rPr>
          <w:rFonts w:ascii="Times New Roman" w:hAnsi="Times New Roman"/>
          <w:i/>
          <w:iCs/>
          <w:sz w:val="24"/>
          <w:szCs w:val="24"/>
        </w:rPr>
        <w:t xml:space="preserve"> </w:t>
      </w:r>
      <w:r w:rsidRPr="00A8783E">
        <w:rPr>
          <w:rFonts w:ascii="Times New Roman" w:hAnsi="Times New Roman"/>
          <w:i/>
          <w:iCs/>
          <w:sz w:val="24"/>
          <w:szCs w:val="24"/>
          <w:lang w:val="en-GB"/>
        </w:rPr>
        <w:t>carpio</w:t>
      </w:r>
      <w:r w:rsidRPr="00A8783E">
        <w:rPr>
          <w:rFonts w:ascii="Times New Roman" w:hAnsi="Times New Roman"/>
          <w:sz w:val="24"/>
          <w:szCs w:val="24"/>
        </w:rPr>
        <w:t>,</w:t>
      </w:r>
      <w:r w:rsidRPr="00A8783E">
        <w:rPr>
          <w:rFonts w:ascii="Times New Roman" w:hAnsi="Times New Roman"/>
          <w:i/>
          <w:iCs/>
          <w:sz w:val="24"/>
          <w:szCs w:val="24"/>
        </w:rPr>
        <w:t xml:space="preserve"> </w:t>
      </w:r>
      <w:r w:rsidRPr="00A8783E">
        <w:rPr>
          <w:rFonts w:ascii="Times New Roman" w:hAnsi="Times New Roman"/>
          <w:i/>
          <w:iCs/>
          <w:sz w:val="24"/>
          <w:szCs w:val="24"/>
          <w:lang w:val="en-GB"/>
        </w:rPr>
        <w:t>Tinca</w:t>
      </w:r>
      <w:r w:rsidRPr="00A8783E">
        <w:rPr>
          <w:rFonts w:ascii="Times New Roman" w:hAnsi="Times New Roman"/>
          <w:i/>
          <w:iCs/>
          <w:sz w:val="24"/>
          <w:szCs w:val="24"/>
        </w:rPr>
        <w:t xml:space="preserve"> </w:t>
      </w:r>
      <w:r w:rsidRPr="00A8783E">
        <w:rPr>
          <w:rFonts w:ascii="Times New Roman" w:hAnsi="Times New Roman"/>
          <w:i/>
          <w:iCs/>
          <w:sz w:val="24"/>
          <w:szCs w:val="24"/>
          <w:lang w:val="en-GB"/>
        </w:rPr>
        <w:t>tinca</w:t>
      </w:r>
      <w:r w:rsidRPr="00A8783E">
        <w:rPr>
          <w:rFonts w:ascii="Times New Roman" w:hAnsi="Times New Roman"/>
          <w:i/>
          <w:iCs/>
          <w:sz w:val="24"/>
          <w:szCs w:val="24"/>
        </w:rPr>
        <w:t xml:space="preserve">, </w:t>
      </w:r>
      <w:r w:rsidRPr="00A8783E">
        <w:rPr>
          <w:rFonts w:ascii="Times New Roman" w:hAnsi="Times New Roman"/>
          <w:i/>
          <w:iCs/>
          <w:sz w:val="24"/>
          <w:szCs w:val="24"/>
          <w:lang w:val="en-GB"/>
        </w:rPr>
        <w:t>Rutulus</w:t>
      </w:r>
      <w:r w:rsidRPr="00A8783E">
        <w:rPr>
          <w:rFonts w:ascii="Times New Roman" w:hAnsi="Times New Roman"/>
          <w:i/>
          <w:iCs/>
          <w:sz w:val="24"/>
          <w:szCs w:val="24"/>
        </w:rPr>
        <w:t xml:space="preserve"> </w:t>
      </w:r>
      <w:r w:rsidRPr="00A8783E">
        <w:rPr>
          <w:rFonts w:ascii="Times New Roman" w:hAnsi="Times New Roman"/>
          <w:i/>
          <w:iCs/>
          <w:sz w:val="24"/>
          <w:szCs w:val="24"/>
          <w:lang w:val="en-GB"/>
        </w:rPr>
        <w:t>rutulus</w:t>
      </w:r>
      <w:r w:rsidRPr="00A8783E">
        <w:rPr>
          <w:rFonts w:ascii="Times New Roman" w:hAnsi="Times New Roman"/>
          <w:i/>
          <w:iCs/>
          <w:sz w:val="24"/>
          <w:szCs w:val="24"/>
        </w:rPr>
        <w:t xml:space="preserve"> </w:t>
      </w:r>
      <w:r w:rsidRPr="00A8783E">
        <w:rPr>
          <w:rFonts w:ascii="Times New Roman" w:hAnsi="Times New Roman"/>
          <w:sz w:val="24"/>
          <w:szCs w:val="24"/>
        </w:rPr>
        <w:t xml:space="preserve">и др., която лови поединично или в групи. Зависим е от големи влажни зони, богати на риба.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Рядък и малоброен гнездящ вид. Единични двойки гнездят непериодично в езерото Сребърна (2018 г.) и в блато Песчина на о. Персин (2016). Неразмножаващи се индивиди и ята се задържат през целия гнездови сезон в Бургаските влажни зони и някои други водоеми (Янков отг. ред., 2007). В миналото розовият пеликан е гнездял в Мандренското езеро (до около 1958 г.) и Стралджанското блато (до към 1920 г.).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Природозащитният статус на розовият пеликан според </w:t>
      </w:r>
      <w:r w:rsidRPr="00A8783E">
        <w:rPr>
          <w:rFonts w:ascii="Times New Roman" w:hAnsi="Times New Roman"/>
          <w:sz w:val="24"/>
          <w:szCs w:val="24"/>
          <w:lang w:val="en-GB"/>
        </w:rPr>
        <w:t>IUCN</w:t>
      </w:r>
      <w:r w:rsidRPr="00A8783E">
        <w:rPr>
          <w:rFonts w:ascii="Times New Roman" w:hAnsi="Times New Roman"/>
          <w:sz w:val="24"/>
          <w:szCs w:val="24"/>
        </w:rPr>
        <w:t xml:space="preserve"> е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rPr>
        <w:t xml:space="preserve"> </w:t>
      </w:r>
      <w:r w:rsidRPr="00A8783E">
        <w:rPr>
          <w:rFonts w:ascii="Times New Roman" w:hAnsi="Times New Roman"/>
          <w:sz w:val="24"/>
          <w:szCs w:val="24"/>
          <w:lang w:val="en-GB"/>
        </w:rPr>
        <w:t>Concern</w:t>
      </w:r>
      <w:r w:rsidRPr="00A8783E">
        <w:rPr>
          <w:rFonts w:ascii="Times New Roman" w:hAnsi="Times New Roman"/>
          <w:sz w:val="24"/>
          <w:szCs w:val="24"/>
        </w:rPr>
        <w:t xml:space="preserve">). Включен в Червената книга на Р България в категория „Изчезнал“. Включен в SPEC 3. Включен е в Приложение 1 на Директивата за птиците, както и в Приложения 2 и 3 на ЗБР.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2013 – 2018 г.) националната гнездяща популация на вида се оценя на 0 двойки.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Зимуващата популация е оценена на 1 – 20 индивида. Краткосрочната тенденция на популацията (за периода 2000 – 2018 г.) е стабилна, а дългосрочната (за периода 1980 – 2018 г.) - неизвестна.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Мигриращата национална популация е оценена на 20 000 – 51 000 индивида.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 мигриращата и зимуващата популация са посочени следните заплахи и влияния: F05, J02, D02, C03,</w:t>
      </w:r>
      <w:r w:rsidRPr="00A8783E">
        <w:t xml:space="preserve"> </w:t>
      </w:r>
      <w:r w:rsidRPr="00A8783E">
        <w:rPr>
          <w:rFonts w:ascii="Times New Roman" w:hAnsi="Times New Roman"/>
          <w:sz w:val="24"/>
          <w:szCs w:val="24"/>
        </w:rPr>
        <w:t>K04, G01 и</w:t>
      </w:r>
      <w:r w:rsidRPr="00A8783E">
        <w:t xml:space="preserve"> </w:t>
      </w:r>
      <w:r w:rsidRPr="00A8783E">
        <w:rPr>
          <w:rFonts w:ascii="Times New Roman" w:hAnsi="Times New Roman"/>
          <w:sz w:val="24"/>
          <w:szCs w:val="24"/>
        </w:rPr>
        <w:t>G14.</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lastRenderedPageBreak/>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СФ на зоната видът е преминаващ и гнездящ.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500 индивида</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0,98-2,5 %</w:t>
      </w:r>
      <w:r w:rsidRPr="00A8783E">
        <w:rPr>
          <w:rFonts w:ascii="Times New Roman" w:hAnsi="Times New Roman"/>
          <w:sz w:val="24"/>
          <w:szCs w:val="24"/>
          <w:lang w:eastAsia="bg-BG"/>
        </w:rPr>
        <w:t xml:space="preserve"> от националната популация (оценка „</w:t>
      </w:r>
      <w:r w:rsidRPr="00A8783E">
        <w:rPr>
          <w:rFonts w:ascii="Times New Roman" w:hAnsi="Times New Roman"/>
          <w:color w:val="000000"/>
          <w:sz w:val="24"/>
          <w:szCs w:val="24"/>
          <w:lang w:val="en-US" w:eastAsia="bg-BG"/>
        </w:rPr>
        <w:t>A</w:t>
      </w:r>
      <w:r w:rsidRPr="00A8783E">
        <w:rPr>
          <w:rFonts w:ascii="Times New Roman" w:hAnsi="Times New Roman"/>
          <w:sz w:val="24"/>
          <w:szCs w:val="24"/>
          <w:lang w:eastAsia="bg-BG"/>
        </w:rPr>
        <w:t>“). Опазването на вида е отлично (оценка „</w:t>
      </w:r>
      <w:r w:rsidRPr="00A8783E">
        <w:rPr>
          <w:rFonts w:ascii="Times New Roman" w:hAnsi="Times New Roman"/>
          <w:sz w:val="24"/>
          <w:szCs w:val="24"/>
          <w:lang w:val="en-US" w:eastAsia="bg-BG"/>
        </w:rPr>
        <w:t>A</w:t>
      </w:r>
      <w:r w:rsidRPr="00A8783E">
        <w:rPr>
          <w:rFonts w:ascii="Times New Roman" w:hAnsi="Times New Roman"/>
          <w:sz w:val="24"/>
          <w:szCs w:val="24"/>
          <w:lang w:eastAsia="bg-BG"/>
        </w:rPr>
        <w:t xml:space="preserve">“), популацията не е изолирана, но на границите на ареала на разпространение, (оценка „В“). Общата оценка на стойността на зоната за съхранение на вида е „А“ – отлична стойност.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rPr>
        <w:t>Гнездящата популация</w:t>
      </w:r>
      <w:r w:rsidRPr="00A8783E">
        <w:rPr>
          <w:rFonts w:ascii="Times New Roman" w:hAnsi="Times New Roman"/>
          <w:sz w:val="24"/>
          <w:szCs w:val="24"/>
        </w:rPr>
        <w:t xml:space="preserve"> се оценява на </w:t>
      </w:r>
      <w:r w:rsidRPr="00A8783E">
        <w:rPr>
          <w:rFonts w:ascii="Times New Roman" w:hAnsi="Times New Roman"/>
          <w:b/>
          <w:bCs/>
          <w:sz w:val="24"/>
          <w:szCs w:val="24"/>
        </w:rPr>
        <w:t>0</w:t>
      </w:r>
      <w:r w:rsidRPr="00A8783E">
        <w:rPr>
          <w:rFonts w:ascii="Times New Roman" w:hAnsi="Times New Roman"/>
          <w:sz w:val="24"/>
          <w:szCs w:val="24"/>
        </w:rPr>
        <w:t>-</w:t>
      </w:r>
      <w:r w:rsidRPr="00A8783E">
        <w:rPr>
          <w:rFonts w:ascii="Times New Roman" w:hAnsi="Times New Roman"/>
          <w:b/>
          <w:bCs/>
          <w:sz w:val="24"/>
          <w:szCs w:val="24"/>
        </w:rPr>
        <w:t>2 двойки</w:t>
      </w:r>
      <w:r w:rsidRPr="00A8783E">
        <w:rPr>
          <w:rFonts w:ascii="Times New Roman" w:hAnsi="Times New Roman"/>
          <w:sz w:val="24"/>
          <w:szCs w:val="24"/>
        </w:rPr>
        <w:t xml:space="preserve">, което представлява </w:t>
      </w:r>
      <w:r w:rsidRPr="00A8783E">
        <w:rPr>
          <w:rFonts w:ascii="Times New Roman" w:hAnsi="Times New Roman"/>
          <w:b/>
          <w:bCs/>
          <w:sz w:val="24"/>
          <w:szCs w:val="24"/>
        </w:rPr>
        <w:t xml:space="preserve">4-10 % </w:t>
      </w:r>
      <w:r w:rsidRPr="00A8783E">
        <w:rPr>
          <w:rFonts w:ascii="Times New Roman" w:hAnsi="Times New Roman"/>
          <w:sz w:val="24"/>
          <w:szCs w:val="24"/>
        </w:rPr>
        <w:t>от националната популация (оценка „А“). Опазването на вида е отлично (оценка „А“), популацията не е изолирана, но на границите на ареала на разпространение (оценка „В“).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4. Анализ на наличната информация</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Гнездяща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w:t>
      </w:r>
      <w:r w:rsidRPr="00A8783E">
        <w:rPr>
          <w:rFonts w:ascii="Times New Roman" w:hAnsi="Times New Roman"/>
          <w:sz w:val="24"/>
          <w:szCs w:val="24"/>
          <w:lang w:val="en-US"/>
        </w:rPr>
        <w:t>Kamburova</w:t>
      </w:r>
      <w:r w:rsidRPr="00A8783E">
        <w:rPr>
          <w:rFonts w:ascii="Times New Roman" w:hAnsi="Times New Roman"/>
          <w:sz w:val="24"/>
          <w:szCs w:val="24"/>
        </w:rPr>
        <w:t xml:space="preserve"> (2012) за периода 2001-2003 г. видът не е гнездил в резерват „Сребърна“. Резултатите от мониторинг на водолюбиви птици в защитената зона за периода 2010-2012 г. показват 2 гнездящи двойки (Матеева и др., 2013). Видът е нерегулярно гнездящ в ез. Сребърна. През 2012 г. са отчетени 2 гнездящи двойки в колония от къдроглави пеликани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2019). Според плана за управление на ПР „Сребърна“ (2015) гнездовата популация на розовия пеликан се оценява на 10 двойки. Последното успешно гнездене е на пет двойки в езерото Сребърна през 2018 г. Данните от </w:t>
      </w:r>
      <w:r w:rsidRPr="00A8783E">
        <w:rPr>
          <w:rFonts w:ascii="Times New Roman" w:hAnsi="Times New Roman"/>
          <w:sz w:val="24"/>
          <w:szCs w:val="24"/>
          <w:lang w:val="en-US"/>
        </w:rPr>
        <w:t>eBird</w:t>
      </w:r>
      <w:r w:rsidRPr="00A8783E">
        <w:rPr>
          <w:rFonts w:ascii="Times New Roman" w:hAnsi="Times New Roman"/>
          <w:sz w:val="24"/>
          <w:szCs w:val="24"/>
        </w:rPr>
        <w:t xml:space="preserve"> показват отчетени 60 инд. през месец май 2020 г. и 100 инд.  на 01.06.2019 г. По време на извършения мониторинг в зоната през гнездовия период на 2021 г. са наблюдавани 30 индивида. При спускане с лодка по р. Дунав през юли 2021 г. са отчетени 51 инд. на о. Ветрен.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резултат на проучването на есенната и пролетната миграция в рамките на проекта „Минимизиране на рисковете за дивите птици” е потвърдено, че както през есента, така и през пролетта розовият пеликан мигрира основно през Източна България, като малки ята са установявани в западната част на Дунавската равнина (Галиче) и в Лудогорието (Острово) (Матеева и Янков, 2013). 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На 21.08.2020 г. в ЗМ „Пеликаните“ са наблюдавани 150 инд. (</w:t>
      </w:r>
      <w:r w:rsidRPr="00A8783E">
        <w:rPr>
          <w:rFonts w:ascii="Times New Roman" w:hAnsi="Times New Roman"/>
          <w:sz w:val="24"/>
          <w:szCs w:val="24"/>
          <w:lang w:val="en-US"/>
        </w:rPr>
        <w:t>ebird</w:t>
      </w:r>
      <w:r w:rsidRPr="00A8783E">
        <w:rPr>
          <w:rFonts w:ascii="Times New Roman" w:hAnsi="Times New Roman"/>
          <w:sz w:val="24"/>
          <w:szCs w:val="24"/>
        </w:rPr>
        <w:t>.</w:t>
      </w:r>
      <w:r w:rsidRPr="00A8783E">
        <w:rPr>
          <w:rFonts w:ascii="Times New Roman" w:hAnsi="Times New Roman"/>
          <w:sz w:val="24"/>
          <w:szCs w:val="24"/>
          <w:lang w:val="en-US"/>
        </w:rPr>
        <w:t>org</w:t>
      </w:r>
      <w:r w:rsidRPr="00A8783E">
        <w:rPr>
          <w:rFonts w:ascii="Times New Roman" w:hAnsi="Times New Roman"/>
          <w:sz w:val="24"/>
          <w:szCs w:val="24"/>
        </w:rPr>
        <w:t xml:space="preserve">, </w:t>
      </w:r>
      <w:r w:rsidRPr="00A8783E">
        <w:rPr>
          <w:rFonts w:ascii="Times New Roman" w:hAnsi="Times New Roman"/>
          <w:sz w:val="24"/>
          <w:szCs w:val="24"/>
          <w:lang w:val="en-US"/>
        </w:rPr>
        <w:t>A</w:t>
      </w:r>
      <w:r w:rsidRPr="00A8783E">
        <w:rPr>
          <w:rFonts w:ascii="Times New Roman" w:hAnsi="Times New Roman"/>
          <w:sz w:val="24"/>
          <w:szCs w:val="24"/>
        </w:rPr>
        <w:t xml:space="preserve">. </w:t>
      </w:r>
      <w:r w:rsidRPr="00A8783E">
        <w:rPr>
          <w:rFonts w:ascii="Times New Roman" w:hAnsi="Times New Roman"/>
          <w:sz w:val="24"/>
          <w:szCs w:val="24"/>
          <w:lang w:val="en-US"/>
        </w:rPr>
        <w:t>Kaharkov</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Основни заплахи са унищожаване на яйцата от наземни хищници и безпокойство през периода на размножаване.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2"/>
        <w:gridCol w:w="1164"/>
        <w:gridCol w:w="1417"/>
        <w:gridCol w:w="2835"/>
        <w:gridCol w:w="2263"/>
      </w:tblGrid>
      <w:tr w:rsidR="00A8783E" w:rsidRPr="00A8783E" w:rsidTr="005B5318">
        <w:trPr>
          <w:tblHeader/>
          <w:jc w:val="center"/>
        </w:trPr>
        <w:tc>
          <w:tcPr>
            <w:tcW w:w="1672" w:type="dxa"/>
            <w:shd w:val="clear" w:color="auto" w:fill="DBE5F1"/>
            <w:vAlign w:val="center"/>
          </w:tcPr>
          <w:p w:rsidR="00A8783E" w:rsidRPr="00A8783E" w:rsidRDefault="00A8783E" w:rsidP="00A8783E">
            <w:pPr>
              <w:spacing w:after="160" w:line="259" w:lineRule="auto"/>
              <w:jc w:val="center"/>
              <w:rPr>
                <w:rFonts w:ascii="Times New Roman" w:hAnsi="Times New Roman"/>
                <w:b/>
                <w:bCs/>
              </w:rPr>
            </w:pPr>
            <w:r w:rsidRPr="00A8783E">
              <w:rPr>
                <w:rFonts w:ascii="Times New Roman" w:hAnsi="Times New Roman"/>
                <w:b/>
                <w:bCs/>
              </w:rPr>
              <w:t>Параметър</w:t>
            </w:r>
          </w:p>
        </w:tc>
        <w:tc>
          <w:tcPr>
            <w:tcW w:w="1164" w:type="dxa"/>
            <w:shd w:val="clear" w:color="auto" w:fill="DBE5F1"/>
            <w:vAlign w:val="center"/>
          </w:tcPr>
          <w:p w:rsidR="00A8783E" w:rsidRPr="00A8783E" w:rsidRDefault="00A8783E" w:rsidP="00A8783E">
            <w:pPr>
              <w:spacing w:after="160" w:line="259" w:lineRule="auto"/>
              <w:jc w:val="center"/>
              <w:rPr>
                <w:rFonts w:ascii="Times New Roman" w:hAnsi="Times New Roman"/>
                <w:b/>
                <w:bCs/>
              </w:rPr>
            </w:pPr>
            <w:r w:rsidRPr="00A8783E">
              <w:rPr>
                <w:rFonts w:ascii="Times New Roman" w:hAnsi="Times New Roman"/>
                <w:b/>
                <w:bCs/>
              </w:rPr>
              <w:t>Мерна единица</w:t>
            </w:r>
          </w:p>
        </w:tc>
        <w:tc>
          <w:tcPr>
            <w:tcW w:w="1417" w:type="dxa"/>
            <w:shd w:val="clear" w:color="auto" w:fill="DBE5F1"/>
            <w:vAlign w:val="center"/>
          </w:tcPr>
          <w:p w:rsidR="00A8783E" w:rsidRPr="00A8783E" w:rsidRDefault="00A8783E" w:rsidP="00A8783E">
            <w:pPr>
              <w:spacing w:after="160" w:line="259" w:lineRule="auto"/>
              <w:jc w:val="center"/>
              <w:rPr>
                <w:rFonts w:ascii="Times New Roman" w:hAnsi="Times New Roman"/>
                <w:b/>
                <w:bCs/>
              </w:rPr>
            </w:pPr>
            <w:r w:rsidRPr="00A8783E">
              <w:rPr>
                <w:rFonts w:ascii="Times New Roman" w:hAnsi="Times New Roman"/>
                <w:b/>
                <w:bCs/>
              </w:rPr>
              <w:t>Целева стойност</w:t>
            </w:r>
          </w:p>
        </w:tc>
        <w:tc>
          <w:tcPr>
            <w:tcW w:w="2835" w:type="dxa"/>
            <w:shd w:val="clear" w:color="auto" w:fill="DBE5F1"/>
            <w:vAlign w:val="center"/>
          </w:tcPr>
          <w:p w:rsidR="00A8783E" w:rsidRPr="00A8783E" w:rsidRDefault="00A8783E" w:rsidP="00A8783E">
            <w:pPr>
              <w:spacing w:after="160" w:line="259" w:lineRule="auto"/>
              <w:jc w:val="center"/>
              <w:rPr>
                <w:rFonts w:ascii="Times New Roman" w:hAnsi="Times New Roman"/>
                <w:b/>
                <w:bCs/>
              </w:rPr>
            </w:pPr>
            <w:r w:rsidRPr="00A8783E">
              <w:rPr>
                <w:rFonts w:ascii="Times New Roman" w:hAnsi="Times New Roman"/>
                <w:b/>
                <w:bCs/>
              </w:rPr>
              <w:t>Допълнителна информация</w:t>
            </w:r>
          </w:p>
        </w:tc>
        <w:tc>
          <w:tcPr>
            <w:tcW w:w="2263" w:type="dxa"/>
            <w:shd w:val="clear" w:color="auto" w:fill="DBE5F1"/>
            <w:vAlign w:val="center"/>
          </w:tcPr>
          <w:p w:rsidR="00A8783E" w:rsidRPr="00A8783E" w:rsidRDefault="00A8783E" w:rsidP="00A8783E">
            <w:pPr>
              <w:spacing w:after="160" w:line="259" w:lineRule="auto"/>
              <w:jc w:val="center"/>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jc w:val="center"/>
        </w:trPr>
        <w:tc>
          <w:tcPr>
            <w:tcW w:w="1672" w:type="dxa"/>
          </w:tcPr>
          <w:p w:rsidR="00A8783E" w:rsidRPr="00A8783E" w:rsidRDefault="00A8783E" w:rsidP="00A8783E">
            <w:pPr>
              <w:spacing w:after="160" w:line="259" w:lineRule="auto"/>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гнездовата популация</w:t>
            </w:r>
          </w:p>
        </w:tc>
        <w:tc>
          <w:tcPr>
            <w:tcW w:w="1164" w:type="dxa"/>
          </w:tcPr>
          <w:p w:rsidR="00A8783E" w:rsidRPr="00A8783E" w:rsidRDefault="00A8783E" w:rsidP="00A8783E">
            <w:pPr>
              <w:spacing w:after="160" w:line="259" w:lineRule="auto"/>
              <w:rPr>
                <w:rFonts w:ascii="Times New Roman" w:hAnsi="Times New Roman"/>
              </w:rPr>
            </w:pPr>
            <w:r w:rsidRPr="00A8783E">
              <w:rPr>
                <w:rFonts w:ascii="Times New Roman" w:hAnsi="Times New Roman"/>
              </w:rPr>
              <w:t>Брой двойки</w:t>
            </w:r>
          </w:p>
        </w:tc>
        <w:tc>
          <w:tcPr>
            <w:tcW w:w="1417" w:type="dxa"/>
          </w:tcPr>
          <w:p w:rsidR="00A8783E" w:rsidRPr="00A8783E" w:rsidRDefault="00A8783E" w:rsidP="00A8783E">
            <w:pPr>
              <w:spacing w:after="160" w:line="259" w:lineRule="auto"/>
              <w:rPr>
                <w:rFonts w:ascii="Times New Roman" w:hAnsi="Times New Roman"/>
              </w:rPr>
            </w:pPr>
            <w:r w:rsidRPr="00A8783E">
              <w:rPr>
                <w:rFonts w:ascii="Times New Roman" w:hAnsi="Times New Roman"/>
              </w:rPr>
              <w:t>Най-малко 2 двойки</w:t>
            </w:r>
          </w:p>
        </w:tc>
        <w:tc>
          <w:tcPr>
            <w:tcW w:w="2835" w:type="dxa"/>
          </w:tcPr>
          <w:p w:rsidR="00A8783E" w:rsidRPr="00A8783E" w:rsidRDefault="00A8783E" w:rsidP="00A8783E">
            <w:pPr>
              <w:spacing w:after="160" w:line="259" w:lineRule="auto"/>
              <w:jc w:val="both"/>
              <w:rPr>
                <w:rFonts w:ascii="Times New Roman" w:hAnsi="Times New Roman"/>
              </w:rPr>
            </w:pPr>
            <w:r w:rsidRPr="00A8783E">
              <w:rPr>
                <w:rFonts w:ascii="Times New Roman" w:hAnsi="Times New Roman"/>
              </w:rPr>
              <w:t xml:space="preserve">В настоящия СФ не е посочена минимална стойност на гнездящата популация, като максимална стойност са </w:t>
            </w:r>
            <w:r w:rsidRPr="00A8783E">
              <w:rPr>
                <w:rFonts w:ascii="Times New Roman" w:hAnsi="Times New Roman"/>
              </w:rPr>
              <w:lastRenderedPageBreak/>
              <w:t>посочени 2 двойки. През 2018 г. в ез. Сребърна са гнездили 5 двойки.</w:t>
            </w:r>
          </w:p>
        </w:tc>
        <w:tc>
          <w:tcPr>
            <w:tcW w:w="2263" w:type="dxa"/>
          </w:tcPr>
          <w:p w:rsidR="00A8783E" w:rsidRPr="00A8783E" w:rsidRDefault="00A8783E" w:rsidP="00A8783E">
            <w:pPr>
              <w:spacing w:after="160" w:line="259" w:lineRule="auto"/>
              <w:rPr>
                <w:rFonts w:ascii="Times New Roman" w:hAnsi="Times New Roman"/>
              </w:rPr>
            </w:pPr>
            <w:r w:rsidRPr="00A8783E">
              <w:rPr>
                <w:rFonts w:ascii="Times New Roman" w:hAnsi="Times New Roman"/>
              </w:rPr>
              <w:lastRenderedPageBreak/>
              <w:t>Поддържане на популацията на вида в зоната в размер от най-малко 2 гнездящи двойки.</w:t>
            </w:r>
          </w:p>
        </w:tc>
      </w:tr>
      <w:tr w:rsidR="00A8783E" w:rsidRPr="00A8783E" w:rsidTr="005B5318">
        <w:trPr>
          <w:jc w:val="center"/>
        </w:trPr>
        <w:tc>
          <w:tcPr>
            <w:tcW w:w="1672" w:type="dxa"/>
          </w:tcPr>
          <w:p w:rsidR="00A8783E" w:rsidRPr="00A8783E" w:rsidRDefault="00A8783E" w:rsidP="00A8783E">
            <w:pPr>
              <w:spacing w:after="160" w:line="259" w:lineRule="auto"/>
              <w:rPr>
                <w:rFonts w:ascii="Times New Roman" w:hAnsi="Times New Roman"/>
                <w:b/>
                <w:bCs/>
              </w:rPr>
            </w:pPr>
            <w:r w:rsidRPr="00A8783E">
              <w:rPr>
                <w:rFonts w:ascii="Times New Roman" w:hAnsi="Times New Roman"/>
                <w:b/>
                <w:bCs/>
              </w:rPr>
              <w:lastRenderedPageBreak/>
              <w:t xml:space="preserve">Популация: </w:t>
            </w:r>
            <w:r w:rsidRPr="00A8783E">
              <w:rPr>
                <w:rFonts w:ascii="Times New Roman" w:hAnsi="Times New Roman"/>
              </w:rPr>
              <w:t>Размер на мигриращата популация</w:t>
            </w:r>
          </w:p>
        </w:tc>
        <w:tc>
          <w:tcPr>
            <w:tcW w:w="1164" w:type="dxa"/>
          </w:tcPr>
          <w:p w:rsidR="00A8783E" w:rsidRPr="00A8783E" w:rsidRDefault="00A8783E" w:rsidP="00A8783E">
            <w:pPr>
              <w:spacing w:after="160" w:line="259" w:lineRule="auto"/>
              <w:rPr>
                <w:rFonts w:ascii="Times New Roman" w:hAnsi="Times New Roman"/>
              </w:rPr>
            </w:pPr>
            <w:r w:rsidRPr="00A8783E">
              <w:rPr>
                <w:rFonts w:ascii="Times New Roman" w:hAnsi="Times New Roman"/>
              </w:rPr>
              <w:t>Брой индивиди</w:t>
            </w:r>
          </w:p>
        </w:tc>
        <w:tc>
          <w:tcPr>
            <w:tcW w:w="1417" w:type="dxa"/>
          </w:tcPr>
          <w:p w:rsidR="00A8783E" w:rsidRPr="00A8783E" w:rsidRDefault="00A8783E" w:rsidP="00A8783E">
            <w:pPr>
              <w:spacing w:after="160" w:line="259" w:lineRule="auto"/>
              <w:rPr>
                <w:rFonts w:ascii="Times New Roman" w:hAnsi="Times New Roman"/>
              </w:rPr>
            </w:pPr>
            <w:r w:rsidRPr="00A8783E">
              <w:rPr>
                <w:rFonts w:ascii="Times New Roman" w:hAnsi="Times New Roman"/>
              </w:rPr>
              <w:t>500 инд.</w:t>
            </w:r>
          </w:p>
        </w:tc>
        <w:tc>
          <w:tcPr>
            <w:tcW w:w="2835" w:type="dxa"/>
          </w:tcPr>
          <w:p w:rsidR="00A8783E" w:rsidRPr="00A8783E" w:rsidRDefault="00A8783E" w:rsidP="00A8783E">
            <w:pPr>
              <w:spacing w:after="160" w:line="259" w:lineRule="auto"/>
              <w:rPr>
                <w:rFonts w:ascii="Times New Roman" w:hAnsi="Times New Roman"/>
              </w:rPr>
            </w:pPr>
            <w:r w:rsidRPr="00A8783E">
              <w:rPr>
                <w:rFonts w:ascii="Times New Roman" w:hAnsi="Times New Roman"/>
              </w:rPr>
              <w:t>В СФ за концентрацията на вида по време на миграция в зоната са посочени 500 индивида. Липсват публикувани данни за концентрацията на вида в зоната по време на миграция.</w:t>
            </w:r>
          </w:p>
        </w:tc>
        <w:tc>
          <w:tcPr>
            <w:tcW w:w="2263" w:type="dxa"/>
          </w:tcPr>
          <w:p w:rsidR="00A8783E" w:rsidRPr="00A8783E" w:rsidRDefault="00A8783E" w:rsidP="00A8783E">
            <w:pPr>
              <w:spacing w:after="160" w:line="259" w:lineRule="auto"/>
              <w:rPr>
                <w:rFonts w:ascii="Times New Roman" w:hAnsi="Times New Roman"/>
              </w:rPr>
            </w:pPr>
            <w:r w:rsidRPr="00A8783E">
              <w:rPr>
                <w:rFonts w:ascii="Times New Roman" w:hAnsi="Times New Roman"/>
              </w:rPr>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jc w:val="center"/>
        </w:trPr>
        <w:tc>
          <w:tcPr>
            <w:tcW w:w="1672" w:type="dxa"/>
          </w:tcPr>
          <w:p w:rsidR="00A8783E" w:rsidRPr="00A8783E" w:rsidRDefault="00A8783E" w:rsidP="00A8783E">
            <w:pPr>
              <w:spacing w:after="160" w:line="259" w:lineRule="auto"/>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гнездови и хранителни местообитания на вида</w:t>
            </w:r>
            <w:r w:rsidRPr="00A8783E">
              <w:rPr>
                <w:rFonts w:ascii="Times New Roman" w:hAnsi="Times New Roman"/>
                <w:b/>
                <w:bCs/>
              </w:rPr>
              <w:t xml:space="preserve"> </w:t>
            </w:r>
          </w:p>
        </w:tc>
        <w:tc>
          <w:tcPr>
            <w:tcW w:w="1164" w:type="dxa"/>
          </w:tcPr>
          <w:p w:rsidR="00A8783E" w:rsidRPr="00A8783E" w:rsidRDefault="00A8783E" w:rsidP="00A8783E">
            <w:pPr>
              <w:spacing w:after="160" w:line="259" w:lineRule="auto"/>
              <w:rPr>
                <w:rFonts w:ascii="Times New Roman" w:hAnsi="Times New Roman"/>
                <w:lang w:val="en-US"/>
              </w:rPr>
            </w:pPr>
            <w:r w:rsidRPr="00A8783E">
              <w:rPr>
                <w:rFonts w:ascii="Times New Roman" w:hAnsi="Times New Roman"/>
                <w:lang w:val="en-US"/>
              </w:rPr>
              <w:t>ha</w:t>
            </w:r>
          </w:p>
        </w:tc>
        <w:tc>
          <w:tcPr>
            <w:tcW w:w="1417" w:type="dxa"/>
          </w:tcPr>
          <w:p w:rsidR="00A8783E" w:rsidRPr="00A8783E" w:rsidRDefault="00A8783E" w:rsidP="00A8783E">
            <w:pPr>
              <w:spacing w:after="160" w:line="259" w:lineRule="auto"/>
              <w:rPr>
                <w:rFonts w:ascii="Times New Roman" w:hAnsi="Times New Roman"/>
              </w:rPr>
            </w:pPr>
            <w:r w:rsidRPr="00A8783E">
              <w:rPr>
                <w:rFonts w:ascii="Times New Roman" w:hAnsi="Times New Roman"/>
              </w:rPr>
              <w:t xml:space="preserve">Най-малко 840 </w:t>
            </w:r>
            <w:r w:rsidRPr="00A8783E">
              <w:rPr>
                <w:rFonts w:ascii="Times New Roman" w:hAnsi="Times New Roman"/>
                <w:lang w:val="en-GB"/>
              </w:rPr>
              <w:t>ha</w:t>
            </w:r>
          </w:p>
        </w:tc>
        <w:tc>
          <w:tcPr>
            <w:tcW w:w="2835" w:type="dxa"/>
          </w:tcPr>
          <w:p w:rsidR="00A8783E" w:rsidRPr="00A8783E" w:rsidRDefault="00A8783E" w:rsidP="00A8783E">
            <w:pPr>
              <w:spacing w:after="160" w:line="259" w:lineRule="auto"/>
              <w:rPr>
                <w:rFonts w:ascii="Times New Roman" w:hAnsi="Times New Roman"/>
              </w:rPr>
            </w:pPr>
            <w:r w:rsidRPr="00A8783E">
              <w:rPr>
                <w:rFonts w:ascii="Times New Roman" w:hAnsi="Times New Roman"/>
              </w:rPr>
              <w:t>Площта е изчислена на база данните от СФ като % на местообитание N07 - мочурища и блата и N06 - вътрешни водни тела (застояла вода, течаща вода).</w:t>
            </w:r>
          </w:p>
        </w:tc>
        <w:tc>
          <w:tcPr>
            <w:tcW w:w="2263" w:type="dxa"/>
          </w:tcPr>
          <w:p w:rsidR="00A8783E" w:rsidRPr="00A8783E" w:rsidRDefault="00A8783E" w:rsidP="00A8783E">
            <w:pPr>
              <w:spacing w:after="160" w:line="259" w:lineRule="auto"/>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най-малко 840 ha чрез поддържане на оптимално ниво на водата в езерото.</w:t>
            </w:r>
          </w:p>
        </w:tc>
      </w:tr>
      <w:tr w:rsidR="00A8783E" w:rsidRPr="00A8783E" w:rsidTr="005B5318">
        <w:trPr>
          <w:jc w:val="center"/>
        </w:trPr>
        <w:tc>
          <w:tcPr>
            <w:tcW w:w="1672" w:type="dxa"/>
          </w:tcPr>
          <w:p w:rsidR="00A8783E" w:rsidRPr="00A8783E" w:rsidRDefault="00A8783E" w:rsidP="00A8783E">
            <w:pPr>
              <w:spacing w:after="160" w:line="259"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Екологично състояние на водните тела с местообитания на вида, по биологичен елемент риби (JDS4-Fish)</w:t>
            </w:r>
          </w:p>
        </w:tc>
        <w:tc>
          <w:tcPr>
            <w:tcW w:w="1164" w:type="dxa"/>
          </w:tcPr>
          <w:p w:rsidR="00A8783E" w:rsidRPr="00A8783E" w:rsidRDefault="00A8783E" w:rsidP="00A8783E">
            <w:pPr>
              <w:spacing w:after="160" w:line="259" w:lineRule="auto"/>
              <w:jc w:val="both"/>
              <w:rPr>
                <w:rFonts w:ascii="Times New Roman" w:hAnsi="Times New Roman"/>
              </w:rPr>
            </w:pPr>
            <w:r w:rsidRPr="00A8783E">
              <w:rPr>
                <w:rFonts w:ascii="Times New Roman" w:hAnsi="Times New Roman"/>
              </w:rPr>
              <w:t>5 степенна скала</w:t>
            </w:r>
          </w:p>
        </w:tc>
        <w:tc>
          <w:tcPr>
            <w:tcW w:w="1417" w:type="dxa"/>
          </w:tcPr>
          <w:p w:rsidR="00A8783E" w:rsidRPr="00A8783E" w:rsidRDefault="00A8783E" w:rsidP="00A8783E">
            <w:pPr>
              <w:spacing w:after="160" w:line="259" w:lineRule="auto"/>
              <w:jc w:val="both"/>
              <w:rPr>
                <w:rFonts w:ascii="Times New Roman" w:hAnsi="Times New Roman"/>
              </w:rPr>
            </w:pPr>
            <w:r w:rsidRPr="00A8783E">
              <w:rPr>
                <w:rFonts w:ascii="Times New Roman" w:hAnsi="Times New Roman"/>
              </w:rPr>
              <w:t>2-Добро или 1-Отлично</w:t>
            </w:r>
          </w:p>
        </w:tc>
        <w:tc>
          <w:tcPr>
            <w:tcW w:w="2835" w:type="dxa"/>
          </w:tcPr>
          <w:tbl>
            <w:tblPr>
              <w:tblW w:w="3304" w:type="dxa"/>
              <w:jc w:val="center"/>
              <w:tblLayout w:type="fixed"/>
              <w:tblCellMar>
                <w:left w:w="70" w:type="dxa"/>
                <w:right w:w="70" w:type="dxa"/>
              </w:tblCellMar>
              <w:tblLook w:val="00A0" w:firstRow="1" w:lastRow="0" w:firstColumn="1" w:lastColumn="0" w:noHBand="0" w:noVBand="0"/>
            </w:tblPr>
            <w:tblGrid>
              <w:gridCol w:w="3304"/>
            </w:tblGrid>
            <w:tr w:rsidR="00A8783E" w:rsidRPr="00A8783E" w:rsidTr="005B5318">
              <w:trPr>
                <w:trHeight w:val="353"/>
                <w:jc w:val="center"/>
              </w:trPr>
              <w:tc>
                <w:tcPr>
                  <w:tcW w:w="3304"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301"/>
                    <w:jc w:val="both"/>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353"/>
                <w:jc w:val="center"/>
              </w:trPr>
              <w:tc>
                <w:tcPr>
                  <w:tcW w:w="3304"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301"/>
                    <w:jc w:val="both"/>
                    <w:rPr>
                      <w:rFonts w:ascii="Times New Roman" w:hAnsi="Times New Roman"/>
                    </w:rPr>
                  </w:pPr>
                  <w:r w:rsidRPr="00A8783E">
                    <w:rPr>
                      <w:rFonts w:ascii="Times New Roman" w:hAnsi="Times New Roman"/>
                    </w:rPr>
                    <w:t>1-Отлично - High</w:t>
                  </w:r>
                </w:p>
              </w:tc>
            </w:tr>
            <w:tr w:rsidR="00A8783E" w:rsidRPr="00A8783E" w:rsidTr="005B5318">
              <w:trPr>
                <w:trHeight w:val="353"/>
                <w:jc w:val="center"/>
              </w:trPr>
              <w:tc>
                <w:tcPr>
                  <w:tcW w:w="330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301"/>
                    <w:jc w:val="both"/>
                    <w:rPr>
                      <w:rFonts w:ascii="Times New Roman" w:hAnsi="Times New Roman"/>
                    </w:rPr>
                  </w:pPr>
                  <w:r w:rsidRPr="00A8783E">
                    <w:rPr>
                      <w:rFonts w:ascii="Times New Roman" w:hAnsi="Times New Roman"/>
                    </w:rPr>
                    <w:t>2-Добро - Good</w:t>
                  </w:r>
                </w:p>
              </w:tc>
            </w:tr>
            <w:tr w:rsidR="00A8783E" w:rsidRPr="00A8783E" w:rsidTr="005B5318">
              <w:trPr>
                <w:trHeight w:val="353"/>
                <w:jc w:val="center"/>
              </w:trPr>
              <w:tc>
                <w:tcPr>
                  <w:tcW w:w="330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301"/>
                    <w:jc w:val="both"/>
                    <w:rPr>
                      <w:rFonts w:ascii="Times New Roman" w:hAnsi="Times New Roman"/>
                    </w:rPr>
                  </w:pPr>
                  <w:r w:rsidRPr="00A8783E">
                    <w:rPr>
                      <w:rFonts w:ascii="Times New Roman" w:hAnsi="Times New Roman"/>
                    </w:rPr>
                    <w:t>3-Умерено - Moderate</w:t>
                  </w:r>
                </w:p>
              </w:tc>
            </w:tr>
            <w:tr w:rsidR="00A8783E" w:rsidRPr="00A8783E" w:rsidTr="005B5318">
              <w:trPr>
                <w:trHeight w:val="353"/>
                <w:jc w:val="center"/>
              </w:trPr>
              <w:tc>
                <w:tcPr>
                  <w:tcW w:w="3304"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301"/>
                    <w:jc w:val="both"/>
                    <w:rPr>
                      <w:rFonts w:ascii="Times New Roman" w:hAnsi="Times New Roman"/>
                    </w:rPr>
                  </w:pPr>
                  <w:r w:rsidRPr="00A8783E">
                    <w:rPr>
                      <w:rFonts w:ascii="Times New Roman" w:hAnsi="Times New Roman"/>
                    </w:rPr>
                    <w:t>4-Лошо - Poor</w:t>
                  </w:r>
                </w:p>
              </w:tc>
            </w:tr>
            <w:tr w:rsidR="00A8783E" w:rsidRPr="00A8783E" w:rsidTr="005B5318">
              <w:trPr>
                <w:trHeight w:val="353"/>
                <w:jc w:val="center"/>
              </w:trPr>
              <w:tc>
                <w:tcPr>
                  <w:tcW w:w="3304"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301"/>
                    <w:jc w:val="both"/>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160" w:line="259" w:lineRule="auto"/>
              <w:jc w:val="both"/>
              <w:rPr>
                <w:rFonts w:ascii="Times New Roman" w:hAnsi="Times New Roman"/>
              </w:rPr>
            </w:pPr>
            <w:r w:rsidRPr="00A8783E">
              <w:rPr>
                <w:rFonts w:ascii="Times New Roman" w:hAnsi="Times New Roman"/>
              </w:rPr>
              <w:t>Екологичното състояние на водите на р. Дунав в пункт „Силистра“ е оценено на умерено (3) според доклада на JDS4 (2019-2020, табл. 5, стр. 51). Екологичното състояние на езерото Сребърна по БЕК Риби е оценено като „</w:t>
            </w:r>
            <w:r w:rsidRPr="00A8783E">
              <w:rPr>
                <w:rFonts w:ascii="Times New Roman" w:hAnsi="Times New Roman"/>
                <w:b/>
                <w:bCs/>
              </w:rPr>
              <w:t>Умерено</w:t>
            </w:r>
            <w:r w:rsidRPr="00A8783E">
              <w:rPr>
                <w:rFonts w:ascii="Times New Roman" w:hAnsi="Times New Roman"/>
              </w:rPr>
              <w:t xml:space="preserve">“. </w:t>
            </w:r>
          </w:p>
        </w:tc>
        <w:tc>
          <w:tcPr>
            <w:tcW w:w="2263" w:type="dxa"/>
          </w:tcPr>
          <w:p w:rsidR="00A8783E" w:rsidRPr="00A8783E" w:rsidRDefault="00A8783E" w:rsidP="00A8783E">
            <w:pPr>
              <w:spacing w:after="160" w:line="259"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60" w:line="259" w:lineRule="auto"/>
        <w:jc w:val="both"/>
        <w:rPr>
          <w:rFonts w:ascii="Times New Roman" w:hAnsi="Times New Roman"/>
          <w:b/>
          <w:bCs/>
          <w:sz w:val="24"/>
          <w:szCs w:val="24"/>
        </w:rPr>
      </w:pPr>
    </w:p>
    <w:p w:rsidR="00A8783E" w:rsidRPr="00A8783E" w:rsidRDefault="00A8783E" w:rsidP="00A8783E">
      <w:pPr>
        <w:spacing w:after="160" w:line="259" w:lineRule="auto"/>
        <w:jc w:val="both"/>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numPr>
          <w:ilvl w:val="0"/>
          <w:numId w:val="23"/>
        </w:numPr>
        <w:spacing w:after="160" w:line="259" w:lineRule="auto"/>
        <w:ind w:left="426"/>
        <w:jc w:val="both"/>
        <w:rPr>
          <w:rFonts w:ascii="Times New Roman" w:hAnsi="Times New Roman"/>
          <w:sz w:val="24"/>
          <w:szCs w:val="24"/>
        </w:rPr>
      </w:pPr>
      <w:r w:rsidRPr="00A8783E">
        <w:rPr>
          <w:rFonts w:ascii="Times New Roman" w:hAnsi="Times New Roman"/>
          <w:sz w:val="24"/>
          <w:szCs w:val="24"/>
        </w:rPr>
        <w:t>По отношение на оценката на концентриращата се популация и общата оценка –да се коригират от „А“ на „В“ (в зоната се опазват 2-15% от националната популация);</w:t>
      </w:r>
    </w:p>
    <w:p w:rsidR="00A8783E" w:rsidRPr="00A8783E" w:rsidRDefault="00A8783E" w:rsidP="00A8783E">
      <w:pPr>
        <w:numPr>
          <w:ilvl w:val="0"/>
          <w:numId w:val="23"/>
        </w:numPr>
        <w:spacing w:after="160" w:line="259" w:lineRule="auto"/>
        <w:ind w:left="426"/>
        <w:jc w:val="both"/>
        <w:rPr>
          <w:rFonts w:ascii="Times New Roman" w:hAnsi="Times New Roman"/>
          <w:sz w:val="24"/>
          <w:szCs w:val="24"/>
        </w:rPr>
      </w:pPr>
      <w:r w:rsidRPr="00A8783E">
        <w:rPr>
          <w:rFonts w:ascii="Times New Roman" w:hAnsi="Times New Roman"/>
          <w:sz w:val="24"/>
          <w:szCs w:val="24"/>
        </w:rPr>
        <w:lastRenderedPageBreak/>
        <w:t>Поради липсата на достатъчно данни за мигриращата популация в зоната промяна на качеството на данните от „G“ на „DD“;</w:t>
      </w:r>
    </w:p>
    <w:p w:rsidR="00A8783E" w:rsidRPr="00A8783E" w:rsidRDefault="00A8783E" w:rsidP="00A8783E">
      <w:pPr>
        <w:numPr>
          <w:ilvl w:val="0"/>
          <w:numId w:val="23"/>
        </w:numPr>
        <w:spacing w:after="160" w:line="259" w:lineRule="auto"/>
        <w:ind w:left="426"/>
        <w:jc w:val="both"/>
        <w:rPr>
          <w:rFonts w:ascii="Times New Roman" w:hAnsi="Times New Roman"/>
          <w:sz w:val="24"/>
          <w:szCs w:val="24"/>
        </w:rPr>
      </w:pPr>
      <w:r w:rsidRPr="00A8783E">
        <w:rPr>
          <w:rFonts w:ascii="Times New Roman" w:hAnsi="Times New Roman"/>
          <w:sz w:val="24"/>
          <w:szCs w:val="24"/>
        </w:rPr>
        <w:t>По отношение на гнездящата популация в зоната да се коригира на 2-5 двойки. Не е необходима промяна в оценката на популациата, тъй като през 2018 г. в ез. Сребърна са гнездили 5 двойки.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175"/>
        <w:gridCol w:w="175"/>
        <w:gridCol w:w="572"/>
        <w:gridCol w:w="605"/>
        <w:gridCol w:w="594"/>
        <w:gridCol w:w="578"/>
        <w:gridCol w:w="839"/>
        <w:gridCol w:w="475"/>
        <w:gridCol w:w="475"/>
        <w:gridCol w:w="622"/>
        <w:gridCol w:w="522"/>
        <w:gridCol w:w="578"/>
      </w:tblGrid>
      <w:tr w:rsidR="00A8783E" w:rsidRPr="00A8783E" w:rsidTr="005B5318">
        <w:trPr>
          <w:jc w:val="center"/>
        </w:trPr>
        <w:tc>
          <w:tcPr>
            <w:tcW w:w="0" w:type="auto"/>
            <w:gridSpan w:val="6"/>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Species</w:t>
            </w:r>
          </w:p>
        </w:tc>
        <w:tc>
          <w:tcPr>
            <w:tcW w:w="0" w:type="auto"/>
            <w:gridSpan w:val="7"/>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Population in the site</w:t>
            </w:r>
          </w:p>
        </w:tc>
        <w:tc>
          <w:tcPr>
            <w:tcW w:w="0" w:type="auto"/>
            <w:gridSpan w:val="4"/>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G</w:t>
            </w:r>
          </w:p>
        </w:tc>
        <w:tc>
          <w:tcPr>
            <w:tcW w:w="0" w:type="auto"/>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Code</w:t>
            </w:r>
          </w:p>
        </w:tc>
        <w:tc>
          <w:tcPr>
            <w:tcW w:w="0" w:type="auto"/>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Scientific Name</w:t>
            </w:r>
          </w:p>
        </w:tc>
        <w:tc>
          <w:tcPr>
            <w:tcW w:w="0" w:type="auto"/>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S</w:t>
            </w:r>
          </w:p>
        </w:tc>
        <w:tc>
          <w:tcPr>
            <w:tcW w:w="0" w:type="auto"/>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NP</w:t>
            </w:r>
          </w:p>
        </w:tc>
        <w:tc>
          <w:tcPr>
            <w:tcW w:w="0" w:type="auto"/>
            <w:gridSpan w:val="2"/>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T</w:t>
            </w:r>
          </w:p>
        </w:tc>
        <w:tc>
          <w:tcPr>
            <w:tcW w:w="0" w:type="auto"/>
            <w:gridSpan w:val="2"/>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Size</w:t>
            </w:r>
          </w:p>
        </w:tc>
        <w:tc>
          <w:tcPr>
            <w:tcW w:w="0" w:type="auto"/>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Unit</w:t>
            </w:r>
          </w:p>
        </w:tc>
        <w:tc>
          <w:tcPr>
            <w:tcW w:w="0" w:type="auto"/>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Cat.</w:t>
            </w:r>
          </w:p>
        </w:tc>
        <w:tc>
          <w:tcPr>
            <w:tcW w:w="0" w:type="auto"/>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D.qual.</w:t>
            </w:r>
          </w:p>
        </w:tc>
        <w:tc>
          <w:tcPr>
            <w:tcW w:w="0" w:type="auto"/>
            <w:gridSpan w:val="2"/>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A/B/C/D</w:t>
            </w:r>
          </w:p>
        </w:tc>
        <w:tc>
          <w:tcPr>
            <w:tcW w:w="0" w:type="auto"/>
            <w:gridSpan w:val="3"/>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120" w:line="259" w:lineRule="auto"/>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120" w:line="259" w:lineRule="auto"/>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120" w:line="259" w:lineRule="auto"/>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120" w:line="259" w:lineRule="auto"/>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p>
        </w:tc>
        <w:tc>
          <w:tcPr>
            <w:tcW w:w="0" w:type="auto"/>
            <w:gridSpan w:val="2"/>
            <w:vMerge/>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Min</w:t>
            </w:r>
          </w:p>
        </w:tc>
        <w:tc>
          <w:tcPr>
            <w:tcW w:w="0" w:type="auto"/>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Max</w:t>
            </w:r>
          </w:p>
        </w:tc>
        <w:tc>
          <w:tcPr>
            <w:tcW w:w="0" w:type="auto"/>
            <w:vMerge/>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p>
        </w:tc>
        <w:tc>
          <w:tcPr>
            <w:tcW w:w="0" w:type="auto"/>
            <w:gridSpan w:val="2"/>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Pop.</w:t>
            </w:r>
          </w:p>
        </w:tc>
        <w:tc>
          <w:tcPr>
            <w:tcW w:w="0" w:type="auto"/>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Con.</w:t>
            </w:r>
          </w:p>
        </w:tc>
        <w:tc>
          <w:tcPr>
            <w:tcW w:w="0" w:type="auto"/>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Iso.</w:t>
            </w:r>
          </w:p>
        </w:tc>
        <w:tc>
          <w:tcPr>
            <w:tcW w:w="0" w:type="auto"/>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Glo.</w:t>
            </w:r>
          </w:p>
        </w:tc>
      </w:tr>
      <w:tr w:rsidR="00A8783E" w:rsidRPr="00A8783E" w:rsidTr="005B5318">
        <w:trPr>
          <w:jc w:val="center"/>
        </w:trPr>
        <w:tc>
          <w:tcPr>
            <w:tcW w:w="0" w:type="auto"/>
            <w:vAlign w:val="center"/>
          </w:tcPr>
          <w:p w:rsidR="00A8783E" w:rsidRPr="00A8783E" w:rsidRDefault="00A8783E" w:rsidP="00A8783E">
            <w:pPr>
              <w:spacing w:after="120" w:line="259" w:lineRule="auto"/>
              <w:rPr>
                <w:rFonts w:ascii="Times New Roman" w:hAnsi="Times New Roman"/>
                <w:sz w:val="20"/>
                <w:szCs w:val="20"/>
              </w:rPr>
            </w:pPr>
            <w:r w:rsidRPr="00A8783E">
              <w:rPr>
                <w:rFonts w:ascii="Times New Roman" w:hAnsi="Times New Roman"/>
                <w:sz w:val="20"/>
                <w:szCs w:val="20"/>
              </w:rPr>
              <w:t>В</w:t>
            </w:r>
          </w:p>
        </w:tc>
        <w:tc>
          <w:tcPr>
            <w:tcW w:w="0" w:type="auto"/>
            <w:vAlign w:val="center"/>
          </w:tcPr>
          <w:p w:rsidR="00A8783E" w:rsidRPr="00A8783E" w:rsidRDefault="00A8783E" w:rsidP="00A8783E">
            <w:pPr>
              <w:spacing w:after="120" w:line="259" w:lineRule="auto"/>
              <w:rPr>
                <w:rFonts w:ascii="Times New Roman" w:hAnsi="Times New Roman"/>
                <w:sz w:val="20"/>
                <w:szCs w:val="20"/>
              </w:rPr>
            </w:pPr>
            <w:r w:rsidRPr="00A8783E">
              <w:rPr>
                <w:rFonts w:ascii="Times New Roman" w:hAnsi="Times New Roman"/>
                <w:sz w:val="20"/>
                <w:szCs w:val="20"/>
              </w:rPr>
              <w:t>A019</w:t>
            </w:r>
          </w:p>
        </w:tc>
        <w:tc>
          <w:tcPr>
            <w:tcW w:w="0" w:type="auto"/>
            <w:vAlign w:val="center"/>
          </w:tcPr>
          <w:p w:rsidR="00A8783E" w:rsidRPr="00A8783E" w:rsidRDefault="00A8783E" w:rsidP="00A8783E">
            <w:pPr>
              <w:spacing w:after="120" w:line="259" w:lineRule="auto"/>
              <w:rPr>
                <w:rFonts w:ascii="Times New Roman" w:hAnsi="Times New Roman"/>
                <w:i/>
                <w:iCs/>
                <w:sz w:val="20"/>
                <w:szCs w:val="20"/>
                <w:lang w:val="en-US"/>
              </w:rPr>
            </w:pPr>
            <w:r w:rsidRPr="00A8783E">
              <w:rPr>
                <w:rFonts w:ascii="Times New Roman" w:hAnsi="Times New Roman"/>
                <w:i/>
                <w:iCs/>
                <w:sz w:val="20"/>
                <w:szCs w:val="20"/>
                <w:lang w:val="en-US"/>
              </w:rPr>
              <w:t>Pelecanus onocrotalus</w:t>
            </w:r>
          </w:p>
        </w:tc>
        <w:tc>
          <w:tcPr>
            <w:tcW w:w="0" w:type="auto"/>
            <w:vAlign w:val="center"/>
          </w:tcPr>
          <w:p w:rsidR="00A8783E" w:rsidRPr="00A8783E" w:rsidRDefault="00A8783E" w:rsidP="00A8783E">
            <w:pPr>
              <w:spacing w:after="120" w:line="259" w:lineRule="auto"/>
              <w:rPr>
                <w:rFonts w:ascii="Times New Roman" w:hAnsi="Times New Roman"/>
                <w:sz w:val="20"/>
                <w:szCs w:val="20"/>
              </w:rPr>
            </w:pPr>
          </w:p>
        </w:tc>
        <w:tc>
          <w:tcPr>
            <w:tcW w:w="0" w:type="auto"/>
            <w:vAlign w:val="center"/>
          </w:tcPr>
          <w:p w:rsidR="00A8783E" w:rsidRPr="00A8783E" w:rsidRDefault="00A8783E" w:rsidP="00A8783E">
            <w:pPr>
              <w:spacing w:after="120" w:line="259" w:lineRule="auto"/>
              <w:rPr>
                <w:rFonts w:ascii="Times New Roman" w:hAnsi="Times New Roman"/>
                <w:b/>
                <w:bCs/>
                <w:sz w:val="20"/>
                <w:szCs w:val="20"/>
              </w:rPr>
            </w:pPr>
          </w:p>
        </w:tc>
        <w:tc>
          <w:tcPr>
            <w:tcW w:w="0" w:type="auto"/>
            <w:gridSpan w:val="2"/>
            <w:vAlign w:val="center"/>
          </w:tcPr>
          <w:p w:rsidR="00A8783E" w:rsidRPr="00A8783E" w:rsidRDefault="00A8783E" w:rsidP="00A8783E">
            <w:pPr>
              <w:spacing w:after="120" w:line="259" w:lineRule="auto"/>
              <w:rPr>
                <w:rFonts w:ascii="Times New Roman" w:hAnsi="Times New Roman"/>
                <w:b/>
                <w:bCs/>
                <w:sz w:val="20"/>
                <w:szCs w:val="20"/>
                <w:lang w:val="en-US"/>
              </w:rPr>
            </w:pPr>
            <w:r w:rsidRPr="00A8783E">
              <w:rPr>
                <w:rFonts w:ascii="Times New Roman" w:hAnsi="Times New Roman"/>
                <w:sz w:val="20"/>
                <w:szCs w:val="20"/>
                <w:lang w:val="en-US"/>
              </w:rPr>
              <w:t>c</w:t>
            </w:r>
          </w:p>
        </w:tc>
        <w:tc>
          <w:tcPr>
            <w:tcW w:w="0" w:type="auto"/>
            <w:vAlign w:val="center"/>
          </w:tcPr>
          <w:p w:rsidR="00A8783E" w:rsidRPr="00A8783E" w:rsidRDefault="00A8783E" w:rsidP="00A8783E">
            <w:pPr>
              <w:spacing w:after="120" w:line="259" w:lineRule="auto"/>
              <w:rPr>
                <w:rFonts w:ascii="Times New Roman" w:hAnsi="Times New Roman"/>
                <w:sz w:val="20"/>
                <w:szCs w:val="20"/>
                <w:lang w:val="en-US"/>
              </w:rPr>
            </w:pPr>
            <w:r w:rsidRPr="00A8783E">
              <w:rPr>
                <w:rFonts w:ascii="Times New Roman" w:hAnsi="Times New Roman"/>
                <w:sz w:val="20"/>
                <w:szCs w:val="20"/>
                <w:lang w:val="en-US"/>
              </w:rPr>
              <w:t>500</w:t>
            </w:r>
          </w:p>
        </w:tc>
        <w:tc>
          <w:tcPr>
            <w:tcW w:w="0" w:type="auto"/>
            <w:vAlign w:val="center"/>
          </w:tcPr>
          <w:p w:rsidR="00A8783E" w:rsidRPr="00A8783E" w:rsidRDefault="00A8783E" w:rsidP="00A8783E">
            <w:pPr>
              <w:spacing w:after="120" w:line="259" w:lineRule="auto"/>
              <w:rPr>
                <w:rFonts w:ascii="Times New Roman" w:hAnsi="Times New Roman"/>
                <w:sz w:val="20"/>
                <w:szCs w:val="20"/>
                <w:lang w:val="en-US"/>
              </w:rPr>
            </w:pPr>
            <w:r w:rsidRPr="00A8783E">
              <w:rPr>
                <w:rFonts w:ascii="Times New Roman" w:hAnsi="Times New Roman"/>
                <w:sz w:val="20"/>
                <w:szCs w:val="20"/>
                <w:lang w:val="en-US"/>
              </w:rPr>
              <w:t>500</w:t>
            </w:r>
          </w:p>
        </w:tc>
        <w:tc>
          <w:tcPr>
            <w:tcW w:w="0" w:type="auto"/>
            <w:vAlign w:val="center"/>
          </w:tcPr>
          <w:p w:rsidR="00A8783E" w:rsidRPr="00A8783E" w:rsidRDefault="00A8783E" w:rsidP="00A8783E">
            <w:pPr>
              <w:spacing w:after="120" w:line="259" w:lineRule="auto"/>
              <w:rPr>
                <w:rFonts w:ascii="Times New Roman" w:hAnsi="Times New Roman"/>
                <w:sz w:val="20"/>
                <w:szCs w:val="20"/>
                <w:lang w:val="en-US"/>
              </w:rPr>
            </w:pPr>
            <w:r w:rsidRPr="00A8783E">
              <w:rPr>
                <w:rFonts w:ascii="Times New Roman" w:hAnsi="Times New Roman"/>
                <w:sz w:val="20"/>
                <w:szCs w:val="20"/>
                <w:lang w:val="en-US"/>
              </w:rPr>
              <w:t>i</w:t>
            </w:r>
          </w:p>
        </w:tc>
        <w:tc>
          <w:tcPr>
            <w:tcW w:w="0" w:type="auto"/>
            <w:vAlign w:val="center"/>
          </w:tcPr>
          <w:p w:rsidR="00A8783E" w:rsidRPr="00A8783E" w:rsidRDefault="00A8783E" w:rsidP="00A8783E">
            <w:pPr>
              <w:spacing w:after="120" w:line="259" w:lineRule="auto"/>
              <w:rPr>
                <w:rFonts w:ascii="Times New Roman" w:hAnsi="Times New Roman"/>
                <w:b/>
                <w:bCs/>
                <w:sz w:val="20"/>
                <w:szCs w:val="20"/>
              </w:rPr>
            </w:pPr>
          </w:p>
        </w:tc>
        <w:tc>
          <w:tcPr>
            <w:tcW w:w="0" w:type="auto"/>
            <w:vAlign w:val="center"/>
          </w:tcPr>
          <w:p w:rsidR="00A8783E" w:rsidRPr="00A8783E" w:rsidRDefault="00A8783E" w:rsidP="00A8783E">
            <w:pPr>
              <w:spacing w:after="120" w:line="259" w:lineRule="auto"/>
              <w:rPr>
                <w:rFonts w:ascii="Times New Roman" w:hAnsi="Times New Roman"/>
                <w:b/>
                <w:bCs/>
                <w:sz w:val="20"/>
                <w:szCs w:val="20"/>
                <w:lang w:val="en-US"/>
              </w:rPr>
            </w:pPr>
            <w:r w:rsidRPr="00A8783E">
              <w:rPr>
                <w:rFonts w:ascii="Times New Roman" w:hAnsi="Times New Roman"/>
                <w:b/>
                <w:bCs/>
                <w:color w:val="FF0000"/>
                <w:sz w:val="20"/>
                <w:szCs w:val="20"/>
                <w:lang w:val="en-US"/>
              </w:rPr>
              <w:t>DD</w:t>
            </w:r>
          </w:p>
        </w:tc>
        <w:tc>
          <w:tcPr>
            <w:tcW w:w="0" w:type="auto"/>
            <w:gridSpan w:val="2"/>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color w:val="FF0000"/>
                <w:sz w:val="20"/>
                <w:szCs w:val="20"/>
              </w:rPr>
              <w:t>В</w:t>
            </w:r>
          </w:p>
        </w:tc>
        <w:tc>
          <w:tcPr>
            <w:tcW w:w="0" w:type="auto"/>
            <w:vAlign w:val="center"/>
          </w:tcPr>
          <w:p w:rsidR="00A8783E" w:rsidRPr="00A8783E" w:rsidRDefault="00A8783E" w:rsidP="00A8783E">
            <w:pPr>
              <w:spacing w:after="120" w:line="259" w:lineRule="auto"/>
              <w:rPr>
                <w:rFonts w:ascii="Times New Roman" w:hAnsi="Times New Roman"/>
                <w:b/>
                <w:bCs/>
                <w:sz w:val="20"/>
                <w:szCs w:val="20"/>
                <w:lang w:val="en-US"/>
              </w:rPr>
            </w:pPr>
            <w:r w:rsidRPr="00A8783E">
              <w:rPr>
                <w:rFonts w:ascii="Times New Roman" w:hAnsi="Times New Roman"/>
                <w:sz w:val="20"/>
                <w:szCs w:val="20"/>
                <w:lang w:val="en-US"/>
              </w:rPr>
              <w:t>A</w:t>
            </w:r>
          </w:p>
        </w:tc>
        <w:tc>
          <w:tcPr>
            <w:tcW w:w="0" w:type="auto"/>
            <w:vAlign w:val="center"/>
          </w:tcPr>
          <w:p w:rsidR="00A8783E" w:rsidRPr="00A8783E" w:rsidRDefault="00A8783E" w:rsidP="00A8783E">
            <w:pPr>
              <w:spacing w:after="120" w:line="259" w:lineRule="auto"/>
              <w:rPr>
                <w:rFonts w:ascii="Times New Roman" w:hAnsi="Times New Roman"/>
                <w:b/>
                <w:bCs/>
                <w:sz w:val="20"/>
                <w:szCs w:val="20"/>
                <w:lang w:val="en-US"/>
              </w:rPr>
            </w:pPr>
            <w:r w:rsidRPr="00A8783E">
              <w:rPr>
                <w:rFonts w:ascii="Times New Roman" w:hAnsi="Times New Roman"/>
                <w:sz w:val="20"/>
                <w:szCs w:val="20"/>
                <w:lang w:val="en-US"/>
              </w:rPr>
              <w:t>B</w:t>
            </w:r>
          </w:p>
        </w:tc>
        <w:tc>
          <w:tcPr>
            <w:tcW w:w="0" w:type="auto"/>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color w:val="FF0000"/>
                <w:sz w:val="20"/>
                <w:szCs w:val="20"/>
              </w:rPr>
              <w:t>В</w:t>
            </w:r>
          </w:p>
        </w:tc>
      </w:tr>
      <w:tr w:rsidR="00A8783E" w:rsidRPr="00A8783E" w:rsidTr="005B5318">
        <w:trPr>
          <w:jc w:val="center"/>
        </w:trPr>
        <w:tc>
          <w:tcPr>
            <w:tcW w:w="0" w:type="auto"/>
          </w:tcPr>
          <w:p w:rsidR="00A8783E" w:rsidRPr="00A8783E" w:rsidRDefault="00A8783E" w:rsidP="00A8783E">
            <w:pPr>
              <w:spacing w:after="120" w:line="259" w:lineRule="auto"/>
              <w:rPr>
                <w:rFonts w:ascii="Times New Roman" w:hAnsi="Times New Roman"/>
                <w:sz w:val="20"/>
                <w:szCs w:val="20"/>
                <w:lang w:val="en-US"/>
              </w:rPr>
            </w:pPr>
            <w:r w:rsidRPr="00A8783E">
              <w:rPr>
                <w:rFonts w:ascii="Times New Roman" w:hAnsi="Times New Roman"/>
                <w:sz w:val="20"/>
                <w:szCs w:val="20"/>
                <w:lang w:val="en-US"/>
              </w:rPr>
              <w:t>В</w:t>
            </w:r>
          </w:p>
        </w:tc>
        <w:tc>
          <w:tcPr>
            <w:tcW w:w="0" w:type="auto"/>
          </w:tcPr>
          <w:p w:rsidR="00A8783E" w:rsidRPr="00A8783E" w:rsidRDefault="00A8783E" w:rsidP="00A8783E">
            <w:pPr>
              <w:spacing w:after="120" w:line="259" w:lineRule="auto"/>
              <w:rPr>
                <w:rFonts w:ascii="Times New Roman" w:hAnsi="Times New Roman"/>
                <w:sz w:val="20"/>
                <w:szCs w:val="20"/>
                <w:lang w:val="en-US"/>
              </w:rPr>
            </w:pPr>
            <w:r w:rsidRPr="00A8783E">
              <w:rPr>
                <w:rFonts w:ascii="Times New Roman" w:hAnsi="Times New Roman"/>
                <w:sz w:val="20"/>
                <w:szCs w:val="20"/>
                <w:lang w:val="en-US"/>
              </w:rPr>
              <w:t>A019</w:t>
            </w:r>
          </w:p>
        </w:tc>
        <w:tc>
          <w:tcPr>
            <w:tcW w:w="0" w:type="auto"/>
          </w:tcPr>
          <w:p w:rsidR="00A8783E" w:rsidRPr="00A8783E" w:rsidRDefault="00A8783E" w:rsidP="00A8783E">
            <w:pPr>
              <w:spacing w:after="120" w:line="259" w:lineRule="auto"/>
              <w:rPr>
                <w:rFonts w:ascii="Times New Roman" w:hAnsi="Times New Roman"/>
                <w:i/>
                <w:iCs/>
                <w:sz w:val="20"/>
                <w:szCs w:val="20"/>
                <w:lang w:val="en-US"/>
              </w:rPr>
            </w:pPr>
            <w:r w:rsidRPr="00A8783E">
              <w:rPr>
                <w:rFonts w:ascii="Times New Roman" w:hAnsi="Times New Roman"/>
                <w:i/>
                <w:iCs/>
                <w:sz w:val="20"/>
                <w:szCs w:val="20"/>
                <w:lang w:val="en-US"/>
              </w:rPr>
              <w:t>Pelecanus onocrotalus</w:t>
            </w:r>
          </w:p>
        </w:tc>
        <w:tc>
          <w:tcPr>
            <w:tcW w:w="0" w:type="auto"/>
          </w:tcPr>
          <w:p w:rsidR="00A8783E" w:rsidRPr="00A8783E" w:rsidRDefault="00A8783E" w:rsidP="00A8783E">
            <w:pPr>
              <w:spacing w:after="120" w:line="259" w:lineRule="auto"/>
              <w:rPr>
                <w:rFonts w:ascii="Times New Roman" w:hAnsi="Times New Roman"/>
                <w:sz w:val="20"/>
                <w:szCs w:val="20"/>
                <w:lang w:val="en-US"/>
              </w:rPr>
            </w:pPr>
          </w:p>
        </w:tc>
        <w:tc>
          <w:tcPr>
            <w:tcW w:w="0" w:type="auto"/>
          </w:tcPr>
          <w:p w:rsidR="00A8783E" w:rsidRPr="00A8783E" w:rsidRDefault="00A8783E" w:rsidP="00A8783E">
            <w:pPr>
              <w:spacing w:after="120" w:line="259" w:lineRule="auto"/>
              <w:rPr>
                <w:rFonts w:ascii="Times New Roman" w:hAnsi="Times New Roman"/>
                <w:sz w:val="20"/>
                <w:szCs w:val="20"/>
                <w:lang w:val="en-US"/>
              </w:rPr>
            </w:pPr>
          </w:p>
        </w:tc>
        <w:tc>
          <w:tcPr>
            <w:tcW w:w="0" w:type="auto"/>
            <w:gridSpan w:val="2"/>
          </w:tcPr>
          <w:p w:rsidR="00A8783E" w:rsidRPr="00A8783E" w:rsidRDefault="00A8783E" w:rsidP="00A8783E">
            <w:pPr>
              <w:spacing w:after="120" w:line="259" w:lineRule="auto"/>
              <w:rPr>
                <w:rFonts w:ascii="Times New Roman" w:hAnsi="Times New Roman"/>
                <w:sz w:val="20"/>
                <w:szCs w:val="20"/>
                <w:lang w:val="en-US"/>
              </w:rPr>
            </w:pPr>
            <w:r w:rsidRPr="00A8783E">
              <w:rPr>
                <w:rFonts w:ascii="Times New Roman" w:hAnsi="Times New Roman"/>
                <w:sz w:val="20"/>
                <w:szCs w:val="20"/>
                <w:lang w:val="en-US"/>
              </w:rPr>
              <w:t>r</w:t>
            </w:r>
          </w:p>
        </w:tc>
        <w:tc>
          <w:tcPr>
            <w:tcW w:w="0" w:type="auto"/>
          </w:tcPr>
          <w:p w:rsidR="00A8783E" w:rsidRPr="00A8783E" w:rsidRDefault="00A8783E" w:rsidP="00A8783E">
            <w:pPr>
              <w:spacing w:after="120" w:line="259"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2</w:t>
            </w:r>
          </w:p>
        </w:tc>
        <w:tc>
          <w:tcPr>
            <w:tcW w:w="0" w:type="auto"/>
          </w:tcPr>
          <w:p w:rsidR="00A8783E" w:rsidRPr="00A8783E" w:rsidRDefault="00A8783E" w:rsidP="00A8783E">
            <w:pPr>
              <w:spacing w:after="120" w:line="259"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5</w:t>
            </w:r>
          </w:p>
        </w:tc>
        <w:tc>
          <w:tcPr>
            <w:tcW w:w="0" w:type="auto"/>
          </w:tcPr>
          <w:p w:rsidR="00A8783E" w:rsidRPr="00A8783E" w:rsidRDefault="00A8783E" w:rsidP="00A8783E">
            <w:pPr>
              <w:spacing w:after="120" w:line="259" w:lineRule="auto"/>
              <w:rPr>
                <w:rFonts w:ascii="Times New Roman" w:hAnsi="Times New Roman"/>
                <w:sz w:val="20"/>
                <w:szCs w:val="20"/>
                <w:lang w:val="en-US"/>
              </w:rPr>
            </w:pPr>
            <w:r w:rsidRPr="00A8783E">
              <w:rPr>
                <w:rFonts w:ascii="Times New Roman" w:hAnsi="Times New Roman"/>
                <w:sz w:val="20"/>
                <w:szCs w:val="20"/>
                <w:lang w:val="en-US"/>
              </w:rPr>
              <w:t>p</w:t>
            </w:r>
          </w:p>
        </w:tc>
        <w:tc>
          <w:tcPr>
            <w:tcW w:w="0" w:type="auto"/>
          </w:tcPr>
          <w:p w:rsidR="00A8783E" w:rsidRPr="00A8783E" w:rsidRDefault="00A8783E" w:rsidP="00A8783E">
            <w:pPr>
              <w:spacing w:after="120" w:line="259" w:lineRule="auto"/>
              <w:rPr>
                <w:rFonts w:ascii="Times New Roman" w:hAnsi="Times New Roman"/>
                <w:sz w:val="20"/>
                <w:szCs w:val="20"/>
                <w:lang w:val="en-US"/>
              </w:rPr>
            </w:pPr>
          </w:p>
        </w:tc>
        <w:tc>
          <w:tcPr>
            <w:tcW w:w="0" w:type="auto"/>
          </w:tcPr>
          <w:p w:rsidR="00A8783E" w:rsidRPr="00A8783E" w:rsidRDefault="00A8783E" w:rsidP="00A8783E">
            <w:pPr>
              <w:spacing w:after="120" w:line="259" w:lineRule="auto"/>
              <w:rPr>
                <w:rFonts w:ascii="Times New Roman" w:hAnsi="Times New Roman"/>
                <w:sz w:val="20"/>
                <w:szCs w:val="20"/>
                <w:lang w:val="en-US"/>
              </w:rPr>
            </w:pPr>
            <w:r w:rsidRPr="00A8783E">
              <w:rPr>
                <w:rFonts w:ascii="Times New Roman" w:hAnsi="Times New Roman"/>
                <w:sz w:val="20"/>
                <w:szCs w:val="20"/>
                <w:lang w:val="en-US"/>
              </w:rPr>
              <w:t>G</w:t>
            </w:r>
          </w:p>
        </w:tc>
        <w:tc>
          <w:tcPr>
            <w:tcW w:w="0" w:type="auto"/>
            <w:gridSpan w:val="2"/>
          </w:tcPr>
          <w:p w:rsidR="00A8783E" w:rsidRPr="00A8783E" w:rsidRDefault="00A8783E" w:rsidP="00A8783E">
            <w:pPr>
              <w:spacing w:after="120" w:line="259" w:lineRule="auto"/>
              <w:rPr>
                <w:rFonts w:ascii="Times New Roman" w:hAnsi="Times New Roman"/>
                <w:sz w:val="20"/>
                <w:szCs w:val="20"/>
                <w:lang w:val="en-US"/>
              </w:rPr>
            </w:pPr>
            <w:r w:rsidRPr="00A8783E">
              <w:rPr>
                <w:rFonts w:ascii="Times New Roman" w:hAnsi="Times New Roman"/>
                <w:sz w:val="20"/>
                <w:szCs w:val="20"/>
                <w:lang w:val="en-US"/>
              </w:rPr>
              <w:t>A</w:t>
            </w:r>
          </w:p>
        </w:tc>
        <w:tc>
          <w:tcPr>
            <w:tcW w:w="0" w:type="auto"/>
          </w:tcPr>
          <w:p w:rsidR="00A8783E" w:rsidRPr="00A8783E" w:rsidRDefault="00A8783E" w:rsidP="00A8783E">
            <w:pPr>
              <w:spacing w:after="120" w:line="259" w:lineRule="auto"/>
              <w:rPr>
                <w:rFonts w:ascii="Times New Roman" w:hAnsi="Times New Roman"/>
                <w:sz w:val="20"/>
                <w:szCs w:val="20"/>
                <w:lang w:val="en-US"/>
              </w:rPr>
            </w:pPr>
            <w:r w:rsidRPr="00A8783E">
              <w:rPr>
                <w:rFonts w:ascii="Times New Roman" w:hAnsi="Times New Roman"/>
                <w:sz w:val="20"/>
                <w:szCs w:val="20"/>
                <w:lang w:val="en-US"/>
              </w:rPr>
              <w:t>A</w:t>
            </w:r>
          </w:p>
        </w:tc>
        <w:tc>
          <w:tcPr>
            <w:tcW w:w="0" w:type="auto"/>
          </w:tcPr>
          <w:p w:rsidR="00A8783E" w:rsidRPr="00A8783E" w:rsidRDefault="00A8783E" w:rsidP="00A8783E">
            <w:pPr>
              <w:spacing w:after="120" w:line="259" w:lineRule="auto"/>
              <w:rPr>
                <w:rFonts w:ascii="Times New Roman" w:hAnsi="Times New Roman"/>
                <w:sz w:val="20"/>
                <w:szCs w:val="20"/>
                <w:lang w:val="en-US"/>
              </w:rPr>
            </w:pPr>
            <w:r w:rsidRPr="00A8783E">
              <w:rPr>
                <w:rFonts w:ascii="Times New Roman" w:hAnsi="Times New Roman"/>
                <w:sz w:val="20"/>
                <w:szCs w:val="20"/>
                <w:lang w:val="en-US"/>
              </w:rPr>
              <w:t>B</w:t>
            </w:r>
          </w:p>
        </w:tc>
        <w:tc>
          <w:tcPr>
            <w:tcW w:w="0" w:type="auto"/>
          </w:tcPr>
          <w:p w:rsidR="00A8783E" w:rsidRPr="00A8783E" w:rsidRDefault="00A8783E" w:rsidP="00A8783E">
            <w:pPr>
              <w:spacing w:after="120" w:line="259" w:lineRule="auto"/>
              <w:rPr>
                <w:rFonts w:ascii="Times New Roman" w:hAnsi="Times New Roman"/>
                <w:sz w:val="20"/>
                <w:szCs w:val="20"/>
                <w:lang w:val="en-US"/>
              </w:rPr>
            </w:pPr>
            <w:r w:rsidRPr="00A8783E">
              <w:rPr>
                <w:rFonts w:ascii="Times New Roman" w:hAnsi="Times New Roman"/>
                <w:sz w:val="20"/>
                <w:szCs w:val="20"/>
                <w:lang w:val="en-US"/>
              </w:rPr>
              <w:t>A</w:t>
            </w:r>
          </w:p>
        </w:tc>
      </w:tr>
    </w:tbl>
    <w:p w:rsidR="00A8783E" w:rsidRPr="00A8783E" w:rsidRDefault="00A8783E" w:rsidP="00A8783E">
      <w:pPr>
        <w:spacing w:after="160" w:line="259" w:lineRule="auto"/>
        <w:jc w:val="both"/>
        <w:rPr>
          <w:rFonts w:ascii="Times New Roman" w:hAnsi="Times New Roman"/>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36" w:name="_Toc89106063"/>
      <w:bookmarkStart w:id="137" w:name="_Toc98741902"/>
      <w:bookmarkStart w:id="138" w:name="_Toc98838577"/>
      <w:r w:rsidRPr="00A8783E">
        <w:rPr>
          <w:rFonts w:ascii="Times New Roman" w:hAnsi="Times New Roman"/>
          <w:color w:val="1F497D"/>
          <w:sz w:val="28"/>
          <w:szCs w:val="28"/>
          <w:lang w:eastAsia="bg-BG"/>
        </w:rPr>
        <w:t xml:space="preserve">Специфични цели за А020 </w:t>
      </w:r>
      <w:r w:rsidRPr="00A8783E">
        <w:rPr>
          <w:rFonts w:ascii="Times New Roman" w:hAnsi="Times New Roman"/>
          <w:i/>
          <w:iCs/>
          <w:color w:val="1F497D"/>
          <w:sz w:val="28"/>
          <w:szCs w:val="28"/>
          <w:lang w:val="en-GB" w:eastAsia="bg-BG"/>
        </w:rPr>
        <w:t>Pelecanus</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GB" w:eastAsia="bg-BG"/>
        </w:rPr>
        <w:t>crispus</w:t>
      </w:r>
      <w:r w:rsidRPr="00A8783E">
        <w:rPr>
          <w:rFonts w:ascii="Times New Roman" w:hAnsi="Times New Roman"/>
          <w:color w:val="1F497D"/>
          <w:sz w:val="28"/>
          <w:szCs w:val="28"/>
          <w:lang w:eastAsia="bg-BG"/>
        </w:rPr>
        <w:t xml:space="preserve"> (къдроглав пеликан)</w:t>
      </w:r>
      <w:bookmarkEnd w:id="136"/>
      <w:bookmarkEnd w:id="137"/>
      <w:bookmarkEnd w:id="138"/>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Дължина на тялото: 160–180 см. Размах на крилата: 270–320 см. Една от най-едрите летящи птици. Оперението при възрастните през размножителния период е сиво-бяло, перата на главата са къдрави, клюнът е голям с яркочервена „торба“ и с жълто петно на гушата. Ирисът на очите е сив. Краката са оловно сиви. През зимата на темето имат слабо удължени пера, образуващи ръб, нямат жълто петно на гушата и цветът на кожената „торба“ е жълт. Младите са с умерено бледокафяво до сиво оперение в горната част на тялото и мръсно-бяло оперение в долната част. По-едър от розовият пеликан.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Къдроглавия пеликан е гнездящ, прелетен, преминаващ и зимуващ вид в нашата страна (Симеонов и др., 1990). Птиците от Черноморско-средиземноморската популация са близки мигранти. Пролетната миграция на вида е от края на февруари до края на март, а есенната протича от началото на октомври до ноември (Симеонов и др., 1990). У нас гнезди в езерото Сребърна, в блато Песчина и Мъртво блато на остров Персин, както и в Защитена местност „Калимок-Бръшлен“ (Чешмеджиев, непубл. данни, 2021). По време на миграция и през зимата се среща предимно по поречието на р. Дунав, Черноморското крайбрежие и големите язовири в Южна България.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Обитава обширни сладководни и полусолени блата и езера, обрасли с обширни тръстикови масиви, с открити водни огледала и богати на риба. По време на миграция и зимуване се среща и в разнородни влажни зони – язовири, рибарници, солници, утайници, пясъчни коси и др. Къдроглавият пеликан гнезди в самостоятелни колонии, разположени в труднодостъпни и изолирани тръстикови масиви по плаващи острови от тръстика, както и по изкуствени платформи. Пълното люпило е 2-3 яйца. Мътят и двете птици. Предпочитаните местообитания са 1130, 1150, 1160, 3130, 3140 и 3150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 xml:space="preserve">Храни се с риба, като хранителният спектър се състои от </w:t>
      </w:r>
      <w:r w:rsidRPr="00A8783E">
        <w:rPr>
          <w:rFonts w:ascii="Times New Roman" w:hAnsi="Times New Roman"/>
          <w:i/>
          <w:iCs/>
          <w:sz w:val="24"/>
          <w:szCs w:val="24"/>
          <w:lang w:eastAsia="bg-BG"/>
        </w:rPr>
        <w:t>Carassius carassius</w:t>
      </w:r>
      <w:r w:rsidRPr="00A8783E">
        <w:rPr>
          <w:rFonts w:ascii="Times New Roman" w:hAnsi="Times New Roman"/>
          <w:sz w:val="24"/>
          <w:szCs w:val="24"/>
          <w:lang w:eastAsia="bg-BG"/>
        </w:rPr>
        <w:t xml:space="preserve">, </w:t>
      </w:r>
      <w:r w:rsidRPr="00A8783E">
        <w:rPr>
          <w:rFonts w:ascii="Times New Roman" w:hAnsi="Times New Roman"/>
          <w:i/>
          <w:iCs/>
          <w:sz w:val="24"/>
          <w:szCs w:val="24"/>
          <w:lang w:eastAsia="bg-BG"/>
        </w:rPr>
        <w:t>Cyprinus carpio</w:t>
      </w:r>
      <w:r w:rsidRPr="00A8783E">
        <w:rPr>
          <w:rFonts w:ascii="Times New Roman" w:hAnsi="Times New Roman"/>
          <w:sz w:val="24"/>
          <w:szCs w:val="24"/>
          <w:lang w:eastAsia="bg-BG"/>
        </w:rPr>
        <w:t xml:space="preserve">, </w:t>
      </w:r>
      <w:r w:rsidRPr="00A8783E">
        <w:rPr>
          <w:rFonts w:ascii="Times New Roman" w:hAnsi="Times New Roman"/>
          <w:i/>
          <w:iCs/>
          <w:sz w:val="24"/>
          <w:szCs w:val="24"/>
          <w:lang w:eastAsia="bg-BG"/>
        </w:rPr>
        <w:t>Тinca tinca</w:t>
      </w:r>
      <w:r w:rsidRPr="00A8783E">
        <w:rPr>
          <w:rFonts w:ascii="Times New Roman" w:hAnsi="Times New Roman"/>
          <w:sz w:val="24"/>
          <w:szCs w:val="24"/>
          <w:lang w:eastAsia="bg-BG"/>
        </w:rPr>
        <w:t xml:space="preserve">, </w:t>
      </w:r>
      <w:r w:rsidRPr="00A8783E">
        <w:rPr>
          <w:rFonts w:ascii="Times New Roman" w:hAnsi="Times New Roman"/>
          <w:i/>
          <w:iCs/>
          <w:sz w:val="24"/>
          <w:szCs w:val="24"/>
          <w:lang w:eastAsia="bg-BG"/>
        </w:rPr>
        <w:t>Rutilus rutilus</w:t>
      </w:r>
      <w:r w:rsidRPr="00A8783E">
        <w:rPr>
          <w:rFonts w:ascii="Times New Roman" w:hAnsi="Times New Roman"/>
          <w:sz w:val="24"/>
          <w:szCs w:val="24"/>
          <w:lang w:eastAsia="bg-BG"/>
        </w:rPr>
        <w:t xml:space="preserve">, </w:t>
      </w:r>
      <w:r w:rsidRPr="00A8783E">
        <w:rPr>
          <w:rFonts w:ascii="Times New Roman" w:hAnsi="Times New Roman"/>
          <w:i/>
          <w:iCs/>
          <w:sz w:val="24"/>
          <w:szCs w:val="24"/>
          <w:lang w:eastAsia="bg-BG"/>
        </w:rPr>
        <w:t>Leuciscus idus, Scardinius erythrophthalmus</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Esox</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lucius</w:t>
      </w:r>
      <w:r w:rsidRPr="00A8783E">
        <w:rPr>
          <w:rFonts w:ascii="Times New Roman" w:hAnsi="Times New Roman"/>
          <w:sz w:val="24"/>
          <w:szCs w:val="24"/>
          <w:lang w:eastAsia="bg-BG"/>
        </w:rPr>
        <w:t xml:space="preserve"> и др. (Мичев и Камбурова, съст., 2012). Зависим е от големи влажни зони, богати на риба. При търсене на храна може да се отдалечи до 20-30 км. от гнездовите колонии.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Рядък и малоброен гнездящ вид. Къдроглавият пеликан гнезди в ез. Сребърна (колонията е известна от 1882 г.), блато Песчина (от 2016 г.) и Мъртво блато (от 2020 г.) на о. Персин и в Защитена местност „Калимок-Бръшлен“ (от 2021 г.). През гнездовия период малки ята от не размножаващи се птици са наблюдавани на редица места по поречието на р. Дунав, в Бургаските влажни зони, както и в някои водоеми във вътрешността на страната (Янков отг. ред., 2007).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Природозащитният статус на къдроглавия пеликан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е </w:t>
      </w:r>
      <w:r w:rsidRPr="00A8783E">
        <w:rPr>
          <w:rFonts w:ascii="Times New Roman" w:hAnsi="Times New Roman"/>
          <w:sz w:val="24"/>
          <w:szCs w:val="24"/>
          <w:lang w:val="en-GB" w:eastAsia="bg-BG"/>
        </w:rPr>
        <w:t>NT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Near</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Threatened</w:t>
      </w:r>
      <w:r w:rsidRPr="00A8783E">
        <w:rPr>
          <w:rFonts w:ascii="Times New Roman" w:hAnsi="Times New Roman"/>
          <w:sz w:val="24"/>
          <w:szCs w:val="24"/>
          <w:lang w:eastAsia="bg-BG"/>
        </w:rPr>
        <w:t xml:space="preserve">). Включен в Червената книга на Р България в категория „Критично застрашен“. Включен в SPEC 1. Включен е в Приложение 1 на Директивата за птиците, както и в Приложения 2 и 3 на ЗБР.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 на 80-150 двойки. Краткосрочната тенденция на популацията (за периода 2001 – 2018 г.) е флуктуираща, а дългосрочната (за периода 1980 – 2018 г.) – нарастваща.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Зимуващата популация е оценена на 700 – 880 индивида. Краткосрочната тенденция на популацията (за периода 1999 – 2018 г.) е стабилна, а дългосрочната (за периода 1980 – 2018 г.) - нарастваща.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Мигриращата национална популация е оценена на 600 – 1800 индивида.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За гнездящата, мигриращата и зимуващата популация са посочени следните заплахи и влияния: K03, F02, F05, J02, J03, D02, C03.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СФ на зоната вида е гнездящ, мигриращ и зимуващ. </w:t>
      </w:r>
      <w:r w:rsidRPr="00A8783E">
        <w:rPr>
          <w:rFonts w:ascii="Times New Roman" w:hAnsi="Times New Roman"/>
          <w:b/>
          <w:bCs/>
          <w:sz w:val="24"/>
          <w:szCs w:val="24"/>
          <w:lang w:eastAsia="bg-BG"/>
        </w:rPr>
        <w:t>Гнездящата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30 до 70</w:t>
      </w:r>
      <w:r w:rsidRPr="00A8783E">
        <w:rPr>
          <w:rFonts w:ascii="Times New Roman" w:hAnsi="Times New Roman"/>
          <w:sz w:val="24"/>
          <w:szCs w:val="24"/>
          <w:lang w:eastAsia="bg-BG"/>
        </w:rPr>
        <w:t xml:space="preserve"> </w:t>
      </w:r>
      <w:r w:rsidRPr="00A8783E">
        <w:rPr>
          <w:rFonts w:ascii="Times New Roman" w:hAnsi="Times New Roman"/>
          <w:b/>
          <w:bCs/>
          <w:sz w:val="24"/>
          <w:szCs w:val="24"/>
          <w:lang w:eastAsia="bg-BG"/>
        </w:rPr>
        <w:t>двойки</w:t>
      </w:r>
      <w:r w:rsidRPr="00A8783E">
        <w:rPr>
          <w:rFonts w:ascii="Times New Roman" w:hAnsi="Times New Roman"/>
          <w:sz w:val="24"/>
          <w:szCs w:val="24"/>
          <w:lang w:eastAsia="bg-BG"/>
        </w:rPr>
        <w:t>, което представлява 37,5 - 46,7 % от националната популация (оценка „А“). Опазването на вида е отлично (оценка „А“), популацията не е изолирана, но е на границата на района на разпространение (оценка „В“).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 на </w:t>
      </w:r>
      <w:r w:rsidRPr="00A8783E">
        <w:rPr>
          <w:rFonts w:ascii="Times New Roman" w:hAnsi="Times New Roman"/>
          <w:b/>
          <w:bCs/>
          <w:sz w:val="24"/>
          <w:szCs w:val="24"/>
          <w:lang w:eastAsia="bg-BG"/>
        </w:rPr>
        <w:t>200 индивида</w:t>
      </w:r>
      <w:r w:rsidRPr="00A8783E">
        <w:rPr>
          <w:rFonts w:ascii="Times New Roman" w:hAnsi="Times New Roman"/>
          <w:sz w:val="24"/>
          <w:szCs w:val="24"/>
          <w:lang w:eastAsia="bg-BG"/>
        </w:rPr>
        <w:t>, което е 11,1 – 33,3 % от националната популация (оценка „А“). Опазването на вида е отлично (оценка „А“), популацията не е изолирана, но на границите на района на разпространение (оценка „В“).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се оценява на</w:t>
      </w:r>
      <w:r w:rsidRPr="00A8783E">
        <w:rPr>
          <w:rFonts w:ascii="Times New Roman" w:hAnsi="Times New Roman"/>
          <w:b/>
          <w:bCs/>
          <w:sz w:val="24"/>
          <w:szCs w:val="24"/>
          <w:lang w:eastAsia="bg-BG"/>
        </w:rPr>
        <w:t xml:space="preserve"> до 17</w:t>
      </w:r>
      <w:r w:rsidRPr="00A8783E">
        <w:rPr>
          <w:rFonts w:ascii="Times New Roman" w:hAnsi="Times New Roman"/>
          <w:sz w:val="24"/>
          <w:szCs w:val="24"/>
          <w:lang w:eastAsia="bg-BG"/>
        </w:rPr>
        <w:t xml:space="preserve"> </w:t>
      </w:r>
      <w:r w:rsidRPr="00A8783E">
        <w:rPr>
          <w:rFonts w:ascii="Times New Roman" w:hAnsi="Times New Roman"/>
          <w:b/>
          <w:bCs/>
          <w:sz w:val="24"/>
          <w:szCs w:val="24"/>
          <w:lang w:eastAsia="bg-BG"/>
        </w:rPr>
        <w:t>индивида</w:t>
      </w:r>
      <w:r w:rsidRPr="00A8783E">
        <w:rPr>
          <w:rFonts w:ascii="Times New Roman" w:hAnsi="Times New Roman"/>
          <w:sz w:val="24"/>
          <w:szCs w:val="24"/>
          <w:lang w:eastAsia="bg-BG"/>
        </w:rPr>
        <w:t>, което представлява 1,9 - 2,4 % от националната популация (оценка „А“). Опазването на вида е отлично (оценка „А“), популацията не е изолирана, но на границите на района на разпространение (оценка „В“).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color w:val="000000"/>
          <w:sz w:val="24"/>
          <w:szCs w:val="24"/>
          <w:lang w:eastAsia="bg-BG"/>
        </w:rPr>
      </w:pPr>
      <w:r w:rsidRPr="00A8783E">
        <w:rPr>
          <w:rFonts w:ascii="Times New Roman" w:hAnsi="Times New Roman"/>
          <w:i/>
          <w:iCs/>
          <w:color w:val="000000"/>
          <w:sz w:val="24"/>
          <w:szCs w:val="24"/>
          <w:lang w:eastAsia="bg-BG"/>
        </w:rPr>
        <w:t>Гнездяща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lastRenderedPageBreak/>
        <w:t>Видът гнезди единствено по р. Дунав – ез. Сребърна, а от 2016 г. в ЗЗ „Комплекс Беленски острови” и през 2021 г. и в ЗЗ „Комплекс Калимок”. В ЗЗ „Комплекс Беленски острови” къдроглавият пеликан гнезди в Песчинско блато от 2016 г., а от 2020 г. – видът гнезди и в Мъртво блато. През 2021 г. общата численост в тази ЗЗ е 88 двойки  (64 дв. в Песчинско блато и 24 дв. в Мъртво блато). Числеността на двойките в Сребърна през последните години варира от няколко до няколко десетки двойки. Публикуваната информация за гнезденето на вида в зоната през 2001 и 2003 г. е съответно 128 (2001 г.), 102 (2002 г.) и 80 двойки (2003 г.) (</w:t>
      </w:r>
      <w:r w:rsidRPr="00A8783E">
        <w:rPr>
          <w:rFonts w:ascii="Times New Roman" w:hAnsi="Times New Roman"/>
          <w:color w:val="000000"/>
          <w:sz w:val="24"/>
          <w:szCs w:val="24"/>
          <w:lang w:val="en-US" w:eastAsia="bg-BG"/>
        </w:rPr>
        <w:t>Kamburova</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xml:space="preserve">, 2003). В периода 2006-2011 г. се посочва численост между 80 и 150 двойки: 2006-104 дв., 2007-150 дв., 2008-80 дв., 2010-120 дв., 2011-106 дв. (Камбурова и Мичев съст., 2012). Според Матеева и др. (2013) в зоната са гнездили 40-45 двойки през 2012 г. Михов и др. (1997) и Костадинова и Граматиков (2007) дават числености от 20-110 двойки. В Актуализирания План за управление на ПР „Сребърна” (2015 г.), се посочва че видът гнезди с численост 70 двойки. </w:t>
      </w:r>
      <w:r w:rsidRPr="00A8783E">
        <w:rPr>
          <w:rFonts w:ascii="Times New Roman" w:hAnsi="Times New Roman"/>
          <w:sz w:val="24"/>
          <w:szCs w:val="24"/>
          <w:lang w:eastAsia="bg-BG"/>
        </w:rPr>
        <w:t xml:space="preserve">При теренните проучвания през 2021 г. видът бе наблюдаван през май и юни 2021 г. с численост 44 птици от които 1 млада птица. През тази година са загнездили 45-50 двойки, но колонията е била „нападната“ от хищници и е с много малък гнездови успех. Повечето птици са се преместили на две други места в южния край на езерото, но и там не са могли да отгледат малки. През пролетта на 2020 г. са гнездили около 92 дв. със значително по-добър гнездови успех. Числеността през отделните години е флуктуираща. През м. юли 2021 г. при цялостно проучване по р. Дунав са установени 16 екземпляра в реката в участъка срещу границата на ЗЗ.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noProof/>
          <w:lang w:eastAsia="bg-BG"/>
        </w:rPr>
        <w:drawing>
          <wp:inline distT="0" distB="0" distL="0" distR="0" wp14:anchorId="38A65587" wp14:editId="602BEE8A">
            <wp:extent cx="5770880" cy="2415540"/>
            <wp:effectExtent l="0" t="0" r="0" b="0"/>
            <wp:docPr id="2"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70880" cy="2415540"/>
                    </a:xfrm>
                    <a:prstGeom prst="rect">
                      <a:avLst/>
                    </a:prstGeom>
                    <a:noFill/>
                    <a:ln>
                      <a:noFill/>
                    </a:ln>
                  </pic:spPr>
                </pic:pic>
              </a:graphicData>
            </a:graphic>
          </wp:inline>
        </w:drawing>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Зимуваща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Данните за зимуването на вида в зоната са от средно зимните преброявания от 2013 до 2020 г., ПУ на ПР „Сребърна” и публикациите на Иванов (2008) и </w:t>
      </w:r>
      <w:r w:rsidRPr="00A8783E">
        <w:rPr>
          <w:rFonts w:ascii="Times New Roman" w:hAnsi="Times New Roman"/>
          <w:color w:val="000000"/>
          <w:sz w:val="24"/>
          <w:szCs w:val="24"/>
          <w:lang w:eastAsia="bg-BG"/>
        </w:rPr>
        <w:t>Михов и др. (1997) и Костадинова и Граматиков (2007)</w:t>
      </w:r>
      <w:r w:rsidRPr="00A8783E">
        <w:rPr>
          <w:rFonts w:ascii="Times New Roman" w:hAnsi="Times New Roman"/>
          <w:sz w:val="24"/>
          <w:szCs w:val="24"/>
          <w:lang w:eastAsia="bg-BG"/>
        </w:rPr>
        <w:t xml:space="preserve">. При средно-зимните преброявания видът е наблюдаван на 18.01.2015 в ез. Сребърна – 2 екз., на 16.01.2016 – 60 екз., на 13.01.2018 – 73 екз. При преброявания в реката между Сомовит и Силистра през 1984-2005 г., видът е установен през 1991 до 2005 г. с численост между 9 и 86 птици. </w:t>
      </w:r>
      <w:r w:rsidRPr="00A8783E">
        <w:rPr>
          <w:rFonts w:ascii="Times New Roman" w:hAnsi="Times New Roman"/>
          <w:color w:val="000000"/>
          <w:sz w:val="24"/>
          <w:szCs w:val="24"/>
          <w:lang w:eastAsia="bg-BG"/>
        </w:rPr>
        <w:t xml:space="preserve">Михов и др. (1997) и Костадинова и Граматиков (2007) дават зимуваща численост от 9 – 59 инд. </w:t>
      </w:r>
      <w:r w:rsidRPr="00A8783E">
        <w:rPr>
          <w:rFonts w:ascii="Times New Roman" w:hAnsi="Times New Roman"/>
          <w:sz w:val="24"/>
          <w:szCs w:val="24"/>
          <w:lang w:eastAsia="bg-BG"/>
        </w:rPr>
        <w:t>За 25 годишен период 1977-2001 г., през зимата са наблюдавани общо 37 пеликана (</w:t>
      </w:r>
      <w:r w:rsidRPr="00A8783E">
        <w:rPr>
          <w:rFonts w:ascii="Times New Roman" w:hAnsi="Times New Roman"/>
          <w:sz w:val="24"/>
          <w:szCs w:val="24"/>
          <w:lang w:val="en-US" w:eastAsia="bg-BG"/>
        </w:rPr>
        <w:t>Michev</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and</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Profirov</w:t>
      </w:r>
      <w:r w:rsidRPr="00A8783E">
        <w:rPr>
          <w:rFonts w:ascii="Times New Roman" w:hAnsi="Times New Roman"/>
          <w:sz w:val="24"/>
          <w:szCs w:val="24"/>
          <w:lang w:eastAsia="bg-BG"/>
        </w:rPr>
        <w:t>, 2003). От 2008 до 2013 г. зимуване на вида е отбелязано само през 2011 и 2012 г., съответно 1 и 14 птици (ПУ „Сребърна”, по данни от ИАОС).</w:t>
      </w:r>
    </w:p>
    <w:p w:rsidR="00A8783E" w:rsidRPr="00A8783E" w:rsidRDefault="00A8783E" w:rsidP="00A8783E">
      <w:pPr>
        <w:spacing w:before="120" w:after="120" w:line="240" w:lineRule="auto"/>
        <w:jc w:val="both"/>
        <w:rPr>
          <w:rFonts w:ascii="Times New Roman" w:hAnsi="Times New Roman"/>
          <w:i/>
          <w:iCs/>
          <w:color w:val="000000"/>
          <w:sz w:val="24"/>
          <w:szCs w:val="24"/>
          <w:lang w:eastAsia="bg-BG"/>
        </w:rPr>
      </w:pPr>
      <w:r w:rsidRPr="00A8783E">
        <w:rPr>
          <w:rFonts w:ascii="Times New Roman" w:hAnsi="Times New Roman"/>
          <w:i/>
          <w:iCs/>
          <w:color w:val="000000"/>
          <w:sz w:val="24"/>
          <w:szCs w:val="24"/>
          <w:lang w:eastAsia="bg-BG"/>
        </w:rPr>
        <w:t>Мигрираща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lastRenderedPageBreak/>
        <w:t xml:space="preserve">Мигрира по цялото поречие на р. Дунав. </w:t>
      </w:r>
      <w:r w:rsidRPr="00A8783E">
        <w:rPr>
          <w:rFonts w:ascii="Times New Roman" w:hAnsi="Times New Roman"/>
          <w:sz w:val="24"/>
          <w:szCs w:val="24"/>
          <w:lang w:eastAsia="bg-BG"/>
        </w:rPr>
        <w:t xml:space="preserve">По време на миграция голям брой пеликани – до 300 индивида, се задържа по поречието на р. Дунав, където се хранят. По време на есенна миграция значими количества къдроглави пеликани са отчитани по Дунав. При проучвания на миграцията на птиците през 2011 и 2012 г. няма данни за числеността на птиците в ЗЗ „Сребърна” (Матеева и Янков, 2013). </w:t>
      </w:r>
      <w:r w:rsidRPr="00A8783E">
        <w:rPr>
          <w:rFonts w:ascii="Times New Roman" w:hAnsi="Times New Roman"/>
          <w:color w:val="000000"/>
          <w:sz w:val="24"/>
          <w:szCs w:val="24"/>
          <w:lang w:eastAsia="bg-BG"/>
        </w:rPr>
        <w:t xml:space="preserve">Михов и др. (1997) не дават числености на мигриращи къдроглави пеликани в района на ЗЗ Сребърна. Костадинова, Граматиков (2007) посочват като мигриращи 23 индивида. </w:t>
      </w:r>
      <w:r w:rsidRPr="00A8783E">
        <w:rPr>
          <w:rFonts w:ascii="Times New Roman" w:hAnsi="Times New Roman"/>
          <w:sz w:val="24"/>
          <w:szCs w:val="24"/>
          <w:lang w:eastAsia="bg-BG"/>
        </w:rPr>
        <w:t xml:space="preserve">По-конкретни данни за числеността на вида по време на миграция в ЗЗ „Сребърна” липсват.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От посочените в Докладването от 2019 г. заплахи и влияния за гнездящата, мигриращата и зимуващата популация: K03, F02, F05, J02, J03, D02, C03, няма валидни за зоната.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5"/>
        <w:gridCol w:w="1276"/>
        <w:gridCol w:w="1121"/>
        <w:gridCol w:w="2835"/>
        <w:gridCol w:w="2400"/>
      </w:tblGrid>
      <w:tr w:rsidR="00A8783E" w:rsidRPr="00A8783E" w:rsidTr="005B5318">
        <w:trPr>
          <w:tblHeader/>
          <w:jc w:val="center"/>
        </w:trPr>
        <w:tc>
          <w:tcPr>
            <w:tcW w:w="1705"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27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121"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835"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400"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70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гнездовата популацията</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121"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30 - 70 двойки </w:t>
            </w:r>
          </w:p>
        </w:tc>
        <w:tc>
          <w:tcPr>
            <w:tcW w:w="283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Целевата стойност е определена на база данните от СФ, от извършен мониторинг в защитената зона през гнездовия период на 2021 г. и от литературни източници през последните години.</w:t>
            </w:r>
          </w:p>
        </w:tc>
        <w:tc>
          <w:tcPr>
            <w:tcW w:w="240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популацията на вида в зоната в размер от най-малко 30 гнездящи двойки чрез поддържане на достатъчни по площ изкуствени гнездови платформи в зоната.</w:t>
            </w:r>
          </w:p>
        </w:tc>
      </w:tr>
      <w:tr w:rsidR="00A8783E" w:rsidRPr="00A8783E" w:rsidTr="005B5318">
        <w:trPr>
          <w:jc w:val="center"/>
        </w:trPr>
        <w:tc>
          <w:tcPr>
            <w:tcW w:w="170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12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200 инд.</w:t>
            </w:r>
          </w:p>
        </w:tc>
        <w:tc>
          <w:tcPr>
            <w:tcW w:w="283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СФ за концентрацията на вида по време на миграция в зоната е посочена минимална и максимална стойност от 200 инд. Предполагаме че тази численост за територията на ЗЗ е много завишена, но няма лит. данни за миграцията на вида, затова е необходима междинна цел.</w:t>
            </w:r>
          </w:p>
        </w:tc>
        <w:tc>
          <w:tcPr>
            <w:tcW w:w="240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Междинна цел: Да се извърши целенасочен мониторинг за установяване на размера на мигриращата популация до 2025 г.</w:t>
            </w:r>
          </w:p>
          <w:p w:rsidR="00A8783E" w:rsidRPr="00A8783E" w:rsidRDefault="00A8783E" w:rsidP="00A8783E">
            <w:pPr>
              <w:spacing w:after="0" w:line="240" w:lineRule="auto"/>
              <w:jc w:val="both"/>
              <w:rPr>
                <w:rFonts w:ascii="Times New Roman" w:hAnsi="Times New Roman"/>
                <w:lang w:eastAsia="bg-BG"/>
              </w:rPr>
            </w:pPr>
          </w:p>
        </w:tc>
      </w:tr>
      <w:tr w:rsidR="00A8783E" w:rsidRPr="00A8783E" w:rsidTr="005B5318">
        <w:trPr>
          <w:jc w:val="center"/>
        </w:trPr>
        <w:tc>
          <w:tcPr>
            <w:tcW w:w="170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зимуващата популация</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121"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0 – 17 инд.</w:t>
            </w:r>
          </w:p>
        </w:tc>
        <w:tc>
          <w:tcPr>
            <w:tcW w:w="2835" w:type="dxa"/>
          </w:tcPr>
          <w:p w:rsidR="00A8783E" w:rsidRPr="00A8783E" w:rsidRDefault="00A8783E" w:rsidP="00A8783E">
            <w:pPr>
              <w:spacing w:after="0" w:line="240" w:lineRule="auto"/>
              <w:jc w:val="both"/>
              <w:rPr>
                <w:rFonts w:ascii="Times New Roman" w:hAnsi="Times New Roman"/>
                <w:color w:val="000000"/>
                <w:lang w:eastAsia="bg-BG"/>
              </w:rPr>
            </w:pPr>
            <w:r w:rsidRPr="00A8783E">
              <w:rPr>
                <w:rFonts w:ascii="Times New Roman" w:hAnsi="Times New Roman"/>
                <w:lang w:eastAsia="bg-BG"/>
              </w:rPr>
              <w:t xml:space="preserve">В СФ за зимуващата популация на вида в зоната са посочени до 17 инд. Числеността на зимуващите птици е много променлива и зависи от климатичните условия. </w:t>
            </w:r>
            <w:r w:rsidRPr="00A8783E">
              <w:rPr>
                <w:rFonts w:ascii="Times New Roman" w:hAnsi="Times New Roman"/>
                <w:color w:val="000000"/>
                <w:lang w:eastAsia="bg-BG"/>
              </w:rPr>
              <w:t>Необходино е да бъде предвидена междинна цел.</w:t>
            </w:r>
          </w:p>
        </w:tc>
        <w:tc>
          <w:tcPr>
            <w:tcW w:w="240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Да се извърши целенасочен мониторинг за установяване на размера на зимуващата популация до 2025 г.</w:t>
            </w:r>
          </w:p>
        </w:tc>
      </w:tr>
      <w:tr w:rsidR="00A8783E" w:rsidRPr="00A8783E" w:rsidTr="005B5318">
        <w:trPr>
          <w:jc w:val="center"/>
        </w:trPr>
        <w:tc>
          <w:tcPr>
            <w:tcW w:w="170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12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370</w:t>
            </w:r>
          </w:p>
        </w:tc>
        <w:tc>
          <w:tcPr>
            <w:tcW w:w="283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Изчислена приблизително на базата на площта, която заемат тръстиковите масиви в зоната.</w:t>
            </w:r>
          </w:p>
        </w:tc>
        <w:tc>
          <w:tcPr>
            <w:tcW w:w="240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Поддържане и увеличаване на площта на подходящите гнездови местообитания на вида в защитената зона чрез поддържане на </w:t>
            </w:r>
            <w:r w:rsidRPr="00A8783E">
              <w:rPr>
                <w:rFonts w:ascii="Times New Roman" w:hAnsi="Times New Roman"/>
                <w:lang w:eastAsia="bg-BG"/>
              </w:rPr>
              <w:lastRenderedPageBreak/>
              <w:t>достатъчни по площ изкуствени гнездови платформи в зоната.</w:t>
            </w:r>
          </w:p>
        </w:tc>
      </w:tr>
      <w:tr w:rsidR="00A8783E" w:rsidRPr="00A8783E" w:rsidTr="005B5318">
        <w:trPr>
          <w:jc w:val="center"/>
        </w:trPr>
        <w:tc>
          <w:tcPr>
            <w:tcW w:w="170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12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840</w:t>
            </w:r>
          </w:p>
        </w:tc>
        <w:tc>
          <w:tcPr>
            <w:tcW w:w="283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Включва гнездовото местообитание и всички стоящи и течащи води в зоната.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 xml:space="preserve">07-мочурища и блата и </w:t>
            </w:r>
            <w:r w:rsidRPr="00A8783E">
              <w:rPr>
                <w:rFonts w:ascii="Times New Roman" w:hAnsi="Times New Roman"/>
                <w:lang w:val="en-US" w:eastAsia="bg-BG"/>
              </w:rPr>
              <w:t>N</w:t>
            </w:r>
            <w:r w:rsidRPr="00A8783E">
              <w:rPr>
                <w:rFonts w:ascii="Times New Roman" w:hAnsi="Times New Roman"/>
                <w:lang w:eastAsia="bg-BG"/>
              </w:rPr>
              <w:t>06-вътрешни водни тела.</w:t>
            </w:r>
          </w:p>
        </w:tc>
        <w:tc>
          <w:tcPr>
            <w:tcW w:w="240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хранителни местообитания на вида.</w:t>
            </w:r>
          </w:p>
        </w:tc>
      </w:tr>
      <w:tr w:rsidR="00A8783E" w:rsidRPr="00A8783E" w:rsidTr="005B5318">
        <w:trPr>
          <w:jc w:val="center"/>
        </w:trPr>
        <w:tc>
          <w:tcPr>
            <w:tcW w:w="170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риби (</w:t>
            </w:r>
            <w:r w:rsidRPr="00A8783E">
              <w:rPr>
                <w:rFonts w:ascii="Times New Roman" w:hAnsi="Times New Roman"/>
                <w:lang w:val="en-GB" w:eastAsia="bg-BG"/>
              </w:rPr>
              <w:t>JDS</w:t>
            </w:r>
            <w:r w:rsidRPr="00A8783E">
              <w:rPr>
                <w:rFonts w:ascii="Times New Roman" w:hAnsi="Times New Roman"/>
                <w:lang w:eastAsia="bg-BG"/>
              </w:rPr>
              <w:t>4-</w:t>
            </w:r>
            <w:r w:rsidRPr="00A8783E">
              <w:rPr>
                <w:rFonts w:ascii="Times New Roman" w:hAnsi="Times New Roman"/>
                <w:lang w:val="en-GB" w:eastAsia="bg-BG"/>
              </w:rPr>
              <w:t>Fish</w:t>
            </w:r>
            <w:r w:rsidRPr="00A8783E">
              <w:rPr>
                <w:rFonts w:ascii="Times New Roman" w:hAnsi="Times New Roman"/>
                <w:lang w:eastAsia="bg-BG"/>
              </w:rPr>
              <w:t>)</w:t>
            </w:r>
          </w:p>
        </w:tc>
        <w:tc>
          <w:tcPr>
            <w:tcW w:w="127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12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835" w:type="dxa"/>
          </w:tcPr>
          <w:tbl>
            <w:tblPr>
              <w:tblW w:w="3023" w:type="dxa"/>
              <w:tblInd w:w="3" w:type="dxa"/>
              <w:tblLayout w:type="fixed"/>
              <w:tblCellMar>
                <w:left w:w="70" w:type="dxa"/>
                <w:right w:w="70" w:type="dxa"/>
              </w:tblCellMar>
              <w:tblLook w:val="00A0" w:firstRow="1" w:lastRow="0" w:firstColumn="1" w:lastColumn="0" w:noHBand="0" w:noVBand="0"/>
            </w:tblPr>
            <w:tblGrid>
              <w:gridCol w:w="3023"/>
            </w:tblGrid>
            <w:tr w:rsidR="00A8783E" w:rsidRPr="00A8783E" w:rsidTr="005B5318">
              <w:trPr>
                <w:trHeight w:val="302"/>
              </w:trPr>
              <w:tc>
                <w:tcPr>
                  <w:tcW w:w="3023"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99"/>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99"/>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99"/>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99"/>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99"/>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99"/>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4 (2019-2020, Табл. 5, стр. 51). Екологичното състояние на езерото Сребърна по БЕК Риби е оценено като „</w:t>
            </w:r>
            <w:r w:rsidRPr="00A8783E">
              <w:rPr>
                <w:rFonts w:ascii="Times New Roman" w:hAnsi="Times New Roman"/>
                <w:b/>
                <w:bCs/>
                <w:lang w:eastAsia="bg-BG"/>
              </w:rPr>
              <w:t>Умерено</w:t>
            </w:r>
            <w:r w:rsidRPr="00A8783E">
              <w:rPr>
                <w:rFonts w:ascii="Times New Roman" w:hAnsi="Times New Roman"/>
                <w:lang w:eastAsia="bg-BG"/>
              </w:rPr>
              <w:t>“</w:t>
            </w:r>
          </w:p>
        </w:tc>
        <w:tc>
          <w:tcPr>
            <w:tcW w:w="2400"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120" w:line="240" w:lineRule="auto"/>
        <w:rPr>
          <w:rFonts w:ascii="Times New Roman" w:hAnsi="Times New Roman"/>
          <w:b/>
          <w:bCs/>
          <w:sz w:val="24"/>
          <w:szCs w:val="24"/>
          <w:lang w:eastAsia="bg-BG"/>
        </w:rPr>
      </w:pPr>
    </w:p>
    <w:p w:rsidR="00A8783E" w:rsidRPr="00A8783E" w:rsidRDefault="00A8783E" w:rsidP="00A8783E">
      <w:pPr>
        <w:spacing w:after="120" w:line="240" w:lineRule="auto"/>
        <w:rPr>
          <w:rFonts w:ascii="Times New Roman" w:hAnsi="Times New Roman"/>
          <w:b/>
          <w:bCs/>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Предвид наличната информация за настоящата гнездяща, мигрираща и зимуваща численост на вида в защитената зона, не е необходима актуализация на СФ. Необходимо е допълнително проучване за установяване размера на мигриращата през зоната популация.</w:t>
      </w:r>
    </w:p>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39" w:name="_Toc89106064"/>
      <w:bookmarkStart w:id="140" w:name="_Toc98741903"/>
      <w:bookmarkStart w:id="141" w:name="_Toc98838578"/>
      <w:r w:rsidRPr="00A8783E">
        <w:rPr>
          <w:rFonts w:ascii="Times New Roman" w:hAnsi="Times New Roman"/>
          <w:color w:val="1F497D"/>
          <w:sz w:val="28"/>
          <w:szCs w:val="28"/>
          <w:lang w:eastAsia="bg-BG"/>
        </w:rPr>
        <w:t xml:space="preserve">Специфични цели за А021 </w:t>
      </w:r>
      <w:r w:rsidRPr="00A8783E">
        <w:rPr>
          <w:rFonts w:ascii="Times New Roman" w:hAnsi="Times New Roman"/>
          <w:i/>
          <w:iCs/>
          <w:color w:val="1F497D"/>
          <w:sz w:val="28"/>
          <w:szCs w:val="28"/>
          <w:lang w:val="en-GB" w:eastAsia="bg-BG"/>
        </w:rPr>
        <w:t>Botaurus</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GB" w:eastAsia="bg-BG"/>
        </w:rPr>
        <w:t>stellaris</w:t>
      </w:r>
      <w:r w:rsidRPr="00A8783E">
        <w:rPr>
          <w:rFonts w:ascii="Times New Roman" w:hAnsi="Times New Roman"/>
          <w:color w:val="1F497D"/>
          <w:sz w:val="28"/>
          <w:szCs w:val="28"/>
          <w:lang w:eastAsia="bg-BG"/>
        </w:rPr>
        <w:t xml:space="preserve"> (голям воден бик)</w:t>
      </w:r>
      <w:bookmarkEnd w:id="139"/>
      <w:bookmarkEnd w:id="140"/>
      <w:bookmarkEnd w:id="141"/>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Дължина на тялото: 69 – 81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Размах на крилата: 100 – 130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Оперението на тялото на големия воден бик е охрено кафяво с по-тъмни петна и черти. Коремът е по-светъл. Горната страна на главата и перата между очите и клюна са чернокафяви. Няма полов диморфизъм. Младите екземпляри имат по-светло оперение, изпъстрено с бели петна и черти. Няма много добре изразен полов диморфизъм.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В България големият воден бик е гнездящ, прелетен, преминаващ и зимуващ вид. По-голямата част от гнездящата популация през зимата мигрира на юг и напуска страната. Над територията на цялата страна преминава интензивен миграционен поток на големи </w:t>
      </w:r>
      <w:r w:rsidRPr="00A8783E">
        <w:rPr>
          <w:rFonts w:ascii="Times New Roman" w:hAnsi="Times New Roman"/>
          <w:sz w:val="24"/>
          <w:szCs w:val="24"/>
          <w:lang w:eastAsia="bg-BG"/>
        </w:rPr>
        <w:lastRenderedPageBreak/>
        <w:t xml:space="preserve">водни бикове, част от които остават да зимуват в страната (Шурулинков, 2014). Голяма част от българската популация, както и птиците от северните части на ареала зимуват в България (Симеонов и др., 1990). Долита през март и отлита през септември-октомври. Големият воден бик е нощен мигрант, преминаващ по време на своята миграция през територията на цялата страна, но най-масово – по Черноморското крайбрежие. Обикновено мигрира поединично или по двойки, рядко на малки семейни групи (Шурулинков, 2014). Зимува в Средиземноморието. Рядък и малоброен вид. Гнезди из цялата страна в различни водоеми, обрасли с тръстика или папур. Повечето от установените гнездови находища са в Горнотракийската низина, Тунджанската низина и по р. Дунав, но най-висока е плътността на вида в Драгоманското и Алдомировското блата в Софийско. По Черноморското крайбрежие е твърде малоброен като гнездящ вид.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Големият воден бик у нас гнезди в разнообразни влажни зони, обрасли в една или друга степен с масиви от висша водна растителност (тръстика, папур, камъш), от морското равнище до 860 м н.в. (в миналото – до около 1100 м н.в.). Това са най-често блата, езера, рибарници, язовири, вкл. микроязовири, бавни речни участъци. Най-голям дял от находищата (39%) са в естествени блата и езера. В най-голям брой от находищата (50%), гнездовото местообитание са обширните масиви от тръстика (Шурулинков, 2014). Големият воден бик е полигамен вид. В територията на един мъжки, която варира от 8–10 до 100 </w:t>
      </w:r>
      <w:r w:rsidRPr="00A8783E">
        <w:rPr>
          <w:rFonts w:ascii="Times New Roman" w:hAnsi="Times New Roman"/>
          <w:sz w:val="24"/>
          <w:szCs w:val="24"/>
          <w:lang w:val="en-US" w:eastAsia="bg-BG"/>
        </w:rPr>
        <w:t>ha</w:t>
      </w:r>
      <w:r w:rsidRPr="00A8783E">
        <w:rPr>
          <w:rFonts w:ascii="Times New Roman" w:hAnsi="Times New Roman"/>
          <w:sz w:val="24"/>
          <w:szCs w:val="24"/>
          <w:lang w:eastAsia="bg-BG"/>
        </w:rPr>
        <w:t xml:space="preserve">, обикновено има между 1 и 5 женски, които строят свои гнезда. Две съседни гнезда могат да са на минимална дистанция от 3 </w:t>
      </w:r>
      <w:r w:rsidRPr="00A8783E">
        <w:rPr>
          <w:rFonts w:ascii="Times New Roman" w:hAnsi="Times New Roman"/>
          <w:sz w:val="24"/>
          <w:szCs w:val="24"/>
          <w:lang w:val="en-US" w:eastAsia="bg-BG"/>
        </w:rPr>
        <w:t>m</w:t>
      </w:r>
      <w:r w:rsidRPr="00A8783E">
        <w:rPr>
          <w:rFonts w:ascii="Times New Roman" w:hAnsi="Times New Roman"/>
          <w:sz w:val="24"/>
          <w:szCs w:val="24"/>
          <w:lang w:eastAsia="bg-BG"/>
        </w:rPr>
        <w:t xml:space="preserve">. и дори 5 </w:t>
      </w:r>
      <w:r w:rsidRPr="00A8783E">
        <w:rPr>
          <w:rFonts w:ascii="Times New Roman" w:hAnsi="Times New Roman"/>
          <w:sz w:val="24"/>
          <w:szCs w:val="24"/>
          <w:lang w:val="en-US" w:eastAsia="bg-BG"/>
        </w:rPr>
        <w:t>m</w:t>
      </w:r>
      <w:r w:rsidRPr="00A8783E">
        <w:rPr>
          <w:rFonts w:ascii="Times New Roman" w:hAnsi="Times New Roman"/>
          <w:sz w:val="24"/>
          <w:szCs w:val="24"/>
          <w:lang w:eastAsia="bg-BG"/>
        </w:rPr>
        <w:t>. (Шурулинков, 2014). Гнездата се изграждат в миналогодишна тръстика и се състоят от листа на тръстика и друга висша водна растителност. Предпочитаните местообитания са: 1130, 1150, 3130 и 3150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Големият воден бик се храни с риби, жаби, тритони, мишевидни гризачи, раци, охлюви, насекоми, пиявици, червеи, паяци, а по-рядко и с дребни птици и влечуги (Симеонов и др., 1990; White et al., 2006). В Чехия сред насекомите са регистрирани водни кончета, водни твърдокрили и техните ларви, водни полутвърдокрили и сухоземни бръмбари (Hudec, 1994). В Драгоманското и Алдомировското блато основният хранителен компонент най-вероятно е </w:t>
      </w:r>
      <w:r w:rsidRPr="00A8783E">
        <w:rPr>
          <w:rFonts w:ascii="Times New Roman" w:hAnsi="Times New Roman"/>
          <w:i/>
          <w:iCs/>
          <w:sz w:val="24"/>
          <w:szCs w:val="24"/>
          <w:lang w:eastAsia="bg-BG"/>
        </w:rPr>
        <w:t>Carassius auratus</w:t>
      </w:r>
      <w:r w:rsidRPr="00A8783E">
        <w:rPr>
          <w:rFonts w:ascii="Times New Roman" w:hAnsi="Times New Roman"/>
          <w:sz w:val="24"/>
          <w:szCs w:val="24"/>
          <w:lang w:eastAsia="bg-BG"/>
        </w:rPr>
        <w:t xml:space="preserve"> (Шурулинков, 2014). В Англия предпочитаните видове риби са змиорката (</w:t>
      </w:r>
      <w:r w:rsidRPr="00A8783E">
        <w:rPr>
          <w:rFonts w:ascii="Times New Roman" w:hAnsi="Times New Roman"/>
          <w:i/>
          <w:iCs/>
          <w:sz w:val="24"/>
          <w:szCs w:val="24"/>
          <w:lang w:eastAsia="bg-BG"/>
        </w:rPr>
        <w:t>Anguilla anguilla</w:t>
      </w:r>
      <w:r w:rsidRPr="00A8783E">
        <w:rPr>
          <w:rFonts w:ascii="Times New Roman" w:hAnsi="Times New Roman"/>
          <w:sz w:val="24"/>
          <w:szCs w:val="24"/>
          <w:lang w:eastAsia="bg-BG"/>
        </w:rPr>
        <w:t>), червеноперката (</w:t>
      </w:r>
      <w:r w:rsidRPr="00A8783E">
        <w:rPr>
          <w:rFonts w:ascii="Times New Roman" w:hAnsi="Times New Roman"/>
          <w:i/>
          <w:iCs/>
          <w:sz w:val="24"/>
          <w:szCs w:val="24"/>
          <w:lang w:eastAsia="bg-BG"/>
        </w:rPr>
        <w:t>Scardinius erythrophthalmus</w:t>
      </w:r>
      <w:r w:rsidRPr="00A8783E">
        <w:rPr>
          <w:rFonts w:ascii="Times New Roman" w:hAnsi="Times New Roman"/>
          <w:sz w:val="24"/>
          <w:szCs w:val="24"/>
          <w:lang w:eastAsia="bg-BG"/>
        </w:rPr>
        <w:t>), трииглата (</w:t>
      </w:r>
      <w:r w:rsidRPr="00A8783E">
        <w:rPr>
          <w:rFonts w:ascii="Times New Roman" w:hAnsi="Times New Roman"/>
          <w:i/>
          <w:iCs/>
          <w:sz w:val="24"/>
          <w:szCs w:val="24"/>
          <w:lang w:eastAsia="bg-BG"/>
        </w:rPr>
        <w:t>Gasterosteus aculeatus</w:t>
      </w:r>
      <w:r w:rsidRPr="00A8783E">
        <w:rPr>
          <w:rFonts w:ascii="Times New Roman" w:hAnsi="Times New Roman"/>
          <w:sz w:val="24"/>
          <w:szCs w:val="24"/>
          <w:lang w:eastAsia="bg-BG"/>
        </w:rPr>
        <w:t>) и деветиглата бодливки (</w:t>
      </w:r>
      <w:r w:rsidRPr="00A8783E">
        <w:rPr>
          <w:rFonts w:ascii="Times New Roman" w:hAnsi="Times New Roman"/>
          <w:i/>
          <w:iCs/>
          <w:sz w:val="24"/>
          <w:szCs w:val="24"/>
          <w:lang w:eastAsia="bg-BG"/>
        </w:rPr>
        <w:t>Pungitius platygaster</w:t>
      </w:r>
      <w:r w:rsidRPr="00A8783E">
        <w:rPr>
          <w:rFonts w:ascii="Times New Roman" w:hAnsi="Times New Roman"/>
          <w:sz w:val="24"/>
          <w:szCs w:val="24"/>
          <w:lang w:eastAsia="bg-BG"/>
        </w:rPr>
        <w:t xml:space="preserve">) (Джилбърт, 2003).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Рядък и малоброен вид. Гнезди из цялата страна в различни водоеми, обрасли с тръстика или папур. Повечето от установените гнездови находища са в Горнотракийската низина, Тунджанската низина и по р. Дунав, но най-висока е плътността на вида в Драгоманското и Алдомировското блата в Софийско. По Черноморското крайбрежие е твърде малоброен като гнездящ вид (Янков, отг. ред. 2007; Шурулинков, 2014).</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Природозащитният статус на големият воден бик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е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xml:space="preserve">). Включен в Червената книга на Р България в категория „Застрашен“. Включен в SPEC 3. Включен е в Приложение 1 на Директивата за птиците, както и в Приложения 2 и 3 на ЗБР.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Съгласно Докладването от 2019 г. (за периода 2013 – 2018 г.) националната гнездяща популация на вида се оценя на 70-110 токуващи мъжки. Краткосрочната тенденция на популацията (за периода 2000 – 2018 г.) е нарастваща, а дългосрочната (за периода 1980 – 2018 г.) – също нарастваща.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Зимуващата популация е оценена на 50 – 100 индивида. Краткосрочната тенденция на популацията (за периода 2000 – 2018 г.) е нарастваща, а дългосрочната (за периода 1980 – 2018 г.) - флуктуираща.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За гнездящата и зимуващата популация са посочени следните заплахи и влияния: A08, D01, F01, F02, F03, F05, H01, J01, J02, G10, G14 и K01.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СФ на зоната вида е гнездящ и мигриращ. </w:t>
      </w:r>
      <w:r w:rsidRPr="00A8783E">
        <w:rPr>
          <w:rFonts w:ascii="Times New Roman" w:hAnsi="Times New Roman"/>
          <w:b/>
          <w:bCs/>
          <w:sz w:val="24"/>
          <w:szCs w:val="24"/>
          <w:lang w:eastAsia="bg-BG"/>
        </w:rPr>
        <w:t>Гнездящата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0 - 4</w:t>
      </w:r>
      <w:r w:rsidRPr="00A8783E">
        <w:rPr>
          <w:rFonts w:ascii="Times New Roman" w:hAnsi="Times New Roman"/>
          <w:sz w:val="24"/>
          <w:szCs w:val="24"/>
          <w:lang w:eastAsia="bg-BG"/>
        </w:rPr>
        <w:t xml:space="preserve"> </w:t>
      </w:r>
      <w:r w:rsidRPr="00A8783E">
        <w:rPr>
          <w:rFonts w:ascii="Times New Roman" w:hAnsi="Times New Roman"/>
          <w:b/>
          <w:bCs/>
          <w:sz w:val="24"/>
          <w:szCs w:val="24"/>
          <w:lang w:eastAsia="bg-BG"/>
        </w:rPr>
        <w:t>двойки</w:t>
      </w:r>
      <w:r w:rsidRPr="00A8783E">
        <w:rPr>
          <w:rFonts w:ascii="Times New Roman" w:hAnsi="Times New Roman"/>
          <w:sz w:val="24"/>
          <w:szCs w:val="24"/>
          <w:lang w:eastAsia="bg-BG"/>
        </w:rPr>
        <w:t>, което представлява 3,6 - 5,7 %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СФ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 на </w:t>
      </w:r>
      <w:r w:rsidRPr="00A8783E">
        <w:rPr>
          <w:rFonts w:ascii="Times New Roman" w:hAnsi="Times New Roman"/>
          <w:b/>
          <w:bCs/>
          <w:sz w:val="24"/>
          <w:szCs w:val="24"/>
          <w:lang w:eastAsia="bg-BG"/>
        </w:rPr>
        <w:t xml:space="preserve">2 - 8 индивида </w:t>
      </w:r>
      <w:r w:rsidRPr="00A8783E">
        <w:rPr>
          <w:rFonts w:ascii="Times New Roman" w:hAnsi="Times New Roman"/>
          <w:sz w:val="24"/>
          <w:szCs w:val="24"/>
          <w:lang w:eastAsia="bg-BG"/>
        </w:rPr>
        <w:t>(оценка „С“). Вида не е докладван като мигриращ.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Гнездяща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За вида има разработен „План да действие” за неговото опазване 2014 – 2023 г. (Шурулинков, 2014). При теренните проучвания през 2011 г. във връзка с Плана за действие, видът е установен като гнездящ в Сребърна с 2 токуващи мъжки или 4,4% от броя на токуващите мъжки в страната. </w:t>
      </w:r>
      <w:r w:rsidRPr="00A8783E">
        <w:rPr>
          <w:rFonts w:ascii="Times New Roman" w:hAnsi="Times New Roman"/>
          <w:color w:val="000000"/>
          <w:sz w:val="24"/>
          <w:szCs w:val="24"/>
          <w:lang w:eastAsia="bg-BG"/>
        </w:rPr>
        <w:t>През 2001 и 2003 г. няма данни за гнездене на вида в зоната (</w:t>
      </w:r>
      <w:r w:rsidRPr="00A8783E">
        <w:rPr>
          <w:rFonts w:ascii="Times New Roman" w:hAnsi="Times New Roman"/>
          <w:color w:val="000000"/>
          <w:sz w:val="24"/>
          <w:szCs w:val="24"/>
          <w:lang w:val="en-US" w:eastAsia="bg-BG"/>
        </w:rPr>
        <w:t>Kamburova</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xml:space="preserve">, 2003 и </w:t>
      </w:r>
      <w:r w:rsidRPr="00A8783E">
        <w:rPr>
          <w:rFonts w:ascii="Times New Roman" w:hAnsi="Times New Roman"/>
          <w:color w:val="000000"/>
          <w:sz w:val="24"/>
          <w:szCs w:val="24"/>
          <w:lang w:val="en-US" w:eastAsia="bg-BG"/>
        </w:rPr>
        <w:t>Kamb</w:t>
      </w:r>
      <w:r w:rsidRPr="00A8783E">
        <w:rPr>
          <w:rFonts w:ascii="Times New Roman" w:hAnsi="Times New Roman"/>
          <w:color w:val="000000"/>
          <w:sz w:val="24"/>
          <w:szCs w:val="24"/>
          <w:lang w:eastAsia="bg-BG"/>
        </w:rPr>
        <w:t>о</w:t>
      </w:r>
      <w:r w:rsidRPr="00A8783E">
        <w:rPr>
          <w:rFonts w:ascii="Times New Roman" w:hAnsi="Times New Roman"/>
          <w:color w:val="000000"/>
          <w:sz w:val="24"/>
          <w:szCs w:val="24"/>
          <w:lang w:val="en-US" w:eastAsia="bg-BG"/>
        </w:rPr>
        <w:t>urova</w:t>
      </w:r>
      <w:r w:rsidRPr="00A8783E">
        <w:rPr>
          <w:rFonts w:ascii="Times New Roman" w:hAnsi="Times New Roman"/>
          <w:color w:val="000000"/>
          <w:sz w:val="24"/>
          <w:szCs w:val="24"/>
          <w:lang w:eastAsia="bg-BG"/>
        </w:rPr>
        <w:t xml:space="preserve">, 2005). Според Матеева и др. (2013) в зоната са гнездили 2-8 дв. през 2012 г. Михов и др. (1997) и Костадинова и Граматиков (2007) дават числености от 2 до 8 двойки. В Плана за управление на поддържан резерват „Сребърна”, 2015 г, видът не е даден като гнездящ или зимуващ в зоната. </w:t>
      </w:r>
      <w:r w:rsidRPr="00A8783E">
        <w:rPr>
          <w:rFonts w:ascii="Times New Roman" w:hAnsi="Times New Roman"/>
          <w:sz w:val="24"/>
          <w:szCs w:val="24"/>
          <w:lang w:eastAsia="bg-BG"/>
        </w:rPr>
        <w:t>При теренните проучвания през 2021 г. видът не е наблюдаван в зоната.</w:t>
      </w:r>
    </w:p>
    <w:p w:rsidR="00A8783E" w:rsidRPr="00A8783E" w:rsidRDefault="00A8783E" w:rsidP="00A8783E">
      <w:pPr>
        <w:autoSpaceDE w:val="0"/>
        <w:autoSpaceDN w:val="0"/>
        <w:adjustRightInd w:val="0"/>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Мигрираща зимуваща популация</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По-голямата част от гнездящата популация на вида през зимата мигрира и напуска гнездилищата си. Това важи изцяло за гнездящите птици в западна и северна България. Над територията на цялата страна преминава интензивен миграционен поток на големи водни бикове, част от които остават да зимуват в страната, главно в зоните с преходно-средиземноморски климат и в крайморските райони, но също така и в равнините с умерен климат. Няма данни за вида в зоната по време на миграция.</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Общата зимна численост в страната се оценява на до 22 индивида (Костадинова и Граматиков 2007), макар че целенасочено преброяване не е извършвано никога. По време на средно-зимните преброявания регистрирането на вида има случаен характер и използването на данните от него за определяне на зимната численост води до резултати, които не са представителни и до подценяване на общата численост на вида през този период от годината. Не е установен при средно-зимните преброявания по Дунав през 2019 и 2020 г. </w:t>
      </w:r>
    </w:p>
    <w:p w:rsidR="00A8783E" w:rsidRPr="00A8783E" w:rsidRDefault="00A8783E" w:rsidP="00A8783E">
      <w:pPr>
        <w:spacing w:after="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 xml:space="preserve">От посочените в Докладването от 2019 г. заплахи и влияния за гнездящата и мигриращата популация: A08, D01, F01, F02, F03, F05, H01, J01, J02, G10, G14 и K01, валидни за зоната са: </w:t>
      </w:r>
      <w:r w:rsidRPr="00A8783E">
        <w:rPr>
          <w:rFonts w:ascii="Times New Roman" w:hAnsi="Times New Roman"/>
          <w:sz w:val="24"/>
          <w:szCs w:val="24"/>
          <w:lang w:val="en-GB"/>
        </w:rPr>
        <w:t>G</w:t>
      </w:r>
      <w:r w:rsidRPr="00A8783E">
        <w:rPr>
          <w:rFonts w:ascii="Times New Roman" w:hAnsi="Times New Roman"/>
          <w:sz w:val="24"/>
          <w:szCs w:val="24"/>
        </w:rPr>
        <w:t>14-Използване на оловни боеприпаси или риболовни тежести.</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5"/>
        <w:gridCol w:w="1134"/>
        <w:gridCol w:w="1280"/>
        <w:gridCol w:w="2744"/>
        <w:gridCol w:w="2336"/>
      </w:tblGrid>
      <w:tr w:rsidR="00A8783E" w:rsidRPr="00A8783E" w:rsidTr="005B5318">
        <w:trPr>
          <w:tblHeader/>
          <w:jc w:val="center"/>
        </w:trPr>
        <w:tc>
          <w:tcPr>
            <w:tcW w:w="1715"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13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280"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74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33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71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гнездовата популацията</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28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0-4 двойки </w:t>
            </w:r>
          </w:p>
        </w:tc>
        <w:tc>
          <w:tcPr>
            <w:tcW w:w="274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настоящия СФ (актуализиран през 2018 г.) са посочени 0-4 гнездящи двойки. В резултат на извършен мониторинг в защитената зона през гнездовия период на 2021 г. не са установени птици.</w:t>
            </w:r>
          </w:p>
        </w:tc>
        <w:tc>
          <w:tcPr>
            <w:tcW w:w="233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популацията в размер от най-малко 1 токуващ мъжки чрез поддържане на подходящите гнездови местообитания.</w:t>
            </w:r>
          </w:p>
        </w:tc>
      </w:tr>
      <w:tr w:rsidR="00A8783E" w:rsidRPr="00A8783E" w:rsidTr="005B5318">
        <w:trPr>
          <w:jc w:val="center"/>
        </w:trPr>
        <w:tc>
          <w:tcPr>
            <w:tcW w:w="171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28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 – 8 инд.</w:t>
            </w:r>
          </w:p>
        </w:tc>
        <w:tc>
          <w:tcPr>
            <w:tcW w:w="274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 СФ за концентрацията на вида по време на миграция в зоната е посочена минимална и максимална стойност от 2 до 8 инд. </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Няма сигурни данни за числеността на вида в зоната по време на миграция.</w:t>
            </w:r>
          </w:p>
        </w:tc>
        <w:tc>
          <w:tcPr>
            <w:tcW w:w="233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Междинна цел: Да се извърши целенасочен мониторинг за установяване на размера на мигриращата популация до 2025 г.</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популацията в размер от най-малко 2 инд.</w:t>
            </w:r>
          </w:p>
        </w:tc>
      </w:tr>
      <w:tr w:rsidR="00A8783E" w:rsidRPr="00A8783E" w:rsidTr="005B5318">
        <w:trPr>
          <w:jc w:val="center"/>
        </w:trPr>
        <w:tc>
          <w:tcPr>
            <w:tcW w:w="171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8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370</w:t>
            </w:r>
          </w:p>
        </w:tc>
        <w:tc>
          <w:tcPr>
            <w:tcW w:w="274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Изчислена приблизително на базата на площта, която заемат тръстиковите масиви в зоната.</w:t>
            </w:r>
          </w:p>
        </w:tc>
        <w:tc>
          <w:tcPr>
            <w:tcW w:w="233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A8783E" w:rsidRPr="00A8783E" w:rsidTr="005B5318">
        <w:trPr>
          <w:jc w:val="center"/>
        </w:trPr>
        <w:tc>
          <w:tcPr>
            <w:tcW w:w="171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80" w:type="dxa"/>
          </w:tcPr>
          <w:p w:rsidR="00A8783E" w:rsidRPr="00A8783E" w:rsidRDefault="00A8783E" w:rsidP="00A8783E">
            <w:pPr>
              <w:spacing w:after="0" w:line="240" w:lineRule="auto"/>
              <w:jc w:val="both"/>
              <w:rPr>
                <w:rFonts w:ascii="Times New Roman" w:hAnsi="Times New Roman"/>
                <w:lang w:val="en-US" w:eastAsia="bg-BG"/>
              </w:rPr>
            </w:pPr>
            <w:r w:rsidRPr="00A8783E">
              <w:rPr>
                <w:rFonts w:ascii="Times New Roman" w:hAnsi="Times New Roman"/>
                <w:lang w:eastAsia="bg-BG"/>
              </w:rPr>
              <w:t>най-малко 56</w:t>
            </w:r>
            <w:r w:rsidRPr="00A8783E">
              <w:rPr>
                <w:rFonts w:ascii="Times New Roman" w:hAnsi="Times New Roman"/>
                <w:lang w:val="en-US" w:eastAsia="bg-BG"/>
              </w:rPr>
              <w:t>5</w:t>
            </w:r>
          </w:p>
        </w:tc>
        <w:tc>
          <w:tcPr>
            <w:tcW w:w="274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Включва и гнездовите местообитания. Изчислена на база местообитание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33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местообитания на вида в защитената зона.</w:t>
            </w:r>
          </w:p>
        </w:tc>
      </w:tr>
      <w:tr w:rsidR="00A8783E" w:rsidRPr="00A8783E" w:rsidTr="005B5318">
        <w:trPr>
          <w:jc w:val="center"/>
        </w:trPr>
        <w:tc>
          <w:tcPr>
            <w:tcW w:w="171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риби (</w:t>
            </w:r>
            <w:r w:rsidRPr="00A8783E">
              <w:rPr>
                <w:rFonts w:ascii="Times New Roman" w:hAnsi="Times New Roman"/>
                <w:lang w:val="en-GB" w:eastAsia="bg-BG"/>
              </w:rPr>
              <w:t>JDS</w:t>
            </w:r>
            <w:r w:rsidRPr="00A8783E">
              <w:rPr>
                <w:rFonts w:ascii="Times New Roman" w:hAnsi="Times New Roman"/>
                <w:lang w:eastAsia="bg-BG"/>
              </w:rPr>
              <w:t>4-</w:t>
            </w:r>
            <w:r w:rsidRPr="00A8783E">
              <w:rPr>
                <w:rFonts w:ascii="Times New Roman" w:hAnsi="Times New Roman"/>
                <w:lang w:val="en-GB" w:eastAsia="bg-BG"/>
              </w:rPr>
              <w:t>Fish</w:t>
            </w:r>
            <w:r w:rsidRPr="00A8783E">
              <w:rPr>
                <w:rFonts w:ascii="Times New Roman" w:hAnsi="Times New Roman"/>
                <w:lang w:eastAsia="bg-BG"/>
              </w:rPr>
              <w:t>)</w:t>
            </w:r>
          </w:p>
        </w:tc>
        <w:tc>
          <w:tcPr>
            <w:tcW w:w="113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28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744" w:type="dxa"/>
          </w:tcPr>
          <w:tbl>
            <w:tblPr>
              <w:tblW w:w="2778" w:type="dxa"/>
              <w:tblInd w:w="3" w:type="dxa"/>
              <w:tblLayout w:type="fixed"/>
              <w:tblCellMar>
                <w:left w:w="70" w:type="dxa"/>
                <w:right w:w="70" w:type="dxa"/>
              </w:tblCellMar>
              <w:tblLook w:val="00A0" w:firstRow="1" w:lastRow="0" w:firstColumn="1" w:lastColumn="0" w:noHBand="0" w:noVBand="0"/>
            </w:tblPr>
            <w:tblGrid>
              <w:gridCol w:w="2778"/>
            </w:tblGrid>
            <w:tr w:rsidR="00A8783E" w:rsidRPr="00A8783E" w:rsidTr="005B5318">
              <w:trPr>
                <w:trHeight w:val="290"/>
              </w:trPr>
              <w:tc>
                <w:tcPr>
                  <w:tcW w:w="2778"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77"/>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290"/>
              </w:trPr>
              <w:tc>
                <w:tcPr>
                  <w:tcW w:w="2778"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77"/>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290"/>
              </w:trPr>
              <w:tc>
                <w:tcPr>
                  <w:tcW w:w="2778"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77"/>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290"/>
              </w:trPr>
              <w:tc>
                <w:tcPr>
                  <w:tcW w:w="2778"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77"/>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290"/>
              </w:trPr>
              <w:tc>
                <w:tcPr>
                  <w:tcW w:w="2778"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77"/>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290"/>
              </w:trPr>
              <w:tc>
                <w:tcPr>
                  <w:tcW w:w="2778"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77"/>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A8783E">
              <w:rPr>
                <w:rFonts w:ascii="Times New Roman" w:hAnsi="Times New Roman"/>
                <w:b/>
                <w:bCs/>
                <w:lang w:eastAsia="bg-BG"/>
              </w:rPr>
              <w:lastRenderedPageBreak/>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4 (2019-2020).</w:t>
            </w:r>
          </w:p>
        </w:tc>
        <w:tc>
          <w:tcPr>
            <w:tcW w:w="2336"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lastRenderedPageBreak/>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b/>
          <w:bCs/>
          <w:sz w:val="24"/>
          <w:szCs w:val="24"/>
          <w:lang w:eastAsia="bg-BG"/>
        </w:rPr>
      </w:pPr>
    </w:p>
    <w:p w:rsidR="00A8783E" w:rsidRPr="00A8783E" w:rsidRDefault="00A8783E" w:rsidP="00A8783E">
      <w:pPr>
        <w:spacing w:after="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Необходимост от промени в СФ за СЗЗ BG0000241 „Сребърна“</w:t>
      </w:r>
    </w:p>
    <w:p w:rsidR="00A8783E" w:rsidRPr="00A8783E" w:rsidRDefault="00A8783E" w:rsidP="00A8783E">
      <w:pPr>
        <w:spacing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Предвид наличната информация за настоящата гнездяща и мигрираща численост на вида в защитената зона, не е необходима актуализация на СФ. Необходимо е допълнително проучване за установяване размера на мигриращата през зоната популация.</w:t>
      </w:r>
    </w:p>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42" w:name="_Toc89106065"/>
      <w:bookmarkStart w:id="143" w:name="_Toc98741904"/>
      <w:bookmarkStart w:id="144" w:name="_Toc98838579"/>
      <w:r w:rsidRPr="00A8783E">
        <w:rPr>
          <w:rFonts w:ascii="Times New Roman" w:hAnsi="Times New Roman"/>
          <w:color w:val="1F497D"/>
          <w:sz w:val="28"/>
          <w:szCs w:val="28"/>
          <w:lang w:eastAsia="bg-BG"/>
        </w:rPr>
        <w:t xml:space="preserve">Специфични цели за А022 </w:t>
      </w:r>
      <w:r w:rsidRPr="00A8783E">
        <w:rPr>
          <w:rFonts w:ascii="Times New Roman" w:hAnsi="Times New Roman"/>
          <w:i/>
          <w:iCs/>
          <w:color w:val="1F497D"/>
          <w:sz w:val="28"/>
          <w:szCs w:val="28"/>
          <w:lang w:val="en-GB" w:eastAsia="bg-BG"/>
        </w:rPr>
        <w:t>Ixobrychus</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GB" w:eastAsia="bg-BG"/>
        </w:rPr>
        <w:t>minutus</w:t>
      </w:r>
      <w:r w:rsidRPr="00A8783E">
        <w:rPr>
          <w:rFonts w:ascii="Times New Roman" w:hAnsi="Times New Roman"/>
          <w:color w:val="1F497D"/>
          <w:sz w:val="28"/>
          <w:szCs w:val="28"/>
          <w:lang w:eastAsia="bg-BG"/>
        </w:rPr>
        <w:t xml:space="preserve"> (малък воден бик)</w:t>
      </w:r>
      <w:bookmarkEnd w:id="142"/>
      <w:bookmarkEnd w:id="143"/>
      <w:bookmarkEnd w:id="144"/>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Дължина на тялото: 32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Размах на крилете: 42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Темето, тилът, гърбът, крилата и опашката на мъжкия малък воден бик са черни със зеленикав оттенък. Челото и надочната ивица са бели. Двете страни на главата, шията, гърдите и плещите са охрено ръждиви. По гърдите има тъмни надлъжни резки. Коремът и подопашката са белезникави. Темето и тилът на женската са черни, а останалите части от горната страна на тялото - тъмнокафяви с жълтеникави крайща на перата. От предната страна на шията има неясни надлъжни резки. Горната страна на главата при младите екземпляри е тъмнокафява, а гърбът - кафяв изпъстрен с белезникави точки. Долната страна на тялото има белезникав цвят с надлъжни тъмнокафяви петна. Мъжкият е по-едър. Младите са жълто-кафяви, с черни надлъжни щрихи (Симеонов и др., 1990).</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В България малкият воден бик е гнездящ и прелетен вид. Пролетната миграция е от март до средата на май, а есенният прелет е от края на август до октомври (Симеонов и др., 1990). Зимува в Африка и около Средиземноморието.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Малкият воден бик обитава блата и езера, разливи на реки, микроязовири, язовири, канали на напоителни системи, рибарници и оризища, обрасли предимно с тръстика (Симеонов и др., 1990). Среща се дори в изолирани малки водоеми с достатъчно тръстика, където да се крие. Изгражда гнездова платформа от тръстика, често издигната над водното ниво, закрепена за тръстиката или ниски храсти. Снася 2 – 7 яйца, има едно поколение годишно през периода май-юли. Предпочитаните местообитания са: 1130, 1150, 3130 и 3150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Малкият воден бик се храни предимно рано сутрин и привечер. Храната си търси в тръстикови масиви, по края на водни площи с различни размери и по-рядко на открито (Симеонов и др., 1990). Лови малки рибки, жаби, пиявици, водни насекоми, миди, охлюви и червеи. Рядко напада гнездата на дребни блатни птици и унищожава яйцата и малките им.</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 xml:space="preserve">С широко и сравнително плътно разпространение по Дунавското поречие, в Дунавската равнина, Тракийската низина, по Черноморското крайбрежие и някои котловинни полета в Западна България, на места в Добруджа и по долините на реките Арда, Струма и Места (Янков отг. ред., 2007).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Природозащитният статус на малкият воден бик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е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Включен е в Червената книга на Р България в категория „Застрашен“ (</w:t>
      </w:r>
      <w:r w:rsidRPr="00A8783E">
        <w:rPr>
          <w:rFonts w:ascii="Times New Roman" w:hAnsi="Times New Roman"/>
          <w:sz w:val="24"/>
          <w:szCs w:val="24"/>
          <w:lang w:val="en-US" w:eastAsia="bg-BG"/>
        </w:rPr>
        <w:t>VU</w:t>
      </w:r>
      <w:r w:rsidRPr="00A8783E">
        <w:rPr>
          <w:rFonts w:ascii="Times New Roman" w:hAnsi="Times New Roman"/>
          <w:sz w:val="24"/>
          <w:szCs w:val="24"/>
          <w:lang w:eastAsia="bg-BG"/>
        </w:rPr>
        <w:t xml:space="preserve">). Включен в SPEC 3. Включен е в Приложение 1 на Директивата за птиците, както и в Приложения 2 и 3 на ЗБР.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Докладването от 2019 г. (за периода 2013 – 2018 г.) националната гнездяща популация на вида се оценя на 1500-4500 двойки. Краткосрочната тенденция на популацията (за периода 2000 – 2018 г.) е стабилна, а дългосрочната (за периода 1980 – 2018 г.) – също стабилна. Посочени са следните заплахи и влияния: F01, F05, H01, J01, J02.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СФ на зоната вида е гнездящ. </w:t>
      </w:r>
      <w:r w:rsidRPr="00A8783E">
        <w:rPr>
          <w:rFonts w:ascii="Times New Roman" w:hAnsi="Times New Roman"/>
          <w:b/>
          <w:bCs/>
          <w:sz w:val="24"/>
          <w:szCs w:val="24"/>
          <w:lang w:eastAsia="bg-BG"/>
        </w:rPr>
        <w:t>Гнездящата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4 - 19 двойки</w:t>
      </w:r>
      <w:r w:rsidRPr="00A8783E">
        <w:rPr>
          <w:rFonts w:ascii="Times New Roman" w:hAnsi="Times New Roman"/>
          <w:sz w:val="24"/>
          <w:szCs w:val="24"/>
          <w:lang w:eastAsia="bg-BG"/>
        </w:rPr>
        <w:t>, което представлява 0,3 - 0,4 %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По Дунавското крайбрежие видът е широко разпространен, като гнезди дори и в малки влажни зони, канали с водна растителност и др. Публикуваната информация за гнезденето на вида в зоната посочва през 2001 и 2002 г. съответно 24 и 25 двойки (</w:t>
      </w:r>
      <w:r w:rsidRPr="00A8783E">
        <w:rPr>
          <w:rFonts w:ascii="Times New Roman" w:hAnsi="Times New Roman"/>
          <w:color w:val="000000"/>
          <w:sz w:val="24"/>
          <w:szCs w:val="24"/>
          <w:lang w:val="en-US" w:eastAsia="bg-BG"/>
        </w:rPr>
        <w:t>Kamburova</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xml:space="preserve">, 2003). В периода 2006-2013 г. се посочва численост по р. Дунав между 40 и 93 дв., като в Сребърна гнездят около 14% от двойките или между 5 и 13 двойки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xml:space="preserve">., 2019). Според Матеева и др. (2013) в зоната са гнездили минимум 18 двойки през 2012 г. Според </w:t>
      </w:r>
      <w:r w:rsidRPr="00A8783E">
        <w:rPr>
          <w:rFonts w:ascii="Times New Roman" w:hAnsi="Times New Roman"/>
          <w:sz w:val="24"/>
          <w:szCs w:val="24"/>
          <w:lang w:val="en-US" w:eastAsia="bg-BG"/>
        </w:rPr>
        <w:t>Kambourova</w:t>
      </w:r>
      <w:r w:rsidRPr="00A8783E">
        <w:rPr>
          <w:rFonts w:ascii="Times New Roman" w:hAnsi="Times New Roman"/>
          <w:sz w:val="24"/>
          <w:szCs w:val="24"/>
          <w:lang w:eastAsia="bg-BG"/>
        </w:rPr>
        <w:t xml:space="preserve"> (2012) в резервата Сребърна </w:t>
      </w:r>
      <w:r w:rsidRPr="00A8783E">
        <w:rPr>
          <w:rFonts w:ascii="Times New Roman" w:hAnsi="Times New Roman"/>
          <w:color w:val="000000"/>
          <w:sz w:val="24"/>
          <w:szCs w:val="24"/>
          <w:lang w:eastAsia="bg-BG"/>
        </w:rPr>
        <w:t xml:space="preserve">през 2001 – 2003 г., са гнездили 20-25 двойки. Михов и др. (1997) и Костадинова и Граматиков (2007) дават числености от 20 дв. В Актуализирания План за управление на ПР „Сребърна” (2015 г.), се посочва че видът гнезди с численост 35-40 дв. или около 0,9% от националната гнездова популация. </w:t>
      </w:r>
      <w:r w:rsidRPr="00A8783E">
        <w:rPr>
          <w:rFonts w:ascii="Times New Roman" w:hAnsi="Times New Roman"/>
          <w:sz w:val="24"/>
          <w:szCs w:val="24"/>
          <w:lang w:eastAsia="bg-BG"/>
        </w:rPr>
        <w:t>При теренните проучвания през 2021 г. видът е наблюдаван предимно в западния край на защитената зона през размножителния период – 5 птици и 1 двойка.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От посочените в Докладването от 2019 г. заплахи и влияния за гнездящата популация: F01, F05, H01, J01, J02, няма валидни за зоната.</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6"/>
        <w:gridCol w:w="1285"/>
        <w:gridCol w:w="1281"/>
        <w:gridCol w:w="2767"/>
        <w:gridCol w:w="2171"/>
      </w:tblGrid>
      <w:tr w:rsidR="00A8783E" w:rsidRPr="00A8783E" w:rsidTr="005B5318">
        <w:trPr>
          <w:tblHeader/>
          <w:jc w:val="center"/>
        </w:trPr>
        <w:tc>
          <w:tcPr>
            <w:tcW w:w="171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285"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281"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767"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171"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71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гнездовата популацията</w:t>
            </w:r>
          </w:p>
        </w:tc>
        <w:tc>
          <w:tcPr>
            <w:tcW w:w="128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281"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4 - 19 двойки </w:t>
            </w:r>
          </w:p>
        </w:tc>
        <w:tc>
          <w:tcPr>
            <w:tcW w:w="276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 настоящия СФ (актуализиран през 2018 г.) са посочени 4 – 19 гнездящи двойки. В резултат на извършен мониторинг в защитената зона през гнездовия период на 2021 г. се </w:t>
            </w:r>
            <w:r w:rsidRPr="00A8783E">
              <w:rPr>
                <w:rFonts w:ascii="Times New Roman" w:hAnsi="Times New Roman"/>
                <w:lang w:eastAsia="bg-BG"/>
              </w:rPr>
              <w:lastRenderedPageBreak/>
              <w:t xml:space="preserve">потвърждава числеността на вида. </w:t>
            </w:r>
          </w:p>
          <w:p w:rsidR="00A8783E" w:rsidRPr="00A8783E" w:rsidRDefault="00A8783E" w:rsidP="00A8783E">
            <w:pPr>
              <w:spacing w:after="0" w:line="240" w:lineRule="auto"/>
              <w:jc w:val="both"/>
              <w:rPr>
                <w:rFonts w:ascii="Times New Roman" w:hAnsi="Times New Roman"/>
                <w:lang w:eastAsia="bg-BG"/>
              </w:rPr>
            </w:pPr>
          </w:p>
        </w:tc>
        <w:tc>
          <w:tcPr>
            <w:tcW w:w="21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Поддържане на популацията на вида в размер от най-малко 4 дв. чрез поддържане на подходящите местообитания.</w:t>
            </w:r>
          </w:p>
        </w:tc>
      </w:tr>
      <w:tr w:rsidR="00A8783E" w:rsidRPr="00A8783E" w:rsidTr="005B5318">
        <w:trPr>
          <w:jc w:val="center"/>
        </w:trPr>
        <w:tc>
          <w:tcPr>
            <w:tcW w:w="171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28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8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най-малко 565 </w:t>
            </w:r>
          </w:p>
        </w:tc>
        <w:tc>
          <w:tcPr>
            <w:tcW w:w="276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1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A8783E" w:rsidRPr="00A8783E" w:rsidTr="005B5318">
        <w:trPr>
          <w:jc w:val="center"/>
        </w:trPr>
        <w:tc>
          <w:tcPr>
            <w:tcW w:w="171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28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8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565</w:t>
            </w:r>
          </w:p>
        </w:tc>
        <w:tc>
          <w:tcPr>
            <w:tcW w:w="276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Включва гнездовите местообитания. Изчислена на база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1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местообитания на вида в защитената зона.</w:t>
            </w:r>
          </w:p>
        </w:tc>
      </w:tr>
      <w:tr w:rsidR="00A8783E" w:rsidRPr="00A8783E" w:rsidTr="005B5318">
        <w:trPr>
          <w:jc w:val="center"/>
        </w:trPr>
        <w:tc>
          <w:tcPr>
            <w:tcW w:w="171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риби и водни безгръбначни животни (</w:t>
            </w:r>
            <w:r w:rsidRPr="00A8783E">
              <w:rPr>
                <w:rFonts w:ascii="Times New Roman" w:hAnsi="Times New Roman"/>
                <w:lang w:val="en-GB" w:eastAsia="bg-BG"/>
              </w:rPr>
              <w:t>JDS</w:t>
            </w:r>
            <w:r w:rsidRPr="00A8783E">
              <w:rPr>
                <w:rFonts w:ascii="Times New Roman" w:hAnsi="Times New Roman"/>
                <w:lang w:eastAsia="bg-BG"/>
              </w:rPr>
              <w:t>4-</w:t>
            </w:r>
            <w:r w:rsidRPr="00A8783E">
              <w:rPr>
                <w:rFonts w:ascii="Times New Roman" w:hAnsi="Times New Roman"/>
                <w:lang w:val="en-GB" w:eastAsia="bg-BG"/>
              </w:rPr>
              <w:t>Fish</w:t>
            </w:r>
            <w:r w:rsidRPr="00A8783E">
              <w:rPr>
                <w:rFonts w:ascii="Times New Roman" w:hAnsi="Times New Roman"/>
                <w:lang w:eastAsia="bg-BG"/>
              </w:rPr>
              <w:t xml:space="preserve">, </w:t>
            </w:r>
            <w:r w:rsidRPr="00A8783E">
              <w:rPr>
                <w:rFonts w:ascii="Times New Roman" w:hAnsi="Times New Roman"/>
                <w:lang w:val="en-US" w:eastAsia="bg-BG"/>
              </w:rPr>
              <w:t>Aqatic</w:t>
            </w:r>
            <w:r w:rsidRPr="00A8783E">
              <w:rPr>
                <w:rFonts w:ascii="Times New Roman" w:hAnsi="Times New Roman"/>
                <w:lang w:eastAsia="bg-BG"/>
              </w:rPr>
              <w:t xml:space="preserve"> </w:t>
            </w:r>
            <w:r w:rsidRPr="00A8783E">
              <w:rPr>
                <w:rFonts w:ascii="Times New Roman" w:hAnsi="Times New Roman"/>
                <w:lang w:val="en-US" w:eastAsia="bg-BG"/>
              </w:rPr>
              <w:t>macroinvertebrates</w:t>
            </w:r>
            <w:r w:rsidRPr="00A8783E">
              <w:rPr>
                <w:rFonts w:ascii="Times New Roman" w:hAnsi="Times New Roman"/>
                <w:lang w:eastAsia="bg-BG"/>
              </w:rPr>
              <w:t>)</w:t>
            </w:r>
          </w:p>
        </w:tc>
        <w:tc>
          <w:tcPr>
            <w:tcW w:w="1285"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28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767" w:type="dxa"/>
          </w:tcPr>
          <w:tbl>
            <w:tblPr>
              <w:tblW w:w="3023" w:type="dxa"/>
              <w:tblInd w:w="3" w:type="dxa"/>
              <w:tblLayout w:type="fixed"/>
              <w:tblCellMar>
                <w:left w:w="70" w:type="dxa"/>
                <w:right w:w="70" w:type="dxa"/>
              </w:tblCellMar>
              <w:tblLook w:val="00A0" w:firstRow="1" w:lastRow="0" w:firstColumn="1" w:lastColumn="0" w:noHBand="0" w:noVBand="0"/>
            </w:tblPr>
            <w:tblGrid>
              <w:gridCol w:w="3023"/>
            </w:tblGrid>
            <w:tr w:rsidR="00A8783E" w:rsidRPr="00A8783E" w:rsidTr="005B5318">
              <w:trPr>
                <w:trHeight w:val="302"/>
              </w:trPr>
              <w:tc>
                <w:tcPr>
                  <w:tcW w:w="3023"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380"/>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езерото Сребърна по БЕК Риби е оценено като </w:t>
            </w:r>
            <w:r w:rsidRPr="00A8783E">
              <w:rPr>
                <w:rFonts w:ascii="Times New Roman" w:hAnsi="Times New Roman"/>
                <w:b/>
                <w:bCs/>
                <w:lang w:eastAsia="bg-BG"/>
              </w:rPr>
              <w:t>„Умерено“</w:t>
            </w:r>
            <w:r w:rsidRPr="00A8783E">
              <w:rPr>
                <w:rFonts w:ascii="Times New Roman" w:hAnsi="Times New Roman"/>
                <w:lang w:eastAsia="bg-BG"/>
              </w:rPr>
              <w:t xml:space="preserve">, а на БЕК Макрозообентос – </w:t>
            </w:r>
            <w:r w:rsidRPr="00A8783E">
              <w:rPr>
                <w:rFonts w:ascii="Times New Roman" w:hAnsi="Times New Roman"/>
                <w:b/>
                <w:bCs/>
                <w:lang w:eastAsia="bg-BG"/>
              </w:rPr>
              <w:t>Отлично</w:t>
            </w:r>
            <w:r w:rsidRPr="00A8783E">
              <w:rPr>
                <w:rFonts w:ascii="Times New Roman" w:hAnsi="Times New Roman"/>
                <w:lang w:eastAsia="bg-BG"/>
              </w:rPr>
              <w:t xml:space="preserve">. </w:t>
            </w:r>
          </w:p>
        </w:tc>
        <w:tc>
          <w:tcPr>
            <w:tcW w:w="2171"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before="119" w:after="119" w:line="240" w:lineRule="auto"/>
        <w:rPr>
          <w:rFonts w:ascii="Times New Roman" w:hAnsi="Times New Roman"/>
          <w:b/>
          <w:bCs/>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Предвид наличната информация за настоящата гнездова численост на вида в защитената зона не е необходима актуализация на СФ.</w:t>
      </w:r>
    </w:p>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45" w:name="_Toc89106066"/>
      <w:bookmarkStart w:id="146" w:name="_Toc98741905"/>
      <w:bookmarkStart w:id="147" w:name="_Toc98838580"/>
      <w:r w:rsidRPr="00A8783E">
        <w:rPr>
          <w:rFonts w:ascii="Times New Roman" w:hAnsi="Times New Roman"/>
          <w:color w:val="1F497D"/>
          <w:sz w:val="28"/>
          <w:szCs w:val="28"/>
          <w:lang w:eastAsia="bg-BG"/>
        </w:rPr>
        <w:t xml:space="preserve">Специфични цели за А023 </w:t>
      </w:r>
      <w:r w:rsidRPr="00A8783E">
        <w:rPr>
          <w:rFonts w:ascii="Times New Roman" w:hAnsi="Times New Roman"/>
          <w:i/>
          <w:iCs/>
          <w:color w:val="1F497D"/>
          <w:sz w:val="28"/>
          <w:szCs w:val="28"/>
          <w:lang w:val="en-GB" w:eastAsia="bg-BG"/>
        </w:rPr>
        <w:t>Nycticorax</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GB" w:eastAsia="bg-BG"/>
        </w:rPr>
        <w:t>nycticorax</w:t>
      </w:r>
      <w:r w:rsidRPr="00A8783E">
        <w:rPr>
          <w:rFonts w:ascii="Times New Roman" w:hAnsi="Times New Roman"/>
          <w:color w:val="1F497D"/>
          <w:sz w:val="28"/>
          <w:szCs w:val="28"/>
          <w:lang w:eastAsia="bg-BG"/>
        </w:rPr>
        <w:t xml:space="preserve"> (нощна чапла)</w:t>
      </w:r>
      <w:bookmarkEnd w:id="145"/>
      <w:bookmarkEnd w:id="146"/>
      <w:bookmarkEnd w:id="147"/>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Дължината на тялото на нощната чапла достига до 63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а размахът на крилата ѝ - до 110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Оперението е трицветно. Долната страна на врата, гърдите, челото и бузите са бели. Горната страна на главата и гърбът са черни с метален блясък, а останалата част от тялото е сива или сиво охрено. През размножителния период от тила израстват две дълги лентовидни пера, които през останалите сезони липсват. Има сравнително къси крака с дълги нокти и червени очи. Няма полов диморфизъм. Горната част на тялото на младите индивиди е тъмнокафява, с ръждиви надлъжни черти и многобройни бели </w:t>
      </w:r>
      <w:r w:rsidRPr="00A8783E">
        <w:rPr>
          <w:rFonts w:ascii="Times New Roman" w:hAnsi="Times New Roman"/>
          <w:sz w:val="24"/>
          <w:szCs w:val="24"/>
          <w:lang w:eastAsia="bg-BG"/>
        </w:rPr>
        <w:lastRenderedPageBreak/>
        <w:t xml:space="preserve">капковидни петна, по които се различава от големия воден бик. Долната част е белезникава с кафяви ивици по гърдите (Симеонов и др., 1990).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Нощната чапла е гнездящ, прелетен, преминаващ и по изключение зимуващ вид в България (Симеонов и др., 1990). Пролетната миграция е през март-април, а есенната – през август-септември. Зимува в Африка.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Нощната чапла обитава блата, езера, разливи на реки, микроязовири, язовири, канали на напоителни системи, рибарници, оризища, всички обрасли с изобилна блатна растителност, както и заливни гори и равнинни дъбови гори. Размножителният период започва от май и продължава до август, по изключение до септември. Гнезди в самостоятелни, или смесени колонии заедно с други видове чапли, корморани, блестящи ибиси и лопатарки. Единични гнезда не са известни. Познати са три типа гнездови колонии: в тръстикови масиви, в заливни гори и в равнинни дъбови гори. Гнездата са разположени предимно в горните етажи или до около 1 м. от водната повърхност (Симеонов и др., 1990). Снася 3 – 5 яйца и има едно поколение годишно. Предпочитаните местообитания са 1130, 1150, 1160, 3130, 3150, 91</w:t>
      </w:r>
      <w:r w:rsidRPr="00A8783E">
        <w:rPr>
          <w:rFonts w:ascii="Times New Roman" w:hAnsi="Times New Roman"/>
          <w:sz w:val="24"/>
          <w:szCs w:val="24"/>
          <w:lang w:val="en-GB" w:eastAsia="bg-BG"/>
        </w:rPr>
        <w:t>D</w:t>
      </w:r>
      <w:r w:rsidRPr="00A8783E">
        <w:rPr>
          <w:rFonts w:ascii="Times New Roman" w:hAnsi="Times New Roman"/>
          <w:sz w:val="24"/>
          <w:szCs w:val="24"/>
          <w:lang w:eastAsia="bg-BG"/>
        </w:rPr>
        <w:t>0, 91</w:t>
      </w:r>
      <w:r w:rsidRPr="00A8783E">
        <w:rPr>
          <w:rFonts w:ascii="Times New Roman" w:hAnsi="Times New Roman"/>
          <w:sz w:val="24"/>
          <w:szCs w:val="24"/>
          <w:lang w:val="en-GB" w:eastAsia="bg-BG"/>
        </w:rPr>
        <w:t>E</w:t>
      </w:r>
      <w:r w:rsidRPr="00A8783E">
        <w:rPr>
          <w:rFonts w:ascii="Times New Roman" w:hAnsi="Times New Roman"/>
          <w:sz w:val="24"/>
          <w:szCs w:val="24"/>
          <w:lang w:eastAsia="bg-BG"/>
        </w:rPr>
        <w:t>0 и 91</w:t>
      </w:r>
      <w:r w:rsidRPr="00A8783E">
        <w:rPr>
          <w:rFonts w:ascii="Times New Roman" w:hAnsi="Times New Roman"/>
          <w:sz w:val="24"/>
          <w:szCs w:val="24"/>
          <w:lang w:val="en-GB" w:eastAsia="bg-BG"/>
        </w:rPr>
        <w:t>F</w:t>
      </w:r>
      <w:r w:rsidRPr="00A8783E">
        <w:rPr>
          <w:rFonts w:ascii="Times New Roman" w:hAnsi="Times New Roman"/>
          <w:sz w:val="24"/>
          <w:szCs w:val="24"/>
          <w:lang w:eastAsia="bg-BG"/>
        </w:rPr>
        <w:t>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Храни се предимно с животни - риби, водни охлюви, ракообразни, насекоми, жаби, гущери, гризачи и други малки водни и наземни животни.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 разпръснато и групово разпространение по Дунавското крайбрежие, Горнотракийската низина, Бургаските влажни зони, по р. Арда и Софийското поле (Янков отг. ред., 2007).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Природозащитният статус на нощната чапла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е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xml:space="preserve">). Включен е в </w:t>
      </w:r>
      <w:r w:rsidRPr="00A8783E">
        <w:rPr>
          <w:rFonts w:ascii="Times New Roman" w:hAnsi="Times New Roman"/>
          <w:sz w:val="24"/>
          <w:szCs w:val="24"/>
          <w:lang w:val="en-GB" w:eastAsia="bg-BG"/>
        </w:rPr>
        <w:t>SPEC</w:t>
      </w:r>
      <w:r w:rsidRPr="00A8783E">
        <w:rPr>
          <w:rFonts w:ascii="Times New Roman" w:hAnsi="Times New Roman"/>
          <w:sz w:val="24"/>
          <w:szCs w:val="24"/>
          <w:lang w:eastAsia="bg-BG"/>
        </w:rPr>
        <w:t xml:space="preserve"> 3. Включен в Червената книга на Р България в категория „Уязвим“ (</w:t>
      </w:r>
      <w:r w:rsidRPr="00A8783E">
        <w:rPr>
          <w:rFonts w:ascii="Times New Roman" w:hAnsi="Times New Roman"/>
          <w:sz w:val="24"/>
          <w:szCs w:val="24"/>
          <w:lang w:val="en-US" w:eastAsia="bg-BG"/>
        </w:rPr>
        <w:t>VU</w:t>
      </w:r>
      <w:r w:rsidRPr="00A8783E">
        <w:rPr>
          <w:rFonts w:ascii="Times New Roman" w:hAnsi="Times New Roman"/>
          <w:sz w:val="24"/>
          <w:szCs w:val="24"/>
          <w:lang w:eastAsia="bg-BG"/>
        </w:rPr>
        <w:t xml:space="preserve">). Включен е в Приложение 1 на Директивата за птиците, както и в Приложения 2 и 3 на ЗБР.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 на 500 – 2500 двойки. Краткосрочната тенденция на популацията (за периода 2000 – 2018 г.) е намаляваща, а дългосрочната (за периода 1980 – 2018 г.) – стабилна. Краткосрочната тенденция на популацията в рамките на Натура 2000 е намаляваща.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Мигриращата национална популация (за периода 2001 – 2018 г.) е оценена на 2500 – 6000 индивида.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За гнездящата и мигриращата популация са посочени следните заплахи и влияния: F05, K01, F26, G01, H01, J02, M08 и G05.</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вида е гнездящ. </w:t>
      </w:r>
      <w:r w:rsidRPr="00A8783E">
        <w:rPr>
          <w:rFonts w:ascii="Times New Roman" w:hAnsi="Times New Roman"/>
          <w:b/>
          <w:bCs/>
          <w:sz w:val="24"/>
          <w:szCs w:val="24"/>
          <w:lang w:eastAsia="bg-BG"/>
        </w:rPr>
        <w:t>Гнездящата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40 - 250 двойки</w:t>
      </w:r>
      <w:r w:rsidRPr="00A8783E">
        <w:rPr>
          <w:rFonts w:ascii="Times New Roman" w:hAnsi="Times New Roman"/>
          <w:sz w:val="24"/>
          <w:szCs w:val="24"/>
          <w:lang w:eastAsia="bg-BG"/>
        </w:rPr>
        <w:t xml:space="preserve">, което представлява 8,0 – 10,0 % от националната популация (оценка „В“). Опазването на вида е отлично (оценка „А“), </w:t>
      </w:r>
      <w:r w:rsidRPr="00A8783E">
        <w:rPr>
          <w:rFonts w:ascii="Times New Roman" w:hAnsi="Times New Roman"/>
          <w:sz w:val="24"/>
          <w:szCs w:val="24"/>
          <w:lang w:eastAsia="bg-BG"/>
        </w:rPr>
        <w:lastRenderedPageBreak/>
        <w:t>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По Дунавското крайбрежие видът се среща сравнително често, макар след 2010 г. да се наблюдава намаляване на числеността. Публикуваната информация за гнезденето на вида в зоната посочва през 2001 и 2002 г. съответно 100 и 50 двойки (</w:t>
      </w:r>
      <w:r w:rsidRPr="00A8783E">
        <w:rPr>
          <w:rFonts w:ascii="Times New Roman" w:hAnsi="Times New Roman"/>
          <w:color w:val="000000"/>
          <w:sz w:val="24"/>
          <w:szCs w:val="24"/>
          <w:lang w:val="en-US" w:eastAsia="bg-BG"/>
        </w:rPr>
        <w:t>Kamburova</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2003). В края на ХХ век числеността на вида е била между 8 и 350 дв., а между 2001 и 2003 г.: 20 – 100 дв. (</w:t>
      </w:r>
      <w:r w:rsidRPr="00A8783E">
        <w:rPr>
          <w:rFonts w:ascii="Times New Roman" w:hAnsi="Times New Roman"/>
          <w:color w:val="000000"/>
          <w:sz w:val="24"/>
          <w:szCs w:val="24"/>
          <w:lang w:val="en-US" w:eastAsia="bg-BG"/>
        </w:rPr>
        <w:t>Kambourova</w:t>
      </w:r>
      <w:r w:rsidRPr="00A8783E">
        <w:rPr>
          <w:rFonts w:ascii="Times New Roman" w:hAnsi="Times New Roman"/>
          <w:color w:val="000000"/>
          <w:sz w:val="24"/>
          <w:szCs w:val="24"/>
          <w:lang w:eastAsia="bg-BG"/>
        </w:rPr>
        <w:t xml:space="preserve">, 2003, 2012). В периода 2006-2014 г. числеността на нощната чапла в Сребърна е следната: 2006 – 230 дв., 2010 – 80 дв., 2011 – 40 дв., 2012 – 60 дв., 2013 – 250 дв. и 2014 – 60 дв.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xml:space="preserve">., 2019). Според Матеева и др. (2013) в зоната са гнездили 50 – 70 дв. през 2012 г. Михов и др. (1997) и Костадинова, Граматиков (2007) дават числености от 50 - 150 дв. През 2017 г. при проучване по р. Дунав, видът е наблюдаван в ПР „Сребърна” с численост от 39 инд. (Димитров, 2018). В Актуализирания План за управление на ПР „Сребърна” (2015 г.), се посочва че видът гнезди с численост 50-100 дв. или около 4 % от националната гнездова популация. </w:t>
      </w:r>
      <w:r w:rsidRPr="00A8783E">
        <w:rPr>
          <w:rFonts w:ascii="Times New Roman" w:hAnsi="Times New Roman"/>
          <w:sz w:val="24"/>
          <w:szCs w:val="24"/>
          <w:lang w:eastAsia="bg-BG"/>
        </w:rPr>
        <w:t xml:space="preserve">При теренните проучвания през 2021 г. видът е наблюдаван многократно през месеците май и юни. Регистрирани са минимум 17-20 гнезда в две смесени колонии – в югоизточния и западния край на езерото. При цялостно проучване по р. Дунав през м. юли 2021 г. са наблюдавани 13 птици в участъка на реката срещу границата на защитената зона.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За гнездящата популация са посочени следните заплахи и влияния: F05, </w:t>
      </w:r>
      <w:r w:rsidRPr="00A8783E">
        <w:rPr>
          <w:rFonts w:ascii="Times New Roman" w:hAnsi="Times New Roman"/>
          <w:sz w:val="24"/>
          <w:szCs w:val="24"/>
          <w:lang w:val="en-US" w:eastAsia="bg-BG"/>
        </w:rPr>
        <w:t>F</w:t>
      </w:r>
      <w:r w:rsidRPr="00A8783E">
        <w:rPr>
          <w:rFonts w:ascii="Times New Roman" w:hAnsi="Times New Roman"/>
          <w:sz w:val="24"/>
          <w:szCs w:val="24"/>
          <w:lang w:eastAsia="bg-BG"/>
        </w:rPr>
        <w:t xml:space="preserve">26, G01, H01, J02, </w:t>
      </w:r>
      <w:r w:rsidRPr="00A8783E">
        <w:rPr>
          <w:rFonts w:ascii="Times New Roman" w:hAnsi="Times New Roman"/>
          <w:sz w:val="24"/>
          <w:szCs w:val="24"/>
          <w:lang w:val="en-GB" w:eastAsia="bg-BG"/>
        </w:rPr>
        <w:t>K</w:t>
      </w:r>
      <w:r w:rsidRPr="00A8783E">
        <w:rPr>
          <w:rFonts w:ascii="Times New Roman" w:hAnsi="Times New Roman"/>
          <w:sz w:val="24"/>
          <w:szCs w:val="24"/>
          <w:lang w:eastAsia="bg-BG"/>
        </w:rPr>
        <w:t xml:space="preserve">01, M08 и G05. Потенциално валидни за СЗЗ „Сребърна“ са следните: </w:t>
      </w:r>
      <w:r w:rsidRPr="00A8783E">
        <w:rPr>
          <w:rFonts w:ascii="Times New Roman" w:hAnsi="Times New Roman"/>
          <w:sz w:val="24"/>
          <w:szCs w:val="24"/>
        </w:rPr>
        <w:t xml:space="preserve">М08 - Наводняване (естествени процеси). </w:t>
      </w:r>
      <w:r w:rsidRPr="00A8783E">
        <w:rPr>
          <w:rFonts w:ascii="Times New Roman" w:hAnsi="Times New Roman"/>
          <w:sz w:val="24"/>
          <w:szCs w:val="24"/>
          <w:lang w:eastAsia="bg-BG"/>
        </w:rPr>
        <w:t xml:space="preserve">Заплахи за видовете птици в зоната са бракониерството и незаконния отстрел, както и риболов с мрежени уреди, пожари в тръстиковите масиви и безпокойство.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144"/>
        <w:gridCol w:w="1333"/>
        <w:gridCol w:w="2552"/>
        <w:gridCol w:w="2475"/>
      </w:tblGrid>
      <w:tr w:rsidR="00A8783E" w:rsidRPr="00A8783E" w:rsidTr="005B5318">
        <w:trPr>
          <w:tblHeader/>
          <w:jc w:val="center"/>
        </w:trPr>
        <w:tc>
          <w:tcPr>
            <w:tcW w:w="1701"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14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333"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552"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475"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701"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гнездовата популацията</w:t>
            </w:r>
          </w:p>
        </w:tc>
        <w:tc>
          <w:tcPr>
            <w:tcW w:w="114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333"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40 - 250 двойки </w:t>
            </w:r>
          </w:p>
        </w:tc>
        <w:tc>
          <w:tcPr>
            <w:tcW w:w="255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 настоящия СФ (актуализиран през 2018 г.) са посочени 40 – 250 гнездящи двойки. В резултат на извършен мониторинг в защитената зона през гнездовия период на 2021 г. се потвърждава числеността на вида. </w:t>
            </w:r>
          </w:p>
          <w:p w:rsidR="00A8783E" w:rsidRPr="00A8783E" w:rsidRDefault="00A8783E" w:rsidP="00A8783E">
            <w:pPr>
              <w:spacing w:after="0" w:line="240" w:lineRule="auto"/>
              <w:jc w:val="both"/>
              <w:rPr>
                <w:rFonts w:ascii="Times New Roman" w:hAnsi="Times New Roman"/>
                <w:lang w:eastAsia="bg-BG"/>
              </w:rPr>
            </w:pPr>
          </w:p>
        </w:tc>
        <w:tc>
          <w:tcPr>
            <w:tcW w:w="247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популацията на  вида в зоната в размер от най-малко 40 дв. чрез поддържане на подходящи гнездови местообитания.</w:t>
            </w:r>
          </w:p>
        </w:tc>
      </w:tr>
      <w:tr w:rsidR="00A8783E" w:rsidRPr="00A8783E" w:rsidTr="005B5318">
        <w:trPr>
          <w:jc w:val="center"/>
        </w:trPr>
        <w:tc>
          <w:tcPr>
            <w:tcW w:w="1701"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14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33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565,</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от тях тръсиката заема 370 </w:t>
            </w:r>
            <w:r w:rsidRPr="00A8783E">
              <w:rPr>
                <w:rFonts w:ascii="Times New Roman" w:hAnsi="Times New Roman"/>
                <w:lang w:val="en-US" w:eastAsia="bg-BG"/>
              </w:rPr>
              <w:t>ha</w:t>
            </w:r>
          </w:p>
        </w:tc>
        <w:tc>
          <w:tcPr>
            <w:tcW w:w="255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местообитание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47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гнездови местообитания на вида в защитената зона</w:t>
            </w:r>
            <w:r w:rsidRPr="00A8783E">
              <w:rPr>
                <w:rFonts w:cs="Calibri"/>
              </w:rPr>
              <w:t xml:space="preserve"> </w:t>
            </w:r>
            <w:r w:rsidRPr="00A8783E">
              <w:rPr>
                <w:rFonts w:ascii="Times New Roman" w:hAnsi="Times New Roman"/>
                <w:lang w:eastAsia="bg-BG"/>
              </w:rPr>
              <w:t>чрез поддържане на оптимално ниво на водата в езерото.</w:t>
            </w:r>
          </w:p>
        </w:tc>
      </w:tr>
      <w:tr w:rsidR="00A8783E" w:rsidRPr="00A8783E" w:rsidTr="005B5318">
        <w:trPr>
          <w:jc w:val="center"/>
        </w:trPr>
        <w:tc>
          <w:tcPr>
            <w:tcW w:w="1701"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Местообитани</w:t>
            </w:r>
            <w:r w:rsidRPr="00A8783E">
              <w:rPr>
                <w:rFonts w:ascii="Times New Roman" w:hAnsi="Times New Roman"/>
                <w:b/>
                <w:bCs/>
                <w:lang w:eastAsia="bg-BG"/>
              </w:rPr>
              <w:lastRenderedPageBreak/>
              <w:t xml:space="preserve">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14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ha</w:t>
            </w:r>
          </w:p>
        </w:tc>
        <w:tc>
          <w:tcPr>
            <w:tcW w:w="133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най-малко </w:t>
            </w:r>
            <w:r w:rsidRPr="00A8783E">
              <w:rPr>
                <w:rFonts w:ascii="Times New Roman" w:hAnsi="Times New Roman"/>
                <w:lang w:eastAsia="bg-BG"/>
              </w:rPr>
              <w:lastRenderedPageBreak/>
              <w:t>840</w:t>
            </w:r>
          </w:p>
        </w:tc>
        <w:tc>
          <w:tcPr>
            <w:tcW w:w="255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 xml:space="preserve">Включва гнездовото </w:t>
            </w:r>
            <w:r w:rsidRPr="00A8783E">
              <w:rPr>
                <w:rFonts w:ascii="Times New Roman" w:hAnsi="Times New Roman"/>
                <w:lang w:eastAsia="bg-BG"/>
              </w:rPr>
              <w:lastRenderedPageBreak/>
              <w:t xml:space="preserve">местообитание и всички стоящи и течащи води в зоната.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 xml:space="preserve">07 и </w:t>
            </w:r>
            <w:r w:rsidRPr="00A8783E">
              <w:rPr>
                <w:rFonts w:ascii="Times New Roman" w:hAnsi="Times New Roman"/>
                <w:lang w:val="en-US" w:eastAsia="bg-BG"/>
              </w:rPr>
              <w:t>N</w:t>
            </w:r>
            <w:r w:rsidRPr="00A8783E">
              <w:rPr>
                <w:rFonts w:ascii="Times New Roman" w:hAnsi="Times New Roman"/>
                <w:lang w:eastAsia="bg-BG"/>
              </w:rPr>
              <w:t>06.</w:t>
            </w:r>
          </w:p>
        </w:tc>
        <w:tc>
          <w:tcPr>
            <w:tcW w:w="247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 xml:space="preserve">Поддържане и </w:t>
            </w:r>
            <w:r w:rsidRPr="00A8783E">
              <w:rPr>
                <w:rFonts w:ascii="Times New Roman" w:hAnsi="Times New Roman"/>
                <w:lang w:eastAsia="bg-BG"/>
              </w:rPr>
              <w:lastRenderedPageBreak/>
              <w:t>увеличаване на площта на подходящите хранителни местообитания на вида</w:t>
            </w:r>
            <w:r w:rsidRPr="00A8783E">
              <w:rPr>
                <w:rFonts w:cs="Calibri"/>
              </w:rPr>
              <w:t xml:space="preserve"> </w:t>
            </w:r>
            <w:r w:rsidRPr="00A8783E">
              <w:rPr>
                <w:rFonts w:ascii="Times New Roman" w:hAnsi="Times New Roman"/>
                <w:lang w:eastAsia="bg-BG"/>
              </w:rPr>
              <w:t>чрез поддържане на оптимално ниво на водата в езерото.</w:t>
            </w:r>
          </w:p>
        </w:tc>
      </w:tr>
      <w:tr w:rsidR="00A8783E" w:rsidRPr="00A8783E" w:rsidTr="005B5318">
        <w:trPr>
          <w:jc w:val="center"/>
        </w:trPr>
        <w:tc>
          <w:tcPr>
            <w:tcW w:w="1701"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риби (</w:t>
            </w:r>
            <w:r w:rsidRPr="00A8783E">
              <w:rPr>
                <w:rFonts w:ascii="Times New Roman" w:hAnsi="Times New Roman"/>
                <w:lang w:val="en-GB" w:eastAsia="bg-BG"/>
              </w:rPr>
              <w:t>JDS</w:t>
            </w:r>
            <w:r w:rsidRPr="00A8783E">
              <w:rPr>
                <w:rFonts w:ascii="Times New Roman" w:hAnsi="Times New Roman"/>
                <w:lang w:eastAsia="bg-BG"/>
              </w:rPr>
              <w:t>4-</w:t>
            </w:r>
            <w:r w:rsidRPr="00A8783E">
              <w:rPr>
                <w:rFonts w:ascii="Times New Roman" w:hAnsi="Times New Roman"/>
                <w:lang w:val="en-GB" w:eastAsia="bg-BG"/>
              </w:rPr>
              <w:t>Fish</w:t>
            </w:r>
            <w:r w:rsidRPr="00A8783E">
              <w:rPr>
                <w:rFonts w:ascii="Times New Roman" w:hAnsi="Times New Roman"/>
                <w:lang w:eastAsia="bg-BG"/>
              </w:rPr>
              <w:t>)</w:t>
            </w:r>
          </w:p>
        </w:tc>
        <w:tc>
          <w:tcPr>
            <w:tcW w:w="114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33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552" w:type="dxa"/>
          </w:tcPr>
          <w:tbl>
            <w:tblPr>
              <w:tblW w:w="2872" w:type="dxa"/>
              <w:tblInd w:w="3" w:type="dxa"/>
              <w:tblLayout w:type="fixed"/>
              <w:tblCellMar>
                <w:left w:w="70" w:type="dxa"/>
                <w:right w:w="70" w:type="dxa"/>
              </w:tblCellMar>
              <w:tblLook w:val="00A0" w:firstRow="1" w:lastRow="0" w:firstColumn="1" w:lastColumn="0" w:noHBand="0" w:noVBand="0"/>
            </w:tblPr>
            <w:tblGrid>
              <w:gridCol w:w="2872"/>
            </w:tblGrid>
            <w:tr w:rsidR="00A8783E" w:rsidRPr="00A8783E" w:rsidTr="005B5318">
              <w:trPr>
                <w:trHeight w:val="274"/>
              </w:trPr>
              <w:tc>
                <w:tcPr>
                  <w:tcW w:w="2872"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82"/>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274"/>
              </w:trPr>
              <w:tc>
                <w:tcPr>
                  <w:tcW w:w="2872"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82"/>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274"/>
              </w:trPr>
              <w:tc>
                <w:tcPr>
                  <w:tcW w:w="2872"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82"/>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274"/>
              </w:trPr>
              <w:tc>
                <w:tcPr>
                  <w:tcW w:w="2872"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82"/>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274"/>
              </w:trPr>
              <w:tc>
                <w:tcPr>
                  <w:tcW w:w="2872"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82"/>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274"/>
              </w:trPr>
              <w:tc>
                <w:tcPr>
                  <w:tcW w:w="2872"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82"/>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4 (2019-2020, Табл. 5, стр. 51).</w:t>
            </w:r>
            <w:r w:rsidRPr="00A8783E">
              <w:rPr>
                <w:rFonts w:cs="Calibri"/>
              </w:rPr>
              <w:t xml:space="preserve"> </w:t>
            </w:r>
            <w:r w:rsidRPr="00A8783E">
              <w:rPr>
                <w:rFonts w:ascii="Times New Roman" w:hAnsi="Times New Roman"/>
                <w:lang w:eastAsia="bg-BG"/>
              </w:rPr>
              <w:t>Екологичното състояние на езерото Сребърна по БЕК Риби е оценено като „Умерено“ и Отлично по БЕК Макрозообентос.</w:t>
            </w:r>
          </w:p>
        </w:tc>
        <w:tc>
          <w:tcPr>
            <w:tcW w:w="2475"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before="119" w:after="119" w:line="240" w:lineRule="auto"/>
        <w:rPr>
          <w:rFonts w:ascii="Times New Roman" w:hAnsi="Times New Roman"/>
          <w:b/>
          <w:bCs/>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Предвид наличната информация за настоящата гнездяща численост на вида в защитената зона не е необходима актуализация на СФ.</w:t>
      </w:r>
    </w:p>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48" w:name="_Toc89106067"/>
      <w:bookmarkStart w:id="149" w:name="_Toc98741906"/>
      <w:bookmarkStart w:id="150" w:name="_Toc98838581"/>
      <w:r w:rsidRPr="00A8783E">
        <w:rPr>
          <w:rFonts w:ascii="Times New Roman" w:hAnsi="Times New Roman"/>
          <w:color w:val="1F497D"/>
          <w:sz w:val="28"/>
          <w:szCs w:val="28"/>
          <w:lang w:eastAsia="bg-BG"/>
        </w:rPr>
        <w:t xml:space="preserve">Специфични цели за А024 </w:t>
      </w:r>
      <w:r w:rsidRPr="00A8783E">
        <w:rPr>
          <w:rFonts w:ascii="Times New Roman" w:hAnsi="Times New Roman"/>
          <w:i/>
          <w:iCs/>
          <w:color w:val="1F497D"/>
          <w:sz w:val="28"/>
          <w:szCs w:val="28"/>
          <w:lang w:val="en-GB" w:eastAsia="bg-BG"/>
        </w:rPr>
        <w:t>Ardeola</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GB" w:eastAsia="bg-BG"/>
        </w:rPr>
        <w:t>ralloides</w:t>
      </w:r>
      <w:r w:rsidRPr="00A8783E">
        <w:rPr>
          <w:rFonts w:ascii="Times New Roman" w:hAnsi="Times New Roman"/>
          <w:color w:val="1F497D"/>
          <w:sz w:val="28"/>
          <w:szCs w:val="28"/>
          <w:lang w:eastAsia="bg-BG"/>
        </w:rPr>
        <w:t xml:space="preserve"> (гривеста чапла)</w:t>
      </w:r>
      <w:bookmarkEnd w:id="148"/>
      <w:bookmarkEnd w:id="149"/>
      <w:bookmarkEnd w:id="150"/>
    </w:p>
    <w:p w:rsidR="00A8783E" w:rsidRPr="00A8783E" w:rsidRDefault="00A8783E" w:rsidP="00A8783E">
      <w:pPr>
        <w:spacing w:before="60" w:after="6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60" w:after="6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Дължина на тялото: 45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Размах на крилете: 86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Има възрастов диморфизъм и малки сезонни различия. Възрастните през размножителния период имат на главата удължени украсяващи пера с черни ръбове, гърбът е жълто-кафяв, клюнът синкав, с черна предна половина, краката са червеникави, кожата около очите е синьо-зелена. През другите сезони клюнът, краката и кожата около очите са жълто-зелени. Младите отгоре са кафяви, а отдолу по-светли с кафяви щрихи. Клюнът е с жълта основна половина.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Гривестата чапла е гнездящо-прелетен вид в България (Симеонов и др., 1990). Пролетната миграция е през март-април, а есенната – август до октомври. Зимува в Африка, южно от Сахара.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Гривестата чапла обитава блата, езера, разливи на реки, микроязовири, язовири, канали на напоителни системи, рибарници, оризища, както и заливни гори и равнинни дъбови гори. Размножителният период започва към средата на май и продължава до началото на август. Гнезди в смесени колонии. Познати са три типа гнездови колонии: в тръстикови масиви, в заливни гори и в равнинни дъбови гори. Гнездото е разположено предимно в долните етажи на дърветата, или до около 1 м. от водната повърхност (Симеонов и др., 1990). Снася 4 – 6 яйца, като има едно поколение годишно. Предпочитаните местообитания са 1130, 1150, 1160, 3130, 3150, 91</w:t>
      </w:r>
      <w:r w:rsidRPr="00A8783E">
        <w:rPr>
          <w:rFonts w:ascii="Times New Roman" w:hAnsi="Times New Roman"/>
          <w:sz w:val="24"/>
          <w:szCs w:val="24"/>
          <w:lang w:val="en-GB" w:eastAsia="bg-BG"/>
        </w:rPr>
        <w:t>D</w:t>
      </w:r>
      <w:r w:rsidRPr="00A8783E">
        <w:rPr>
          <w:rFonts w:ascii="Times New Roman" w:hAnsi="Times New Roman"/>
          <w:sz w:val="24"/>
          <w:szCs w:val="24"/>
          <w:lang w:eastAsia="bg-BG"/>
        </w:rPr>
        <w:t>0, 91</w:t>
      </w:r>
      <w:r w:rsidRPr="00A8783E">
        <w:rPr>
          <w:rFonts w:ascii="Times New Roman" w:hAnsi="Times New Roman"/>
          <w:sz w:val="24"/>
          <w:szCs w:val="24"/>
          <w:lang w:val="en-GB" w:eastAsia="bg-BG"/>
        </w:rPr>
        <w:t>E</w:t>
      </w:r>
      <w:r w:rsidRPr="00A8783E">
        <w:rPr>
          <w:rFonts w:ascii="Times New Roman" w:hAnsi="Times New Roman"/>
          <w:sz w:val="24"/>
          <w:szCs w:val="24"/>
          <w:lang w:eastAsia="bg-BG"/>
        </w:rPr>
        <w:t>0 и 91</w:t>
      </w:r>
      <w:r w:rsidRPr="00A8783E">
        <w:rPr>
          <w:rFonts w:ascii="Times New Roman" w:hAnsi="Times New Roman"/>
          <w:sz w:val="24"/>
          <w:szCs w:val="24"/>
          <w:lang w:val="en-GB" w:eastAsia="bg-BG"/>
        </w:rPr>
        <w:t>F</w:t>
      </w:r>
      <w:r w:rsidRPr="00A8783E">
        <w:rPr>
          <w:rFonts w:ascii="Times New Roman" w:hAnsi="Times New Roman"/>
          <w:sz w:val="24"/>
          <w:szCs w:val="24"/>
          <w:lang w:eastAsia="bg-BG"/>
        </w:rPr>
        <w:t>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Храни се с малки рибки, земноводни, насекоми и безгръбначни. В изследване на птици от Софийско са установени </w:t>
      </w:r>
      <w:r w:rsidRPr="00A8783E">
        <w:rPr>
          <w:rFonts w:ascii="Times New Roman" w:hAnsi="Times New Roman"/>
          <w:i/>
          <w:iCs/>
          <w:sz w:val="24"/>
          <w:szCs w:val="24"/>
          <w:lang w:val="en-GB" w:eastAsia="bg-BG"/>
        </w:rPr>
        <w:t>Rana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ridbunda</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Tinca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tinca</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Carasius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auratus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Cobitis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tenia</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Libellulidae</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Gryllotalpa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gryllotalpa</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Dytiscidae</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Elateridae</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Hydrophilidae</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Chrysomelidae</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Curculeonidae</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Chilopoda</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Asellus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aquaticus</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Lumbricidae</w:t>
      </w:r>
      <w:r w:rsidRPr="00A8783E">
        <w:rPr>
          <w:rFonts w:ascii="Times New Roman" w:hAnsi="Times New Roman"/>
          <w:sz w:val="24"/>
          <w:szCs w:val="24"/>
          <w:lang w:eastAsia="bg-BG"/>
        </w:rPr>
        <w:t xml:space="preserve">. Ловува в ранните утринни часове и особено привечер. Местата за хранене са отдалечени до около 10 </w:t>
      </w:r>
      <w:r w:rsidRPr="00A8783E">
        <w:rPr>
          <w:rFonts w:ascii="Times New Roman" w:hAnsi="Times New Roman"/>
          <w:sz w:val="24"/>
          <w:szCs w:val="24"/>
          <w:lang w:val="en-US" w:eastAsia="bg-BG"/>
        </w:rPr>
        <w:t>km</w:t>
      </w:r>
      <w:r w:rsidRPr="00A8783E">
        <w:rPr>
          <w:rFonts w:ascii="Times New Roman" w:hAnsi="Times New Roman"/>
          <w:sz w:val="24"/>
          <w:szCs w:val="24"/>
          <w:lang w:eastAsia="bg-BG"/>
        </w:rPr>
        <w:t xml:space="preserve"> от гнездовите колонии (Симеонов и др., 1990). </w:t>
      </w:r>
    </w:p>
    <w:p w:rsidR="00A8783E" w:rsidRPr="00A8783E" w:rsidRDefault="00A8783E" w:rsidP="00A8783E">
      <w:pPr>
        <w:spacing w:before="60" w:after="6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60" w:after="6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Сравнително рядък и малоброен гнездящ вид. Гнезди по Дунавските острови и в различен тип влажни зони – езера, блата, рибарници и язовири. С разпръснато и групово разпространение по Дунавското крайбрежие, Горнотракийската низина и Бургаските влажни зони. Сигурно, но епизодично находище в Софийското поле (Янков отг. ред., 2007). </w:t>
      </w:r>
    </w:p>
    <w:p w:rsidR="00A8783E" w:rsidRPr="00A8783E" w:rsidRDefault="00A8783E" w:rsidP="00A8783E">
      <w:pPr>
        <w:spacing w:before="60" w:after="6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Природозащитният статус на гривестата чапла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е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Включен е в SPEC 3. Включен в Червената книга на Р България (Големански ред., 2015) в категория „Застрашен“ (</w:t>
      </w:r>
      <w:r w:rsidRPr="00A8783E">
        <w:rPr>
          <w:rFonts w:ascii="Times New Roman" w:hAnsi="Times New Roman"/>
          <w:sz w:val="24"/>
          <w:szCs w:val="24"/>
          <w:lang w:val="en-US" w:eastAsia="bg-BG"/>
        </w:rPr>
        <w:t>VU</w:t>
      </w:r>
      <w:r w:rsidRPr="00A8783E">
        <w:rPr>
          <w:rFonts w:ascii="Times New Roman" w:hAnsi="Times New Roman"/>
          <w:sz w:val="24"/>
          <w:szCs w:val="24"/>
          <w:lang w:eastAsia="bg-BG"/>
        </w:rPr>
        <w:t xml:space="preserve">). Включен е в Приложение 1 на Директивата за птиците, както и в Приложения 2 и 3 на ЗБР. </w:t>
      </w:r>
    </w:p>
    <w:p w:rsidR="00A8783E" w:rsidRPr="00A8783E" w:rsidRDefault="00A8783E" w:rsidP="00A8783E">
      <w:pPr>
        <w:spacing w:before="60" w:after="60" w:line="240" w:lineRule="auto"/>
        <w:jc w:val="both"/>
        <w:rPr>
          <w:rFonts w:ascii="Times New Roman" w:hAnsi="Times New Roman"/>
          <w:sz w:val="24"/>
          <w:szCs w:val="24"/>
          <w:lang w:eastAsia="bg-BG"/>
        </w:rPr>
      </w:pPr>
      <w:r w:rsidRPr="00A8783E">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 на 150 – 550 двойки. Краткосрочната тенденция на популацията (за периода 2001 – 2018 г.) е намаляваща, а дългосрочната (за периода 1980 – 2018 г.) – също намаляваща. Краткосрочната тенденция на популацията в рамките на Натура 2000 е стабилна.</w:t>
      </w:r>
    </w:p>
    <w:p w:rsidR="00A8783E" w:rsidRPr="00A8783E" w:rsidRDefault="00A8783E" w:rsidP="00A8783E">
      <w:pPr>
        <w:spacing w:before="60" w:after="60" w:line="240" w:lineRule="auto"/>
        <w:jc w:val="both"/>
        <w:rPr>
          <w:rFonts w:ascii="Times New Roman" w:hAnsi="Times New Roman"/>
          <w:sz w:val="24"/>
          <w:szCs w:val="24"/>
          <w:lang w:eastAsia="bg-BG"/>
        </w:rPr>
      </w:pPr>
      <w:r w:rsidRPr="00A8783E">
        <w:rPr>
          <w:rFonts w:ascii="Times New Roman" w:hAnsi="Times New Roman"/>
          <w:sz w:val="24"/>
          <w:szCs w:val="24"/>
          <w:lang w:eastAsia="bg-BG"/>
        </w:rPr>
        <w:t>Мигриращата национална популация (за периода 2001 – 2018 г.) е оценена на 600 – 1200 индивида.</w:t>
      </w:r>
    </w:p>
    <w:p w:rsidR="00A8783E" w:rsidRPr="00A8783E" w:rsidRDefault="00A8783E" w:rsidP="00A8783E">
      <w:pPr>
        <w:spacing w:before="60" w:after="60" w:line="240" w:lineRule="auto"/>
        <w:jc w:val="both"/>
        <w:rPr>
          <w:rFonts w:ascii="Times New Roman" w:hAnsi="Times New Roman"/>
          <w:sz w:val="24"/>
          <w:szCs w:val="24"/>
          <w:lang w:eastAsia="bg-BG"/>
        </w:rPr>
      </w:pPr>
      <w:r w:rsidRPr="00A8783E">
        <w:rPr>
          <w:rFonts w:ascii="Times New Roman" w:hAnsi="Times New Roman"/>
          <w:sz w:val="24"/>
          <w:szCs w:val="24"/>
          <w:lang w:eastAsia="bg-BG"/>
        </w:rPr>
        <w:t>За гнездящата и мигриращата популация са посочени следните заплахи и влияния: F05, G01, H01, J02, K01, M08 и G05.</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60" w:after="6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вида е гнездящ. Гнездящата популация се оценява на </w:t>
      </w:r>
      <w:r w:rsidRPr="00A8783E">
        <w:rPr>
          <w:rFonts w:ascii="Times New Roman" w:hAnsi="Times New Roman"/>
          <w:b/>
          <w:bCs/>
          <w:sz w:val="24"/>
          <w:szCs w:val="24"/>
          <w:lang w:eastAsia="bg-BG"/>
        </w:rPr>
        <w:t>15 - 100 двойки</w:t>
      </w:r>
      <w:r w:rsidRPr="00A8783E">
        <w:rPr>
          <w:rFonts w:ascii="Times New Roman" w:hAnsi="Times New Roman"/>
          <w:sz w:val="24"/>
          <w:szCs w:val="24"/>
          <w:lang w:eastAsia="bg-BG"/>
        </w:rPr>
        <w:t xml:space="preserve">, което представлява </w:t>
      </w:r>
      <w:r w:rsidRPr="00A8783E">
        <w:rPr>
          <w:rFonts w:ascii="Times New Roman" w:hAnsi="Times New Roman"/>
          <w:b/>
          <w:bCs/>
          <w:sz w:val="24"/>
          <w:szCs w:val="24"/>
          <w:lang w:eastAsia="bg-BG"/>
        </w:rPr>
        <w:t>10,0 - 18,2 % от националната</w:t>
      </w:r>
      <w:r w:rsidRPr="00A8783E">
        <w:rPr>
          <w:rFonts w:ascii="Times New Roman" w:hAnsi="Times New Roman"/>
          <w:sz w:val="24"/>
          <w:szCs w:val="24"/>
          <w:lang w:eastAsia="bg-BG"/>
        </w:rPr>
        <w:t xml:space="preserve">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60" w:after="6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 xml:space="preserve">По Дунавското крайбрежие видът се среща сравнително често, макар да гнезди на малко места при проучвания провеждани в последните 15-20 години. Публикуваната информация за гнезденето на вида в зоната посочва през 2001 и 2002 г. съответно 200 и </w:t>
      </w:r>
      <w:r w:rsidRPr="00A8783E">
        <w:rPr>
          <w:rFonts w:ascii="Times New Roman" w:hAnsi="Times New Roman"/>
          <w:color w:val="000000"/>
          <w:sz w:val="24"/>
          <w:szCs w:val="24"/>
          <w:lang w:eastAsia="bg-BG"/>
        </w:rPr>
        <w:lastRenderedPageBreak/>
        <w:t>50 двойки (</w:t>
      </w:r>
      <w:r w:rsidRPr="00A8783E">
        <w:rPr>
          <w:rFonts w:ascii="Times New Roman" w:hAnsi="Times New Roman"/>
          <w:color w:val="000000"/>
          <w:sz w:val="24"/>
          <w:szCs w:val="24"/>
          <w:lang w:val="en-US" w:eastAsia="bg-BG"/>
        </w:rPr>
        <w:t>Kamburova</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2003). В края на ХХ век числеността на вида е била между 21 и 548 дв., а между 2001 и 2003 г.: 30 – 200 дв. (</w:t>
      </w:r>
      <w:r w:rsidRPr="00A8783E">
        <w:rPr>
          <w:rFonts w:ascii="Times New Roman" w:hAnsi="Times New Roman"/>
          <w:color w:val="000000"/>
          <w:sz w:val="24"/>
          <w:szCs w:val="24"/>
          <w:lang w:val="en-US" w:eastAsia="bg-BG"/>
        </w:rPr>
        <w:t>Kambourova</w:t>
      </w:r>
      <w:r w:rsidRPr="00A8783E">
        <w:rPr>
          <w:rFonts w:ascii="Times New Roman" w:hAnsi="Times New Roman"/>
          <w:color w:val="000000"/>
          <w:sz w:val="24"/>
          <w:szCs w:val="24"/>
          <w:lang w:eastAsia="bg-BG"/>
        </w:rPr>
        <w:t xml:space="preserve">, 2003, 2012). В периода 2006-2014 г. числеността на гривестата чапла в Сребърна е следната: 2006 – 45 дв., 2010 – 70 дв., 2011 – 15 дв., 2012 – 30 дв., 2013 – 100 дв. и 2014 – 30 дв.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xml:space="preserve">., 2019). Според Матеева и др. (2013) в зоната са гнездили 25 – 35 дв. през 2012 г. Михов и др. (1997) и Костадинова, Граматиков (2007) дават числености от 60 дв. През 2017 г. при проучване по р. Дунав, видът е наблюдаван в ПР „Сребърна” с численост от 10 екз. (Димитров, 2018). В Актуализирания План за управление на ПР „Сребърна” (2015 г.), се посочва че видът гнезди с численост 40-50 двойки или около 9 % от националната гнездова популация. </w:t>
      </w:r>
      <w:r w:rsidRPr="00A8783E">
        <w:rPr>
          <w:rFonts w:ascii="Times New Roman" w:hAnsi="Times New Roman"/>
          <w:sz w:val="24"/>
          <w:szCs w:val="24"/>
          <w:lang w:eastAsia="bg-BG"/>
        </w:rPr>
        <w:t>При теренните проучвания през 2021 г. видът е наблюдаван многократно през месеците май и юни – 43 птици в подходящ гнездови биотоп. Регистрирани са минимум 8-10 гнездящи двойки в две смесени колонии – в югоизточния и западния край на езерото. При цялостно проучване по р. Дунав през м. юли 2021 г. не са наблюдавани птици в участъка на реката срещу границата на защитената зона.</w:t>
      </w:r>
    </w:p>
    <w:p w:rsidR="00A8783E" w:rsidRPr="00A8783E" w:rsidRDefault="00A8783E" w:rsidP="00A8783E">
      <w:pPr>
        <w:spacing w:before="60" w:after="6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От посочените в Докладването от 2019 г. заплахи и влияния за гнездящата популация: F05, G01, H01, J02, K01, M08 и G05, валидни за зоната са: </w:t>
      </w:r>
      <w:r w:rsidRPr="00A8783E">
        <w:rPr>
          <w:rFonts w:ascii="Times New Roman" w:hAnsi="Times New Roman"/>
          <w:sz w:val="24"/>
          <w:szCs w:val="24"/>
        </w:rPr>
        <w:t xml:space="preserve">М08 - Наводняване (естествени процеси); </w:t>
      </w:r>
      <w:r w:rsidRPr="00A8783E">
        <w:rPr>
          <w:rFonts w:ascii="Times New Roman" w:hAnsi="Times New Roman"/>
          <w:sz w:val="24"/>
          <w:szCs w:val="24"/>
          <w:lang w:eastAsia="bg-BG"/>
        </w:rPr>
        <w:t xml:space="preserve">Заплахи за видовете птици в зоната са бракониерството и незаконния отстрел, както и риболов с мрежени уреди, пожари в тръстиковите масиви и безпокойство. </w:t>
      </w:r>
    </w:p>
    <w:p w:rsidR="00A8783E" w:rsidRPr="00A8783E" w:rsidRDefault="00A8783E" w:rsidP="00A8783E">
      <w:pPr>
        <w:spacing w:before="60" w:after="6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0"/>
        <w:gridCol w:w="1276"/>
        <w:gridCol w:w="1276"/>
        <w:gridCol w:w="2677"/>
        <w:gridCol w:w="2403"/>
      </w:tblGrid>
      <w:tr w:rsidR="00A8783E" w:rsidRPr="00A8783E" w:rsidTr="005B5318">
        <w:trPr>
          <w:tblHeader/>
          <w:jc w:val="center"/>
        </w:trPr>
        <w:tc>
          <w:tcPr>
            <w:tcW w:w="1710"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27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27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677"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403"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710"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гнездовата популация</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27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15 - 100 двойки </w:t>
            </w:r>
          </w:p>
        </w:tc>
        <w:tc>
          <w:tcPr>
            <w:tcW w:w="267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 настоящия СФ (актуализиран през 2018 г.) са посочени 15 – 100 гнездящи двойки. В резултат на извършен мониторинг в защитената зона през гнездовия период на 2021 г. се потвърждава числеността на вида. </w:t>
            </w:r>
          </w:p>
          <w:p w:rsidR="00A8783E" w:rsidRPr="00A8783E" w:rsidRDefault="00A8783E" w:rsidP="00A8783E">
            <w:pPr>
              <w:spacing w:after="0" w:line="240" w:lineRule="auto"/>
              <w:jc w:val="both"/>
              <w:rPr>
                <w:rFonts w:ascii="Times New Roman" w:hAnsi="Times New Roman"/>
                <w:lang w:eastAsia="bg-BG"/>
              </w:rPr>
            </w:pPr>
          </w:p>
        </w:tc>
        <w:tc>
          <w:tcPr>
            <w:tcW w:w="240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популацията на вида в зоната в размер от най-малко 15 дв. чрез поддържане на подходящите местообитания.</w:t>
            </w:r>
          </w:p>
        </w:tc>
      </w:tr>
      <w:tr w:rsidR="00A8783E" w:rsidRPr="00A8783E" w:rsidTr="005B5318">
        <w:trPr>
          <w:jc w:val="center"/>
        </w:trPr>
        <w:tc>
          <w:tcPr>
            <w:tcW w:w="1710"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565,</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от които само тръстика са 370 </w:t>
            </w:r>
            <w:r w:rsidRPr="00A8783E">
              <w:rPr>
                <w:rFonts w:ascii="Times New Roman" w:hAnsi="Times New Roman"/>
                <w:lang w:val="en-US" w:eastAsia="bg-BG"/>
              </w:rPr>
              <w:t>ha</w:t>
            </w:r>
          </w:p>
        </w:tc>
        <w:tc>
          <w:tcPr>
            <w:tcW w:w="267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местообитание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40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гнездови местообитания на вида в защитената зона чрез поддържане на оптимално ниво на водата в езерото.</w:t>
            </w:r>
          </w:p>
        </w:tc>
      </w:tr>
      <w:tr w:rsidR="00A8783E" w:rsidRPr="00A8783E" w:rsidTr="005B5318">
        <w:trPr>
          <w:jc w:val="center"/>
        </w:trPr>
        <w:tc>
          <w:tcPr>
            <w:tcW w:w="1710"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840</w:t>
            </w:r>
          </w:p>
        </w:tc>
        <w:tc>
          <w:tcPr>
            <w:tcW w:w="267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Включва гнездовото местообитание и всички стоящи и течащи води в зоната.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 xml:space="preserve">07-мочурища и блата и </w:t>
            </w:r>
            <w:r w:rsidRPr="00A8783E">
              <w:rPr>
                <w:rFonts w:ascii="Times New Roman" w:hAnsi="Times New Roman"/>
                <w:lang w:val="en-US" w:eastAsia="bg-BG"/>
              </w:rPr>
              <w:t>N</w:t>
            </w:r>
            <w:r w:rsidRPr="00A8783E">
              <w:rPr>
                <w:rFonts w:ascii="Times New Roman" w:hAnsi="Times New Roman"/>
                <w:lang w:eastAsia="bg-BG"/>
              </w:rPr>
              <w:t>06-вътрешни водни тела.</w:t>
            </w:r>
          </w:p>
        </w:tc>
        <w:tc>
          <w:tcPr>
            <w:tcW w:w="240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Поддържане и увеличаване на площта на подходящите хранителни местообитания на вида </w:t>
            </w:r>
            <w:r w:rsidRPr="00A8783E">
              <w:rPr>
                <w:rFonts w:ascii="Times New Roman" w:hAnsi="Times New Roman"/>
                <w:sz w:val="20"/>
                <w:szCs w:val="20"/>
                <w:lang w:eastAsia="bg-BG"/>
              </w:rPr>
              <w:t xml:space="preserve">чрез поддържане на оптимално ниво на </w:t>
            </w:r>
            <w:r w:rsidRPr="00A8783E">
              <w:rPr>
                <w:rFonts w:ascii="Times New Roman" w:hAnsi="Times New Roman"/>
                <w:sz w:val="20"/>
                <w:szCs w:val="20"/>
                <w:lang w:eastAsia="bg-BG"/>
              </w:rPr>
              <w:lastRenderedPageBreak/>
              <w:t>водата в езерото</w:t>
            </w:r>
            <w:r w:rsidRPr="00A8783E">
              <w:rPr>
                <w:rFonts w:ascii="Times New Roman" w:hAnsi="Times New Roman"/>
                <w:lang w:eastAsia="bg-BG"/>
              </w:rPr>
              <w:t>.</w:t>
            </w:r>
          </w:p>
        </w:tc>
      </w:tr>
      <w:tr w:rsidR="00A8783E" w:rsidRPr="00A8783E" w:rsidTr="005B5318">
        <w:trPr>
          <w:jc w:val="center"/>
        </w:trPr>
        <w:tc>
          <w:tcPr>
            <w:tcW w:w="1710"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риби (</w:t>
            </w:r>
            <w:r w:rsidRPr="00A8783E">
              <w:rPr>
                <w:rFonts w:ascii="Times New Roman" w:hAnsi="Times New Roman"/>
                <w:lang w:val="en-GB" w:eastAsia="bg-BG"/>
              </w:rPr>
              <w:t>JDS</w:t>
            </w:r>
            <w:r w:rsidRPr="00A8783E">
              <w:rPr>
                <w:rFonts w:ascii="Times New Roman" w:hAnsi="Times New Roman"/>
                <w:lang w:eastAsia="bg-BG"/>
              </w:rPr>
              <w:t>4-</w:t>
            </w:r>
            <w:r w:rsidRPr="00A8783E">
              <w:rPr>
                <w:rFonts w:ascii="Times New Roman" w:hAnsi="Times New Roman"/>
                <w:lang w:val="en-GB" w:eastAsia="bg-BG"/>
              </w:rPr>
              <w:t>Fish</w:t>
            </w:r>
            <w:r w:rsidRPr="00A8783E">
              <w:rPr>
                <w:rFonts w:ascii="Times New Roman" w:hAnsi="Times New Roman"/>
                <w:lang w:eastAsia="bg-BG"/>
              </w:rPr>
              <w:t>)</w:t>
            </w:r>
          </w:p>
        </w:tc>
        <w:tc>
          <w:tcPr>
            <w:tcW w:w="127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677" w:type="dxa"/>
          </w:tcPr>
          <w:tbl>
            <w:tblPr>
              <w:tblW w:w="2688" w:type="dxa"/>
              <w:tblInd w:w="3" w:type="dxa"/>
              <w:tblLayout w:type="fixed"/>
              <w:tblCellMar>
                <w:left w:w="70" w:type="dxa"/>
                <w:right w:w="70" w:type="dxa"/>
              </w:tblCellMar>
              <w:tblLook w:val="00A0" w:firstRow="1" w:lastRow="0" w:firstColumn="1" w:lastColumn="0" w:noHBand="0" w:noVBand="0"/>
            </w:tblPr>
            <w:tblGrid>
              <w:gridCol w:w="2688"/>
            </w:tblGrid>
            <w:tr w:rsidR="00A8783E" w:rsidRPr="00A8783E" w:rsidTr="005B5318">
              <w:trPr>
                <w:trHeight w:val="275"/>
              </w:trPr>
              <w:tc>
                <w:tcPr>
                  <w:tcW w:w="2688"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77"/>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275"/>
              </w:trPr>
              <w:tc>
                <w:tcPr>
                  <w:tcW w:w="2688"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77"/>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275"/>
              </w:trPr>
              <w:tc>
                <w:tcPr>
                  <w:tcW w:w="2688"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77"/>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275"/>
              </w:trPr>
              <w:tc>
                <w:tcPr>
                  <w:tcW w:w="2688"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77"/>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275"/>
              </w:trPr>
              <w:tc>
                <w:tcPr>
                  <w:tcW w:w="2688"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77"/>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275"/>
              </w:trPr>
              <w:tc>
                <w:tcPr>
                  <w:tcW w:w="2688"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77"/>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 xml:space="preserve">4 (2019-2020, Табл. 5, стр. 51). Екологичното състояние на езерото Сребърна по БЕК Риби е оценено като „Умерено“, а на БЕК Макрозообентос – </w:t>
            </w:r>
            <w:r w:rsidRPr="00A8783E">
              <w:rPr>
                <w:rFonts w:ascii="Times New Roman" w:hAnsi="Times New Roman"/>
                <w:b/>
                <w:bCs/>
                <w:lang w:eastAsia="bg-BG"/>
              </w:rPr>
              <w:t>Отлично</w:t>
            </w:r>
            <w:r w:rsidRPr="00A8783E">
              <w:rPr>
                <w:rFonts w:ascii="Times New Roman" w:hAnsi="Times New Roman"/>
                <w:lang w:eastAsia="bg-BG"/>
              </w:rPr>
              <w:t xml:space="preserve">. </w:t>
            </w:r>
          </w:p>
        </w:tc>
        <w:tc>
          <w:tcPr>
            <w:tcW w:w="2403"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before="119" w:after="119" w:line="240" w:lineRule="auto"/>
        <w:rPr>
          <w:rFonts w:ascii="Times New Roman" w:hAnsi="Times New Roman"/>
          <w:b/>
          <w:bCs/>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Предвид наличната информация за настоящата гнездяща численост на вида в защитената зона не е необходима актуализация на СФ.</w:t>
      </w:r>
    </w:p>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51" w:name="_Toc89106068"/>
      <w:bookmarkStart w:id="152" w:name="_Toc98741907"/>
      <w:bookmarkStart w:id="153" w:name="_Toc98838582"/>
      <w:r w:rsidRPr="00A8783E">
        <w:rPr>
          <w:rFonts w:ascii="Times New Roman" w:hAnsi="Times New Roman"/>
          <w:color w:val="1F497D"/>
          <w:sz w:val="28"/>
          <w:szCs w:val="28"/>
          <w:lang w:eastAsia="bg-BG"/>
        </w:rPr>
        <w:t xml:space="preserve">Специфични цели за А026 </w:t>
      </w:r>
      <w:r w:rsidRPr="00A8783E">
        <w:rPr>
          <w:rFonts w:ascii="Times New Roman" w:hAnsi="Times New Roman"/>
          <w:i/>
          <w:iCs/>
          <w:color w:val="1F497D"/>
          <w:sz w:val="28"/>
          <w:szCs w:val="28"/>
          <w:lang w:val="en-GB" w:eastAsia="bg-BG"/>
        </w:rPr>
        <w:t>Egretta</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GB" w:eastAsia="bg-BG"/>
        </w:rPr>
        <w:t>garzetta</w:t>
      </w:r>
      <w:r w:rsidRPr="00A8783E">
        <w:rPr>
          <w:rFonts w:ascii="Times New Roman" w:hAnsi="Times New Roman"/>
          <w:color w:val="1F497D"/>
          <w:sz w:val="28"/>
          <w:szCs w:val="28"/>
          <w:lang w:eastAsia="bg-BG"/>
        </w:rPr>
        <w:t xml:space="preserve"> (малка бяла чапла)</w:t>
      </w:r>
      <w:bookmarkEnd w:id="151"/>
      <w:bookmarkEnd w:id="152"/>
      <w:bookmarkEnd w:id="153"/>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Дължина на тялото: 55 – 65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Размах на крилата: 88 – 106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Изцяло бяла птица. Може да се сгреши с голямата бяла чапла. Основните различия са по-малкият размер, тъмният клюн и крака с жълти стъпала, които обаче не се виждат, когато птицата е кацнала във водата. През размножителния сезон има две удължени пера на тила – егретки.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Малката бяла чапла е гнездящо-прелетен вид в България (Симеонов и др., 1990). Пролетната миграция е от средата на март до май, а есенната – от края на август до октомври. Видът зимува в Африка и Близкия Изток.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Малката бяла чапла обитава блата, езера, разливи на реки, микроязовири, язовири, канали на напоителни системи, рибарници, оризища, както и заливни гори и равнинни дъбови гори. Размножителният период започва от средата на април и продължава до началото на август. Образува различни по големина смесени колонии с други видове чапли, корморани, ибиси и лопатарки. Познати са три типа гнездови колонии: в тръстикови масиви, в заливни гори и в равнинни дъбови гори. Гнездото е разположено предимно в средните етажи на дърветата, или до около 1 м. над водната повърхност </w:t>
      </w:r>
      <w:r w:rsidRPr="00A8783E">
        <w:rPr>
          <w:rFonts w:ascii="Times New Roman" w:hAnsi="Times New Roman"/>
          <w:sz w:val="24"/>
          <w:szCs w:val="24"/>
          <w:lang w:eastAsia="bg-BG"/>
        </w:rPr>
        <w:lastRenderedPageBreak/>
        <w:t>(Симеонов и др., 1990). Снася 3 – 4 яйца, като има едно поколение годишно. Предпочитаните местообитания са 1130, 1150, 1160, 3130, 3150, 91</w:t>
      </w:r>
      <w:r w:rsidRPr="00A8783E">
        <w:rPr>
          <w:rFonts w:ascii="Times New Roman" w:hAnsi="Times New Roman"/>
          <w:sz w:val="24"/>
          <w:szCs w:val="24"/>
          <w:lang w:val="en-GB" w:eastAsia="bg-BG"/>
        </w:rPr>
        <w:t>D</w:t>
      </w:r>
      <w:r w:rsidRPr="00A8783E">
        <w:rPr>
          <w:rFonts w:ascii="Times New Roman" w:hAnsi="Times New Roman"/>
          <w:sz w:val="24"/>
          <w:szCs w:val="24"/>
          <w:lang w:eastAsia="bg-BG"/>
        </w:rPr>
        <w:t>0, 91</w:t>
      </w:r>
      <w:r w:rsidRPr="00A8783E">
        <w:rPr>
          <w:rFonts w:ascii="Times New Roman" w:hAnsi="Times New Roman"/>
          <w:sz w:val="24"/>
          <w:szCs w:val="24"/>
          <w:lang w:val="en-GB" w:eastAsia="bg-BG"/>
        </w:rPr>
        <w:t>E</w:t>
      </w:r>
      <w:r w:rsidRPr="00A8783E">
        <w:rPr>
          <w:rFonts w:ascii="Times New Roman" w:hAnsi="Times New Roman"/>
          <w:sz w:val="24"/>
          <w:szCs w:val="24"/>
          <w:lang w:eastAsia="bg-BG"/>
        </w:rPr>
        <w:t>0 и 91</w:t>
      </w:r>
      <w:r w:rsidRPr="00A8783E">
        <w:rPr>
          <w:rFonts w:ascii="Times New Roman" w:hAnsi="Times New Roman"/>
          <w:sz w:val="24"/>
          <w:szCs w:val="24"/>
          <w:lang w:val="en-GB" w:eastAsia="bg-BG"/>
        </w:rPr>
        <w:t>F</w:t>
      </w:r>
      <w:r w:rsidRPr="00A8783E">
        <w:rPr>
          <w:rFonts w:ascii="Times New Roman" w:hAnsi="Times New Roman"/>
          <w:sz w:val="24"/>
          <w:szCs w:val="24"/>
          <w:lang w:eastAsia="bg-BG"/>
        </w:rPr>
        <w:t>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Храни се с малки рибки, жаби и попови лъжички, водни насекоми, земноводни, малки гризачи и др., често в рехави ята от по няколко индивида. В изследване на птици от Софийско са установени </w:t>
      </w:r>
      <w:r w:rsidRPr="00A8783E">
        <w:rPr>
          <w:rFonts w:ascii="Times New Roman" w:hAnsi="Times New Roman"/>
          <w:i/>
          <w:iCs/>
          <w:sz w:val="24"/>
          <w:szCs w:val="24"/>
          <w:lang w:val="en-GB" w:eastAsia="bg-BG"/>
        </w:rPr>
        <w:t>Microtus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arvalis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Lacerta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viridis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Lacerta</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sp</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Rana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ridbunda</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Tinca</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tinca</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Gobio</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gobio</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Scardinius</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erythrophtalmus</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Alburnus</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alburnus</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Libellula</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sp</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Gryllus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demertus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Gryllotalpa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gryllotalpa</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Carabidae</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Dytiscidae</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Hydrophylidae</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Chrysomelidae</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Curculionidae</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Geotrupes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sp</w:t>
      </w:r>
      <w:r w:rsidRPr="00A8783E">
        <w:rPr>
          <w:rFonts w:ascii="Times New Roman" w:hAnsi="Times New Roman"/>
          <w:sz w:val="24"/>
          <w:szCs w:val="24"/>
          <w:lang w:eastAsia="bg-BG"/>
        </w:rPr>
        <w:t xml:space="preserve">. Ловува рано сутрин и привечер, по-рядко през останалото време (Симеонов и др., 1990).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Гнезди по Дунавските острови и в различен тип влажни зони – езера, блата, рибарници и язовири. С разпръснато и групово разпространение по Дунавското крайбрежие, Горнотракийската низина, Бургаските влажни зони и по р. Арда. С епизодично гнездене в Софийското поле. Често неразмножаващи се индивиди могат да се регистрират и в други райони на страната (Янков отг. ред., 2007).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Природозащитният статус на малката бяла чапла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е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Включен в Червената книга на Р България (Големански ред., 2015) в категория „Почти Застрашен“ (</w:t>
      </w:r>
      <w:r w:rsidRPr="00A8783E">
        <w:rPr>
          <w:rFonts w:ascii="Times New Roman" w:hAnsi="Times New Roman"/>
          <w:sz w:val="24"/>
          <w:szCs w:val="24"/>
          <w:lang w:val="en-US" w:eastAsia="bg-BG"/>
        </w:rPr>
        <w:t>NT</w:t>
      </w:r>
      <w:r w:rsidRPr="00A8783E">
        <w:rPr>
          <w:rFonts w:ascii="Times New Roman" w:hAnsi="Times New Roman"/>
          <w:sz w:val="24"/>
          <w:szCs w:val="24"/>
          <w:lang w:eastAsia="bg-BG"/>
        </w:rPr>
        <w:t xml:space="preserve">). Включен е в Приложение 1 на Директивата за птиците, както и в Приложения 2 и 3 на ЗБР.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 на 500 – 2000 двойки. Краткосрочната тенденция на популацията (за периода 2000 – 2018 г.) е намаляваща, а дългосрочната (за периода 1980 – 2018 г.) – стабилна. Краткосрочната тенденция на популацията в рамките на Натура 2000 е намаляваща.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Мигриращата национална популация (за периода 2001 – 2018 г.) е оценена на 3000 – 5000 индивида.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За гнездящата и мигриращата популация са посочени следните заплахи и влияния: F05, G01, H01, J02, K01, F26, M08 и G05.</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СФ на зоната вида е гнездящ. </w:t>
      </w:r>
      <w:r w:rsidRPr="00A8783E">
        <w:rPr>
          <w:rFonts w:ascii="Times New Roman" w:hAnsi="Times New Roman"/>
          <w:b/>
          <w:bCs/>
          <w:sz w:val="24"/>
          <w:szCs w:val="24"/>
          <w:lang w:eastAsia="bg-BG"/>
        </w:rPr>
        <w:t>Гнездящата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70 - 205 двойки</w:t>
      </w:r>
      <w:r w:rsidRPr="00A8783E">
        <w:rPr>
          <w:rFonts w:ascii="Times New Roman" w:hAnsi="Times New Roman"/>
          <w:sz w:val="24"/>
          <w:szCs w:val="24"/>
          <w:lang w:eastAsia="bg-BG"/>
        </w:rPr>
        <w:t>, което представлява 10,2 – 14,0 % от националната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 xml:space="preserve">По Дунавското крайбрежие видът е сравнително многоброен. За периода 2010 – 2013 числеността на малките бели чапли в 12 дунавски колонии варира между 189 и 421 двойки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2019). Публикуваната информация за гнезденето на вида в зоната посочва през 2001 и 2002 г. съответно 200 и 60 дв. (</w:t>
      </w:r>
      <w:r w:rsidRPr="00A8783E">
        <w:rPr>
          <w:rFonts w:ascii="Times New Roman" w:hAnsi="Times New Roman"/>
          <w:color w:val="000000"/>
          <w:sz w:val="24"/>
          <w:szCs w:val="24"/>
          <w:lang w:val="en-US" w:eastAsia="bg-BG"/>
        </w:rPr>
        <w:t>Kamburova</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2003). В края на ХХ век числеността на вида е била между 8 и 127 дв., а между 2001 и 2003 г.: 60 – 200 дв. (</w:t>
      </w:r>
      <w:r w:rsidRPr="00A8783E">
        <w:rPr>
          <w:rFonts w:ascii="Times New Roman" w:hAnsi="Times New Roman"/>
          <w:color w:val="000000"/>
          <w:sz w:val="24"/>
          <w:szCs w:val="24"/>
          <w:lang w:val="en-US" w:eastAsia="bg-BG"/>
        </w:rPr>
        <w:t>Kambourova</w:t>
      </w:r>
      <w:r w:rsidRPr="00A8783E">
        <w:rPr>
          <w:rFonts w:ascii="Times New Roman" w:hAnsi="Times New Roman"/>
          <w:color w:val="000000"/>
          <w:sz w:val="24"/>
          <w:szCs w:val="24"/>
          <w:lang w:eastAsia="bg-BG"/>
        </w:rPr>
        <w:t xml:space="preserve">, 2003, 2012). В периода 2006-2014 г. в Сребърна е била най-голямата колония на вида, като тук са гнездили около 35% от гнездящите двойки на </w:t>
      </w:r>
      <w:r w:rsidRPr="00A8783E">
        <w:rPr>
          <w:rFonts w:ascii="Times New Roman" w:hAnsi="Times New Roman"/>
          <w:color w:val="000000"/>
          <w:sz w:val="24"/>
          <w:szCs w:val="24"/>
          <w:lang w:eastAsia="bg-BG"/>
        </w:rPr>
        <w:lastRenderedPageBreak/>
        <w:t xml:space="preserve">малките бели чапли по Дунав. Числеността на малката бяла чапла в Сребърна е следната: 2006 – 100 дв., 2010 – 110 дв., 2011 – 75 дв., 2012 – 60 дв., 2013 – 205 дв. и 2014 – 50 дв.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xml:space="preserve">., 2019). Според Матеева и др. (2013) в зоната са гнездили 50 – 70 дв. през 2012 г. Костадинова и Граматиков (2007) дават числености от 50-100 дв. През 2017 г. при проучване по р. Дунав, видът е наблюдаван в ПР „Сребърна” с численост от 119 екз. (Димитров, 2018). В Актуализирания План за управление на ПР „Сребърна” (2015 г.), се посочва че видът гнезди с численост 60-80 дв. или около 4 % от националната гнездова популация. </w:t>
      </w:r>
      <w:r w:rsidRPr="00A8783E">
        <w:rPr>
          <w:rFonts w:ascii="Times New Roman" w:hAnsi="Times New Roman"/>
          <w:sz w:val="24"/>
          <w:szCs w:val="24"/>
          <w:lang w:eastAsia="bg-BG"/>
        </w:rPr>
        <w:t>При теренните проучвания през 2021 г. видът е наблюдаван многократно през месеците май и юни – 59 птици в подходящ гнездови биотоп. Регистрирани са минимум 10 гнездящи двойки в три смесени колонии – в югоизточния, западния край на езерото и в централната му част. При цялостно проучване по р. Дунав през м. юли 2021 г. не са наблюдавани птици в участъка на реката срещу границата на защитената зона.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За гнездящата популация са посочени следните заплахи и влияния: F05, </w:t>
      </w:r>
      <w:r w:rsidRPr="00A8783E">
        <w:rPr>
          <w:rFonts w:ascii="Times New Roman" w:hAnsi="Times New Roman"/>
          <w:sz w:val="24"/>
          <w:szCs w:val="24"/>
          <w:lang w:val="en-US" w:eastAsia="bg-BG"/>
        </w:rPr>
        <w:t>F</w:t>
      </w:r>
      <w:r w:rsidRPr="00A8783E">
        <w:rPr>
          <w:rFonts w:ascii="Times New Roman" w:hAnsi="Times New Roman"/>
          <w:sz w:val="24"/>
          <w:szCs w:val="24"/>
          <w:lang w:eastAsia="bg-BG"/>
        </w:rPr>
        <w:t xml:space="preserve">26, G01, H01, J02, </w:t>
      </w:r>
      <w:r w:rsidRPr="00A8783E">
        <w:rPr>
          <w:rFonts w:ascii="Times New Roman" w:hAnsi="Times New Roman"/>
          <w:sz w:val="24"/>
          <w:szCs w:val="24"/>
          <w:lang w:val="en-GB" w:eastAsia="bg-BG"/>
        </w:rPr>
        <w:t>K</w:t>
      </w:r>
      <w:r w:rsidRPr="00A8783E">
        <w:rPr>
          <w:rFonts w:ascii="Times New Roman" w:hAnsi="Times New Roman"/>
          <w:sz w:val="24"/>
          <w:szCs w:val="24"/>
          <w:lang w:eastAsia="bg-BG"/>
        </w:rPr>
        <w:t xml:space="preserve">01, M08 и G05. Потенциално валидни за СЗЗ „Сребърна“ са следните: </w:t>
      </w:r>
      <w:r w:rsidRPr="00A8783E">
        <w:rPr>
          <w:rFonts w:ascii="Times New Roman" w:hAnsi="Times New Roman"/>
          <w:sz w:val="24"/>
          <w:szCs w:val="24"/>
        </w:rPr>
        <w:t xml:space="preserve">М08 - Наводняване (естествени процеси). </w:t>
      </w:r>
      <w:r w:rsidRPr="00A8783E">
        <w:rPr>
          <w:rFonts w:ascii="Times New Roman" w:hAnsi="Times New Roman"/>
          <w:sz w:val="24"/>
          <w:szCs w:val="24"/>
          <w:lang w:eastAsia="bg-BG"/>
        </w:rPr>
        <w:t xml:space="preserve">Заплахи за видовете птици в зоната са бракониерството и незаконния отстрел, както и риболов с мрежени уреди, пожари в тръстиковите масиви и безпокойство.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1276"/>
        <w:gridCol w:w="1276"/>
        <w:gridCol w:w="2892"/>
        <w:gridCol w:w="2188"/>
      </w:tblGrid>
      <w:tr w:rsidR="00A8783E" w:rsidRPr="00A8783E" w:rsidTr="005B5318">
        <w:trPr>
          <w:tblHeader/>
          <w:jc w:val="center"/>
        </w:trPr>
        <w:tc>
          <w:tcPr>
            <w:tcW w:w="156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27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27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892"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188"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564"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гнездовата популация</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27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20 - 205 двойки </w:t>
            </w:r>
          </w:p>
        </w:tc>
        <w:tc>
          <w:tcPr>
            <w:tcW w:w="2892" w:type="dxa"/>
          </w:tcPr>
          <w:p w:rsidR="00A8783E" w:rsidRPr="00A8783E" w:rsidRDefault="00A8783E" w:rsidP="00A8783E">
            <w:pPr>
              <w:spacing w:after="0" w:line="240" w:lineRule="auto"/>
              <w:jc w:val="both"/>
              <w:rPr>
                <w:rFonts w:ascii="Times New Roman" w:hAnsi="Times New Roman"/>
                <w:lang w:val="en-US" w:eastAsia="bg-BG"/>
              </w:rPr>
            </w:pPr>
            <w:r w:rsidRPr="00A8783E">
              <w:rPr>
                <w:rFonts w:ascii="Times New Roman" w:hAnsi="Times New Roman"/>
                <w:lang w:eastAsia="bg-BG"/>
              </w:rPr>
              <w:t xml:space="preserve">В настоящия СФ (актуализиран през 2018 г.) са посочени 70 – 205 гнездящи двойки. В резултат на извършен мониторинг в защитената зона през гнездовия период на 2021 г. и литературни данни през последните 20 години считаме че числеността на вида силно варира. Минималната численост следва да се коригира на 20 двойки. </w:t>
            </w:r>
          </w:p>
        </w:tc>
        <w:tc>
          <w:tcPr>
            <w:tcW w:w="218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популацията на вида в зоната в размер от най-малко 20 дв. чрез поддържане на подходящите местообитания.</w:t>
            </w:r>
          </w:p>
        </w:tc>
      </w:tr>
      <w:tr w:rsidR="00A8783E" w:rsidRPr="00A8783E" w:rsidTr="005B5318">
        <w:trPr>
          <w:jc w:val="center"/>
        </w:trPr>
        <w:tc>
          <w:tcPr>
            <w:tcW w:w="1564"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565,</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от които само тръстика са 370 ha</w:t>
            </w:r>
          </w:p>
        </w:tc>
        <w:tc>
          <w:tcPr>
            <w:tcW w:w="289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местообитание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18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гнездови местообитания на вида в защитената зона чрез поддържане на оптимално ниво на водата в езерото.</w:t>
            </w:r>
          </w:p>
        </w:tc>
      </w:tr>
      <w:tr w:rsidR="00A8783E" w:rsidRPr="00A8783E" w:rsidTr="005B5318">
        <w:trPr>
          <w:jc w:val="center"/>
        </w:trPr>
        <w:tc>
          <w:tcPr>
            <w:tcW w:w="1564"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 xml:space="preserve">Площ на подходящите </w:t>
            </w:r>
            <w:r w:rsidRPr="00A8783E">
              <w:rPr>
                <w:rFonts w:ascii="Times New Roman" w:hAnsi="Times New Roman"/>
                <w:lang w:eastAsia="bg-BG"/>
              </w:rPr>
              <w:lastRenderedPageBreak/>
              <w:t>хранителни местообитания на вида</w:t>
            </w:r>
            <w:r w:rsidRPr="00A8783E">
              <w:rPr>
                <w:rFonts w:ascii="Times New Roman" w:hAnsi="Times New Roman"/>
                <w:b/>
                <w:bCs/>
                <w:lang w:eastAsia="bg-BG"/>
              </w:rPr>
              <w:t xml:space="preserve"> </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ha</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840</w:t>
            </w:r>
          </w:p>
        </w:tc>
        <w:tc>
          <w:tcPr>
            <w:tcW w:w="289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Включва гнездовото местообитание и всички стоящи и течащи води в зоната. Данните са взети от </w:t>
            </w:r>
            <w:r w:rsidRPr="00A8783E">
              <w:rPr>
                <w:rFonts w:ascii="Times New Roman" w:hAnsi="Times New Roman"/>
                <w:lang w:eastAsia="bg-BG"/>
              </w:rPr>
              <w:lastRenderedPageBreak/>
              <w:t xml:space="preserve">СФ като % на местообитание </w:t>
            </w:r>
            <w:r w:rsidRPr="00A8783E">
              <w:rPr>
                <w:rFonts w:ascii="Times New Roman" w:hAnsi="Times New Roman"/>
                <w:lang w:val="en-GB" w:eastAsia="bg-BG"/>
              </w:rPr>
              <w:t>N</w:t>
            </w:r>
            <w:r w:rsidRPr="00A8783E">
              <w:rPr>
                <w:rFonts w:ascii="Times New Roman" w:hAnsi="Times New Roman"/>
                <w:lang w:eastAsia="bg-BG"/>
              </w:rPr>
              <w:t xml:space="preserve">07-мочурища и блата и </w:t>
            </w:r>
            <w:r w:rsidRPr="00A8783E">
              <w:rPr>
                <w:rFonts w:ascii="Times New Roman" w:hAnsi="Times New Roman"/>
                <w:lang w:val="en-US" w:eastAsia="bg-BG"/>
              </w:rPr>
              <w:t>N</w:t>
            </w:r>
            <w:r w:rsidRPr="00A8783E">
              <w:rPr>
                <w:rFonts w:ascii="Times New Roman" w:hAnsi="Times New Roman"/>
                <w:lang w:eastAsia="bg-BG"/>
              </w:rPr>
              <w:t>06-вътрешни водни тела.</w:t>
            </w:r>
          </w:p>
        </w:tc>
        <w:tc>
          <w:tcPr>
            <w:tcW w:w="218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 xml:space="preserve">Поддържане и увеличаване на площта на подходящите </w:t>
            </w:r>
            <w:r w:rsidRPr="00A8783E">
              <w:rPr>
                <w:rFonts w:ascii="Times New Roman" w:hAnsi="Times New Roman"/>
                <w:lang w:eastAsia="bg-BG"/>
              </w:rPr>
              <w:lastRenderedPageBreak/>
              <w:t>хранителни местообитания на вида чрез поддържане на оптимално ниво на водата в езерото.</w:t>
            </w:r>
          </w:p>
        </w:tc>
      </w:tr>
      <w:tr w:rsidR="00A8783E" w:rsidRPr="00A8783E" w:rsidTr="005B5318">
        <w:trPr>
          <w:jc w:val="center"/>
        </w:trPr>
        <w:tc>
          <w:tcPr>
            <w:tcW w:w="1564"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риби (</w:t>
            </w:r>
            <w:r w:rsidRPr="00A8783E">
              <w:rPr>
                <w:rFonts w:ascii="Times New Roman" w:hAnsi="Times New Roman"/>
                <w:lang w:val="en-GB" w:eastAsia="bg-BG"/>
              </w:rPr>
              <w:t>JDS</w:t>
            </w:r>
            <w:r w:rsidRPr="00A8783E">
              <w:rPr>
                <w:rFonts w:ascii="Times New Roman" w:hAnsi="Times New Roman"/>
                <w:lang w:eastAsia="bg-BG"/>
              </w:rPr>
              <w:t>4-</w:t>
            </w:r>
            <w:r w:rsidRPr="00A8783E">
              <w:rPr>
                <w:rFonts w:ascii="Times New Roman" w:hAnsi="Times New Roman"/>
                <w:lang w:val="en-GB" w:eastAsia="bg-BG"/>
              </w:rPr>
              <w:t>Fish</w:t>
            </w:r>
            <w:r w:rsidRPr="00A8783E">
              <w:rPr>
                <w:rFonts w:ascii="Times New Roman" w:hAnsi="Times New Roman"/>
                <w:lang w:eastAsia="bg-BG"/>
              </w:rPr>
              <w:t>)</w:t>
            </w:r>
          </w:p>
        </w:tc>
        <w:tc>
          <w:tcPr>
            <w:tcW w:w="127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892" w:type="dxa"/>
          </w:tcPr>
          <w:tbl>
            <w:tblPr>
              <w:tblW w:w="2930" w:type="dxa"/>
              <w:tblInd w:w="3" w:type="dxa"/>
              <w:tblLayout w:type="fixed"/>
              <w:tblCellMar>
                <w:left w:w="70" w:type="dxa"/>
                <w:right w:w="70" w:type="dxa"/>
              </w:tblCellMar>
              <w:tblLook w:val="00A0" w:firstRow="1" w:lastRow="0" w:firstColumn="1" w:lastColumn="0" w:noHBand="0" w:noVBand="0"/>
            </w:tblPr>
            <w:tblGrid>
              <w:gridCol w:w="2930"/>
            </w:tblGrid>
            <w:tr w:rsidR="00A8783E" w:rsidRPr="00A8783E" w:rsidTr="005B5318">
              <w:trPr>
                <w:trHeight w:val="296"/>
              </w:trPr>
              <w:tc>
                <w:tcPr>
                  <w:tcW w:w="2930"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87"/>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296"/>
              </w:trPr>
              <w:tc>
                <w:tcPr>
                  <w:tcW w:w="2930"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87"/>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296"/>
              </w:trPr>
              <w:tc>
                <w:tcPr>
                  <w:tcW w:w="2930"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87"/>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296"/>
              </w:trPr>
              <w:tc>
                <w:tcPr>
                  <w:tcW w:w="293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87"/>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296"/>
              </w:trPr>
              <w:tc>
                <w:tcPr>
                  <w:tcW w:w="293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87"/>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296"/>
              </w:trPr>
              <w:tc>
                <w:tcPr>
                  <w:tcW w:w="2930"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87"/>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4 (2019-2020, Табл. 5, стр. 51).</w:t>
            </w:r>
            <w:r w:rsidRPr="00A8783E">
              <w:rPr>
                <w:rFonts w:cs="Calibri"/>
              </w:rPr>
              <w:t xml:space="preserve"> </w:t>
            </w:r>
            <w:r w:rsidRPr="00A8783E">
              <w:rPr>
                <w:rFonts w:ascii="Times New Roman" w:hAnsi="Times New Roman"/>
                <w:lang w:eastAsia="bg-BG"/>
              </w:rPr>
              <w:t xml:space="preserve">Екологичното състояние на езерото Сребърна по БЕК Риби е оценено като „Умерено“, а по БЕК Макрозообентос – Отлично. </w:t>
            </w:r>
          </w:p>
        </w:tc>
        <w:tc>
          <w:tcPr>
            <w:tcW w:w="2188"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before="119" w:after="119" w:line="240" w:lineRule="auto"/>
        <w:rPr>
          <w:rFonts w:ascii="Times New Roman" w:hAnsi="Times New Roman"/>
          <w:b/>
          <w:bCs/>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lang w:eastAsia="bg-BG"/>
        </w:rPr>
        <w:t xml:space="preserve">Предвид наличната информация за настоящата гнездова численост на вида в защитената зона е необходима актуализация на СФ: </w:t>
      </w:r>
      <w:r w:rsidRPr="00A8783E">
        <w:rPr>
          <w:rFonts w:ascii="Times New Roman" w:hAnsi="Times New Roman"/>
          <w:sz w:val="24"/>
          <w:szCs w:val="24"/>
        </w:rPr>
        <w:t>По отношение на гнездящата популация предлагаме промяна в числеността на 20 – 205 двойки.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175"/>
        <w:gridCol w:w="175"/>
        <w:gridCol w:w="572"/>
        <w:gridCol w:w="605"/>
        <w:gridCol w:w="594"/>
        <w:gridCol w:w="578"/>
        <w:gridCol w:w="839"/>
        <w:gridCol w:w="950"/>
        <w:gridCol w:w="622"/>
        <w:gridCol w:w="522"/>
        <w:gridCol w:w="578"/>
      </w:tblGrid>
      <w:tr w:rsidR="00A8783E" w:rsidRPr="00A8783E" w:rsidTr="005B5318">
        <w:trPr>
          <w:jc w:val="center"/>
        </w:trPr>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Species</w:t>
            </w:r>
          </w:p>
        </w:tc>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Code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Scientific Name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NP</w:t>
            </w:r>
          </w:p>
        </w:tc>
        <w:tc>
          <w:tcPr>
            <w:tcW w:w="0" w:type="auto"/>
            <w:gridSpan w:val="2"/>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T</w:t>
            </w:r>
          </w:p>
        </w:tc>
        <w:tc>
          <w:tcPr>
            <w:tcW w:w="0" w:type="auto"/>
            <w:gridSpan w:val="2"/>
            <w:shd w:val="clear" w:color="auto" w:fill="D9D9D9"/>
            <w:vAlign w:val="center"/>
          </w:tcPr>
          <w:p w:rsidR="00A8783E" w:rsidRPr="00A8783E" w:rsidRDefault="00A8783E" w:rsidP="00A8783E">
            <w:pPr>
              <w:spacing w:after="0" w:line="240" w:lineRule="auto"/>
              <w:jc w:val="center"/>
              <w:rPr>
                <w:rFonts w:ascii="Times New Roman" w:hAnsi="Times New Roman"/>
                <w:b/>
                <w:bCs/>
                <w:sz w:val="20"/>
                <w:szCs w:val="20"/>
                <w:lang w:eastAsia="en-GB"/>
              </w:rPr>
            </w:pPr>
            <w:r w:rsidRPr="00A8783E">
              <w:rPr>
                <w:rFonts w:ascii="Times New Roman" w:hAnsi="Times New Roman"/>
                <w:b/>
                <w:bCs/>
                <w:sz w:val="20"/>
                <w:szCs w:val="20"/>
                <w:lang w:eastAsia="en-GB"/>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D.qual.</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Iso.</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Glo.</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en-GB"/>
              </w:rPr>
              <w:t>В</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bg-BG"/>
              </w:rPr>
              <w:t>A0</w:t>
            </w:r>
            <w:r w:rsidRPr="00A8783E">
              <w:rPr>
                <w:rFonts w:ascii="Times New Roman" w:hAnsi="Times New Roman"/>
                <w:sz w:val="20"/>
                <w:szCs w:val="20"/>
                <w:lang w:val="en-US" w:eastAsia="bg-BG"/>
              </w:rPr>
              <w:t>2</w:t>
            </w:r>
            <w:r w:rsidRPr="00A8783E">
              <w:rPr>
                <w:rFonts w:ascii="Times New Roman" w:hAnsi="Times New Roman"/>
                <w:sz w:val="20"/>
                <w:szCs w:val="20"/>
                <w:lang w:eastAsia="bg-BG"/>
              </w:rPr>
              <w:t>6</w:t>
            </w:r>
          </w:p>
        </w:tc>
        <w:tc>
          <w:tcPr>
            <w:tcW w:w="0" w:type="auto"/>
            <w:vAlign w:val="center"/>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eastAsia="bg-BG"/>
              </w:rPr>
            </w:pPr>
            <w:r w:rsidRPr="00A8783E">
              <w:rPr>
                <w:rFonts w:ascii="Times New Roman" w:hAnsi="Times New Roman"/>
                <w:i/>
                <w:iCs/>
                <w:color w:val="000000"/>
                <w:sz w:val="20"/>
                <w:szCs w:val="20"/>
                <w:lang w:val="en-US" w:eastAsia="bg-BG"/>
              </w:rPr>
              <w:t>Egretta garzetta</w:t>
            </w:r>
          </w:p>
          <w:p w:rsidR="00A8783E" w:rsidRPr="00A8783E" w:rsidRDefault="00A8783E" w:rsidP="00A8783E">
            <w:pPr>
              <w:autoSpaceDE w:val="0"/>
              <w:autoSpaceDN w:val="0"/>
              <w:adjustRightInd w:val="0"/>
              <w:spacing w:after="0" w:line="240" w:lineRule="auto"/>
              <w:rPr>
                <w:rFonts w:ascii="Times New Roman" w:hAnsi="Times New Roman"/>
                <w:color w:val="000000"/>
                <w:sz w:val="20"/>
                <w:szCs w:val="20"/>
                <w:lang w:eastAsia="bg-BG"/>
              </w:rPr>
            </w:pP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gridSpan w:val="2"/>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r</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eastAsia="bg-BG"/>
              </w:rPr>
              <w:t>20</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bg-BG"/>
              </w:rPr>
              <w:t>205</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color w:val="000000"/>
                <w:sz w:val="20"/>
                <w:szCs w:val="20"/>
                <w:lang w:val="en-US" w:eastAsia="bg-BG"/>
              </w:rPr>
              <w:t>p</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sz w:val="20"/>
                <w:szCs w:val="20"/>
                <w:lang w:val="en-US" w:eastAsia="en-GB"/>
              </w:rPr>
              <w:t>B</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A</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A</w:t>
            </w:r>
          </w:p>
        </w:tc>
      </w:tr>
    </w:tbl>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54" w:name="_Toc89106069"/>
      <w:bookmarkStart w:id="155" w:name="_Toc98741908"/>
      <w:bookmarkStart w:id="156" w:name="_Toc98838583"/>
      <w:r w:rsidRPr="00A8783E">
        <w:rPr>
          <w:rFonts w:ascii="Times New Roman" w:hAnsi="Times New Roman"/>
          <w:color w:val="1F497D"/>
          <w:sz w:val="28"/>
          <w:szCs w:val="28"/>
          <w:lang w:eastAsia="bg-BG"/>
        </w:rPr>
        <w:t xml:space="preserve">Специфични цели за А027 </w:t>
      </w:r>
      <w:r w:rsidRPr="00A8783E">
        <w:rPr>
          <w:rFonts w:ascii="Times New Roman" w:hAnsi="Times New Roman"/>
          <w:i/>
          <w:iCs/>
          <w:color w:val="1F497D"/>
          <w:sz w:val="28"/>
          <w:szCs w:val="28"/>
          <w:lang w:val="en-GB" w:eastAsia="bg-BG"/>
        </w:rPr>
        <w:t>Ardea</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GB" w:eastAsia="bg-BG"/>
        </w:rPr>
        <w:t>alba</w:t>
      </w:r>
      <w:r w:rsidRPr="00A8783E">
        <w:rPr>
          <w:rFonts w:ascii="Times New Roman" w:hAnsi="Times New Roman"/>
          <w:color w:val="1F497D"/>
          <w:sz w:val="28"/>
          <w:szCs w:val="28"/>
          <w:lang w:eastAsia="bg-BG"/>
        </w:rPr>
        <w:t xml:space="preserve"> (голяма бяла чапла)</w:t>
      </w:r>
      <w:bookmarkEnd w:id="154"/>
      <w:bookmarkEnd w:id="155"/>
      <w:bookmarkEnd w:id="156"/>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Дължина на тялото: 85 – 100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Размах на крилата: 145 – 170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Оперението е изцяло бяло. Значително по-едра от малката бяла чапла и с по-дълъг врат. В полет се виждат значително по-дългите </w:t>
      </w:r>
      <w:r w:rsidRPr="00A8783E">
        <w:rPr>
          <w:rFonts w:ascii="Tahoma" w:hAnsi="Tahoma" w:cs="Tahoma"/>
          <w:sz w:val="24"/>
          <w:szCs w:val="24"/>
          <w:lang w:eastAsia="bg-BG"/>
        </w:rPr>
        <w:t>ѝ</w:t>
      </w:r>
      <w:r w:rsidRPr="00A8783E">
        <w:rPr>
          <w:rFonts w:ascii="Times New Roman" w:hAnsi="Times New Roman"/>
          <w:sz w:val="24"/>
          <w:szCs w:val="24"/>
          <w:lang w:eastAsia="bg-BG"/>
        </w:rPr>
        <w:t xml:space="preserve"> крака. През размножителния период клюнът е с тъмен връх, през останалата част от годината е изцяло жълт.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Голямата бяла чапла е гнездящо-прелетен, преминаващ и зимуващ вид в България. Пролетната миграция е от март до средата на април, а есенната – от началото на септември до края на октомври (Симеонов и др., 1990). Частичен мигрант, зимува в Южна Европа, включително и в България, когато е по-често срещана.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lastRenderedPageBreak/>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Голямата бяла чапла обитава блата и езера с обширни тръстикови масиви, крайбрежия на големи реки с изобилна растителност. По време на миграция и през зимата е широко разпространена в ниските части на страната, особено в открити райони в близост до по-големи реки и други влажни зони, както и в язовири, микроязовири, рибарници, напоителни канали и др. Размножителният период започва от началото на март и продължава до началото на юли. Най-често образува малки самостоятелни колонии, по-рядко гнезди по периферията на големите колонии от чапли, корморани, блестящи ибиси и лопатарки. Гнездата са разположени в труднодостъпни тръстикови масиви, или високо по дърветата на заливните гори (Симеонов и др., 1990). Снася 2 – 5 яйца, като има едно поколение годишно. Предпочитаните местообитания са 1130, 1150, 1160, 3130, 3150, 91</w:t>
      </w:r>
      <w:r w:rsidRPr="00A8783E">
        <w:rPr>
          <w:rFonts w:ascii="Times New Roman" w:hAnsi="Times New Roman"/>
          <w:sz w:val="24"/>
          <w:szCs w:val="24"/>
          <w:lang w:val="en-GB" w:eastAsia="bg-BG"/>
        </w:rPr>
        <w:t>D</w:t>
      </w:r>
      <w:r w:rsidRPr="00A8783E">
        <w:rPr>
          <w:rFonts w:ascii="Times New Roman" w:hAnsi="Times New Roman"/>
          <w:sz w:val="24"/>
          <w:szCs w:val="24"/>
          <w:lang w:eastAsia="bg-BG"/>
        </w:rPr>
        <w:t>0, 91</w:t>
      </w:r>
      <w:r w:rsidRPr="00A8783E">
        <w:rPr>
          <w:rFonts w:ascii="Times New Roman" w:hAnsi="Times New Roman"/>
          <w:sz w:val="24"/>
          <w:szCs w:val="24"/>
          <w:lang w:val="en-GB" w:eastAsia="bg-BG"/>
        </w:rPr>
        <w:t>E</w:t>
      </w:r>
      <w:r w:rsidRPr="00A8783E">
        <w:rPr>
          <w:rFonts w:ascii="Times New Roman" w:hAnsi="Times New Roman"/>
          <w:sz w:val="24"/>
          <w:szCs w:val="24"/>
          <w:lang w:eastAsia="bg-BG"/>
        </w:rPr>
        <w:t>0 и 91</w:t>
      </w:r>
      <w:r w:rsidRPr="00A8783E">
        <w:rPr>
          <w:rFonts w:ascii="Times New Roman" w:hAnsi="Times New Roman"/>
          <w:sz w:val="24"/>
          <w:szCs w:val="24"/>
          <w:lang w:val="en-GB" w:eastAsia="bg-BG"/>
        </w:rPr>
        <w:t>F</w:t>
      </w:r>
      <w:r w:rsidRPr="00A8783E">
        <w:rPr>
          <w:rFonts w:ascii="Times New Roman" w:hAnsi="Times New Roman"/>
          <w:sz w:val="24"/>
          <w:szCs w:val="24"/>
          <w:lang w:eastAsia="bg-BG"/>
        </w:rPr>
        <w:t>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Храни се предимно с риба, по-рядко със земноводни, влечуги, големи водни насекоми и птици (Симеонов и др., 1990).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Много рядък и малоброен гнездящ вид. Гнезди поединично или на неголеми колонии – самостоятелни или с други чапли и корморани. Единствените места, където гнезди ежегодно от 2007 г. насам са Драгоманското блато и ез. Сребърна. През периода 2013 – 2018 г. е установена да се размножава по поречието на река Дунав, в Бургаските влажни зони, в езеро Дуранкулак, в Драгоманското блато и в два локалитета в Горнотракийската низина. На повечето места гнезди нередовно. През размножителния период закъснели мигранти или летуващи неразмножаващи се птици могат да се наблюдават на много места в Северозападна България, Тракийската низина, по река Искър, в Източните Родопи, покрай река Дунав и Черноморското крайбрежие (Янков отг. ред., 2007).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Природозащитният статус на голямата бяла чапла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е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Включен в Червената книга на Р България (Големански ред., 2015) в категория „Критично застрашен“ (</w:t>
      </w:r>
      <w:r w:rsidRPr="00A8783E">
        <w:rPr>
          <w:rFonts w:ascii="Times New Roman" w:hAnsi="Times New Roman"/>
          <w:sz w:val="24"/>
          <w:szCs w:val="24"/>
          <w:lang w:val="en-US" w:eastAsia="bg-BG"/>
        </w:rPr>
        <w:t>CR</w:t>
      </w:r>
      <w:r w:rsidRPr="00A8783E">
        <w:rPr>
          <w:rFonts w:ascii="Times New Roman" w:hAnsi="Times New Roman"/>
          <w:sz w:val="24"/>
          <w:szCs w:val="24"/>
          <w:lang w:eastAsia="bg-BG"/>
        </w:rPr>
        <w:t xml:space="preserve">). Включен е в Приложение 1 на Директивата за птиците, както и в Приложения 2 и 3 на ЗБР.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 на 10 – 50 двойки. Краткосрочната тенденция на популацията (за периода 2000 – 2018 г.) е нарастваща, а дългосрочната (за периода 1980 – 2018 г.) – също нарастваща. Краткосрочната тенденция на гнездящата популацията в рамките на Натура 2000 е стабилна.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Мигриращата национална популация (за периода 2001 – 2018 г.) е оценена на 500 – 1000 индивида.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Зимуващата национална популация (за периода 2013 – 2018 г.) е оценена на 600 – 2000 индивида. Краткосрочната тенденция на популацията (за периода 2013 – 2018 г.) е нарастваща, а дългосрочната (за периода 1980 – 2018 г.) – също нарастваща.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За гнездящата и мигриращата популация са посочени следните заплахи и влияния: K01, M08, F01, J03 и J02.</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 xml:space="preserve">Съгласно стандартния формуляр за данни на зоната вида е гнездящ, мигриращ и зимуващ. Гнездящата популация се оценява на </w:t>
      </w:r>
      <w:r w:rsidRPr="00A8783E">
        <w:rPr>
          <w:rFonts w:ascii="Times New Roman" w:hAnsi="Times New Roman"/>
          <w:b/>
          <w:bCs/>
          <w:sz w:val="24"/>
          <w:szCs w:val="24"/>
          <w:lang w:eastAsia="bg-BG"/>
        </w:rPr>
        <w:t>2 - 7 двойки</w:t>
      </w:r>
      <w:r w:rsidRPr="00A8783E">
        <w:rPr>
          <w:rFonts w:ascii="Times New Roman" w:hAnsi="Times New Roman"/>
          <w:sz w:val="24"/>
          <w:szCs w:val="24"/>
          <w:lang w:eastAsia="bg-BG"/>
        </w:rPr>
        <w:t>, което представлява 14,0 - 20,0 %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Мигриращата популация се оценява на </w:t>
      </w:r>
      <w:r w:rsidRPr="00A8783E">
        <w:rPr>
          <w:rFonts w:ascii="Times New Roman" w:hAnsi="Times New Roman"/>
          <w:b/>
          <w:bCs/>
          <w:sz w:val="24"/>
          <w:szCs w:val="24"/>
          <w:lang w:eastAsia="bg-BG"/>
        </w:rPr>
        <w:t>до 11 индивида</w:t>
      </w:r>
      <w:r w:rsidRPr="00A8783E">
        <w:rPr>
          <w:rFonts w:ascii="Times New Roman" w:hAnsi="Times New Roman"/>
          <w:sz w:val="24"/>
          <w:szCs w:val="24"/>
          <w:lang w:eastAsia="bg-BG"/>
        </w:rPr>
        <w:t>, което представлява 1,1 - 2,2 %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СФ зимуващата популация се оценя на </w:t>
      </w:r>
      <w:r w:rsidRPr="00A8783E">
        <w:rPr>
          <w:rFonts w:ascii="Times New Roman" w:hAnsi="Times New Roman"/>
          <w:b/>
          <w:bCs/>
          <w:sz w:val="24"/>
          <w:szCs w:val="24"/>
          <w:lang w:eastAsia="bg-BG"/>
        </w:rPr>
        <w:t>до 4 индивида,</w:t>
      </w:r>
      <w:r w:rsidRPr="00A8783E">
        <w:rPr>
          <w:rFonts w:ascii="Times New Roman" w:hAnsi="Times New Roman"/>
          <w:sz w:val="24"/>
          <w:szCs w:val="24"/>
          <w:lang w:eastAsia="bg-BG"/>
        </w:rPr>
        <w:t xml:space="preserve"> което представлява 0,2 - 0,6 %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color w:val="000000"/>
          <w:sz w:val="24"/>
          <w:szCs w:val="24"/>
          <w:lang w:eastAsia="bg-BG"/>
        </w:rPr>
      </w:pPr>
      <w:r w:rsidRPr="00A8783E">
        <w:rPr>
          <w:rFonts w:ascii="Times New Roman" w:hAnsi="Times New Roman"/>
          <w:i/>
          <w:iCs/>
          <w:color w:val="000000"/>
          <w:sz w:val="24"/>
          <w:szCs w:val="24"/>
          <w:lang w:eastAsia="bg-BG"/>
        </w:rPr>
        <w:t>Гнездяща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 xml:space="preserve">Гнезди с ниска численост в отделни гнездови находища основно по Дунав, Черноморското крайбрежие, а през 2017 г. и в Драгоманското блато (Янков, 2007; </w:t>
      </w:r>
      <w:r w:rsidRPr="00A8783E">
        <w:rPr>
          <w:rFonts w:ascii="Times New Roman" w:hAnsi="Times New Roman"/>
          <w:color w:val="000000"/>
          <w:sz w:val="24"/>
          <w:szCs w:val="24"/>
          <w:lang w:val="en-US" w:eastAsia="bg-BG"/>
        </w:rPr>
        <w:t>Hristov</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al</w:t>
      </w:r>
      <w:r w:rsidRPr="00A8783E">
        <w:rPr>
          <w:rFonts w:ascii="Times New Roman" w:hAnsi="Times New Roman"/>
          <w:color w:val="000000"/>
          <w:sz w:val="24"/>
          <w:szCs w:val="24"/>
          <w:lang w:eastAsia="bg-BG"/>
        </w:rPr>
        <w:t>., 2012). Редовно се размножава единствено в ез. Сребърна, като през отделни години гнездят до 20 двойки. Публикуваната информация за гнезденето на вида в зоната посочва през 2001 и 2002 г. съответно 12 и 3 дв. (</w:t>
      </w:r>
      <w:r w:rsidRPr="00A8783E">
        <w:rPr>
          <w:rFonts w:ascii="Times New Roman" w:hAnsi="Times New Roman"/>
          <w:color w:val="000000"/>
          <w:sz w:val="24"/>
          <w:szCs w:val="24"/>
          <w:lang w:val="en-US" w:eastAsia="bg-BG"/>
        </w:rPr>
        <w:t>Kamburova</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2003). В края на ХХ век числеността на вида е била между 3 и 5 дв., а между 2001 и 2003 г.: 2 – 12 дв. (</w:t>
      </w:r>
      <w:r w:rsidRPr="00A8783E">
        <w:rPr>
          <w:rFonts w:ascii="Times New Roman" w:hAnsi="Times New Roman"/>
          <w:color w:val="000000"/>
          <w:sz w:val="24"/>
          <w:szCs w:val="24"/>
          <w:lang w:val="en-US" w:eastAsia="bg-BG"/>
        </w:rPr>
        <w:t>Kambourova</w:t>
      </w:r>
      <w:r w:rsidRPr="00A8783E">
        <w:rPr>
          <w:rFonts w:ascii="Times New Roman" w:hAnsi="Times New Roman"/>
          <w:color w:val="000000"/>
          <w:sz w:val="24"/>
          <w:szCs w:val="24"/>
          <w:lang w:eastAsia="bg-BG"/>
        </w:rPr>
        <w:t xml:space="preserve">, 2003, 2012). В периода 2006-2014 г. в Сребърна са гнездили между 2 и 6 дв. бели чапли в смесена колония в тръстиката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xml:space="preserve">., 2019). Според Матеева и др. (2013) в зоната са гнездили 5 – 7 двойки през 2012 г. Михов и др. (1997) дава две двойки за Сребърна, а Костадинова, Граматиков (2007) дават числености от 4 до 20 дв. През 2017 г. при проучване по р. Дунав, видът е наблюдаван в ПР „Сребърна” с численост от 1 екз. (Димитров, 2018). В Актуализирания План за управление на ПР „Сребърна” (2015 г.), се посочва че видът гнезди с численост 2-5 дв. или около 17 % от националната гнездова популация. </w:t>
      </w:r>
      <w:r w:rsidRPr="00A8783E">
        <w:rPr>
          <w:rFonts w:ascii="Times New Roman" w:hAnsi="Times New Roman"/>
          <w:sz w:val="24"/>
          <w:szCs w:val="24"/>
          <w:lang w:eastAsia="bg-BG"/>
        </w:rPr>
        <w:t xml:space="preserve">При теренните проучвания през 2021 г. видът е наблюдаван през месеците май и юни – 10 птици в подходящ гнездови биотоп. Регистрирани са 3 гнездящи двойки в три смесени колонии – в югоизточния, западния край на езерото и в централната му част. </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Зимуваща и мигрираща популация</w:t>
      </w:r>
    </w:p>
    <w:p w:rsidR="00A8783E" w:rsidRPr="00A8783E" w:rsidRDefault="00A8783E" w:rsidP="00A8783E">
      <w:pPr>
        <w:spacing w:before="120" w:after="120" w:line="240" w:lineRule="auto"/>
        <w:jc w:val="both"/>
        <w:rPr>
          <w:rFonts w:ascii="Times New Roman" w:hAnsi="Times New Roman"/>
          <w:color w:val="000000"/>
          <w:sz w:val="24"/>
          <w:szCs w:val="24"/>
          <w:lang w:eastAsia="bg-BG"/>
        </w:rPr>
      </w:pPr>
      <w:r w:rsidRPr="00A8783E">
        <w:rPr>
          <w:rFonts w:ascii="Times New Roman" w:hAnsi="Times New Roman"/>
          <w:color w:val="000000"/>
          <w:sz w:val="24"/>
          <w:szCs w:val="24"/>
          <w:lang w:eastAsia="bg-BG"/>
        </w:rPr>
        <w:t>Често срещан вид по Дунавското крайбрежие през зимата и по време на миграция. През януари при преброявания по р. Дунав между Сомовит и Силистра са регистрирани между 1 и 26 птици. Най-много инидивиди са установени през зимите на 1991 и 2005 г. – 26 птици (</w:t>
      </w:r>
      <w:r w:rsidRPr="00A8783E">
        <w:rPr>
          <w:rFonts w:ascii="Times New Roman" w:hAnsi="Times New Roman"/>
          <w:color w:val="000000"/>
          <w:sz w:val="24"/>
          <w:szCs w:val="24"/>
          <w:lang w:val="en-US" w:eastAsia="bg-BG"/>
        </w:rPr>
        <w:t>Ivanov</w:t>
      </w:r>
      <w:r w:rsidRPr="00A8783E">
        <w:rPr>
          <w:rFonts w:ascii="Times New Roman" w:hAnsi="Times New Roman"/>
          <w:color w:val="000000"/>
          <w:sz w:val="24"/>
          <w:szCs w:val="24"/>
          <w:lang w:eastAsia="bg-BG"/>
        </w:rPr>
        <w:t>, 2008). През есента и зимата птиците се концентрират в по-плитките басейни в големи количества, до тяхното замръзване. През м. декември и януари не е установена в Сребърна. Числеността през октомври–ноември са 1-8 птици, а през февруари–март от 2 до 19 птици. (Иванов, 1979). Според Михов и др. (1997) и Костадинова, Граматиков (2007) видът зимува в защитената зона: 1-3 индивида, а числеността й по време на миграция е 10 индивида. При средно-зимните преброявания от 2013 до 2020 г. видът не е наблюдаван в езерото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lang w:eastAsia="bg-BG"/>
        </w:rPr>
        <w:t xml:space="preserve">От посочените в Докладването от 2019 г. заплахи и влияния за гнездящата и мигриращата популация: K01, M08, F01, J03 и J02, валидни за зоната са: </w:t>
      </w:r>
      <w:r w:rsidRPr="00A8783E">
        <w:rPr>
          <w:rFonts w:ascii="Times New Roman" w:hAnsi="Times New Roman"/>
          <w:sz w:val="24"/>
          <w:szCs w:val="24"/>
        </w:rPr>
        <w:t>М08 - Наводняване (естествени процеси);</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lastRenderedPageBreak/>
        <w:t>5. Параметри за определяне на специфичните природозащитни цели за вида в зоната</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134"/>
        <w:gridCol w:w="1203"/>
        <w:gridCol w:w="2625"/>
        <w:gridCol w:w="2542"/>
      </w:tblGrid>
      <w:tr w:rsidR="00A8783E" w:rsidRPr="00A8783E" w:rsidTr="005B5318">
        <w:trPr>
          <w:tblHeader/>
          <w:jc w:val="center"/>
        </w:trPr>
        <w:tc>
          <w:tcPr>
            <w:tcW w:w="169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13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203"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625"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542"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69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гнездовата популацията</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203"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2 - 7 двойки </w:t>
            </w:r>
          </w:p>
        </w:tc>
        <w:tc>
          <w:tcPr>
            <w:tcW w:w="262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настоящия СФ (актуализиран през 2018 г.) са посочени 2 – 7 гнездящи двойки. В резултат на извършен мониторинг в защитената зона през гнездовия период на 2021 г. и литературни данни през последните 20 години се потвърждава числеността на вида.</w:t>
            </w:r>
          </w:p>
        </w:tc>
        <w:tc>
          <w:tcPr>
            <w:tcW w:w="254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популацията на вида в зоната в размер от най-малко 2 двойки чрез поддържане на подходящите местообитания.</w:t>
            </w:r>
          </w:p>
        </w:tc>
      </w:tr>
      <w:tr w:rsidR="00A8783E" w:rsidRPr="00A8783E" w:rsidTr="005B5318">
        <w:trPr>
          <w:jc w:val="center"/>
        </w:trPr>
        <w:tc>
          <w:tcPr>
            <w:tcW w:w="169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зимуващата популацията</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20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0 - 4 инд. </w:t>
            </w:r>
          </w:p>
        </w:tc>
        <w:tc>
          <w:tcPr>
            <w:tcW w:w="262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настоящия СФ (актуализиран през 2018 г.) е посочена стойност до 4 индивида. През м. декември и януари, при замръзване на езерото, видът не се среща в зоната.</w:t>
            </w:r>
          </w:p>
        </w:tc>
        <w:tc>
          <w:tcPr>
            <w:tcW w:w="254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Междинна цел: Да се извърши целенасочен мониторинг за установяване на размера на зимуващата популация до 2025 г.</w:t>
            </w:r>
          </w:p>
        </w:tc>
      </w:tr>
      <w:tr w:rsidR="00A8783E" w:rsidRPr="00A8783E" w:rsidTr="005B5318">
        <w:trPr>
          <w:jc w:val="center"/>
        </w:trPr>
        <w:tc>
          <w:tcPr>
            <w:tcW w:w="169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203"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0 - 11 инд.</w:t>
            </w:r>
          </w:p>
        </w:tc>
        <w:tc>
          <w:tcPr>
            <w:tcW w:w="262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 СФ за концентрацията на вида по време на миграция в зоната е посочена стойност до 11 инд. </w:t>
            </w:r>
          </w:p>
        </w:tc>
        <w:tc>
          <w:tcPr>
            <w:tcW w:w="254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Междинна цел: Да се извърши целенасочен мониторинг за установяване на размера на мигриращата популация до 2025 г.</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размера на мигриращата популация най-малко 2 индивида.</w:t>
            </w:r>
          </w:p>
        </w:tc>
      </w:tr>
      <w:tr w:rsidR="00A8783E" w:rsidRPr="00A8783E" w:rsidTr="005B5318">
        <w:trPr>
          <w:jc w:val="center"/>
        </w:trPr>
        <w:tc>
          <w:tcPr>
            <w:tcW w:w="169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0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най-малко 565, </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от които само тръстика са 370 ha</w:t>
            </w:r>
          </w:p>
        </w:tc>
        <w:tc>
          <w:tcPr>
            <w:tcW w:w="262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местообитание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54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гнездови местообитания на вида в защитената зона чрез поддържане на оптимално ниво на водата в езерото.</w:t>
            </w:r>
          </w:p>
        </w:tc>
      </w:tr>
      <w:tr w:rsidR="00A8783E" w:rsidRPr="00A8783E" w:rsidTr="005B5318">
        <w:trPr>
          <w:jc w:val="center"/>
        </w:trPr>
        <w:tc>
          <w:tcPr>
            <w:tcW w:w="169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0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най-малко 840 </w:t>
            </w:r>
          </w:p>
        </w:tc>
        <w:tc>
          <w:tcPr>
            <w:tcW w:w="262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Включва гнездовото местообитание и всички стоящи и течащи води в зоната.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 xml:space="preserve">07-мочурища и блата и </w:t>
            </w:r>
            <w:r w:rsidRPr="00A8783E">
              <w:rPr>
                <w:rFonts w:ascii="Times New Roman" w:hAnsi="Times New Roman"/>
                <w:lang w:val="en-US" w:eastAsia="bg-BG"/>
              </w:rPr>
              <w:t>N</w:t>
            </w:r>
            <w:r w:rsidRPr="00A8783E">
              <w:rPr>
                <w:rFonts w:ascii="Times New Roman" w:hAnsi="Times New Roman"/>
                <w:lang w:eastAsia="bg-BG"/>
              </w:rPr>
              <w:t>06-вътрешни водни тела.</w:t>
            </w:r>
          </w:p>
        </w:tc>
        <w:tc>
          <w:tcPr>
            <w:tcW w:w="254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хранителни местообитания на вида чрез поддържане на оптимално ниво на водата в езерото.</w:t>
            </w:r>
          </w:p>
        </w:tc>
      </w:tr>
      <w:tr w:rsidR="00A8783E" w:rsidRPr="00A8783E" w:rsidTr="005B5318">
        <w:trPr>
          <w:jc w:val="center"/>
        </w:trPr>
        <w:tc>
          <w:tcPr>
            <w:tcW w:w="169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 xml:space="preserve">Екологично състояние на </w:t>
            </w:r>
            <w:r w:rsidRPr="00A8783E">
              <w:rPr>
                <w:rFonts w:ascii="Times New Roman" w:hAnsi="Times New Roman"/>
                <w:lang w:eastAsia="bg-BG"/>
              </w:rPr>
              <w:lastRenderedPageBreak/>
              <w:t>водните тела с местообитания на вида, по биологичен елемент риби (</w:t>
            </w:r>
            <w:r w:rsidRPr="00A8783E">
              <w:rPr>
                <w:rFonts w:ascii="Times New Roman" w:hAnsi="Times New Roman"/>
                <w:lang w:val="en-GB" w:eastAsia="bg-BG"/>
              </w:rPr>
              <w:t>JDS</w:t>
            </w:r>
            <w:r w:rsidRPr="00A8783E">
              <w:rPr>
                <w:rFonts w:ascii="Times New Roman" w:hAnsi="Times New Roman"/>
                <w:lang w:eastAsia="bg-BG"/>
              </w:rPr>
              <w:t>4-</w:t>
            </w:r>
            <w:r w:rsidRPr="00A8783E">
              <w:rPr>
                <w:rFonts w:ascii="Times New Roman" w:hAnsi="Times New Roman"/>
                <w:lang w:val="en-GB" w:eastAsia="bg-BG"/>
              </w:rPr>
              <w:t>Fish</w:t>
            </w:r>
            <w:r w:rsidRPr="00A8783E">
              <w:rPr>
                <w:rFonts w:ascii="Times New Roman" w:hAnsi="Times New Roman"/>
                <w:lang w:eastAsia="bg-BG"/>
              </w:rPr>
              <w:t>)</w:t>
            </w:r>
          </w:p>
        </w:tc>
        <w:tc>
          <w:tcPr>
            <w:tcW w:w="113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lastRenderedPageBreak/>
              <w:t>5 степенна скала за екологич</w:t>
            </w:r>
            <w:r w:rsidRPr="00A8783E">
              <w:rPr>
                <w:rFonts w:ascii="Times New Roman" w:hAnsi="Times New Roman"/>
                <w:lang w:eastAsia="bg-BG"/>
              </w:rPr>
              <w:lastRenderedPageBreak/>
              <w:t>но състояние, съгласно РДВ</w:t>
            </w:r>
          </w:p>
        </w:tc>
        <w:tc>
          <w:tcPr>
            <w:tcW w:w="120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2-Добро или 1-Отлично</w:t>
            </w:r>
          </w:p>
        </w:tc>
        <w:tc>
          <w:tcPr>
            <w:tcW w:w="2625" w:type="dxa"/>
          </w:tcPr>
          <w:tbl>
            <w:tblPr>
              <w:tblW w:w="3029" w:type="dxa"/>
              <w:tblInd w:w="3" w:type="dxa"/>
              <w:tblLayout w:type="fixed"/>
              <w:tblCellMar>
                <w:left w:w="70" w:type="dxa"/>
                <w:right w:w="70" w:type="dxa"/>
              </w:tblCellMar>
              <w:tblLook w:val="00A0" w:firstRow="1" w:lastRow="0" w:firstColumn="1" w:lastColumn="0" w:noHBand="0" w:noVBand="0"/>
            </w:tblPr>
            <w:tblGrid>
              <w:gridCol w:w="3029"/>
            </w:tblGrid>
            <w:tr w:rsidR="00A8783E" w:rsidRPr="00A8783E" w:rsidTr="005B5318">
              <w:trPr>
                <w:trHeight w:val="287"/>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380"/>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lastRenderedPageBreak/>
                    <w:t>3-Умерено</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 xml:space="preserve">4 (2019-2020, Табл. 5, стр. 51). Екологичното състояние на езерото Сребърна по БЕК Риби е оценено като „Умерено“, а по БЕК Макрозообентос –отлично. </w:t>
            </w:r>
          </w:p>
        </w:tc>
        <w:tc>
          <w:tcPr>
            <w:tcW w:w="2542"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lastRenderedPageBreak/>
              <w:t xml:space="preserve">Подобряване на екологичното състояние на водните тела с подходящи хранителни </w:t>
            </w:r>
            <w:r w:rsidRPr="00A8783E">
              <w:rPr>
                <w:rFonts w:ascii="Times New Roman" w:hAnsi="Times New Roman"/>
                <w:lang w:eastAsia="bg-BG"/>
              </w:rPr>
              <w:lastRenderedPageBreak/>
              <w:t>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after="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Предвид наличната информация за настоящата гнездяща, мигрираща и зимуваща численост на вида в защитената зона е необходима актуализация на СФ. Промените са в червено: по отношение на зимуващата и мигриращата популация предлагаме промяна в значението на зоната за националната гнездяща популация на вида от категория „А“ в категория „С“, тъй като числеността е до 2 % от националната гнездяща популация на 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22"/>
        <w:gridCol w:w="328"/>
        <w:gridCol w:w="483"/>
        <w:gridCol w:w="181"/>
        <w:gridCol w:w="181"/>
        <w:gridCol w:w="572"/>
        <w:gridCol w:w="605"/>
        <w:gridCol w:w="594"/>
        <w:gridCol w:w="578"/>
        <w:gridCol w:w="839"/>
        <w:gridCol w:w="950"/>
        <w:gridCol w:w="622"/>
        <w:gridCol w:w="522"/>
        <w:gridCol w:w="578"/>
      </w:tblGrid>
      <w:tr w:rsidR="00A8783E" w:rsidRPr="00A8783E" w:rsidTr="005B5318">
        <w:trPr>
          <w:jc w:val="center"/>
        </w:trPr>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Species</w:t>
            </w:r>
          </w:p>
        </w:tc>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Code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Scientific Name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NP</w:t>
            </w:r>
          </w:p>
        </w:tc>
        <w:tc>
          <w:tcPr>
            <w:tcW w:w="0" w:type="auto"/>
            <w:gridSpan w:val="2"/>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T</w:t>
            </w:r>
          </w:p>
        </w:tc>
        <w:tc>
          <w:tcPr>
            <w:tcW w:w="0" w:type="auto"/>
            <w:gridSpan w:val="2"/>
            <w:shd w:val="clear" w:color="auto" w:fill="D9D9D9"/>
            <w:vAlign w:val="center"/>
          </w:tcPr>
          <w:p w:rsidR="00A8783E" w:rsidRPr="00A8783E" w:rsidRDefault="00A8783E" w:rsidP="00A8783E">
            <w:pPr>
              <w:spacing w:after="0" w:line="240" w:lineRule="auto"/>
              <w:jc w:val="center"/>
              <w:rPr>
                <w:rFonts w:ascii="Times New Roman" w:hAnsi="Times New Roman"/>
                <w:b/>
                <w:bCs/>
                <w:sz w:val="20"/>
                <w:szCs w:val="20"/>
                <w:lang w:eastAsia="en-GB"/>
              </w:rPr>
            </w:pPr>
            <w:r w:rsidRPr="00A8783E">
              <w:rPr>
                <w:rFonts w:ascii="Times New Roman" w:hAnsi="Times New Roman"/>
                <w:b/>
                <w:bCs/>
                <w:sz w:val="20"/>
                <w:szCs w:val="20"/>
                <w:lang w:eastAsia="en-GB"/>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D.qual.</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Iso.</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Glo.</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jc w:val="both"/>
              <w:rPr>
                <w:rFonts w:ascii="Times New Roman" w:hAnsi="Times New Roman"/>
                <w:sz w:val="20"/>
                <w:szCs w:val="20"/>
                <w:lang w:eastAsia="en-GB"/>
              </w:rPr>
            </w:pPr>
            <w:r w:rsidRPr="00A8783E">
              <w:rPr>
                <w:rFonts w:ascii="Times New Roman" w:hAnsi="Times New Roman"/>
                <w:sz w:val="20"/>
                <w:szCs w:val="20"/>
                <w:lang w:eastAsia="en-GB"/>
              </w:rPr>
              <w:t>В</w:t>
            </w:r>
          </w:p>
        </w:tc>
        <w:tc>
          <w:tcPr>
            <w:tcW w:w="0" w:type="auto"/>
          </w:tcPr>
          <w:p w:rsidR="00A8783E" w:rsidRPr="00A8783E" w:rsidRDefault="00A8783E" w:rsidP="00A8783E">
            <w:pPr>
              <w:spacing w:after="0" w:line="240" w:lineRule="auto"/>
              <w:jc w:val="both"/>
              <w:rPr>
                <w:rFonts w:ascii="Times New Roman" w:hAnsi="Times New Roman"/>
                <w:sz w:val="20"/>
                <w:szCs w:val="20"/>
                <w:lang w:val="en-US" w:eastAsia="en-GB"/>
              </w:rPr>
            </w:pPr>
            <w:r w:rsidRPr="00A8783E">
              <w:rPr>
                <w:rFonts w:ascii="Times New Roman" w:hAnsi="Times New Roman"/>
                <w:sz w:val="20"/>
                <w:szCs w:val="20"/>
                <w:lang w:eastAsia="bg-BG"/>
              </w:rPr>
              <w:t>A0</w:t>
            </w:r>
            <w:r w:rsidRPr="00A8783E">
              <w:rPr>
                <w:rFonts w:ascii="Times New Roman" w:hAnsi="Times New Roman"/>
                <w:sz w:val="20"/>
                <w:szCs w:val="20"/>
                <w:lang w:val="en-US" w:eastAsia="bg-BG"/>
              </w:rPr>
              <w:t>27</w:t>
            </w:r>
          </w:p>
        </w:tc>
        <w:tc>
          <w:tcPr>
            <w:tcW w:w="0" w:type="auto"/>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eastAsia="bg-BG"/>
              </w:rPr>
            </w:pPr>
            <w:r w:rsidRPr="00A8783E">
              <w:rPr>
                <w:rFonts w:ascii="Times New Roman" w:hAnsi="Times New Roman"/>
                <w:i/>
                <w:iCs/>
                <w:color w:val="000000"/>
                <w:sz w:val="20"/>
                <w:szCs w:val="20"/>
                <w:lang w:val="en-US" w:eastAsia="bg-BG"/>
              </w:rPr>
              <w:t>Ardea alba</w:t>
            </w:r>
          </w:p>
        </w:tc>
        <w:tc>
          <w:tcPr>
            <w:tcW w:w="0" w:type="auto"/>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Align w:val="bottom"/>
          </w:tcPr>
          <w:p w:rsidR="00A8783E" w:rsidRPr="00A8783E" w:rsidRDefault="00A8783E" w:rsidP="00A8783E">
            <w:pPr>
              <w:spacing w:after="0" w:line="240" w:lineRule="auto"/>
              <w:jc w:val="both"/>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w</w:t>
            </w:r>
          </w:p>
        </w:tc>
        <w:tc>
          <w:tcPr>
            <w:tcW w:w="0" w:type="auto"/>
            <w:vAlign w:val="bottom"/>
          </w:tcPr>
          <w:p w:rsidR="00A8783E" w:rsidRPr="00A8783E" w:rsidRDefault="00A8783E" w:rsidP="00A8783E">
            <w:pPr>
              <w:spacing w:after="0" w:line="240" w:lineRule="auto"/>
              <w:jc w:val="center"/>
              <w:rPr>
                <w:rFonts w:ascii="Times New Roman" w:hAnsi="Times New Roman"/>
                <w:b/>
                <w:bCs/>
                <w:color w:val="FF0000"/>
                <w:sz w:val="20"/>
                <w:szCs w:val="20"/>
                <w:lang w:val="en-US" w:eastAsia="en-GB"/>
              </w:rPr>
            </w:pPr>
            <w:r w:rsidRPr="00A8783E">
              <w:rPr>
                <w:rFonts w:ascii="Times New Roman" w:hAnsi="Times New Roman"/>
                <w:b/>
                <w:bCs/>
                <w:color w:val="FF0000"/>
                <w:sz w:val="20"/>
                <w:szCs w:val="20"/>
                <w:lang w:val="en-US" w:eastAsia="bg-BG"/>
              </w:rPr>
              <w:t>0</w:t>
            </w:r>
          </w:p>
        </w:tc>
        <w:tc>
          <w:tcPr>
            <w:tcW w:w="0" w:type="auto"/>
            <w:vAlign w:val="bottom"/>
          </w:tcPr>
          <w:p w:rsidR="00A8783E" w:rsidRPr="00A8783E" w:rsidRDefault="00A8783E" w:rsidP="00A8783E">
            <w:pPr>
              <w:spacing w:after="0" w:line="240" w:lineRule="auto"/>
              <w:jc w:val="center"/>
              <w:rPr>
                <w:rFonts w:ascii="Times New Roman" w:hAnsi="Times New Roman"/>
                <w:sz w:val="20"/>
                <w:szCs w:val="20"/>
                <w:lang w:val="en-US" w:eastAsia="en-GB"/>
              </w:rPr>
            </w:pPr>
            <w:r w:rsidRPr="00A8783E">
              <w:rPr>
                <w:rFonts w:ascii="Times New Roman" w:hAnsi="Times New Roman"/>
                <w:sz w:val="20"/>
                <w:szCs w:val="20"/>
                <w:lang w:val="en-US" w:eastAsia="bg-BG"/>
              </w:rPr>
              <w:t>4</w:t>
            </w:r>
          </w:p>
        </w:tc>
        <w:tc>
          <w:tcPr>
            <w:tcW w:w="0" w:type="auto"/>
            <w:vAlign w:val="bottom"/>
          </w:tcPr>
          <w:p w:rsidR="00A8783E" w:rsidRPr="00A8783E" w:rsidRDefault="00A8783E" w:rsidP="00A8783E">
            <w:pPr>
              <w:spacing w:after="0" w:line="240" w:lineRule="auto"/>
              <w:jc w:val="center"/>
              <w:rPr>
                <w:rFonts w:ascii="Times New Roman" w:hAnsi="Times New Roman"/>
                <w:sz w:val="20"/>
                <w:szCs w:val="20"/>
                <w:lang w:val="en-US" w:eastAsia="en-GB"/>
              </w:rPr>
            </w:pPr>
            <w:r w:rsidRPr="00A8783E">
              <w:rPr>
                <w:rFonts w:ascii="Times New Roman" w:hAnsi="Times New Roman"/>
                <w:color w:val="000000"/>
                <w:sz w:val="20"/>
                <w:szCs w:val="20"/>
                <w:lang w:val="en-US" w:eastAsia="bg-BG"/>
              </w:rPr>
              <w:t>i</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0" w:type="auto"/>
            <w:vAlign w:val="bottom"/>
          </w:tcPr>
          <w:p w:rsidR="00A8783E" w:rsidRPr="00A8783E" w:rsidRDefault="00A8783E" w:rsidP="00A8783E">
            <w:pPr>
              <w:spacing w:after="0" w:line="240" w:lineRule="auto"/>
              <w:jc w:val="both"/>
              <w:rPr>
                <w:rFonts w:ascii="Times New Roman" w:hAnsi="Times New Roman"/>
                <w:b/>
                <w:bCs/>
                <w:color w:val="FF0000"/>
                <w:sz w:val="20"/>
                <w:szCs w:val="20"/>
                <w:lang w:val="en-US" w:eastAsia="en-GB"/>
              </w:rPr>
            </w:pPr>
            <w:r w:rsidRPr="00A8783E">
              <w:rPr>
                <w:rFonts w:ascii="Times New Roman" w:hAnsi="Times New Roman"/>
                <w:b/>
                <w:bCs/>
                <w:color w:val="FF0000"/>
                <w:sz w:val="20"/>
                <w:szCs w:val="20"/>
                <w:lang w:val="en-US" w:eastAsia="en-GB"/>
              </w:rPr>
              <w:t>C</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A</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A</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jc w:val="both"/>
              <w:rPr>
                <w:rFonts w:ascii="Times New Roman" w:hAnsi="Times New Roman"/>
                <w:sz w:val="20"/>
                <w:szCs w:val="20"/>
                <w:lang w:eastAsia="en-GB"/>
              </w:rPr>
            </w:pPr>
            <w:r w:rsidRPr="00A8783E">
              <w:rPr>
                <w:rFonts w:ascii="Times New Roman" w:hAnsi="Times New Roman"/>
                <w:sz w:val="20"/>
                <w:szCs w:val="20"/>
                <w:lang w:eastAsia="en-GB"/>
              </w:rPr>
              <w:t>В</w:t>
            </w:r>
          </w:p>
        </w:tc>
        <w:tc>
          <w:tcPr>
            <w:tcW w:w="0" w:type="auto"/>
          </w:tcPr>
          <w:p w:rsidR="00A8783E" w:rsidRPr="00A8783E" w:rsidRDefault="00A8783E" w:rsidP="00A8783E">
            <w:pPr>
              <w:spacing w:after="0" w:line="240" w:lineRule="auto"/>
              <w:jc w:val="both"/>
              <w:rPr>
                <w:rFonts w:ascii="Times New Roman" w:hAnsi="Times New Roman"/>
                <w:sz w:val="20"/>
                <w:szCs w:val="20"/>
                <w:lang w:val="en-US" w:eastAsia="en-GB"/>
              </w:rPr>
            </w:pPr>
            <w:r w:rsidRPr="00A8783E">
              <w:rPr>
                <w:rFonts w:ascii="Times New Roman" w:hAnsi="Times New Roman"/>
                <w:sz w:val="20"/>
                <w:szCs w:val="20"/>
                <w:lang w:eastAsia="bg-BG"/>
              </w:rPr>
              <w:t>A0</w:t>
            </w:r>
            <w:r w:rsidRPr="00A8783E">
              <w:rPr>
                <w:rFonts w:ascii="Times New Roman" w:hAnsi="Times New Roman"/>
                <w:sz w:val="20"/>
                <w:szCs w:val="20"/>
                <w:lang w:val="en-US" w:eastAsia="bg-BG"/>
              </w:rPr>
              <w:t>27</w:t>
            </w:r>
          </w:p>
        </w:tc>
        <w:tc>
          <w:tcPr>
            <w:tcW w:w="0" w:type="auto"/>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eastAsia="bg-BG"/>
              </w:rPr>
            </w:pPr>
            <w:r w:rsidRPr="00A8783E">
              <w:rPr>
                <w:rFonts w:ascii="Times New Roman" w:hAnsi="Times New Roman"/>
                <w:i/>
                <w:iCs/>
                <w:color w:val="000000"/>
                <w:sz w:val="20"/>
                <w:szCs w:val="20"/>
                <w:lang w:val="en-US" w:eastAsia="bg-BG"/>
              </w:rPr>
              <w:t>Ardea alba</w:t>
            </w:r>
          </w:p>
        </w:tc>
        <w:tc>
          <w:tcPr>
            <w:tcW w:w="0" w:type="auto"/>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Align w:val="bottom"/>
          </w:tcPr>
          <w:p w:rsidR="00A8783E" w:rsidRPr="00A8783E" w:rsidRDefault="00A8783E" w:rsidP="00A8783E">
            <w:pPr>
              <w:spacing w:after="0" w:line="240" w:lineRule="auto"/>
              <w:jc w:val="both"/>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c</w:t>
            </w:r>
          </w:p>
        </w:tc>
        <w:tc>
          <w:tcPr>
            <w:tcW w:w="0" w:type="auto"/>
            <w:vAlign w:val="bottom"/>
          </w:tcPr>
          <w:p w:rsidR="00A8783E" w:rsidRPr="00A8783E" w:rsidRDefault="00A8783E" w:rsidP="00A8783E">
            <w:pPr>
              <w:spacing w:after="0" w:line="240" w:lineRule="auto"/>
              <w:jc w:val="center"/>
              <w:rPr>
                <w:rFonts w:ascii="Times New Roman" w:hAnsi="Times New Roman"/>
                <w:b/>
                <w:bCs/>
                <w:color w:val="FF0000"/>
                <w:sz w:val="20"/>
                <w:szCs w:val="20"/>
                <w:lang w:val="en-US" w:eastAsia="en-GB"/>
              </w:rPr>
            </w:pPr>
            <w:r w:rsidRPr="00A8783E">
              <w:rPr>
                <w:rFonts w:ascii="Times New Roman" w:hAnsi="Times New Roman"/>
                <w:b/>
                <w:bCs/>
                <w:color w:val="FF0000"/>
                <w:sz w:val="20"/>
                <w:szCs w:val="20"/>
                <w:lang w:val="en-US" w:eastAsia="bg-BG"/>
              </w:rPr>
              <w:t>0</w:t>
            </w:r>
          </w:p>
        </w:tc>
        <w:tc>
          <w:tcPr>
            <w:tcW w:w="0" w:type="auto"/>
            <w:vAlign w:val="bottom"/>
          </w:tcPr>
          <w:p w:rsidR="00A8783E" w:rsidRPr="00A8783E" w:rsidRDefault="00A8783E" w:rsidP="00A8783E">
            <w:pPr>
              <w:spacing w:after="0" w:line="240" w:lineRule="auto"/>
              <w:jc w:val="center"/>
              <w:rPr>
                <w:rFonts w:ascii="Times New Roman" w:hAnsi="Times New Roman"/>
                <w:sz w:val="20"/>
                <w:szCs w:val="20"/>
                <w:lang w:val="en-US" w:eastAsia="en-GB"/>
              </w:rPr>
            </w:pPr>
            <w:r w:rsidRPr="00A8783E">
              <w:rPr>
                <w:rFonts w:ascii="Times New Roman" w:hAnsi="Times New Roman"/>
                <w:sz w:val="20"/>
                <w:szCs w:val="20"/>
                <w:lang w:val="en-US" w:eastAsia="bg-BG"/>
              </w:rPr>
              <w:t>11</w:t>
            </w:r>
          </w:p>
        </w:tc>
        <w:tc>
          <w:tcPr>
            <w:tcW w:w="0" w:type="auto"/>
            <w:vAlign w:val="bottom"/>
          </w:tcPr>
          <w:p w:rsidR="00A8783E" w:rsidRPr="00A8783E" w:rsidRDefault="00A8783E" w:rsidP="00A8783E">
            <w:pPr>
              <w:spacing w:after="0" w:line="240" w:lineRule="auto"/>
              <w:jc w:val="center"/>
              <w:rPr>
                <w:rFonts w:ascii="Times New Roman" w:hAnsi="Times New Roman"/>
                <w:sz w:val="20"/>
                <w:szCs w:val="20"/>
                <w:lang w:val="en-US" w:eastAsia="en-GB"/>
              </w:rPr>
            </w:pPr>
            <w:r w:rsidRPr="00A8783E">
              <w:rPr>
                <w:rFonts w:ascii="Times New Roman" w:hAnsi="Times New Roman"/>
                <w:color w:val="000000"/>
                <w:sz w:val="20"/>
                <w:szCs w:val="20"/>
                <w:lang w:val="en-US" w:eastAsia="bg-BG"/>
              </w:rPr>
              <w:t>i</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0" w:type="auto"/>
            <w:vAlign w:val="bottom"/>
          </w:tcPr>
          <w:p w:rsidR="00A8783E" w:rsidRPr="00A8783E" w:rsidRDefault="00A8783E" w:rsidP="00A8783E">
            <w:pPr>
              <w:spacing w:after="0" w:line="240" w:lineRule="auto"/>
              <w:jc w:val="both"/>
              <w:rPr>
                <w:rFonts w:ascii="Times New Roman" w:hAnsi="Times New Roman"/>
                <w:b/>
                <w:bCs/>
                <w:color w:val="FF0000"/>
                <w:sz w:val="20"/>
                <w:szCs w:val="20"/>
                <w:lang w:val="en-US" w:eastAsia="en-GB"/>
              </w:rPr>
            </w:pPr>
            <w:r w:rsidRPr="00A8783E">
              <w:rPr>
                <w:rFonts w:ascii="Times New Roman" w:hAnsi="Times New Roman"/>
                <w:b/>
                <w:bCs/>
                <w:color w:val="FF0000"/>
                <w:sz w:val="20"/>
                <w:szCs w:val="20"/>
                <w:lang w:val="en-US" w:eastAsia="en-GB"/>
              </w:rPr>
              <w:t>C</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A</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A</w:t>
            </w:r>
          </w:p>
        </w:tc>
      </w:tr>
    </w:tbl>
    <w:p w:rsidR="00A8783E" w:rsidRPr="00A8783E" w:rsidRDefault="00A8783E" w:rsidP="00A8783E">
      <w:pPr>
        <w:spacing w:after="120" w:line="240" w:lineRule="auto"/>
        <w:jc w:val="both"/>
        <w:rPr>
          <w:rFonts w:ascii="Times New Roman" w:hAnsi="Times New Roman"/>
          <w:sz w:val="24"/>
          <w:szCs w:val="24"/>
          <w:lang w:eastAsia="bg-BG"/>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57" w:name="_Toc89106070"/>
      <w:bookmarkStart w:id="158" w:name="_Toc98741909"/>
      <w:bookmarkStart w:id="159" w:name="_Toc98838584"/>
      <w:r w:rsidRPr="00A8783E">
        <w:rPr>
          <w:rFonts w:ascii="Times New Roman" w:hAnsi="Times New Roman"/>
          <w:color w:val="1F497D"/>
          <w:sz w:val="28"/>
          <w:szCs w:val="28"/>
          <w:lang w:eastAsia="bg-BG"/>
        </w:rPr>
        <w:t xml:space="preserve">Специфични цели за А028 </w:t>
      </w:r>
      <w:r w:rsidRPr="00A8783E">
        <w:rPr>
          <w:rFonts w:ascii="Times New Roman" w:hAnsi="Times New Roman"/>
          <w:i/>
          <w:iCs/>
          <w:color w:val="1F497D"/>
          <w:sz w:val="28"/>
          <w:szCs w:val="28"/>
          <w:lang w:val="en-GB" w:eastAsia="bg-BG"/>
        </w:rPr>
        <w:t>Ardea</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GB" w:eastAsia="bg-BG"/>
        </w:rPr>
        <w:t>cinerea</w:t>
      </w:r>
      <w:r w:rsidRPr="00A8783E">
        <w:rPr>
          <w:rFonts w:ascii="Times New Roman" w:hAnsi="Times New Roman"/>
          <w:color w:val="1F497D"/>
          <w:sz w:val="28"/>
          <w:szCs w:val="28"/>
          <w:lang w:eastAsia="bg-BG"/>
        </w:rPr>
        <w:t xml:space="preserve"> (сива чапла)</w:t>
      </w:r>
      <w:bookmarkEnd w:id="157"/>
      <w:bookmarkEnd w:id="158"/>
      <w:bookmarkEnd w:id="159"/>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Дължина на тялото: 84 – 102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Размах на крилата: 155 – 175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Най-разпространената и едра чапла в България. Има възрастов диморфизъм и малки сезонни различия. Гърбът и крилата са сиви. Шията отпред и гърдите са с черни надлъжни ивици. Възрастните през размножителния период отгоре са сиви с черни плещи и украсяващи пера на главата, които впоследствие изчезват. Отдолу са белезникави, главата и шията са бели с черни ивици зад очите и по предната част на шията. При младите горната част на главата и шията отстрани са сиви.</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Сивата чапла е гнездящо-прелетен, преминаващ, постоянен и зимуващ вид в България. Пролетната миграция е от края на февруари до средата на април, а есенната – от края на юли до ноември (Симеонов и др., 1990). Мигрира на юг при тежки зими и замръзване на водоемите. В България зимуват птици от Северна Европа.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Сивата чапла обитава блата и езера с обширни тръстикови масиви; равнинни и заливни гори; долни и средни течения на по-големи реки с изобилна растителност и богати на риба. По време на миграция и през зимата се среща и в язовири, микроязовири, рибарници, оризища, напоителни канали и др. Размножителният период е от началото на март до края на юли. Гнезди в самостоятелни и смесени колонии. По Дунавското крайбрежие колониите са разположени в гори от бяла топола, бяла върба, и по-рядко хибридна топола и летен дъб (Симеонов и др., 1990). Гнездата са големи, често на върха на дървото. Снася 4 – 5 яйца, като има едно поколение годишно. Предпочитаните местообитания са 1130, 1150, 1160, 3130, 3150, 91</w:t>
      </w:r>
      <w:r w:rsidRPr="00A8783E">
        <w:rPr>
          <w:rFonts w:ascii="Times New Roman" w:hAnsi="Times New Roman"/>
          <w:sz w:val="24"/>
          <w:szCs w:val="24"/>
          <w:lang w:val="en-GB" w:eastAsia="bg-BG"/>
        </w:rPr>
        <w:t>D</w:t>
      </w:r>
      <w:r w:rsidRPr="00A8783E">
        <w:rPr>
          <w:rFonts w:ascii="Times New Roman" w:hAnsi="Times New Roman"/>
          <w:sz w:val="24"/>
          <w:szCs w:val="24"/>
          <w:lang w:eastAsia="bg-BG"/>
        </w:rPr>
        <w:t>0, 91</w:t>
      </w:r>
      <w:r w:rsidRPr="00A8783E">
        <w:rPr>
          <w:rFonts w:ascii="Times New Roman" w:hAnsi="Times New Roman"/>
          <w:sz w:val="24"/>
          <w:szCs w:val="24"/>
          <w:lang w:val="en-GB" w:eastAsia="bg-BG"/>
        </w:rPr>
        <w:t>E</w:t>
      </w:r>
      <w:r w:rsidRPr="00A8783E">
        <w:rPr>
          <w:rFonts w:ascii="Times New Roman" w:hAnsi="Times New Roman"/>
          <w:sz w:val="24"/>
          <w:szCs w:val="24"/>
          <w:lang w:eastAsia="bg-BG"/>
        </w:rPr>
        <w:t>0 и 91</w:t>
      </w:r>
      <w:r w:rsidRPr="00A8783E">
        <w:rPr>
          <w:rFonts w:ascii="Times New Roman" w:hAnsi="Times New Roman"/>
          <w:sz w:val="24"/>
          <w:szCs w:val="24"/>
          <w:lang w:val="en-GB" w:eastAsia="bg-BG"/>
        </w:rPr>
        <w:t>F</w:t>
      </w:r>
      <w:r w:rsidRPr="00A8783E">
        <w:rPr>
          <w:rFonts w:ascii="Times New Roman" w:hAnsi="Times New Roman"/>
          <w:sz w:val="24"/>
          <w:szCs w:val="24"/>
          <w:lang w:eastAsia="bg-BG"/>
        </w:rPr>
        <w:t>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Храни се с риба, земноводни, влечуги, гризачи и др. По врене на проучване, проведено в Софийското поле, в 5 стомаха са установени: </w:t>
      </w:r>
      <w:r w:rsidRPr="00A8783E">
        <w:rPr>
          <w:rFonts w:ascii="Times New Roman" w:hAnsi="Times New Roman"/>
          <w:i/>
          <w:iCs/>
          <w:sz w:val="24"/>
          <w:szCs w:val="24"/>
          <w:lang w:val="en-GB" w:eastAsia="bg-BG"/>
        </w:rPr>
        <w:t>Arvicola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terrestris</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Microtus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arvalis</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Lacerta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viridis</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Lacerta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sp</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Natrix</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natrix</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Natrix</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tesselata</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Rana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ridibunda</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Cyrpinus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carpio</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Tinca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tinca</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Carassius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auratus</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Carassius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sp</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Gobio</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gobio</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Cobites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taenia</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Leuciscus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cephalus</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Libellula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sp</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Gryllotalpa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gryllotalpa</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Neucoris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sp</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Notonecta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glauca</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Dytiscus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sp</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Hydrophilidae</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Curculionidae</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Donacia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sp</w:t>
      </w:r>
      <w:r w:rsidRPr="00A8783E">
        <w:rPr>
          <w:rFonts w:ascii="Times New Roman" w:hAnsi="Times New Roman"/>
          <w:sz w:val="24"/>
          <w:szCs w:val="24"/>
          <w:lang w:eastAsia="bg-BG"/>
        </w:rPr>
        <w:t xml:space="preserve">. (Симеонов и др., 1990).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Гнезди в самостоятелни или смесени колонии разпръснато из цялата страна, главно по Дунавското и Черноморското крайбрежие и долините на повечето по-големи реки в равнините (Дунавска равнина, Тракийска низина) и ниските части на планините (най-вече в Предбалкана) (Янков отг. ред., 2007).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Природозащитният статус на сивата чапла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е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Включен в Червената книга на Р България (Големански ред., 2015) в категория „Уязвим“ (</w:t>
      </w:r>
      <w:r w:rsidRPr="00A8783E">
        <w:rPr>
          <w:rFonts w:ascii="Times New Roman" w:hAnsi="Times New Roman"/>
          <w:sz w:val="24"/>
          <w:szCs w:val="24"/>
          <w:lang w:val="en-US" w:eastAsia="bg-BG"/>
        </w:rPr>
        <w:t>VU</w:t>
      </w:r>
      <w:r w:rsidRPr="00A8783E">
        <w:rPr>
          <w:rFonts w:ascii="Times New Roman" w:hAnsi="Times New Roman"/>
          <w:sz w:val="24"/>
          <w:szCs w:val="24"/>
          <w:lang w:eastAsia="bg-BG"/>
        </w:rPr>
        <w:t xml:space="preserve">). Включен в Приложение 3 на ЗБР.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 на 800 – 1200 двойки. Краткосрочната тенденция на популацията (за периода 2000 – 2018 г.) е стабилна, а дългосрочната (за периода 1980 – 2018 г.) – нарастваща. Краткосрочната тенденция на гнездящата популацията в рамките на Натура 2000 е стабилна.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Мигриращата национална популация (за периода 2001 – 2018 г.) е оценена на 110 – 330 индивида.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Зимуващата национална популация (за периода 2013 – 2018 г.) е оценена на 1000 – 2000 индивида. Краткосрочната тенденция на популацията (за периода 2007 – 2018 г.) е стабилна, а дългосрочната (за периода 1980 – 2018 г.) – също стабилна.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За гнездящата, мигриращата и зимуващата популация са посочени следните заплахи и влияния: M07, K01, J03, F01, J02, K04, B06 и D02.</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СФ на зоната вида е гнездящ, преминаващ и зимуващ. </w:t>
      </w:r>
      <w:r w:rsidRPr="00A8783E">
        <w:rPr>
          <w:rFonts w:ascii="Times New Roman" w:hAnsi="Times New Roman"/>
          <w:b/>
          <w:bCs/>
          <w:sz w:val="24"/>
          <w:szCs w:val="24"/>
          <w:lang w:eastAsia="bg-BG"/>
        </w:rPr>
        <w:t>Гнездящата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17 - 50 двойки</w:t>
      </w:r>
      <w:r w:rsidRPr="00A8783E">
        <w:rPr>
          <w:rFonts w:ascii="Times New Roman" w:hAnsi="Times New Roman"/>
          <w:sz w:val="24"/>
          <w:szCs w:val="24"/>
          <w:lang w:eastAsia="bg-BG"/>
        </w:rPr>
        <w:t>, което представлява 2,1 - 4,2 %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 xml:space="preserve">Съгласно СФ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 на </w:t>
      </w:r>
      <w:r w:rsidRPr="00A8783E">
        <w:rPr>
          <w:rFonts w:ascii="Times New Roman" w:hAnsi="Times New Roman"/>
          <w:b/>
          <w:bCs/>
          <w:sz w:val="24"/>
          <w:szCs w:val="24"/>
          <w:lang w:eastAsia="bg-BG"/>
        </w:rPr>
        <w:t>10 индивида</w:t>
      </w:r>
      <w:r w:rsidRPr="00A8783E">
        <w:rPr>
          <w:rFonts w:ascii="Times New Roman" w:hAnsi="Times New Roman"/>
          <w:sz w:val="24"/>
          <w:szCs w:val="24"/>
          <w:lang w:eastAsia="bg-BG"/>
        </w:rPr>
        <w:t>, което е 3,0 – 9,1 %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СФ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на вида се оценява на до </w:t>
      </w:r>
      <w:r w:rsidRPr="00A8783E">
        <w:rPr>
          <w:rFonts w:ascii="Times New Roman" w:hAnsi="Times New Roman"/>
          <w:b/>
          <w:bCs/>
          <w:sz w:val="24"/>
          <w:szCs w:val="24"/>
          <w:lang w:eastAsia="bg-BG"/>
        </w:rPr>
        <w:t>5 индивида</w:t>
      </w:r>
      <w:r w:rsidRPr="00A8783E">
        <w:rPr>
          <w:rFonts w:ascii="Times New Roman" w:hAnsi="Times New Roman"/>
          <w:sz w:val="24"/>
          <w:szCs w:val="24"/>
          <w:lang w:eastAsia="bg-BG"/>
        </w:rPr>
        <w:t>, което е 0,3 – 0,5 % 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Гнездяща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 xml:space="preserve">По Дунавското крайбрежие видът е сравнително многоброен. За периода 2010 – 2013 г. числеността на сивите чапли в 12 дунавски колонии варира между 237 и 399 двойки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2019). Публикуваната информация за гнезденето на вида в зоната посочва през 2001 и 2002 г. съответно 80 и 30 дв. (</w:t>
      </w:r>
      <w:r w:rsidRPr="00A8783E">
        <w:rPr>
          <w:rFonts w:ascii="Times New Roman" w:hAnsi="Times New Roman"/>
          <w:color w:val="000000"/>
          <w:sz w:val="24"/>
          <w:szCs w:val="24"/>
          <w:lang w:val="en-US" w:eastAsia="bg-BG"/>
        </w:rPr>
        <w:t>Kamburova</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2003). В края на ХХ век числеността на вида е била между 3 и 10 дв., а между 2001 и 2003 г.: 15 – 80 дв. (</w:t>
      </w:r>
      <w:r w:rsidRPr="00A8783E">
        <w:rPr>
          <w:rFonts w:ascii="Times New Roman" w:hAnsi="Times New Roman"/>
          <w:color w:val="000000"/>
          <w:sz w:val="24"/>
          <w:szCs w:val="24"/>
          <w:lang w:val="en-US" w:eastAsia="bg-BG"/>
        </w:rPr>
        <w:t>Kambourova</w:t>
      </w:r>
      <w:r w:rsidRPr="00A8783E">
        <w:rPr>
          <w:rFonts w:ascii="Times New Roman" w:hAnsi="Times New Roman"/>
          <w:color w:val="000000"/>
          <w:sz w:val="24"/>
          <w:szCs w:val="24"/>
          <w:lang w:eastAsia="bg-BG"/>
        </w:rPr>
        <w:t xml:space="preserve">, 2003, 2012). В периода 2006-2014 г. числеността на сивата чапла в Сребърна е следната: 2006 – 35 дв., 2010 – 50 дв., 2011 – 25 дв., 2012 – 25 дв., 2013 – 17 дв. и 2014 – 60 дв.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xml:space="preserve">., 2019). Според Матеева и др. (2013) в зоната са гнездили 20 – 30 двойки през 2012 г. Михов и др. (1997) и Костадинова, Граматиков (2007) не дават числености на вида в зоната. През 2017 г. при проучване по р. Дунав, видът е наблюдаван в ПР „Сребърна” с численост от 15 екз. (Димитров, 2018). В Актуализирания План за управление на ПР „Сребърна” (2015 г.), се посочва че видът гнезди с численост 20-30 дв. или около 2,5 % от националната гнездова популация. </w:t>
      </w:r>
      <w:r w:rsidRPr="00A8783E">
        <w:rPr>
          <w:rFonts w:ascii="Times New Roman" w:hAnsi="Times New Roman"/>
          <w:sz w:val="24"/>
          <w:szCs w:val="24"/>
          <w:lang w:eastAsia="bg-BG"/>
        </w:rPr>
        <w:t xml:space="preserve">При теренните проучвания през 2021 г. видът е наблюдаван многократно през месеците май и юни – 24 птици в подходящ гнездови биотоп. Регистрирани са минимум 3 гнездящи двойки в смесена колония – в югоизточния край на езерото. </w:t>
      </w:r>
    </w:p>
    <w:p w:rsidR="00A8783E" w:rsidRPr="00A8783E" w:rsidRDefault="00A8783E" w:rsidP="00A8783E">
      <w:pPr>
        <w:spacing w:before="120" w:after="120" w:line="240" w:lineRule="auto"/>
        <w:jc w:val="both"/>
        <w:rPr>
          <w:rFonts w:ascii="Times New Roman" w:hAnsi="Times New Roman"/>
          <w:i/>
          <w:iCs/>
          <w:color w:val="000000"/>
          <w:sz w:val="24"/>
          <w:szCs w:val="24"/>
          <w:lang w:eastAsia="bg-BG"/>
        </w:rPr>
      </w:pPr>
      <w:r w:rsidRPr="00A8783E">
        <w:rPr>
          <w:rFonts w:ascii="Times New Roman" w:hAnsi="Times New Roman"/>
          <w:i/>
          <w:iCs/>
          <w:color w:val="000000"/>
          <w:sz w:val="24"/>
          <w:szCs w:val="24"/>
          <w:lang w:eastAsia="bg-BG"/>
        </w:rPr>
        <w:t>Мигрираща и зимуваща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Числеността й по време на миграция се увеличава, като това е най-честия вид чапла в района на Дунав и Дунавската равнина (Шурулинков и др., 2005). Сребърна има значение за вида основно по време на гнездене, но не и по време на миграция и зимуване. През зимата на 1975-1976 и 1977-1978 видът не е наблюдаван. През октомври 1976 г. са наблюдавани 15 птици (Иванов, 1979). През зимните месеци от 1984 до 2005 в р. Дунав между Сомовит и Силистра са наблюдавани между 1 и 20 птици (</w:t>
      </w:r>
      <w:r w:rsidRPr="00A8783E">
        <w:rPr>
          <w:rFonts w:ascii="Times New Roman" w:hAnsi="Times New Roman"/>
          <w:color w:val="000000"/>
          <w:sz w:val="24"/>
          <w:szCs w:val="24"/>
          <w:lang w:val="en-US" w:eastAsia="bg-BG"/>
        </w:rPr>
        <w:t>Ivanov</w:t>
      </w:r>
      <w:r w:rsidRPr="00A8783E">
        <w:rPr>
          <w:rFonts w:ascii="Times New Roman" w:hAnsi="Times New Roman"/>
          <w:color w:val="000000"/>
          <w:sz w:val="24"/>
          <w:szCs w:val="24"/>
          <w:lang w:eastAsia="bg-BG"/>
        </w:rPr>
        <w:t xml:space="preserve">, 2008). </w:t>
      </w:r>
      <w:r w:rsidRPr="00A8783E">
        <w:rPr>
          <w:rFonts w:ascii="Times New Roman" w:hAnsi="Times New Roman"/>
          <w:sz w:val="24"/>
          <w:szCs w:val="24"/>
          <w:lang w:eastAsia="bg-BG"/>
        </w:rPr>
        <w:t>По-нови данни за зимуването на вида в зоната са от средно зимните преброявания. В периода 2014 – 2018 г. видът не е наблюдаван в зоната през зимата. През зимата на 2019 и 2020 г. сиви чапли са наблюдавани на 12.01.2019 г. - една птица и на 11.01.2020 г. - 1 птица, в р. Дунав в близост до територията на защитената зона. За 25 годишен период 1977-2001 г., през зимата са наблюдавани общо 2 сиви чапли (</w:t>
      </w:r>
      <w:r w:rsidRPr="00A8783E">
        <w:rPr>
          <w:rFonts w:ascii="Times New Roman" w:hAnsi="Times New Roman"/>
          <w:sz w:val="24"/>
          <w:szCs w:val="24"/>
          <w:lang w:val="en-US" w:eastAsia="bg-BG"/>
        </w:rPr>
        <w:t>Michev</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and</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Profirov</w:t>
      </w:r>
      <w:r w:rsidRPr="00A8783E">
        <w:rPr>
          <w:rFonts w:ascii="Times New Roman" w:hAnsi="Times New Roman"/>
          <w:sz w:val="24"/>
          <w:szCs w:val="24"/>
          <w:lang w:eastAsia="bg-BG"/>
        </w:rPr>
        <w:t xml:space="preserve">, 2003). От 2008 до 2013 г. зимуване на вида е отбелязано единствено през 2012 г. – 1 индивид (ПУ „Сребърна”, по данни от ИАОС).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lang w:eastAsia="bg-BG"/>
        </w:rPr>
        <w:t xml:space="preserve">От посочените в Докладването от 2019 г. заплахи и влияния за гнездящата, мигрираща и зимуваща популация: M07, K01, J03, F01, J02, K04, B06 и D02, валидни за зоната са: </w:t>
      </w:r>
      <w:r w:rsidRPr="00A8783E">
        <w:rPr>
          <w:rFonts w:ascii="Times New Roman" w:hAnsi="Times New Roman"/>
          <w:sz w:val="24"/>
          <w:szCs w:val="24"/>
        </w:rPr>
        <w:t>М07 – Бури, циклони; К04 - Изменение на хидродинамичните характеристики; В06 - Изсичане на отделни дървета (без гола сеч).</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2"/>
        <w:gridCol w:w="1276"/>
        <w:gridCol w:w="1139"/>
        <w:gridCol w:w="2893"/>
        <w:gridCol w:w="2045"/>
      </w:tblGrid>
      <w:tr w:rsidR="00A8783E" w:rsidRPr="00A8783E" w:rsidTr="005B5318">
        <w:trPr>
          <w:tblHeader/>
          <w:jc w:val="center"/>
        </w:trPr>
        <w:tc>
          <w:tcPr>
            <w:tcW w:w="1842"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lastRenderedPageBreak/>
              <w:t>Параметър</w:t>
            </w:r>
          </w:p>
        </w:tc>
        <w:tc>
          <w:tcPr>
            <w:tcW w:w="127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139"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893"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045"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842"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гнездовата популация</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139"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10 - 50 двойки </w:t>
            </w:r>
          </w:p>
        </w:tc>
        <w:tc>
          <w:tcPr>
            <w:tcW w:w="289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настоящия СФ (актуализиран през 2018 г.) са посочени 17 – 50 гнездящи двойки. В резултат на извършен мониторинг в защитената зона през гнездовия период на 2021 г. са установени минимум 3 двойки. Считаме че целевата стойност на минималната численост е леко завишена.</w:t>
            </w:r>
          </w:p>
        </w:tc>
        <w:tc>
          <w:tcPr>
            <w:tcW w:w="204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популацията на вида в зоната в размер от най-малко 10 двойки чрез поддържане на подходящите местообитания.</w:t>
            </w:r>
          </w:p>
        </w:tc>
      </w:tr>
      <w:tr w:rsidR="00A8783E" w:rsidRPr="00A8783E" w:rsidTr="005B5318">
        <w:trPr>
          <w:jc w:val="center"/>
        </w:trPr>
        <w:tc>
          <w:tcPr>
            <w:tcW w:w="1842"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139"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0 – 10 инд.</w:t>
            </w:r>
          </w:p>
        </w:tc>
        <w:tc>
          <w:tcPr>
            <w:tcW w:w="289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СФ за концентрацията на вида по време на миграция в зоната е посочена минимална и максимална стойност от 10 инд. Видът нередовно е наблюдаван по време на миграция.</w:t>
            </w:r>
          </w:p>
        </w:tc>
        <w:tc>
          <w:tcPr>
            <w:tcW w:w="204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jc w:val="center"/>
        </w:trPr>
        <w:tc>
          <w:tcPr>
            <w:tcW w:w="1842"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зимуващата популация</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139"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0 - 5 инд.</w:t>
            </w:r>
          </w:p>
        </w:tc>
        <w:tc>
          <w:tcPr>
            <w:tcW w:w="289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Според СФ на зоната числеността на зимуващите индивиди е 5. По данни от средно зимните преброявания (СЗП) през 2019 и 2020 г. е установен 1 инд. в р. Дунав. От 2008 до 2013 г. зимуване на вида е отбелязано единствено през 2012 г. – 1 индивид. Видът зимува рядко и нередовно в зоната.</w:t>
            </w:r>
          </w:p>
        </w:tc>
        <w:tc>
          <w:tcPr>
            <w:tcW w:w="2045"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Междинна цел до 2025 г.: провеждане на проучване за установяване на зимната численост на вида в зоната в подходящите местообитания.</w:t>
            </w:r>
          </w:p>
          <w:p w:rsidR="00A8783E" w:rsidRPr="00A8783E" w:rsidRDefault="00A8783E" w:rsidP="00A8783E">
            <w:pPr>
              <w:spacing w:after="0" w:line="240" w:lineRule="auto"/>
              <w:jc w:val="both"/>
              <w:rPr>
                <w:rFonts w:ascii="Times New Roman" w:hAnsi="Times New Roman"/>
                <w:lang w:eastAsia="bg-BG"/>
              </w:rPr>
            </w:pPr>
          </w:p>
        </w:tc>
      </w:tr>
      <w:tr w:rsidR="00A8783E" w:rsidRPr="00A8783E" w:rsidTr="005B5318">
        <w:trPr>
          <w:jc w:val="center"/>
        </w:trPr>
        <w:tc>
          <w:tcPr>
            <w:tcW w:w="1842"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139"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565</w:t>
            </w:r>
          </w:p>
        </w:tc>
        <w:tc>
          <w:tcPr>
            <w:tcW w:w="289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04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гнездови местообитания на вида в защитената зона</w:t>
            </w:r>
            <w:r w:rsidRPr="00A8783E">
              <w:rPr>
                <w:rFonts w:cs="Calibri"/>
              </w:rPr>
              <w:t xml:space="preserve"> </w:t>
            </w:r>
            <w:r w:rsidRPr="00A8783E">
              <w:rPr>
                <w:rFonts w:ascii="Times New Roman" w:hAnsi="Times New Roman"/>
                <w:lang w:eastAsia="bg-BG"/>
              </w:rPr>
              <w:t>чрез поддържане на оптимално ниво на водата в езерото.</w:t>
            </w:r>
          </w:p>
        </w:tc>
      </w:tr>
      <w:tr w:rsidR="00A8783E" w:rsidRPr="00A8783E" w:rsidTr="005B5318">
        <w:trPr>
          <w:jc w:val="center"/>
        </w:trPr>
        <w:tc>
          <w:tcPr>
            <w:tcW w:w="1842"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139"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най-малко 840 </w:t>
            </w:r>
          </w:p>
        </w:tc>
        <w:tc>
          <w:tcPr>
            <w:tcW w:w="2893"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Включва гнездовото местообитание и всички стоящи и течащи води в зоната.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 xml:space="preserve">07-мочурища и блата и </w:t>
            </w:r>
            <w:r w:rsidRPr="00A8783E">
              <w:rPr>
                <w:rFonts w:ascii="Times New Roman" w:hAnsi="Times New Roman"/>
                <w:lang w:val="en-US" w:eastAsia="bg-BG"/>
              </w:rPr>
              <w:t>N</w:t>
            </w:r>
            <w:r w:rsidRPr="00A8783E">
              <w:rPr>
                <w:rFonts w:ascii="Times New Roman" w:hAnsi="Times New Roman"/>
                <w:lang w:eastAsia="bg-BG"/>
              </w:rPr>
              <w:t>06-вътрешни водни тела.</w:t>
            </w:r>
          </w:p>
        </w:tc>
        <w:tc>
          <w:tcPr>
            <w:tcW w:w="204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хранителни местообитания на вида.</w:t>
            </w:r>
          </w:p>
        </w:tc>
      </w:tr>
      <w:tr w:rsidR="00A8783E" w:rsidRPr="00A8783E" w:rsidTr="005B5318">
        <w:trPr>
          <w:jc w:val="center"/>
        </w:trPr>
        <w:tc>
          <w:tcPr>
            <w:tcW w:w="1842"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риби (</w:t>
            </w:r>
            <w:r w:rsidRPr="00A8783E">
              <w:rPr>
                <w:rFonts w:ascii="Times New Roman" w:hAnsi="Times New Roman"/>
                <w:lang w:val="en-GB" w:eastAsia="bg-BG"/>
              </w:rPr>
              <w:t>JDS</w:t>
            </w:r>
            <w:r w:rsidRPr="00A8783E">
              <w:rPr>
                <w:rFonts w:ascii="Times New Roman" w:hAnsi="Times New Roman"/>
                <w:lang w:eastAsia="bg-BG"/>
              </w:rPr>
              <w:t>4-</w:t>
            </w:r>
            <w:r w:rsidRPr="00A8783E">
              <w:rPr>
                <w:rFonts w:ascii="Times New Roman" w:hAnsi="Times New Roman"/>
                <w:lang w:val="en-GB" w:eastAsia="bg-BG"/>
              </w:rPr>
              <w:t>Fish</w:t>
            </w:r>
            <w:r w:rsidRPr="00A8783E">
              <w:rPr>
                <w:rFonts w:ascii="Times New Roman" w:hAnsi="Times New Roman"/>
                <w:lang w:eastAsia="bg-BG"/>
              </w:rPr>
              <w:t>)</w:t>
            </w:r>
          </w:p>
        </w:tc>
        <w:tc>
          <w:tcPr>
            <w:tcW w:w="127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139"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893" w:type="dxa"/>
          </w:tcPr>
          <w:tbl>
            <w:tblPr>
              <w:tblW w:w="3029" w:type="dxa"/>
              <w:tblInd w:w="3" w:type="dxa"/>
              <w:tblLayout w:type="fixed"/>
              <w:tblCellMar>
                <w:left w:w="70" w:type="dxa"/>
                <w:right w:w="70" w:type="dxa"/>
              </w:tblCellMar>
              <w:tblLook w:val="00A0" w:firstRow="1" w:lastRow="0" w:firstColumn="1" w:lastColumn="0" w:noHBand="0" w:noVBand="0"/>
            </w:tblPr>
            <w:tblGrid>
              <w:gridCol w:w="3029"/>
            </w:tblGrid>
            <w:tr w:rsidR="00A8783E" w:rsidRPr="00A8783E" w:rsidTr="005B5318">
              <w:trPr>
                <w:trHeight w:val="287"/>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380"/>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4 (2019-2020, Табл. 5, стр. 51).</w:t>
            </w:r>
            <w:r w:rsidRPr="00A8783E">
              <w:rPr>
                <w:rFonts w:cs="Calibri"/>
              </w:rPr>
              <w:t xml:space="preserve"> </w:t>
            </w:r>
            <w:r w:rsidRPr="00A8783E">
              <w:rPr>
                <w:rFonts w:ascii="Times New Roman" w:hAnsi="Times New Roman"/>
                <w:lang w:eastAsia="bg-BG"/>
              </w:rPr>
              <w:t>Екологичното състояние на езерото Сребърна по БЕК Риби е оценено като „</w:t>
            </w:r>
            <w:r w:rsidRPr="00A8783E">
              <w:rPr>
                <w:rFonts w:ascii="Times New Roman" w:hAnsi="Times New Roman"/>
                <w:b/>
                <w:bCs/>
                <w:lang w:eastAsia="bg-BG"/>
              </w:rPr>
              <w:t>Умерено</w:t>
            </w:r>
            <w:r w:rsidRPr="00A8783E">
              <w:rPr>
                <w:rFonts w:ascii="Times New Roman" w:hAnsi="Times New Roman"/>
                <w:lang w:eastAsia="bg-BG"/>
              </w:rPr>
              <w:t xml:space="preserve">“, а по БЕК Макрозообентос – Отлично. </w:t>
            </w:r>
          </w:p>
        </w:tc>
        <w:tc>
          <w:tcPr>
            <w:tcW w:w="2045"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before="119" w:after="119" w:line="240" w:lineRule="auto"/>
        <w:rPr>
          <w:rFonts w:ascii="Times New Roman" w:hAnsi="Times New Roman"/>
          <w:b/>
          <w:bCs/>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Предвид наличната информация за настоящата гнездяща, мигрираща и зимуваща численост на вида в защитената зона е необходима актуализация на СФ. Промените са в червено. Тъй като видът не редовно е наблюдаван по време на миграция предлагаме за минималната стойност на мигриращата популация да се посочат 0 инд. вместо отново  10 инд. В резултат на изнесената по-горе информация за гнездовата популация, предлагаме да се промени минималната стойност на 10 инд. вместо 17 инд. и да се промени значението на зоната за националната гнездяща популация на вида от категория „С“ в категория „В“.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22"/>
        <w:gridCol w:w="328"/>
        <w:gridCol w:w="483"/>
        <w:gridCol w:w="181"/>
        <w:gridCol w:w="181"/>
        <w:gridCol w:w="572"/>
        <w:gridCol w:w="605"/>
        <w:gridCol w:w="594"/>
        <w:gridCol w:w="578"/>
        <w:gridCol w:w="839"/>
        <w:gridCol w:w="950"/>
        <w:gridCol w:w="622"/>
        <w:gridCol w:w="522"/>
        <w:gridCol w:w="578"/>
      </w:tblGrid>
      <w:tr w:rsidR="00A8783E" w:rsidRPr="00A8783E" w:rsidTr="005B5318">
        <w:trPr>
          <w:jc w:val="center"/>
        </w:trPr>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Species</w:t>
            </w:r>
          </w:p>
        </w:tc>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Code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Scientific Name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NP</w:t>
            </w:r>
          </w:p>
        </w:tc>
        <w:tc>
          <w:tcPr>
            <w:tcW w:w="0" w:type="auto"/>
            <w:gridSpan w:val="2"/>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T</w:t>
            </w:r>
          </w:p>
        </w:tc>
        <w:tc>
          <w:tcPr>
            <w:tcW w:w="0" w:type="auto"/>
            <w:gridSpan w:val="2"/>
            <w:shd w:val="clear" w:color="auto" w:fill="D9D9D9"/>
            <w:vAlign w:val="center"/>
          </w:tcPr>
          <w:p w:rsidR="00A8783E" w:rsidRPr="00A8783E" w:rsidRDefault="00A8783E" w:rsidP="00A8783E">
            <w:pPr>
              <w:spacing w:after="0" w:line="240" w:lineRule="auto"/>
              <w:jc w:val="center"/>
              <w:rPr>
                <w:rFonts w:ascii="Times New Roman" w:hAnsi="Times New Roman"/>
                <w:b/>
                <w:bCs/>
                <w:sz w:val="20"/>
                <w:szCs w:val="20"/>
                <w:lang w:eastAsia="en-GB"/>
              </w:rPr>
            </w:pPr>
            <w:r w:rsidRPr="00A8783E">
              <w:rPr>
                <w:rFonts w:ascii="Times New Roman" w:hAnsi="Times New Roman"/>
                <w:b/>
                <w:bCs/>
                <w:sz w:val="20"/>
                <w:szCs w:val="20"/>
                <w:lang w:eastAsia="en-GB"/>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D.qual.</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Iso.</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Glo.</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en-GB"/>
              </w:rPr>
              <w:t>В</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bg-BG"/>
              </w:rPr>
              <w:t>A028</w:t>
            </w:r>
          </w:p>
        </w:tc>
        <w:tc>
          <w:tcPr>
            <w:tcW w:w="0" w:type="auto"/>
            <w:vAlign w:val="center"/>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eastAsia="bg-BG"/>
              </w:rPr>
            </w:pPr>
            <w:r w:rsidRPr="00A8783E">
              <w:rPr>
                <w:rFonts w:ascii="Times New Roman" w:hAnsi="Times New Roman"/>
                <w:i/>
                <w:iCs/>
                <w:color w:val="000000"/>
                <w:sz w:val="20"/>
                <w:szCs w:val="20"/>
                <w:lang w:val="en-US" w:eastAsia="bg-BG"/>
              </w:rPr>
              <w:t>Ardea cinerea</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gridSpan w:val="2"/>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w</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en-GB"/>
              </w:rPr>
              <w:t>0</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bg-BG"/>
              </w:rPr>
              <w:t>5</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color w:val="000000"/>
                <w:sz w:val="20"/>
                <w:szCs w:val="20"/>
                <w:lang w:val="en-US" w:eastAsia="bg-BG"/>
              </w:rPr>
              <w:t>i</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sz w:val="20"/>
                <w:szCs w:val="20"/>
                <w:lang w:eastAsia="bg-BG"/>
              </w:rPr>
              <w:t>С</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В</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С</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en-GB"/>
              </w:rPr>
              <w:t>В</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bg-BG"/>
              </w:rPr>
              <w:t>A028</w:t>
            </w:r>
          </w:p>
        </w:tc>
        <w:tc>
          <w:tcPr>
            <w:tcW w:w="0" w:type="auto"/>
            <w:vAlign w:val="center"/>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eastAsia="bg-BG"/>
              </w:rPr>
            </w:pPr>
            <w:r w:rsidRPr="00A8783E">
              <w:rPr>
                <w:rFonts w:ascii="Times New Roman" w:hAnsi="Times New Roman"/>
                <w:i/>
                <w:iCs/>
                <w:color w:val="000000"/>
                <w:sz w:val="20"/>
                <w:szCs w:val="20"/>
                <w:lang w:val="en-US" w:eastAsia="bg-BG"/>
              </w:rPr>
              <w:t>Ardea cinerea</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gridSpan w:val="2"/>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с</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eastAsia="en-GB"/>
              </w:rPr>
              <w:t>0</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bg-BG"/>
              </w:rPr>
              <w:t>10</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color w:val="000000"/>
                <w:sz w:val="20"/>
                <w:szCs w:val="20"/>
                <w:lang w:val="en-US" w:eastAsia="bg-BG"/>
              </w:rPr>
              <w:t>i</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sz w:val="20"/>
                <w:szCs w:val="20"/>
                <w:lang w:eastAsia="bg-BG"/>
              </w:rPr>
              <w:t>С</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В</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С</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en-GB"/>
              </w:rPr>
              <w:t>В</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bg-BG"/>
              </w:rPr>
              <w:t>A028</w:t>
            </w:r>
          </w:p>
        </w:tc>
        <w:tc>
          <w:tcPr>
            <w:tcW w:w="0" w:type="auto"/>
            <w:vAlign w:val="center"/>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eastAsia="bg-BG"/>
              </w:rPr>
            </w:pPr>
            <w:r w:rsidRPr="00A8783E">
              <w:rPr>
                <w:rFonts w:ascii="Times New Roman" w:hAnsi="Times New Roman"/>
                <w:i/>
                <w:iCs/>
                <w:color w:val="000000"/>
                <w:sz w:val="20"/>
                <w:szCs w:val="20"/>
                <w:lang w:val="en-US" w:eastAsia="bg-BG"/>
              </w:rPr>
              <w:t>Ardea cinerea</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gridSpan w:val="2"/>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r</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val="en-US" w:eastAsia="en-GB"/>
              </w:rPr>
            </w:pPr>
            <w:r w:rsidRPr="00A8783E">
              <w:rPr>
                <w:rFonts w:ascii="Times New Roman" w:hAnsi="Times New Roman"/>
                <w:b/>
                <w:bCs/>
                <w:color w:val="FF0000"/>
                <w:sz w:val="20"/>
                <w:szCs w:val="20"/>
                <w:lang w:eastAsia="bg-BG"/>
              </w:rPr>
              <w:t>1</w:t>
            </w:r>
            <w:r w:rsidRPr="00A8783E">
              <w:rPr>
                <w:rFonts w:ascii="Times New Roman" w:hAnsi="Times New Roman"/>
                <w:b/>
                <w:bCs/>
                <w:color w:val="FF0000"/>
                <w:sz w:val="20"/>
                <w:szCs w:val="20"/>
                <w:lang w:val="en-US" w:eastAsia="bg-BG"/>
              </w:rPr>
              <w:t>0</w:t>
            </w:r>
          </w:p>
        </w:tc>
        <w:tc>
          <w:tcPr>
            <w:tcW w:w="0" w:type="auto"/>
            <w:vAlign w:val="center"/>
          </w:tcPr>
          <w:p w:rsidR="00A8783E" w:rsidRPr="00A8783E" w:rsidRDefault="00A8783E" w:rsidP="00A8783E">
            <w:pPr>
              <w:spacing w:after="0" w:line="240" w:lineRule="auto"/>
              <w:rPr>
                <w:rFonts w:ascii="Times New Roman" w:hAnsi="Times New Roman"/>
                <w:color w:val="FF0000"/>
                <w:sz w:val="20"/>
                <w:szCs w:val="20"/>
                <w:lang w:eastAsia="en-GB"/>
              </w:rPr>
            </w:pPr>
            <w:r w:rsidRPr="00A8783E">
              <w:rPr>
                <w:rFonts w:ascii="Times New Roman" w:hAnsi="Times New Roman"/>
                <w:sz w:val="20"/>
                <w:szCs w:val="20"/>
                <w:lang w:eastAsia="bg-BG"/>
              </w:rPr>
              <w:t>50</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color w:val="000000"/>
                <w:sz w:val="20"/>
                <w:szCs w:val="20"/>
                <w:lang w:val="en-US" w:eastAsia="bg-BG"/>
              </w:rPr>
              <w:t>p</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eastAsia="bg-BG"/>
              </w:rPr>
              <w:t>В</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r>
    </w:tbl>
    <w:p w:rsidR="00A8783E" w:rsidRPr="00A8783E" w:rsidRDefault="00A8783E" w:rsidP="00A8783E">
      <w:pPr>
        <w:spacing w:after="0" w:line="240" w:lineRule="auto"/>
        <w:rPr>
          <w:rFonts w:ascii="Times New Roman" w:hAnsi="Times New Roman"/>
          <w:sz w:val="24"/>
          <w:szCs w:val="24"/>
          <w:lang w:eastAsia="bg-BG"/>
        </w:rPr>
      </w:pPr>
    </w:p>
    <w:p w:rsidR="00A8783E" w:rsidRPr="00A8783E" w:rsidRDefault="00A8783E" w:rsidP="00A8783E">
      <w:pPr>
        <w:spacing w:after="120" w:line="240" w:lineRule="auto"/>
        <w:jc w:val="both"/>
        <w:rPr>
          <w:rFonts w:ascii="Times New Roman" w:hAnsi="Times New Roman"/>
          <w:sz w:val="24"/>
          <w:szCs w:val="24"/>
          <w:lang w:eastAsia="bg-BG"/>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60" w:name="_Toc89106071"/>
      <w:bookmarkStart w:id="161" w:name="_Toc98741910"/>
      <w:bookmarkStart w:id="162" w:name="_Toc98838585"/>
      <w:r w:rsidRPr="00A8783E">
        <w:rPr>
          <w:rFonts w:ascii="Times New Roman" w:hAnsi="Times New Roman"/>
          <w:color w:val="1F497D"/>
          <w:sz w:val="28"/>
          <w:szCs w:val="28"/>
          <w:lang w:eastAsia="bg-BG"/>
        </w:rPr>
        <w:t xml:space="preserve">Специфични цели за А029 </w:t>
      </w:r>
      <w:r w:rsidRPr="00A8783E">
        <w:rPr>
          <w:rFonts w:ascii="Times New Roman" w:hAnsi="Times New Roman"/>
          <w:i/>
          <w:iCs/>
          <w:color w:val="1F497D"/>
          <w:sz w:val="28"/>
          <w:szCs w:val="28"/>
          <w:lang w:val="en-GB" w:eastAsia="bg-BG"/>
        </w:rPr>
        <w:t>Ardea</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GB" w:eastAsia="bg-BG"/>
        </w:rPr>
        <w:t>purpurea</w:t>
      </w:r>
      <w:r w:rsidRPr="00A8783E">
        <w:rPr>
          <w:rFonts w:ascii="Times New Roman" w:hAnsi="Times New Roman"/>
          <w:color w:val="1F497D"/>
          <w:sz w:val="28"/>
          <w:szCs w:val="28"/>
          <w:lang w:eastAsia="bg-BG"/>
        </w:rPr>
        <w:t xml:space="preserve"> (червена чапла)</w:t>
      </w:r>
      <w:bookmarkEnd w:id="160"/>
      <w:bookmarkEnd w:id="161"/>
      <w:bookmarkEnd w:id="162"/>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Дължина на тялото: 70 – 90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Размах на крилата: 110 – 145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Оперението е ръждивокафяво, често изглеждащо доста тъмно. Има възрастов диморфизъм и малки сезонни различия. Възрастните през размножителния период са сивокафяви, с украсяващи пера по главата, както и с нежни бели пера по гърба и гърдите, които липсват през другите сезони. Младите са ръждивокафяви, с черни петна и ивици.</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Червената чапла е гнездящо-прелетен и преминаващ вид в България. Пролетната миграция е от края на март до април, а есенната – от август до началото на ноември (Симеонов и др., 1990). Зимува в Средиземноморието и Африка.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Червената чапла обитава сладководни езера, блата, разливи на реки с тръстикови масиви или заливни гори. Размножителният период е от средата на април до средата на юли. Гнезди в малобройни и разредени самостоятелни колонии, или по периферията на големите смесени колонии от други видове чапли, корморани, блестящи ибиси и лопатарки. Единично гнездящите двойки са изключение (Симеонов и др., 1990). Гнездото е сред тръстика или на дърво. Снася 4 – 5 яйца, като има едно поколение годишно. Предпочитаните местообитания са 1130, 1150, 1160, 3130, 3150, 91D0, 91E0 и 91F0 според Директивата за хабитатите (Кавръкова и др., 2009).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Храни се с риба, земноводни, влечуги, гризачи, водни безгръбначни и др. По врене на проучване, проведено в Софийското поле, в 14 стомаха са установени: </w:t>
      </w:r>
      <w:r w:rsidRPr="00A8783E">
        <w:rPr>
          <w:rFonts w:ascii="Times New Roman" w:hAnsi="Times New Roman"/>
          <w:i/>
          <w:iCs/>
          <w:sz w:val="24"/>
          <w:szCs w:val="24"/>
          <w:lang w:val="en-GB" w:eastAsia="bg-BG"/>
        </w:rPr>
        <w:t>Microtus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arvalis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Lacerta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sp</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Rana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ridibunda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Cyrpinus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carpio</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Gryllus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demertus</w:t>
      </w:r>
      <w:r w:rsidRPr="00A8783E">
        <w:rPr>
          <w:rFonts w:ascii="Times New Roman" w:hAnsi="Times New Roman"/>
          <w:i/>
          <w:iCs/>
          <w:sz w:val="24"/>
          <w:szCs w:val="24"/>
          <w:lang w:eastAsia="bg-BG"/>
        </w:rPr>
        <w:t xml:space="preserve">, </w:t>
      </w:r>
      <w:r w:rsidRPr="00A8783E">
        <w:rPr>
          <w:rFonts w:ascii="Times New Roman" w:hAnsi="Times New Roman"/>
          <w:sz w:val="24"/>
          <w:szCs w:val="24"/>
          <w:lang w:val="en-GB" w:eastAsia="bg-BG"/>
        </w:rPr>
        <w:t>Carabidae</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Dytiscidae</w:t>
      </w:r>
      <w:r w:rsidRPr="00A8783E">
        <w:rPr>
          <w:rFonts w:ascii="Times New Roman" w:hAnsi="Times New Roman"/>
          <w:sz w:val="24"/>
          <w:szCs w:val="24"/>
          <w:lang w:eastAsia="bg-BG"/>
        </w:rPr>
        <w:t xml:space="preserve"> (Симеонов и др., 1990).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Сравнително рядък и малоброен гнездящ и прелетен вид. С разпръснато разпространение в ниските части на страната (Янков отг. ред., 2007). Гнезди поединично или на неголеми колонии – самостоятелно или с други чапли и корморани. Установена е като гнездящ вид главно по поречието на р. Дунав и по Черноморското крайбрежие. Във вътрешността на страната малки колонии са установени главно в Тракийската низина и една на Драгоманското блато.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Природозащитният статус на червената чапла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е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xml:space="preserve">). Включен в </w:t>
      </w:r>
      <w:r w:rsidRPr="00A8783E">
        <w:rPr>
          <w:rFonts w:ascii="Times New Roman" w:hAnsi="Times New Roman"/>
          <w:sz w:val="24"/>
          <w:szCs w:val="24"/>
          <w:lang w:val="en-GB" w:eastAsia="bg-BG"/>
        </w:rPr>
        <w:t>SPEC</w:t>
      </w:r>
      <w:r w:rsidRPr="00A8783E">
        <w:rPr>
          <w:rFonts w:ascii="Times New Roman" w:hAnsi="Times New Roman"/>
          <w:sz w:val="24"/>
          <w:szCs w:val="24"/>
          <w:lang w:eastAsia="bg-BG"/>
        </w:rPr>
        <w:t xml:space="preserve"> 3. Включен в Червената книга на Р България (Големански ред., 2015) в категория „Застрашен“ (</w:t>
      </w:r>
      <w:r w:rsidRPr="00A8783E">
        <w:rPr>
          <w:rFonts w:ascii="Times New Roman" w:hAnsi="Times New Roman"/>
          <w:sz w:val="24"/>
          <w:szCs w:val="24"/>
          <w:lang w:val="en-US" w:eastAsia="bg-BG"/>
        </w:rPr>
        <w:t>VU</w:t>
      </w:r>
      <w:r w:rsidRPr="00A8783E">
        <w:rPr>
          <w:rFonts w:ascii="Times New Roman" w:hAnsi="Times New Roman"/>
          <w:sz w:val="24"/>
          <w:szCs w:val="24"/>
          <w:lang w:eastAsia="bg-BG"/>
        </w:rPr>
        <w:t xml:space="preserve">). Включен е в Приложение 1 на Директивата за птиците, както и в Приложения 2 и 3 на ЗБР.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 на 100 – 200 двойки. Краткосрочната тенденция на популацията (за периода 2000 – 2018 г.) е неизвестна, а дългосрочната (за периода 1980 – 2018 г.) – нарастваща. Краткосрочната тенденция на гнездящата популацията в рамките на Натура 2000 е неизвестна.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Мигриращата национална популация (за периода 2001 – 2018 г.) е оценена на 60 – 350 индивида.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За гнездящата и мигриращата популация са посочени следните заплахи и влияния: K01, M07, F01 и J02.</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вида е гнездящ и мигриращ. </w:t>
      </w:r>
      <w:r w:rsidRPr="00A8783E">
        <w:rPr>
          <w:rFonts w:ascii="Times New Roman" w:hAnsi="Times New Roman"/>
          <w:b/>
          <w:bCs/>
          <w:sz w:val="24"/>
          <w:szCs w:val="24"/>
          <w:lang w:eastAsia="bg-BG"/>
        </w:rPr>
        <w:t>Гнездящата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5 - 9 двойки</w:t>
      </w:r>
      <w:r w:rsidRPr="00A8783E">
        <w:rPr>
          <w:rFonts w:ascii="Times New Roman" w:hAnsi="Times New Roman"/>
          <w:sz w:val="24"/>
          <w:szCs w:val="24"/>
          <w:lang w:eastAsia="bg-BG"/>
        </w:rPr>
        <w:t>, което представлява 4,5 - 5,0 %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 xml:space="preserve">Съгласно СФ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 на </w:t>
      </w:r>
      <w:r w:rsidRPr="00A8783E">
        <w:rPr>
          <w:rFonts w:ascii="Times New Roman" w:hAnsi="Times New Roman"/>
          <w:b/>
          <w:bCs/>
          <w:sz w:val="24"/>
          <w:szCs w:val="24"/>
          <w:lang w:eastAsia="bg-BG"/>
        </w:rPr>
        <w:t>0 - 2 индивида,</w:t>
      </w:r>
      <w:r w:rsidRPr="00A8783E">
        <w:rPr>
          <w:rFonts w:ascii="Times New Roman" w:hAnsi="Times New Roman"/>
          <w:sz w:val="24"/>
          <w:szCs w:val="24"/>
          <w:lang w:eastAsia="bg-BG"/>
        </w:rPr>
        <w:t xml:space="preserve"> което представлява 0,6 - 3,3 %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color w:val="000000"/>
          <w:sz w:val="24"/>
          <w:szCs w:val="24"/>
          <w:lang w:eastAsia="bg-BG"/>
        </w:rPr>
      </w:pPr>
      <w:r w:rsidRPr="00A8783E">
        <w:rPr>
          <w:rFonts w:ascii="Times New Roman" w:hAnsi="Times New Roman"/>
          <w:i/>
          <w:iCs/>
          <w:color w:val="000000"/>
          <w:sz w:val="24"/>
          <w:szCs w:val="24"/>
          <w:lang w:eastAsia="bg-BG"/>
        </w:rPr>
        <w:t>Гнездяща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Гнезди само на няколко места по Дунавското крайбрежие. За периода 2010 – 2013 г. гнезди само в Сребърна и рибарници Калимок с численост между 3 и 9 двойки (</w:t>
      </w:r>
      <w:r w:rsidRPr="00A8783E">
        <w:rPr>
          <w:rFonts w:ascii="Times New Roman" w:hAnsi="Times New Roman"/>
          <w:color w:val="000000"/>
          <w:sz w:val="24"/>
          <w:szCs w:val="24"/>
          <w:lang w:val="en-US" w:eastAsia="bg-BG"/>
        </w:rPr>
        <w:t>Shurulinkov</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al</w:t>
      </w:r>
      <w:r w:rsidRPr="00A8783E">
        <w:rPr>
          <w:rFonts w:ascii="Times New Roman" w:hAnsi="Times New Roman"/>
          <w:color w:val="000000"/>
          <w:sz w:val="24"/>
          <w:szCs w:val="24"/>
          <w:lang w:eastAsia="bg-BG"/>
        </w:rPr>
        <w:t>., 2019). Публикуваната информация за гнезденето на вида в зоната посочва през 2001 и 2002 г. съответно 50 и 10 дв. (</w:t>
      </w:r>
      <w:r w:rsidRPr="00A8783E">
        <w:rPr>
          <w:rFonts w:ascii="Times New Roman" w:hAnsi="Times New Roman"/>
          <w:color w:val="000000"/>
          <w:sz w:val="24"/>
          <w:szCs w:val="24"/>
          <w:lang w:val="en-US" w:eastAsia="bg-BG"/>
        </w:rPr>
        <w:t>Kamburova</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2003). В края на ХХ век числеността на вида е била между 4 и 9 дв., а между 2001 и 2003 г.: 8 – 50 дв. (</w:t>
      </w:r>
      <w:r w:rsidRPr="00A8783E">
        <w:rPr>
          <w:rFonts w:ascii="Times New Roman" w:hAnsi="Times New Roman"/>
          <w:color w:val="000000"/>
          <w:sz w:val="24"/>
          <w:szCs w:val="24"/>
          <w:lang w:val="en-US" w:eastAsia="bg-BG"/>
        </w:rPr>
        <w:t>Kambourova</w:t>
      </w:r>
      <w:r w:rsidRPr="00A8783E">
        <w:rPr>
          <w:rFonts w:ascii="Times New Roman" w:hAnsi="Times New Roman"/>
          <w:color w:val="000000"/>
          <w:sz w:val="24"/>
          <w:szCs w:val="24"/>
          <w:lang w:eastAsia="bg-BG"/>
        </w:rPr>
        <w:t xml:space="preserve">, 2003, 2012). Според Матеева и др. (2013) в зоната са гнездили 3 – 5 дв. през 2012 г. Михов и др. (1997) дават численост 4 дв., а Костадинова, Граматиков (2007) – 50 двойки. В Актуализирания План за управление на ПР „Сребърна” (2015 г.), се посочва че видът гнезди с численост 5-8 дв. или около 4 % от националната гнездова популация. </w:t>
      </w:r>
      <w:r w:rsidRPr="00A8783E">
        <w:rPr>
          <w:rFonts w:ascii="Times New Roman" w:hAnsi="Times New Roman"/>
          <w:sz w:val="24"/>
          <w:szCs w:val="24"/>
          <w:lang w:eastAsia="bg-BG"/>
        </w:rPr>
        <w:t xml:space="preserve">При теренните проучвания през 2021 г. видът е наблюдаван многократно през месеците май и юни – 23 птици в подходящ гнездови биотоп. Регистрирани са 7 гнездящи двойки (2 дв. в смесени колонии с други чапли и малки корморани в югоизточния и западния край на езерото и 5 самостоятелни двойки в тръстиковите масиви, основно в западния край на зоната). </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Мигрираща популация</w:t>
      </w:r>
    </w:p>
    <w:p w:rsidR="00A8783E" w:rsidRPr="00A8783E" w:rsidRDefault="00A8783E" w:rsidP="00A8783E">
      <w:pPr>
        <w:spacing w:before="120" w:after="120" w:line="240" w:lineRule="auto"/>
        <w:jc w:val="both"/>
        <w:rPr>
          <w:rFonts w:ascii="Times New Roman" w:hAnsi="Times New Roman"/>
          <w:color w:val="000000"/>
          <w:sz w:val="24"/>
          <w:szCs w:val="24"/>
          <w:lang w:eastAsia="bg-BG"/>
        </w:rPr>
      </w:pPr>
      <w:r w:rsidRPr="00A8783E">
        <w:rPr>
          <w:rFonts w:ascii="Times New Roman" w:hAnsi="Times New Roman"/>
          <w:color w:val="000000"/>
          <w:sz w:val="24"/>
          <w:szCs w:val="24"/>
          <w:lang w:eastAsia="bg-BG"/>
        </w:rPr>
        <w:t xml:space="preserve">По време на миграция се среща относително рядко (Шурулинков и др., 2005) в различни влажни зони. Пролетта мигрира през април – май, а през есента август – септември. Иванов (1979) посочва че единични птици се срещат в Сребърна през октомври, а някои остават и през ноември. Числеността й по време на миграция е 10 индивида според Костадинова, Граматиков (2007). Липсва друга информация за миграцията на вида през зоната.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276"/>
        <w:gridCol w:w="1271"/>
        <w:gridCol w:w="2625"/>
        <w:gridCol w:w="2336"/>
      </w:tblGrid>
      <w:tr w:rsidR="00A8783E" w:rsidRPr="00A8783E" w:rsidTr="005B5318">
        <w:trPr>
          <w:tblHeader/>
          <w:jc w:val="center"/>
        </w:trPr>
        <w:tc>
          <w:tcPr>
            <w:tcW w:w="1701"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27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271"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625"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33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701"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гнездовата популация</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271"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5 - 9 двойки </w:t>
            </w:r>
          </w:p>
        </w:tc>
        <w:tc>
          <w:tcPr>
            <w:tcW w:w="262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настоящия СФ (актуализиран през 2018 г.) са посочени 5 – 9 гнездящи двойки. В резултат на извършен мониторинг в защитената зона през гнездовия период на 2021 г. са установени 7 двойки, което потвърждава числеността на вида.</w:t>
            </w:r>
          </w:p>
          <w:p w:rsidR="00A8783E" w:rsidRPr="00A8783E" w:rsidRDefault="00A8783E" w:rsidP="00A8783E">
            <w:pPr>
              <w:spacing w:after="0" w:line="240" w:lineRule="auto"/>
              <w:jc w:val="both"/>
              <w:rPr>
                <w:rFonts w:ascii="Times New Roman" w:hAnsi="Times New Roman"/>
                <w:lang w:eastAsia="bg-BG"/>
              </w:rPr>
            </w:pPr>
          </w:p>
        </w:tc>
        <w:tc>
          <w:tcPr>
            <w:tcW w:w="233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популацията на вида в зоната в размер от най-малко 5 двойки чрез поддържане на подходящите гнездови местообитания.</w:t>
            </w:r>
          </w:p>
        </w:tc>
      </w:tr>
      <w:tr w:rsidR="00A8783E" w:rsidRPr="00A8783E" w:rsidTr="005B5318">
        <w:trPr>
          <w:jc w:val="center"/>
        </w:trPr>
        <w:tc>
          <w:tcPr>
            <w:tcW w:w="1701"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2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0 - 2 инд.</w:t>
            </w:r>
          </w:p>
        </w:tc>
        <w:tc>
          <w:tcPr>
            <w:tcW w:w="262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 СФ за концентрацията на вида по време на миграция в зоната е посочена стойност от 2 </w:t>
            </w:r>
            <w:r w:rsidRPr="00A8783E">
              <w:rPr>
                <w:rFonts w:ascii="Times New Roman" w:hAnsi="Times New Roman"/>
                <w:lang w:eastAsia="bg-BG"/>
              </w:rPr>
              <w:lastRenderedPageBreak/>
              <w:t xml:space="preserve">инд. </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Липсва информация за числеността на вида в зоната.</w:t>
            </w:r>
          </w:p>
        </w:tc>
        <w:tc>
          <w:tcPr>
            <w:tcW w:w="233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 xml:space="preserve">Да се извърши целенасочен мониторинг за установяване на </w:t>
            </w:r>
            <w:r w:rsidRPr="00A8783E">
              <w:rPr>
                <w:rFonts w:ascii="Times New Roman" w:hAnsi="Times New Roman"/>
                <w:lang w:eastAsia="bg-BG"/>
              </w:rPr>
              <w:lastRenderedPageBreak/>
              <w:t>размера на мигриращата популация до 2025 г.</w:t>
            </w:r>
          </w:p>
        </w:tc>
      </w:tr>
      <w:tr w:rsidR="00A8783E" w:rsidRPr="00A8783E" w:rsidTr="005B5318">
        <w:trPr>
          <w:jc w:val="center"/>
        </w:trPr>
        <w:tc>
          <w:tcPr>
            <w:tcW w:w="1701"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565</w:t>
            </w:r>
          </w:p>
        </w:tc>
        <w:tc>
          <w:tcPr>
            <w:tcW w:w="262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33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гнездови местообитания на вида в защитената зона чрез поддържане на оптимално ниво на водата в езерото.</w:t>
            </w:r>
          </w:p>
        </w:tc>
      </w:tr>
      <w:tr w:rsidR="00A8783E" w:rsidRPr="00A8783E" w:rsidTr="005B5318">
        <w:trPr>
          <w:jc w:val="center"/>
        </w:trPr>
        <w:tc>
          <w:tcPr>
            <w:tcW w:w="1701"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840</w:t>
            </w:r>
          </w:p>
        </w:tc>
        <w:tc>
          <w:tcPr>
            <w:tcW w:w="262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Включва гнездовото местообитание и всички стоящи и течащи води в зоната.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 xml:space="preserve">07 и </w:t>
            </w:r>
            <w:r w:rsidRPr="00A8783E">
              <w:rPr>
                <w:rFonts w:ascii="Times New Roman" w:hAnsi="Times New Roman"/>
                <w:lang w:val="en-US" w:eastAsia="bg-BG"/>
              </w:rPr>
              <w:t>N</w:t>
            </w:r>
            <w:r w:rsidRPr="00A8783E">
              <w:rPr>
                <w:rFonts w:ascii="Times New Roman" w:hAnsi="Times New Roman"/>
                <w:lang w:eastAsia="bg-BG"/>
              </w:rPr>
              <w:t>06.</w:t>
            </w:r>
          </w:p>
        </w:tc>
        <w:tc>
          <w:tcPr>
            <w:tcW w:w="233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хранителни местообитания на вида чрез поддържане на оптимално ниво на водата в езерото.</w:t>
            </w:r>
          </w:p>
        </w:tc>
      </w:tr>
      <w:tr w:rsidR="00A8783E" w:rsidRPr="00A8783E" w:rsidTr="005B5318">
        <w:trPr>
          <w:jc w:val="center"/>
        </w:trPr>
        <w:tc>
          <w:tcPr>
            <w:tcW w:w="1701"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риби (</w:t>
            </w:r>
            <w:r w:rsidRPr="00A8783E">
              <w:rPr>
                <w:rFonts w:ascii="Times New Roman" w:hAnsi="Times New Roman"/>
                <w:lang w:val="en-GB" w:eastAsia="bg-BG"/>
              </w:rPr>
              <w:t>JDS</w:t>
            </w:r>
            <w:r w:rsidRPr="00A8783E">
              <w:rPr>
                <w:rFonts w:ascii="Times New Roman" w:hAnsi="Times New Roman"/>
                <w:lang w:eastAsia="bg-BG"/>
              </w:rPr>
              <w:t>4-</w:t>
            </w:r>
            <w:r w:rsidRPr="00A8783E">
              <w:rPr>
                <w:rFonts w:ascii="Times New Roman" w:hAnsi="Times New Roman"/>
                <w:lang w:val="en-GB" w:eastAsia="bg-BG"/>
              </w:rPr>
              <w:t>Fish</w:t>
            </w:r>
            <w:r w:rsidRPr="00A8783E">
              <w:rPr>
                <w:rFonts w:ascii="Times New Roman" w:hAnsi="Times New Roman"/>
                <w:lang w:eastAsia="bg-BG"/>
              </w:rPr>
              <w:t>)</w:t>
            </w:r>
          </w:p>
        </w:tc>
        <w:tc>
          <w:tcPr>
            <w:tcW w:w="127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27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625" w:type="dxa"/>
          </w:tcPr>
          <w:tbl>
            <w:tblPr>
              <w:tblW w:w="3029" w:type="dxa"/>
              <w:tblInd w:w="3" w:type="dxa"/>
              <w:tblLayout w:type="fixed"/>
              <w:tblCellMar>
                <w:left w:w="70" w:type="dxa"/>
                <w:right w:w="70" w:type="dxa"/>
              </w:tblCellMar>
              <w:tblLook w:val="00A0" w:firstRow="1" w:lastRow="0" w:firstColumn="1" w:lastColumn="0" w:noHBand="0" w:noVBand="0"/>
            </w:tblPr>
            <w:tblGrid>
              <w:gridCol w:w="3029"/>
            </w:tblGrid>
            <w:tr w:rsidR="00A8783E" w:rsidRPr="00A8783E" w:rsidTr="005B5318">
              <w:trPr>
                <w:trHeight w:val="287"/>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161"/>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161"/>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161"/>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161"/>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161"/>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161"/>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4 (2019-2020, Табл. 5, стр. 51). Екологичното състояние на езерото Сребърна по БЕК Риби е оценено като „</w:t>
            </w:r>
            <w:r w:rsidRPr="00A8783E">
              <w:rPr>
                <w:rFonts w:ascii="Times New Roman" w:hAnsi="Times New Roman"/>
                <w:b/>
                <w:bCs/>
                <w:lang w:eastAsia="bg-BG"/>
              </w:rPr>
              <w:t>Умерено</w:t>
            </w:r>
            <w:r w:rsidRPr="00A8783E">
              <w:rPr>
                <w:rFonts w:ascii="Times New Roman" w:hAnsi="Times New Roman"/>
                <w:lang w:eastAsia="bg-BG"/>
              </w:rPr>
              <w:t xml:space="preserve">“, а по БЕК Макрозообентос – отлично. </w:t>
            </w:r>
          </w:p>
        </w:tc>
        <w:tc>
          <w:tcPr>
            <w:tcW w:w="2336"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after="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Предвид наличната информация за настоящата гнездова и мигрираща численост на вида в защитената зона е необходима актуализация на СФ:</w:t>
      </w:r>
    </w:p>
    <w:p w:rsidR="00A8783E" w:rsidRPr="00A8783E" w:rsidRDefault="00A8783E" w:rsidP="00A8783E">
      <w:pPr>
        <w:numPr>
          <w:ilvl w:val="0"/>
          <w:numId w:val="22"/>
        </w:numPr>
        <w:spacing w:before="120" w:after="120" w:line="240" w:lineRule="auto"/>
        <w:ind w:left="709"/>
        <w:jc w:val="both"/>
        <w:rPr>
          <w:rFonts w:ascii="Times New Roman" w:hAnsi="Times New Roman"/>
          <w:sz w:val="24"/>
          <w:szCs w:val="24"/>
        </w:rPr>
      </w:pPr>
      <w:r w:rsidRPr="00A8783E">
        <w:rPr>
          <w:rFonts w:ascii="Times New Roman" w:hAnsi="Times New Roman"/>
          <w:sz w:val="24"/>
          <w:szCs w:val="24"/>
        </w:rPr>
        <w:t>По отношение на гнездящата и мигрираща популация предлагаме промяна в значението на зоната за националната гнездова и мигрираща популация на вида от категория „А“ в категория „В“, тъй като числеността е между 2  и 15 % от националните популации на вида.</w:t>
      </w:r>
    </w:p>
    <w:p w:rsidR="00A8783E" w:rsidRPr="00A8783E" w:rsidRDefault="00A8783E" w:rsidP="00A8783E">
      <w:pPr>
        <w:numPr>
          <w:ilvl w:val="0"/>
          <w:numId w:val="22"/>
        </w:numPr>
        <w:spacing w:before="120" w:after="120" w:line="240" w:lineRule="auto"/>
        <w:ind w:left="709"/>
        <w:jc w:val="both"/>
        <w:rPr>
          <w:rFonts w:ascii="Times New Roman" w:hAnsi="Times New Roman"/>
          <w:sz w:val="24"/>
          <w:szCs w:val="24"/>
        </w:rPr>
      </w:pPr>
      <w:r w:rsidRPr="00A8783E">
        <w:rPr>
          <w:rFonts w:ascii="Times New Roman" w:hAnsi="Times New Roman"/>
          <w:sz w:val="24"/>
          <w:szCs w:val="24"/>
        </w:rPr>
        <w:lastRenderedPageBreak/>
        <w:t>По отношение на мигриращата популация предлагаме числена стойност от 0-2 индивида.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175"/>
        <w:gridCol w:w="175"/>
        <w:gridCol w:w="572"/>
        <w:gridCol w:w="605"/>
        <w:gridCol w:w="594"/>
        <w:gridCol w:w="578"/>
        <w:gridCol w:w="839"/>
        <w:gridCol w:w="950"/>
        <w:gridCol w:w="622"/>
        <w:gridCol w:w="522"/>
        <w:gridCol w:w="578"/>
      </w:tblGrid>
      <w:tr w:rsidR="00A8783E" w:rsidRPr="00A8783E" w:rsidTr="005B5318">
        <w:trPr>
          <w:jc w:val="center"/>
        </w:trPr>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Species</w:t>
            </w:r>
          </w:p>
        </w:tc>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Code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Scientific Name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NP</w:t>
            </w:r>
          </w:p>
        </w:tc>
        <w:tc>
          <w:tcPr>
            <w:tcW w:w="0" w:type="auto"/>
            <w:gridSpan w:val="2"/>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T</w:t>
            </w:r>
          </w:p>
        </w:tc>
        <w:tc>
          <w:tcPr>
            <w:tcW w:w="0" w:type="auto"/>
            <w:gridSpan w:val="2"/>
            <w:shd w:val="clear" w:color="auto" w:fill="D9D9D9"/>
            <w:vAlign w:val="center"/>
          </w:tcPr>
          <w:p w:rsidR="00A8783E" w:rsidRPr="00A8783E" w:rsidRDefault="00A8783E" w:rsidP="00A8783E">
            <w:pPr>
              <w:spacing w:after="0" w:line="240" w:lineRule="auto"/>
              <w:jc w:val="center"/>
              <w:rPr>
                <w:rFonts w:ascii="Times New Roman" w:hAnsi="Times New Roman"/>
                <w:b/>
                <w:bCs/>
                <w:sz w:val="20"/>
                <w:szCs w:val="20"/>
                <w:lang w:eastAsia="en-GB"/>
              </w:rPr>
            </w:pPr>
            <w:r w:rsidRPr="00A8783E">
              <w:rPr>
                <w:rFonts w:ascii="Times New Roman" w:hAnsi="Times New Roman"/>
                <w:b/>
                <w:bCs/>
                <w:sz w:val="20"/>
                <w:szCs w:val="20"/>
                <w:lang w:eastAsia="en-GB"/>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D.qual.</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Iso.</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Glo.</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jc w:val="both"/>
              <w:rPr>
                <w:rFonts w:ascii="Times New Roman" w:hAnsi="Times New Roman"/>
                <w:sz w:val="20"/>
                <w:szCs w:val="20"/>
                <w:lang w:eastAsia="en-GB"/>
              </w:rPr>
            </w:pPr>
            <w:r w:rsidRPr="00A8783E">
              <w:rPr>
                <w:rFonts w:ascii="Times New Roman" w:hAnsi="Times New Roman"/>
                <w:sz w:val="20"/>
                <w:szCs w:val="20"/>
                <w:lang w:eastAsia="en-GB"/>
              </w:rPr>
              <w:t>В</w:t>
            </w:r>
          </w:p>
        </w:tc>
        <w:tc>
          <w:tcPr>
            <w:tcW w:w="0" w:type="auto"/>
          </w:tcPr>
          <w:p w:rsidR="00A8783E" w:rsidRPr="00A8783E" w:rsidRDefault="00A8783E" w:rsidP="00A8783E">
            <w:pPr>
              <w:spacing w:after="0" w:line="240" w:lineRule="auto"/>
              <w:jc w:val="both"/>
              <w:rPr>
                <w:rFonts w:ascii="Times New Roman" w:hAnsi="Times New Roman"/>
                <w:sz w:val="20"/>
                <w:szCs w:val="20"/>
                <w:lang w:val="en-US" w:eastAsia="en-GB"/>
              </w:rPr>
            </w:pPr>
            <w:r w:rsidRPr="00A8783E">
              <w:rPr>
                <w:rFonts w:ascii="Times New Roman" w:hAnsi="Times New Roman"/>
                <w:sz w:val="20"/>
                <w:szCs w:val="20"/>
                <w:lang w:eastAsia="bg-BG"/>
              </w:rPr>
              <w:t>A02</w:t>
            </w:r>
            <w:r w:rsidRPr="00A8783E">
              <w:rPr>
                <w:rFonts w:ascii="Times New Roman" w:hAnsi="Times New Roman"/>
                <w:sz w:val="20"/>
                <w:szCs w:val="20"/>
                <w:lang w:val="en-US" w:eastAsia="bg-BG"/>
              </w:rPr>
              <w:t>9</w:t>
            </w:r>
          </w:p>
        </w:tc>
        <w:tc>
          <w:tcPr>
            <w:tcW w:w="0" w:type="auto"/>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eastAsia="bg-BG"/>
              </w:rPr>
            </w:pPr>
            <w:r w:rsidRPr="00A8783E">
              <w:rPr>
                <w:rFonts w:ascii="Times New Roman" w:hAnsi="Times New Roman"/>
                <w:i/>
                <w:iCs/>
                <w:color w:val="000000"/>
                <w:sz w:val="20"/>
                <w:szCs w:val="20"/>
                <w:lang w:val="en-US" w:eastAsia="bg-BG"/>
              </w:rPr>
              <w:t>Ardea purpurea</w:t>
            </w:r>
          </w:p>
        </w:tc>
        <w:tc>
          <w:tcPr>
            <w:tcW w:w="0" w:type="auto"/>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с</w:t>
            </w:r>
          </w:p>
        </w:tc>
        <w:tc>
          <w:tcPr>
            <w:tcW w:w="0" w:type="auto"/>
            <w:vAlign w:val="bottom"/>
          </w:tcPr>
          <w:p w:rsidR="00A8783E" w:rsidRPr="00A8783E" w:rsidRDefault="00A8783E" w:rsidP="00A8783E">
            <w:pPr>
              <w:spacing w:after="0" w:line="240" w:lineRule="auto"/>
              <w:jc w:val="center"/>
              <w:rPr>
                <w:rFonts w:ascii="Times New Roman" w:hAnsi="Times New Roman"/>
                <w:b/>
                <w:bCs/>
                <w:color w:val="FF0000"/>
                <w:sz w:val="20"/>
                <w:szCs w:val="20"/>
                <w:lang w:eastAsia="en-GB"/>
              </w:rPr>
            </w:pPr>
            <w:r w:rsidRPr="00A8783E">
              <w:rPr>
                <w:rFonts w:ascii="Times New Roman" w:hAnsi="Times New Roman"/>
                <w:b/>
                <w:bCs/>
                <w:color w:val="FF0000"/>
                <w:sz w:val="20"/>
                <w:szCs w:val="20"/>
                <w:lang w:eastAsia="en-GB"/>
              </w:rPr>
              <w:t>0</w:t>
            </w:r>
          </w:p>
        </w:tc>
        <w:tc>
          <w:tcPr>
            <w:tcW w:w="0" w:type="auto"/>
            <w:vAlign w:val="bottom"/>
          </w:tcPr>
          <w:p w:rsidR="00A8783E" w:rsidRPr="00A8783E" w:rsidRDefault="00A8783E" w:rsidP="00A8783E">
            <w:pPr>
              <w:spacing w:after="0" w:line="240" w:lineRule="auto"/>
              <w:jc w:val="center"/>
              <w:rPr>
                <w:rFonts w:ascii="Times New Roman" w:hAnsi="Times New Roman"/>
                <w:b/>
                <w:bCs/>
                <w:sz w:val="20"/>
                <w:szCs w:val="20"/>
                <w:lang w:eastAsia="en-GB"/>
              </w:rPr>
            </w:pPr>
            <w:r w:rsidRPr="00A8783E">
              <w:rPr>
                <w:rFonts w:ascii="Times New Roman" w:hAnsi="Times New Roman"/>
                <w:b/>
                <w:bCs/>
                <w:sz w:val="20"/>
                <w:szCs w:val="20"/>
                <w:lang w:eastAsia="bg-BG"/>
              </w:rPr>
              <w:t>2</w:t>
            </w:r>
          </w:p>
        </w:tc>
        <w:tc>
          <w:tcPr>
            <w:tcW w:w="0" w:type="auto"/>
            <w:vAlign w:val="bottom"/>
          </w:tcPr>
          <w:p w:rsidR="00A8783E" w:rsidRPr="00A8783E" w:rsidRDefault="00A8783E" w:rsidP="00A8783E">
            <w:pPr>
              <w:spacing w:after="0" w:line="240" w:lineRule="auto"/>
              <w:jc w:val="center"/>
              <w:rPr>
                <w:rFonts w:ascii="Times New Roman" w:hAnsi="Times New Roman"/>
                <w:sz w:val="20"/>
                <w:szCs w:val="20"/>
                <w:lang w:val="en-US" w:eastAsia="en-GB"/>
              </w:rPr>
            </w:pPr>
            <w:r w:rsidRPr="00A8783E">
              <w:rPr>
                <w:rFonts w:ascii="Times New Roman" w:hAnsi="Times New Roman"/>
                <w:color w:val="000000"/>
                <w:sz w:val="20"/>
                <w:szCs w:val="20"/>
                <w:lang w:val="en-US" w:eastAsia="bg-BG"/>
              </w:rPr>
              <w:t>i</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0" w:type="auto"/>
            <w:vAlign w:val="bottom"/>
          </w:tcPr>
          <w:p w:rsidR="00A8783E" w:rsidRPr="00A8783E" w:rsidRDefault="00A8783E" w:rsidP="00A8783E">
            <w:pPr>
              <w:spacing w:after="0" w:line="240" w:lineRule="auto"/>
              <w:jc w:val="both"/>
              <w:rPr>
                <w:rFonts w:ascii="Times New Roman" w:hAnsi="Times New Roman"/>
                <w:b/>
                <w:bCs/>
                <w:color w:val="FF0000"/>
                <w:sz w:val="20"/>
                <w:szCs w:val="20"/>
                <w:lang w:eastAsia="en-GB"/>
              </w:rPr>
            </w:pPr>
            <w:r w:rsidRPr="00A8783E">
              <w:rPr>
                <w:rFonts w:ascii="Times New Roman" w:hAnsi="Times New Roman"/>
                <w:b/>
                <w:bCs/>
                <w:color w:val="FF0000"/>
                <w:sz w:val="20"/>
                <w:szCs w:val="20"/>
                <w:lang w:eastAsia="bg-BG"/>
              </w:rPr>
              <w:t>В</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jc w:val="both"/>
              <w:rPr>
                <w:rFonts w:ascii="Times New Roman" w:hAnsi="Times New Roman"/>
                <w:sz w:val="20"/>
                <w:szCs w:val="20"/>
                <w:lang w:eastAsia="en-GB"/>
              </w:rPr>
            </w:pPr>
            <w:r w:rsidRPr="00A8783E">
              <w:rPr>
                <w:rFonts w:ascii="Times New Roman" w:hAnsi="Times New Roman"/>
                <w:sz w:val="20"/>
                <w:szCs w:val="20"/>
                <w:lang w:eastAsia="en-GB"/>
              </w:rPr>
              <w:t>В</w:t>
            </w:r>
          </w:p>
        </w:tc>
        <w:tc>
          <w:tcPr>
            <w:tcW w:w="0" w:type="auto"/>
          </w:tcPr>
          <w:p w:rsidR="00A8783E" w:rsidRPr="00A8783E" w:rsidRDefault="00A8783E" w:rsidP="00A8783E">
            <w:pPr>
              <w:spacing w:after="0" w:line="240" w:lineRule="auto"/>
              <w:jc w:val="both"/>
              <w:rPr>
                <w:rFonts w:ascii="Times New Roman" w:hAnsi="Times New Roman"/>
                <w:sz w:val="20"/>
                <w:szCs w:val="20"/>
                <w:lang w:val="en-US" w:eastAsia="en-GB"/>
              </w:rPr>
            </w:pPr>
            <w:r w:rsidRPr="00A8783E">
              <w:rPr>
                <w:rFonts w:ascii="Times New Roman" w:hAnsi="Times New Roman"/>
                <w:sz w:val="20"/>
                <w:szCs w:val="20"/>
                <w:lang w:eastAsia="bg-BG"/>
              </w:rPr>
              <w:t>A02</w:t>
            </w:r>
            <w:r w:rsidRPr="00A8783E">
              <w:rPr>
                <w:rFonts w:ascii="Times New Roman" w:hAnsi="Times New Roman"/>
                <w:sz w:val="20"/>
                <w:szCs w:val="20"/>
                <w:lang w:val="en-US" w:eastAsia="bg-BG"/>
              </w:rPr>
              <w:t>9</w:t>
            </w:r>
          </w:p>
        </w:tc>
        <w:tc>
          <w:tcPr>
            <w:tcW w:w="0" w:type="auto"/>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eastAsia="bg-BG"/>
              </w:rPr>
            </w:pPr>
            <w:r w:rsidRPr="00A8783E">
              <w:rPr>
                <w:rFonts w:ascii="Times New Roman" w:hAnsi="Times New Roman"/>
                <w:i/>
                <w:iCs/>
                <w:color w:val="000000"/>
                <w:sz w:val="20"/>
                <w:szCs w:val="20"/>
                <w:lang w:val="en-US" w:eastAsia="bg-BG"/>
              </w:rPr>
              <w:t>Ardea purpurea</w:t>
            </w:r>
          </w:p>
        </w:tc>
        <w:tc>
          <w:tcPr>
            <w:tcW w:w="0" w:type="auto"/>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Align w:val="bottom"/>
          </w:tcPr>
          <w:p w:rsidR="00A8783E" w:rsidRPr="00A8783E" w:rsidRDefault="00A8783E" w:rsidP="00A8783E">
            <w:pPr>
              <w:spacing w:after="0" w:line="240" w:lineRule="auto"/>
              <w:jc w:val="both"/>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r</w:t>
            </w:r>
          </w:p>
        </w:tc>
        <w:tc>
          <w:tcPr>
            <w:tcW w:w="0" w:type="auto"/>
            <w:vAlign w:val="bottom"/>
          </w:tcPr>
          <w:p w:rsidR="00A8783E" w:rsidRPr="00A8783E" w:rsidRDefault="00A8783E" w:rsidP="00A8783E">
            <w:pPr>
              <w:spacing w:after="0" w:line="240" w:lineRule="auto"/>
              <w:jc w:val="center"/>
              <w:rPr>
                <w:rFonts w:ascii="Times New Roman" w:hAnsi="Times New Roman"/>
                <w:b/>
                <w:bCs/>
                <w:sz w:val="20"/>
                <w:szCs w:val="20"/>
                <w:lang w:eastAsia="en-GB"/>
              </w:rPr>
            </w:pPr>
            <w:r w:rsidRPr="00A8783E">
              <w:rPr>
                <w:rFonts w:ascii="Times New Roman" w:hAnsi="Times New Roman"/>
                <w:b/>
                <w:bCs/>
                <w:sz w:val="20"/>
                <w:szCs w:val="20"/>
                <w:lang w:eastAsia="bg-BG"/>
              </w:rPr>
              <w:t>5</w:t>
            </w:r>
          </w:p>
        </w:tc>
        <w:tc>
          <w:tcPr>
            <w:tcW w:w="0" w:type="auto"/>
            <w:vAlign w:val="bottom"/>
          </w:tcPr>
          <w:p w:rsidR="00A8783E" w:rsidRPr="00A8783E" w:rsidRDefault="00A8783E" w:rsidP="00A8783E">
            <w:pPr>
              <w:spacing w:after="0" w:line="240" w:lineRule="auto"/>
              <w:jc w:val="center"/>
              <w:rPr>
                <w:rFonts w:ascii="Times New Roman" w:hAnsi="Times New Roman"/>
                <w:b/>
                <w:bCs/>
                <w:sz w:val="20"/>
                <w:szCs w:val="20"/>
                <w:lang w:eastAsia="en-GB"/>
              </w:rPr>
            </w:pPr>
            <w:r w:rsidRPr="00A8783E">
              <w:rPr>
                <w:rFonts w:ascii="Times New Roman" w:hAnsi="Times New Roman"/>
                <w:b/>
                <w:bCs/>
                <w:sz w:val="20"/>
                <w:szCs w:val="20"/>
                <w:lang w:eastAsia="bg-BG"/>
              </w:rPr>
              <w:t>9</w:t>
            </w:r>
          </w:p>
        </w:tc>
        <w:tc>
          <w:tcPr>
            <w:tcW w:w="0" w:type="auto"/>
            <w:vAlign w:val="bottom"/>
          </w:tcPr>
          <w:p w:rsidR="00A8783E" w:rsidRPr="00A8783E" w:rsidRDefault="00A8783E" w:rsidP="00A8783E">
            <w:pPr>
              <w:spacing w:after="0" w:line="240" w:lineRule="auto"/>
              <w:jc w:val="center"/>
              <w:rPr>
                <w:rFonts w:ascii="Times New Roman" w:hAnsi="Times New Roman"/>
                <w:sz w:val="20"/>
                <w:szCs w:val="20"/>
                <w:lang w:val="en-US" w:eastAsia="en-GB"/>
              </w:rPr>
            </w:pPr>
            <w:r w:rsidRPr="00A8783E">
              <w:rPr>
                <w:rFonts w:ascii="Times New Roman" w:hAnsi="Times New Roman"/>
                <w:color w:val="000000"/>
                <w:sz w:val="20"/>
                <w:szCs w:val="20"/>
                <w:lang w:val="en-US" w:eastAsia="bg-BG"/>
              </w:rPr>
              <w:t>p</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0" w:type="auto"/>
            <w:vAlign w:val="bottom"/>
          </w:tcPr>
          <w:p w:rsidR="00A8783E" w:rsidRPr="00A8783E" w:rsidRDefault="00A8783E" w:rsidP="00A8783E">
            <w:pPr>
              <w:spacing w:after="0" w:line="240" w:lineRule="auto"/>
              <w:jc w:val="both"/>
              <w:rPr>
                <w:rFonts w:ascii="Times New Roman" w:hAnsi="Times New Roman"/>
                <w:b/>
                <w:bCs/>
                <w:color w:val="FF0000"/>
                <w:sz w:val="20"/>
                <w:szCs w:val="20"/>
                <w:lang w:eastAsia="en-GB"/>
              </w:rPr>
            </w:pPr>
            <w:r w:rsidRPr="00A8783E">
              <w:rPr>
                <w:rFonts w:ascii="Times New Roman" w:hAnsi="Times New Roman"/>
                <w:b/>
                <w:bCs/>
                <w:color w:val="FF0000"/>
                <w:sz w:val="20"/>
                <w:szCs w:val="20"/>
                <w:lang w:eastAsia="bg-BG"/>
              </w:rPr>
              <w:t>В</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r>
    </w:tbl>
    <w:p w:rsidR="00A8783E" w:rsidRPr="00A8783E" w:rsidRDefault="00A8783E" w:rsidP="00A8783E">
      <w:pPr>
        <w:spacing w:after="120" w:line="240" w:lineRule="auto"/>
        <w:jc w:val="both"/>
        <w:rPr>
          <w:rFonts w:ascii="Times New Roman" w:hAnsi="Times New Roman"/>
          <w:sz w:val="24"/>
          <w:szCs w:val="24"/>
          <w:lang w:eastAsia="bg-BG"/>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63" w:name="_Toc89106072"/>
      <w:bookmarkStart w:id="164" w:name="_Toc98741911"/>
      <w:bookmarkStart w:id="165" w:name="_Toc98838586"/>
      <w:r w:rsidRPr="00A8783E">
        <w:rPr>
          <w:rFonts w:ascii="Times New Roman" w:hAnsi="Times New Roman"/>
          <w:color w:val="1F497D"/>
          <w:sz w:val="28"/>
          <w:szCs w:val="28"/>
          <w:lang w:eastAsia="bg-BG"/>
        </w:rPr>
        <w:t xml:space="preserve">Специфични цели за А030 </w:t>
      </w:r>
      <w:r w:rsidRPr="00A8783E">
        <w:rPr>
          <w:rFonts w:ascii="Times New Roman" w:hAnsi="Times New Roman"/>
          <w:i/>
          <w:iCs/>
          <w:color w:val="1F497D"/>
          <w:sz w:val="28"/>
          <w:szCs w:val="28"/>
          <w:lang w:val="en-GB" w:eastAsia="bg-BG"/>
        </w:rPr>
        <w:t>Ciconia</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GB" w:eastAsia="bg-BG"/>
        </w:rPr>
        <w:t>nigra</w:t>
      </w:r>
      <w:r w:rsidRPr="00A8783E">
        <w:rPr>
          <w:rFonts w:ascii="Times New Roman" w:hAnsi="Times New Roman"/>
          <w:color w:val="1F497D"/>
          <w:sz w:val="28"/>
          <w:szCs w:val="28"/>
          <w:lang w:eastAsia="bg-BG"/>
        </w:rPr>
        <w:t xml:space="preserve"> (черен щъркел)</w:t>
      </w:r>
      <w:bookmarkEnd w:id="163"/>
      <w:bookmarkEnd w:id="164"/>
      <w:bookmarkEnd w:id="165"/>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Дължината на тялото: 90-105 cm, размах на крилата: 120 - 138 cm. (Svensson, 2013; Štastny, Hudec, 2016). Оперението е черно с синкаво виолетов отблясък, коремът е бял. Клюнът и краката са червени, при младите кафеникави. Няма полов диморфизъм, женските са само малко по-дребни от мъжките. Оперението на младите е без синкаво виолетов отблясък. Често използва в полет въздушните термики за да набира височина. При миграция, летуване и зимуване образува големи самостоятелни ята, често надхвърлящи 50 екз.</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Черният щъркел е далечен мигрант. Пролетната миграция е от началото на март до средата на май. Есенната миграция е от втората половина на август до края на октомври. Късно есенните и зимните скитания са от началото на ноември до края на февруари. В оризищата северно от Пловдив няколко десетки птици редовно зимуват от 1978 г. насам, което е първото известно зимовище на вида в Западна Палеарктика (Големански ред., 2015). Отделни птици или малки групи зимуват нередовно и в други части на Горнотракийската низина. Максималната численост на мигриращите през есента черни щъркели над Бургаския залив през 2011 г. е 1 998 индивида, а за периода 2012-2017 г. численостите варират между 3 781 и 6 293 индивида (Michev et al., 2018).</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Гнезди в равнинни, полупланински и планински широколистни гори, скални комплекси, проломи на реки, ждрела. Най-често в дъбови и дъбово-липови гори, по-рядко габърови и букови. Много рядък в иглолистни гори в планините, обикновено в борови. Храни се по реки, язовири, микроязовири, рибарници, оризища, влажни ливади, ниви и др. Гнездовия хабитат включва всички типове горски местообитания у нас, с изключение на горите от клек, бяла и черна мура (местообитание с код 95A0), смърч (код 9410) и келяв габър. Но трябва да се има предвид, че за гнезденето на черния щъркел средната възраст на гората не трябва да бъде под 60 години. Обикновено самите гнезда са в долове, дерета, разположени в короната на по-стари дървета. Горските местообитания разположени на надморска височина над 1000 м. са субоптимални за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Храни се предимно с риба, земноводни, едри околоводни безгръбначни, понякога и с дребни бозайници, влечуги и новоизлюпени малки на наземно гнездящи птици (Cramp </w:t>
      </w:r>
      <w:r w:rsidRPr="00A8783E">
        <w:rPr>
          <w:rFonts w:ascii="Times New Roman" w:hAnsi="Times New Roman"/>
          <w:sz w:val="24"/>
          <w:szCs w:val="24"/>
          <w:lang w:val="en-US" w:eastAsia="bg-BG"/>
        </w:rPr>
        <w:t>and</w:t>
      </w:r>
      <w:r w:rsidRPr="00A8783E">
        <w:rPr>
          <w:rFonts w:ascii="Times New Roman" w:hAnsi="Times New Roman"/>
          <w:sz w:val="24"/>
          <w:szCs w:val="24"/>
          <w:lang w:eastAsia="bg-BG"/>
        </w:rPr>
        <w:t xml:space="preserve"> Simmons, 1977).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lastRenderedPageBreak/>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Масово гнезди в низинни и нископланински гори в ЮИ България – в Тунджанската хълмиста низина (70-80 дв.), Сакар и Източните Родопи (Стойчев и др., 2008; Даскалова и др., 2020). Многоброен и в Източна Стара планина, Поломието и Лудогорието. В Западна България по-малоброен, повече двойки там гнездят в Северозападна България и Предбалкана. В горите над 1000 м. е рядък и спорадично разпространен. По Дунавските острови е сравнително рядък и малоброен – установен е да гнезди на 11 острова, но в прилежащите части на Дунавската равнина е по-чест като общата численост в крайдунавския район е оценена на 80-150 дв. (Cheshmedzhiev et al., 2019). Включен в Червената книга на България като уязвим-</w:t>
      </w:r>
      <w:r w:rsidRPr="00A8783E">
        <w:rPr>
          <w:rFonts w:ascii="Times New Roman" w:hAnsi="Times New Roman"/>
          <w:sz w:val="24"/>
          <w:szCs w:val="24"/>
          <w:lang w:val="en-US" w:eastAsia="bg-BG"/>
        </w:rPr>
        <w:t>VU</w:t>
      </w:r>
      <w:r w:rsidRPr="00A8783E">
        <w:rPr>
          <w:rFonts w:ascii="Times New Roman" w:hAnsi="Times New Roman"/>
          <w:sz w:val="24"/>
          <w:szCs w:val="24"/>
          <w:lang w:eastAsia="bg-BG"/>
        </w:rPr>
        <w:t xml:space="preserve"> (Големански ред., 2015).</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Понастоящем популацията се оценява на 600-900 </w:t>
      </w:r>
      <w:r w:rsidRPr="00A8783E">
        <w:rPr>
          <w:rFonts w:ascii="Times New Roman" w:hAnsi="Times New Roman"/>
          <w:b/>
          <w:bCs/>
          <w:sz w:val="24"/>
          <w:szCs w:val="24"/>
          <w:lang w:eastAsia="bg-BG"/>
        </w:rPr>
        <w:t>гнездещи</w:t>
      </w:r>
      <w:r w:rsidRPr="00A8783E">
        <w:rPr>
          <w:rFonts w:ascii="Times New Roman" w:hAnsi="Times New Roman"/>
          <w:sz w:val="24"/>
          <w:szCs w:val="24"/>
          <w:lang w:eastAsia="bg-BG"/>
        </w:rPr>
        <w:t xml:space="preserve"> двойки (Докладване на България по чл.12) и е разпространен в цялата страна. Тенденцията в гнездовата численост на популацията и в разпространението у нас е положителна. Съгласно докладването през 2019 г. краткосрочната популационна тенденция (2000-2018 г.) е неизвестна, а дългосрочната (1980-2018 г.) е увеличаваща се. Според нашите данни и краткосрочната тенденция показва увеличение. Според Petkov et al. (2006) гнездовата популация на вида е 300-320 двойки. Тази численост не е актуална и вече със сигурност се е повишила значимо над това ниво.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Посочени са следните заплахи: земеделски дейности, генериращи точкови замърсявания на повърхностните води, както и спортни и туристически дейности извън населените места и туристическите зони. Всъщност вида страда най-силно от горскостопанските дейности, при които се унищожава гнездовия му хабитат, възниква значително безпокойство и дори се отсичат дървета с гнезда. Други негативни фактори са изграждането на ВЕЦ по реките, създаването на нови и разширяването на стари каменни кариери, сблъсъците с електропреносната мрежа, незаконния отстрел в района на рибовъдни стопанства и язовири.</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Черният щъркел се опазва също така и като </w:t>
      </w:r>
      <w:r w:rsidRPr="00A8783E">
        <w:rPr>
          <w:rFonts w:ascii="Times New Roman" w:hAnsi="Times New Roman"/>
          <w:b/>
          <w:bCs/>
          <w:sz w:val="24"/>
          <w:szCs w:val="24"/>
          <w:lang w:eastAsia="bg-BG"/>
        </w:rPr>
        <w:t>мигриращ вид</w:t>
      </w:r>
      <w:r w:rsidRPr="00A8783E">
        <w:rPr>
          <w:rFonts w:ascii="Times New Roman" w:hAnsi="Times New Roman"/>
          <w:sz w:val="24"/>
          <w:szCs w:val="24"/>
          <w:lang w:eastAsia="bg-BG"/>
        </w:rPr>
        <w:t xml:space="preserve"> с численост 2 000-11 000 индивида (Докладване на България по чл.12). Не са посочени краткосрочни и дългосрочни тенденции в развитието на популацията. Посочени са следните заплахи: отводняване, рекултивация и преобразуване на влажни зони, блата, и др. в селищни или туристически зони; електропреносна и комуникационна мрежа (кабели).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В Червената книга (Големански ред. 2015) е посочено като заплаха замърсяването на влажните зони, преследване в рибовъдни стопанства и др.</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вида е мигриращ.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30 индивида</w:t>
      </w:r>
      <w:r w:rsidRPr="00A8783E">
        <w:rPr>
          <w:rFonts w:ascii="Times New Roman" w:hAnsi="Times New Roman"/>
          <w:sz w:val="24"/>
          <w:szCs w:val="24"/>
          <w:lang w:eastAsia="bg-BG"/>
        </w:rPr>
        <w:t>, което представлява 0,3 - 1,5 % от националната мигрираща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color w:val="000000"/>
          <w:sz w:val="24"/>
          <w:szCs w:val="24"/>
          <w:lang w:eastAsia="bg-BG"/>
        </w:rPr>
      </w:pPr>
      <w:r w:rsidRPr="00A8783E">
        <w:rPr>
          <w:rFonts w:ascii="Times New Roman" w:hAnsi="Times New Roman"/>
          <w:color w:val="000000"/>
          <w:sz w:val="24"/>
          <w:szCs w:val="24"/>
          <w:lang w:eastAsia="bg-BG"/>
        </w:rPr>
        <w:t xml:space="preserve">Пролетната миграция на вида започва в началото - средата на март и продължава до края на май. Есенната миграция е от средата на август до средата на октомври. Черните щъркели мигрират на широк фронт над цялата страна, като по-интензивен прелет се наблюдава в западната част на Добруджа и в централната и западна част на Дунавската </w:t>
      </w:r>
      <w:r w:rsidRPr="00A8783E">
        <w:rPr>
          <w:rFonts w:ascii="Times New Roman" w:hAnsi="Times New Roman"/>
          <w:color w:val="000000"/>
          <w:sz w:val="24"/>
          <w:szCs w:val="24"/>
          <w:lang w:eastAsia="bg-BG"/>
        </w:rPr>
        <w:lastRenderedPageBreak/>
        <w:t>равнина. Костадинова, Граматиков (2007) дават информация за числеността на мигриращата популация на вида в защитената зона – 30 инд., като същата численост е записана и в СФ.</w:t>
      </w:r>
      <w:r w:rsidRPr="00A8783E">
        <w:rPr>
          <w:rFonts w:ascii="Times New Roman" w:hAnsi="Times New Roman"/>
          <w:sz w:val="24"/>
          <w:szCs w:val="24"/>
          <w:lang w:eastAsia="bg-BG"/>
        </w:rPr>
        <w:t xml:space="preserve"> При няколко годишни проучвания на мигриращите птици в района на с. Бабук (на 15 км югоизточно от ЗЗ „Сребърна”) числеността на мигриращите черни щъркели е следната: пролет – 2008 – 16 екз., 2009 – 0 екз., 2010 – 1 екз., есен – 2007 – 13 екз., 2008 – 14 екз., 2009 и 2010 не са регистрирани черни щъркели през есенната миграция (Караиванов, непубл. данни). Конкретни наблюдения на миграцията на вида над защитената зона не са правени.</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От посочените в Докладването от 2019 г. заплахи и влияния за мигрираща популация,  не са установени валидни за зоната.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3"/>
        <w:gridCol w:w="1134"/>
        <w:gridCol w:w="1160"/>
        <w:gridCol w:w="3004"/>
        <w:gridCol w:w="2334"/>
      </w:tblGrid>
      <w:tr w:rsidR="00A8783E" w:rsidRPr="00A8783E" w:rsidTr="005B5318">
        <w:trPr>
          <w:tblHeader/>
          <w:jc w:val="center"/>
        </w:trPr>
        <w:tc>
          <w:tcPr>
            <w:tcW w:w="1573"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13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160"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300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33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57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16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0-30 инд.</w:t>
            </w:r>
          </w:p>
        </w:tc>
        <w:tc>
          <w:tcPr>
            <w:tcW w:w="300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Според СФ на зоната числеността на мигриращите индивиди е 30. При наши проучвания в близост до ЗЗ върху миграцията на птиците, установихме че видът през някои години не е регистриран като мигриращ. Т.е. необходима е корекция на мин численост – 0 екз.</w:t>
            </w:r>
          </w:p>
          <w:p w:rsidR="00A8783E" w:rsidRPr="00A8783E" w:rsidRDefault="00A8783E" w:rsidP="00A8783E">
            <w:pPr>
              <w:spacing w:after="0" w:line="240" w:lineRule="auto"/>
              <w:jc w:val="both"/>
              <w:rPr>
                <w:rFonts w:ascii="Times New Roman" w:hAnsi="Times New Roman"/>
                <w:lang w:eastAsia="bg-BG"/>
              </w:rPr>
            </w:pPr>
          </w:p>
        </w:tc>
        <w:tc>
          <w:tcPr>
            <w:tcW w:w="233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Междинна цел до 2025 г.: провеждане на проучване за установяване на мигрираща численост на вида в зоната.</w:t>
            </w:r>
          </w:p>
          <w:p w:rsidR="00A8783E" w:rsidRPr="00A8783E" w:rsidRDefault="00A8783E" w:rsidP="00A8783E">
            <w:pPr>
              <w:spacing w:after="0" w:line="240" w:lineRule="auto"/>
              <w:jc w:val="both"/>
              <w:rPr>
                <w:rFonts w:ascii="Times New Roman" w:hAnsi="Times New Roman"/>
                <w:lang w:eastAsia="bg-BG"/>
              </w:rPr>
            </w:pPr>
          </w:p>
        </w:tc>
      </w:tr>
      <w:tr w:rsidR="00A8783E" w:rsidRPr="00A8783E" w:rsidTr="005B5318">
        <w:trPr>
          <w:jc w:val="center"/>
        </w:trPr>
        <w:tc>
          <w:tcPr>
            <w:tcW w:w="157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16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564</w:t>
            </w:r>
          </w:p>
        </w:tc>
        <w:tc>
          <w:tcPr>
            <w:tcW w:w="300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3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хранителни местообитания на вида в защитената зона чрез поддържане на оптимално ниво на водата в езерото.</w:t>
            </w:r>
          </w:p>
        </w:tc>
      </w:tr>
      <w:tr w:rsidR="00A8783E" w:rsidRPr="00A8783E" w:rsidTr="005B5318">
        <w:trPr>
          <w:jc w:val="center"/>
        </w:trPr>
        <w:tc>
          <w:tcPr>
            <w:tcW w:w="157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риби (</w:t>
            </w:r>
            <w:r w:rsidRPr="00A8783E">
              <w:rPr>
                <w:rFonts w:ascii="Times New Roman" w:hAnsi="Times New Roman"/>
                <w:lang w:val="en-GB" w:eastAsia="bg-BG"/>
              </w:rPr>
              <w:t>JDS</w:t>
            </w:r>
            <w:r w:rsidRPr="00A8783E">
              <w:rPr>
                <w:rFonts w:ascii="Times New Roman" w:hAnsi="Times New Roman"/>
                <w:lang w:eastAsia="bg-BG"/>
              </w:rPr>
              <w:t>4-</w:t>
            </w:r>
            <w:r w:rsidRPr="00A8783E">
              <w:rPr>
                <w:rFonts w:ascii="Times New Roman" w:hAnsi="Times New Roman"/>
                <w:lang w:val="en-GB" w:eastAsia="bg-BG"/>
              </w:rPr>
              <w:t>Fish</w:t>
            </w:r>
            <w:r w:rsidRPr="00A8783E">
              <w:rPr>
                <w:rFonts w:ascii="Times New Roman" w:hAnsi="Times New Roman"/>
                <w:lang w:eastAsia="bg-BG"/>
              </w:rPr>
              <w:t>)</w:t>
            </w:r>
          </w:p>
        </w:tc>
        <w:tc>
          <w:tcPr>
            <w:tcW w:w="113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16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3004" w:type="dxa"/>
          </w:tcPr>
          <w:tbl>
            <w:tblPr>
              <w:tblW w:w="3029" w:type="dxa"/>
              <w:tblInd w:w="3" w:type="dxa"/>
              <w:tblLayout w:type="fixed"/>
              <w:tblCellMar>
                <w:left w:w="70" w:type="dxa"/>
                <w:right w:w="70" w:type="dxa"/>
              </w:tblCellMar>
              <w:tblLook w:val="00A0" w:firstRow="1" w:lastRow="0" w:firstColumn="1" w:lastColumn="0" w:noHBand="0" w:noVBand="0"/>
            </w:tblPr>
            <w:tblGrid>
              <w:gridCol w:w="3029"/>
            </w:tblGrid>
            <w:tr w:rsidR="00A8783E" w:rsidRPr="00A8783E" w:rsidTr="005B5318">
              <w:trPr>
                <w:trHeight w:val="316"/>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197"/>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197"/>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197"/>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197"/>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197"/>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197"/>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 xml:space="preserve">4 (2019-2020, Табл. 5, стр. 51). Екологичното състояние на езерото Сребърна по БЕК Риби е </w:t>
            </w:r>
            <w:r w:rsidRPr="00A8783E">
              <w:rPr>
                <w:rFonts w:ascii="Times New Roman" w:hAnsi="Times New Roman"/>
                <w:lang w:eastAsia="bg-BG"/>
              </w:rPr>
              <w:lastRenderedPageBreak/>
              <w:t>оценено като „</w:t>
            </w:r>
            <w:r w:rsidRPr="00A8783E">
              <w:rPr>
                <w:rFonts w:ascii="Times New Roman" w:hAnsi="Times New Roman"/>
                <w:b/>
                <w:bCs/>
                <w:lang w:eastAsia="bg-BG"/>
              </w:rPr>
              <w:t>Умерено</w:t>
            </w:r>
            <w:r w:rsidRPr="00A8783E">
              <w:rPr>
                <w:rFonts w:ascii="Times New Roman" w:hAnsi="Times New Roman"/>
                <w:lang w:eastAsia="bg-BG"/>
              </w:rPr>
              <w:t>“.</w:t>
            </w:r>
          </w:p>
        </w:tc>
        <w:tc>
          <w:tcPr>
            <w:tcW w:w="2334"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lastRenderedPageBreak/>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b/>
          <w:bCs/>
          <w:sz w:val="24"/>
          <w:szCs w:val="24"/>
          <w:lang w:eastAsia="bg-BG"/>
        </w:rPr>
      </w:pPr>
    </w:p>
    <w:p w:rsidR="00A8783E" w:rsidRPr="00A8783E" w:rsidRDefault="00A8783E" w:rsidP="00A8783E">
      <w:pPr>
        <w:spacing w:after="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Предвид наличната информация за настоящата мигрираща численост на вида в защитената зона по време на миграция, е необходима актуализация на СФ на мин. численост на вида – 0 инд.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175"/>
        <w:gridCol w:w="175"/>
        <w:gridCol w:w="572"/>
        <w:gridCol w:w="605"/>
        <w:gridCol w:w="594"/>
        <w:gridCol w:w="578"/>
        <w:gridCol w:w="839"/>
        <w:gridCol w:w="950"/>
        <w:gridCol w:w="622"/>
        <w:gridCol w:w="522"/>
        <w:gridCol w:w="578"/>
      </w:tblGrid>
      <w:tr w:rsidR="00A8783E" w:rsidRPr="00A8783E" w:rsidTr="005B5318">
        <w:trPr>
          <w:jc w:val="center"/>
        </w:trPr>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Species</w:t>
            </w:r>
          </w:p>
        </w:tc>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Code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Scientific Name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NP</w:t>
            </w:r>
          </w:p>
        </w:tc>
        <w:tc>
          <w:tcPr>
            <w:tcW w:w="0" w:type="auto"/>
            <w:gridSpan w:val="2"/>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T</w:t>
            </w:r>
          </w:p>
        </w:tc>
        <w:tc>
          <w:tcPr>
            <w:tcW w:w="0" w:type="auto"/>
            <w:gridSpan w:val="2"/>
            <w:shd w:val="clear" w:color="auto" w:fill="D9D9D9"/>
            <w:vAlign w:val="center"/>
          </w:tcPr>
          <w:p w:rsidR="00A8783E" w:rsidRPr="00A8783E" w:rsidRDefault="00A8783E" w:rsidP="00A8783E">
            <w:pPr>
              <w:spacing w:after="0" w:line="240" w:lineRule="auto"/>
              <w:jc w:val="center"/>
              <w:rPr>
                <w:rFonts w:ascii="Times New Roman" w:hAnsi="Times New Roman"/>
                <w:b/>
                <w:bCs/>
                <w:sz w:val="20"/>
                <w:szCs w:val="20"/>
                <w:lang w:eastAsia="en-GB"/>
              </w:rPr>
            </w:pPr>
            <w:r w:rsidRPr="00A8783E">
              <w:rPr>
                <w:rFonts w:ascii="Times New Roman" w:hAnsi="Times New Roman"/>
                <w:b/>
                <w:bCs/>
                <w:sz w:val="20"/>
                <w:szCs w:val="20"/>
                <w:lang w:eastAsia="en-GB"/>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D.qual.</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Iso.</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Glo.</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jc w:val="both"/>
              <w:rPr>
                <w:rFonts w:ascii="Times New Roman" w:hAnsi="Times New Roman"/>
                <w:sz w:val="20"/>
                <w:szCs w:val="20"/>
                <w:lang w:eastAsia="en-GB"/>
              </w:rPr>
            </w:pPr>
            <w:r w:rsidRPr="00A8783E">
              <w:rPr>
                <w:rFonts w:ascii="Times New Roman" w:hAnsi="Times New Roman"/>
                <w:sz w:val="20"/>
                <w:szCs w:val="20"/>
                <w:lang w:eastAsia="en-GB"/>
              </w:rPr>
              <w:t>В</w:t>
            </w:r>
          </w:p>
        </w:tc>
        <w:tc>
          <w:tcPr>
            <w:tcW w:w="0" w:type="auto"/>
          </w:tcPr>
          <w:p w:rsidR="00A8783E" w:rsidRPr="00A8783E" w:rsidRDefault="00A8783E" w:rsidP="00A8783E">
            <w:pPr>
              <w:spacing w:after="0" w:line="240" w:lineRule="auto"/>
              <w:jc w:val="both"/>
              <w:rPr>
                <w:rFonts w:ascii="Times New Roman" w:hAnsi="Times New Roman"/>
                <w:sz w:val="20"/>
                <w:szCs w:val="20"/>
                <w:lang w:eastAsia="en-GB"/>
              </w:rPr>
            </w:pPr>
            <w:r w:rsidRPr="00A8783E">
              <w:rPr>
                <w:rFonts w:ascii="Times New Roman" w:hAnsi="Times New Roman"/>
                <w:sz w:val="20"/>
                <w:szCs w:val="20"/>
                <w:lang w:eastAsia="bg-BG"/>
              </w:rPr>
              <w:t>A030</w:t>
            </w:r>
          </w:p>
        </w:tc>
        <w:tc>
          <w:tcPr>
            <w:tcW w:w="0" w:type="auto"/>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eastAsia="bg-BG"/>
              </w:rPr>
            </w:pPr>
            <w:r w:rsidRPr="00A8783E">
              <w:rPr>
                <w:rFonts w:ascii="Times New Roman" w:hAnsi="Times New Roman"/>
                <w:i/>
                <w:iCs/>
                <w:color w:val="000000"/>
                <w:sz w:val="20"/>
                <w:szCs w:val="20"/>
                <w:lang w:val="en-US" w:eastAsia="bg-BG"/>
              </w:rPr>
              <w:t>Ciconia nigra</w:t>
            </w:r>
          </w:p>
        </w:tc>
        <w:tc>
          <w:tcPr>
            <w:tcW w:w="0" w:type="auto"/>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с</w:t>
            </w:r>
          </w:p>
        </w:tc>
        <w:tc>
          <w:tcPr>
            <w:tcW w:w="0" w:type="auto"/>
            <w:vAlign w:val="bottom"/>
          </w:tcPr>
          <w:p w:rsidR="00A8783E" w:rsidRPr="00A8783E" w:rsidRDefault="00A8783E" w:rsidP="00A8783E">
            <w:pPr>
              <w:spacing w:after="0" w:line="240" w:lineRule="auto"/>
              <w:jc w:val="center"/>
              <w:rPr>
                <w:rFonts w:ascii="Times New Roman" w:hAnsi="Times New Roman"/>
                <w:b/>
                <w:bCs/>
                <w:color w:val="FF0000"/>
                <w:sz w:val="20"/>
                <w:szCs w:val="20"/>
                <w:lang w:eastAsia="en-GB"/>
              </w:rPr>
            </w:pPr>
            <w:r w:rsidRPr="00A8783E">
              <w:rPr>
                <w:rFonts w:ascii="Times New Roman" w:hAnsi="Times New Roman"/>
                <w:b/>
                <w:bCs/>
                <w:color w:val="FF0000"/>
                <w:sz w:val="20"/>
                <w:szCs w:val="20"/>
                <w:lang w:eastAsia="en-GB"/>
              </w:rPr>
              <w:t>0</w:t>
            </w:r>
          </w:p>
        </w:tc>
        <w:tc>
          <w:tcPr>
            <w:tcW w:w="0" w:type="auto"/>
            <w:vAlign w:val="bottom"/>
          </w:tcPr>
          <w:p w:rsidR="00A8783E" w:rsidRPr="00A8783E" w:rsidRDefault="00A8783E" w:rsidP="00A8783E">
            <w:pPr>
              <w:spacing w:after="0" w:line="240" w:lineRule="auto"/>
              <w:jc w:val="center"/>
              <w:rPr>
                <w:rFonts w:ascii="Times New Roman" w:hAnsi="Times New Roman"/>
                <w:b/>
                <w:bCs/>
                <w:sz w:val="20"/>
                <w:szCs w:val="20"/>
                <w:lang w:val="en-US" w:eastAsia="en-GB"/>
              </w:rPr>
            </w:pPr>
            <w:r w:rsidRPr="00A8783E">
              <w:rPr>
                <w:rFonts w:ascii="Times New Roman" w:hAnsi="Times New Roman"/>
                <w:b/>
                <w:bCs/>
                <w:sz w:val="20"/>
                <w:szCs w:val="20"/>
                <w:lang w:val="en-US" w:eastAsia="bg-BG"/>
              </w:rPr>
              <w:t>30</w:t>
            </w:r>
          </w:p>
        </w:tc>
        <w:tc>
          <w:tcPr>
            <w:tcW w:w="0" w:type="auto"/>
            <w:vAlign w:val="bottom"/>
          </w:tcPr>
          <w:p w:rsidR="00A8783E" w:rsidRPr="00A8783E" w:rsidRDefault="00A8783E" w:rsidP="00A8783E">
            <w:pPr>
              <w:spacing w:after="0" w:line="240" w:lineRule="auto"/>
              <w:jc w:val="center"/>
              <w:rPr>
                <w:rFonts w:ascii="Times New Roman" w:hAnsi="Times New Roman"/>
                <w:sz w:val="20"/>
                <w:szCs w:val="20"/>
                <w:lang w:val="en-US" w:eastAsia="en-GB"/>
              </w:rPr>
            </w:pPr>
            <w:r w:rsidRPr="00A8783E">
              <w:rPr>
                <w:rFonts w:ascii="Times New Roman" w:hAnsi="Times New Roman"/>
                <w:color w:val="000000"/>
                <w:sz w:val="20"/>
                <w:szCs w:val="20"/>
                <w:lang w:val="en-US" w:eastAsia="bg-BG"/>
              </w:rPr>
              <w:t>i</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0" w:type="auto"/>
            <w:vAlign w:val="bottom"/>
          </w:tcPr>
          <w:p w:rsidR="00A8783E" w:rsidRPr="00A8783E" w:rsidRDefault="00A8783E" w:rsidP="00A8783E">
            <w:pPr>
              <w:spacing w:after="0" w:line="240" w:lineRule="auto"/>
              <w:jc w:val="both"/>
              <w:rPr>
                <w:rFonts w:ascii="Times New Roman" w:hAnsi="Times New Roman"/>
                <w:sz w:val="20"/>
                <w:szCs w:val="20"/>
                <w:lang w:eastAsia="en-GB"/>
              </w:rPr>
            </w:pPr>
            <w:r w:rsidRPr="00A8783E">
              <w:rPr>
                <w:rFonts w:ascii="Times New Roman" w:hAnsi="Times New Roman"/>
                <w:sz w:val="20"/>
                <w:szCs w:val="20"/>
                <w:lang w:eastAsia="en-GB"/>
              </w:rPr>
              <w:t>С</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В</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С</w:t>
            </w:r>
          </w:p>
        </w:tc>
      </w:tr>
    </w:tbl>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66" w:name="_Toc89106073"/>
      <w:bookmarkStart w:id="167" w:name="_Toc98741912"/>
      <w:bookmarkStart w:id="168" w:name="_Toc98838587"/>
      <w:r w:rsidRPr="00A8783E">
        <w:rPr>
          <w:rFonts w:ascii="Times New Roman" w:hAnsi="Times New Roman"/>
          <w:color w:val="1F497D"/>
          <w:sz w:val="28"/>
          <w:szCs w:val="28"/>
          <w:lang w:eastAsia="bg-BG"/>
        </w:rPr>
        <w:t xml:space="preserve">Специфични цели за А031 </w:t>
      </w:r>
      <w:r w:rsidRPr="00A8783E">
        <w:rPr>
          <w:rFonts w:ascii="Times New Roman" w:hAnsi="Times New Roman"/>
          <w:i/>
          <w:iCs/>
          <w:color w:val="1F497D"/>
          <w:sz w:val="28"/>
          <w:szCs w:val="28"/>
          <w:lang w:val="en-GB" w:eastAsia="bg-BG"/>
        </w:rPr>
        <w:t>Ciconia</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GB" w:eastAsia="bg-BG"/>
        </w:rPr>
        <w:t>ciconia</w:t>
      </w:r>
      <w:r w:rsidRPr="00A8783E">
        <w:rPr>
          <w:rFonts w:ascii="Times New Roman" w:hAnsi="Times New Roman"/>
          <w:color w:val="1F497D"/>
          <w:sz w:val="28"/>
          <w:szCs w:val="28"/>
          <w:lang w:eastAsia="bg-BG"/>
        </w:rPr>
        <w:t xml:space="preserve"> (бял щъркел)</w:t>
      </w:r>
      <w:bookmarkEnd w:id="166"/>
      <w:bookmarkEnd w:id="167"/>
      <w:bookmarkEnd w:id="168"/>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Дължина на тялото: 95 – 110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Размах на крилата: 180 – 218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Оперението е бяло, като само маховите пера са черни. При възрастните клюнът и краката са яркочервени, докато при младите те са кафеникаво червени. В полет шията е изпъната. Представителите на двата пола са идентични на външен вид, с тази разлика, че мъжките са по-големи от женските. Видът е синантропен и представителите му гнездят в селища или в непосредствена близост до тях. Изграждат гнездата си върху комини, стълбове от електропреносната и електроразпределителната мрежа, покриви, паметници и все по-рядко върху стари изсъхнали дървета.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Белият щъркел е гнездящо-прелетен, преминаващ и по изключение зимуващ вид в България. Пролетната миграция е от началото на март до към средата на април, а есенната – от началото на август до края на септември (Симеонов и др., 1990). Зимата прекарва в Африка, южно от Сахара. Отделни индивиди остават и през зимните месеци у нас, основно в района на Бургаските езера и по оризищата около Пловдив.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Белият щъркел обитава населени места в близост до влажни зони от естествен или изкуствен произход; влажни ливади, мочурища, блата, обработваеми площи, рибарници, микроязовири, язовири и др. водоеми. Видът гнезди в почти цялата страна с изключение на гъстите горски масиви и местата с надморска височина над 1270 </w:t>
      </w:r>
      <w:r w:rsidRPr="00A8783E">
        <w:rPr>
          <w:rFonts w:ascii="Times New Roman" w:hAnsi="Times New Roman"/>
          <w:sz w:val="24"/>
          <w:szCs w:val="24"/>
          <w:lang w:val="en-US" w:eastAsia="bg-BG"/>
        </w:rPr>
        <w:t>m</w:t>
      </w:r>
      <w:r w:rsidRPr="00A8783E">
        <w:rPr>
          <w:rFonts w:ascii="Times New Roman" w:hAnsi="Times New Roman"/>
          <w:sz w:val="24"/>
          <w:szCs w:val="24"/>
          <w:lang w:eastAsia="bg-BG"/>
        </w:rPr>
        <w:t xml:space="preserve">. Размножителният период е от началото на април до края на юли. Гнезди поединично, но понякога и на малки групи (Симеонов и др., 1990). По време на </w:t>
      </w:r>
      <w:r w:rsidRPr="00A8783E">
        <w:rPr>
          <w:rFonts w:ascii="Times New Roman" w:hAnsi="Times New Roman"/>
          <w:sz w:val="24"/>
          <w:szCs w:val="24"/>
          <w:lang w:val="en-GB" w:eastAsia="bg-BG"/>
        </w:rPr>
        <w:t>VII</w:t>
      </w:r>
      <w:r w:rsidRPr="00A8783E">
        <w:rPr>
          <w:rFonts w:ascii="Times New Roman" w:hAnsi="Times New Roman"/>
          <w:sz w:val="24"/>
          <w:szCs w:val="24"/>
          <w:lang w:eastAsia="bg-BG"/>
        </w:rPr>
        <w:t xml:space="preserve"> Международно преброяване на белия щъркел в България (2014 – 2015 г.) са установени общо 6981 гнезда, от които 5874 са разположени на електрически стълбове, 201 гнезда – върху дървета, 445 гнезда – на комини и 287 гнезда – на покриви (Чешмеджиев, 2016). Снася най-често 2 – 4 яйца, като има едно поколение годишно. Предпочитаните местообитания са 1130, 1150, 1160, 3130, 3150, и 7140 според Директивата за хабитатите (Кавръкова и др., 2009).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Храни се със земноводни, влечуги, риби, водни насекоми, личинки, червеи, скакалци, дребни гризачи, по изключение и дребни птици и др. (Симеонов и др., 1990).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lastRenderedPageBreak/>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Широкоразпространен гнездящ синантропен вид. Белият щъркел гнезди почти в цялата страна с изключение на гъстите горски масиви и местата с надморска височина над 1270 м. Белият щъркел е най-многочислен и с най-висока плътност (29 – 61 дв. на 100 km</w:t>
      </w:r>
      <w:r w:rsidRPr="00A8783E">
        <w:rPr>
          <w:rFonts w:ascii="Times New Roman" w:hAnsi="Times New Roman"/>
          <w:sz w:val="24"/>
          <w:szCs w:val="24"/>
          <w:vertAlign w:val="superscript"/>
          <w:lang w:eastAsia="bg-BG"/>
        </w:rPr>
        <w:t>2</w:t>
      </w:r>
      <w:r w:rsidRPr="00A8783E">
        <w:rPr>
          <w:rFonts w:ascii="Times New Roman" w:hAnsi="Times New Roman"/>
          <w:sz w:val="24"/>
          <w:szCs w:val="24"/>
          <w:lang w:eastAsia="bg-BG"/>
        </w:rPr>
        <w:t xml:space="preserve">) в Софийското и Самоковското поле, по долината на река Марица и прилежащите хълмисти райони с много изкуствени водоеми, долното течение на реките Искър, Струма и Тунджа, на места край река Дунав и около Бургаските езера (Чешмеджиев, 2016). Най-много заети гнезда (4841, 83%) са разположени между 0 и 400 </w:t>
      </w:r>
      <w:r w:rsidRPr="00A8783E">
        <w:rPr>
          <w:rFonts w:ascii="Times New Roman" w:hAnsi="Times New Roman"/>
          <w:sz w:val="24"/>
          <w:szCs w:val="24"/>
          <w:lang w:val="en-US" w:eastAsia="bg-BG"/>
        </w:rPr>
        <w:t>m</w:t>
      </w:r>
      <w:r w:rsidRPr="00A8783E">
        <w:rPr>
          <w:rFonts w:ascii="Times New Roman" w:hAnsi="Times New Roman"/>
          <w:sz w:val="24"/>
          <w:szCs w:val="24"/>
          <w:lang w:eastAsia="bg-BG"/>
        </w:rPr>
        <w:t xml:space="preserve"> н.в. Добруджа е сред местата, където видът почти отсъства, въпреки подходящата надморска височина, вероятно поради липсата на водоеми и подходяща хранителна база. По време на </w:t>
      </w:r>
      <w:r w:rsidRPr="00A8783E">
        <w:rPr>
          <w:rFonts w:ascii="Times New Roman" w:hAnsi="Times New Roman"/>
          <w:sz w:val="24"/>
          <w:szCs w:val="24"/>
          <w:lang w:val="en-GB" w:eastAsia="bg-BG"/>
        </w:rPr>
        <w:t>VII</w:t>
      </w:r>
      <w:r w:rsidRPr="00A8783E">
        <w:rPr>
          <w:rFonts w:ascii="Times New Roman" w:hAnsi="Times New Roman"/>
          <w:sz w:val="24"/>
          <w:szCs w:val="24"/>
          <w:lang w:eastAsia="bg-BG"/>
        </w:rPr>
        <w:t xml:space="preserve"> Международно преброяване на вида (2014-2015 г.) в България са установени общо 6981 гнезда. От тях 5825 са заети от размножаващи се двойки. Най-много от тях са в областите Пловдив, София и Хасково. Общината с най-много заети щъркелови гнезда е Самоков – с 198 гнезда, следвана от община Петрич (188 гнезда) и община Тунджа (154 гнезда). Населените места с най-много щъркелови гнезда са: село Драгушиново (община Самоков) – 51 гнезда; село Кулата (община Петрич) – 42 гнезда; село Белозем (община Раковски) – 38 гнезда; село Белчин (община Самоков) – 31 гнезда; град Съединение (област Пловдив); град Хаджидимово (област Благоевград); село Звиница (община Кърджали); село Караджалово (община Първомай) и село Равно поле (община Елин Пелин) имат по 29 гнезда. Средната плътност на щъркелите в страната (брой гнездящи двойки на 100 кв.км.) е 5,25 двойки на 100 km</w:t>
      </w:r>
      <w:r w:rsidRPr="00A8783E">
        <w:rPr>
          <w:rFonts w:ascii="Times New Roman" w:hAnsi="Times New Roman"/>
          <w:sz w:val="24"/>
          <w:szCs w:val="24"/>
          <w:vertAlign w:val="superscript"/>
          <w:lang w:eastAsia="bg-BG"/>
        </w:rPr>
        <w:t>2</w:t>
      </w:r>
      <w:r w:rsidRPr="00A8783E">
        <w:rPr>
          <w:rFonts w:ascii="Times New Roman" w:hAnsi="Times New Roman"/>
          <w:sz w:val="24"/>
          <w:szCs w:val="24"/>
          <w:lang w:eastAsia="bg-BG"/>
        </w:rPr>
        <w:t>. За сравнение по време на VI Международно преброяване (2004 – 2005 г.) плътността е била 4,3 двойки (Чешмеджиев, 2016).</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Природозащитният статус на белия щъркел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е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xml:space="preserve">). Включен в </w:t>
      </w:r>
      <w:r w:rsidRPr="00A8783E">
        <w:rPr>
          <w:rFonts w:ascii="Times New Roman" w:hAnsi="Times New Roman"/>
          <w:sz w:val="24"/>
          <w:szCs w:val="24"/>
          <w:lang w:val="en-GB" w:eastAsia="bg-BG"/>
        </w:rPr>
        <w:t>SPEC</w:t>
      </w:r>
      <w:r w:rsidRPr="00A8783E">
        <w:rPr>
          <w:rFonts w:ascii="Times New Roman" w:hAnsi="Times New Roman"/>
          <w:sz w:val="24"/>
          <w:szCs w:val="24"/>
          <w:lang w:eastAsia="bg-BG"/>
        </w:rPr>
        <w:t xml:space="preserve"> 2. Включен в Червената книга на Р България (Големански ред., 2015) в категория „Уязвим“-</w:t>
      </w:r>
      <w:r w:rsidRPr="00A8783E">
        <w:rPr>
          <w:rFonts w:ascii="Times New Roman" w:hAnsi="Times New Roman"/>
          <w:sz w:val="24"/>
          <w:szCs w:val="24"/>
          <w:lang w:val="en-US" w:eastAsia="bg-BG"/>
        </w:rPr>
        <w:t>VU</w:t>
      </w:r>
      <w:r w:rsidRPr="00A8783E">
        <w:rPr>
          <w:rFonts w:ascii="Times New Roman" w:hAnsi="Times New Roman"/>
          <w:sz w:val="24"/>
          <w:szCs w:val="24"/>
          <w:lang w:eastAsia="bg-BG"/>
        </w:rPr>
        <w:t xml:space="preserve">. Включен е в Приложение 1 на Директивата за птиците, както и в Приложения 2 и 3 на ЗБР.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 на 5700 – 6000 двойки. Краткосрочната тенденция на популацията (за периода 2001 – 2018 г.) е нарастваща, а дългосрочната (за периода 1980 – 2018 г.) – флуктуираща. Краткосрочната тенденция на гнездящата популацията в рамките на Натура 2000 е стабилна.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Мигриращата национална популация (за периода 2001 – 2018 г.) е оценена на 250 000 – 500 000 индивида.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За гнездящата и мигриращата популация са посочени следните заплахи и влияния: A03, E01, C03, G05, A02, D06, C01, D02 и J02.</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вида е гнездящ и мигриращ. </w:t>
      </w:r>
      <w:r w:rsidRPr="00A8783E">
        <w:rPr>
          <w:rFonts w:ascii="Times New Roman" w:hAnsi="Times New Roman"/>
          <w:b/>
          <w:bCs/>
          <w:sz w:val="24"/>
          <w:szCs w:val="24"/>
          <w:lang w:eastAsia="bg-BG"/>
        </w:rPr>
        <w:t>Гнездящата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1 - 3 двойки</w:t>
      </w:r>
      <w:r w:rsidRPr="00A8783E">
        <w:rPr>
          <w:rFonts w:ascii="Times New Roman" w:hAnsi="Times New Roman"/>
          <w:sz w:val="24"/>
          <w:szCs w:val="24"/>
          <w:lang w:eastAsia="bg-BG"/>
        </w:rPr>
        <w:t>, което представлява 0,02 - 0,05 %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СФ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1000 индивида,</w:t>
      </w:r>
      <w:r w:rsidRPr="00A8783E">
        <w:rPr>
          <w:rFonts w:ascii="Times New Roman" w:hAnsi="Times New Roman"/>
          <w:sz w:val="24"/>
          <w:szCs w:val="24"/>
          <w:lang w:eastAsia="bg-BG"/>
        </w:rPr>
        <w:t xml:space="preserve"> което представлява 0,2 - 0,4 % от националната популация (оценка „С“). Опазването на вида е добро (оценка „В“), популацията не е изолирана в рамките на разширен ареал (оценка </w:t>
      </w:r>
      <w:r w:rsidRPr="00A8783E">
        <w:rPr>
          <w:rFonts w:ascii="Times New Roman" w:hAnsi="Times New Roman"/>
          <w:sz w:val="24"/>
          <w:szCs w:val="24"/>
          <w:lang w:eastAsia="bg-BG"/>
        </w:rPr>
        <w:lastRenderedPageBreak/>
        <w:t>„С“).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color w:val="000000"/>
          <w:sz w:val="24"/>
          <w:szCs w:val="24"/>
          <w:lang w:eastAsia="bg-BG"/>
        </w:rPr>
      </w:pPr>
      <w:r w:rsidRPr="00A8783E">
        <w:rPr>
          <w:rFonts w:ascii="Times New Roman" w:hAnsi="Times New Roman"/>
          <w:i/>
          <w:iCs/>
          <w:color w:val="000000"/>
          <w:sz w:val="24"/>
          <w:szCs w:val="24"/>
          <w:lang w:eastAsia="bg-BG"/>
        </w:rPr>
        <w:t>Гнездяща популация</w:t>
      </w:r>
    </w:p>
    <w:p w:rsidR="00A8783E" w:rsidRPr="00A8783E" w:rsidRDefault="00A8783E" w:rsidP="00A8783E">
      <w:pPr>
        <w:spacing w:before="120" w:after="120" w:line="240" w:lineRule="auto"/>
        <w:jc w:val="both"/>
        <w:rPr>
          <w:rFonts w:ascii="Times New Roman" w:hAnsi="Times New Roman"/>
          <w:color w:val="000000"/>
          <w:sz w:val="24"/>
          <w:szCs w:val="24"/>
          <w:lang w:eastAsia="bg-BG"/>
        </w:rPr>
      </w:pPr>
      <w:r w:rsidRPr="00A8783E">
        <w:rPr>
          <w:rFonts w:ascii="Times New Roman" w:hAnsi="Times New Roman"/>
          <w:color w:val="000000"/>
          <w:sz w:val="24"/>
          <w:szCs w:val="24"/>
          <w:lang w:eastAsia="bg-BG"/>
        </w:rPr>
        <w:t xml:space="preserve">Гнезди повсеместно в населените места. В границата на защитенатата зона не попада населеното място – с. Сребърна, където гнезди 1 дв. При теренните наблюдения през месец май 2021 г. видът не е наблюдаван в защитената зона. Не е установен в зоната и при </w:t>
      </w:r>
      <w:r w:rsidRPr="00A8783E">
        <w:rPr>
          <w:rFonts w:ascii="Times New Roman" w:hAnsi="Times New Roman"/>
          <w:sz w:val="24"/>
          <w:szCs w:val="24"/>
          <w:lang w:eastAsia="bg-BG"/>
        </w:rPr>
        <w:t xml:space="preserve">цялостно проучване по р. Дунав през м. юли 2021 г. Информация за гнездене на вида в зоната дава </w:t>
      </w:r>
      <w:r w:rsidRPr="00A8783E">
        <w:rPr>
          <w:rFonts w:ascii="Times New Roman" w:hAnsi="Times New Roman"/>
          <w:color w:val="000000"/>
          <w:sz w:val="24"/>
          <w:szCs w:val="24"/>
          <w:lang w:eastAsia="bg-BG"/>
        </w:rPr>
        <w:t>Костадинова, Граматиков (2007) – 3 двойки. В Актуализирания План за управление на ПР „Сребърна” (2015 г.), се посочва че видът гнезди с численост 1 двойка.</w:t>
      </w:r>
    </w:p>
    <w:p w:rsidR="00A8783E" w:rsidRPr="00A8783E" w:rsidRDefault="00A8783E" w:rsidP="00A8783E">
      <w:pPr>
        <w:spacing w:before="120" w:after="120" w:line="240" w:lineRule="auto"/>
        <w:jc w:val="both"/>
        <w:rPr>
          <w:rFonts w:ascii="Times New Roman" w:hAnsi="Times New Roman"/>
          <w:i/>
          <w:iCs/>
          <w:color w:val="000000"/>
          <w:sz w:val="24"/>
          <w:szCs w:val="24"/>
          <w:lang w:eastAsia="bg-BG"/>
        </w:rPr>
      </w:pPr>
      <w:r w:rsidRPr="00A8783E">
        <w:rPr>
          <w:rFonts w:ascii="Times New Roman" w:hAnsi="Times New Roman"/>
          <w:i/>
          <w:iCs/>
          <w:color w:val="000000"/>
          <w:sz w:val="24"/>
          <w:szCs w:val="24"/>
          <w:lang w:eastAsia="bg-BG"/>
        </w:rPr>
        <w:t>Мигрираща популация</w:t>
      </w:r>
    </w:p>
    <w:p w:rsidR="00A8783E" w:rsidRPr="00A8783E" w:rsidRDefault="00A8783E" w:rsidP="00A8783E">
      <w:pPr>
        <w:spacing w:before="120" w:after="120" w:line="240" w:lineRule="auto"/>
        <w:jc w:val="both"/>
        <w:rPr>
          <w:rFonts w:ascii="Times New Roman" w:hAnsi="Times New Roman"/>
          <w:color w:val="000000"/>
          <w:sz w:val="24"/>
          <w:szCs w:val="24"/>
          <w:lang w:eastAsia="bg-BG"/>
        </w:rPr>
      </w:pPr>
      <w:r w:rsidRPr="00A8783E">
        <w:rPr>
          <w:rFonts w:ascii="Times New Roman" w:hAnsi="Times New Roman"/>
          <w:color w:val="000000"/>
          <w:sz w:val="24"/>
          <w:szCs w:val="24"/>
          <w:lang w:eastAsia="bg-BG"/>
        </w:rPr>
        <w:t xml:space="preserve">Есенната миграция при вида започва рано, още в началото на август. Есенната миграция е по-интензивна от пролетната, като образува големи ята, от по няколко хиляди птици. След първата десетдневка на септември миграцията при вида рязко спада. През пролетната миграция малки ята с обща численост до 140 - 200 инд. са наблюдавани  във влажните зони по р. Дунав. През пролетта на 1987 г. над ез. Сребърна са наблюдавани да мигрират 139 инд. (Матеева, Янков, 2013). Няма други конкретни данни за миграцията на вида през защитената зона. </w:t>
      </w:r>
      <w:r w:rsidRPr="00A8783E">
        <w:rPr>
          <w:rFonts w:ascii="Times New Roman" w:hAnsi="Times New Roman"/>
          <w:sz w:val="24"/>
          <w:szCs w:val="24"/>
          <w:lang w:eastAsia="bg-BG"/>
        </w:rPr>
        <w:t xml:space="preserve">При няколко годишни проучвания на мигриращите птици в района на с. Бабук (на 15 км югоизточно от ЗЗ „Сребърна”) числеността на мигриращите бели щъркели силно варира през отделните години и сезони и зависи от конкретните климатични условия. Числеността през отделните години е следната: пролет – 2008 – 3547 екз., 2009 – 369 екз., 2010 – 432 екз., есен – 2007 – 288 екз., 2008 – 1999 екз., 2009 – 553 екз. и 2010 – 2635 екз. (Караиванов, непубл. данни). </w:t>
      </w:r>
      <w:r w:rsidRPr="00A8783E">
        <w:rPr>
          <w:rFonts w:ascii="Times New Roman" w:hAnsi="Times New Roman"/>
          <w:color w:val="000000"/>
          <w:sz w:val="24"/>
          <w:szCs w:val="24"/>
          <w:lang w:eastAsia="bg-BG"/>
        </w:rPr>
        <w:t>Миграцията на вида е съсредоточена основно в Източна България и по-конкретно в Западна Добруджа.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За гнездящата популация са посочени следните заплахи и влияния: A03, E01, C03, G05, A02, D06, C01, D02 и J02. От тях няма потенциално валидни за СЗЗ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6"/>
        <w:gridCol w:w="1280"/>
        <w:gridCol w:w="1134"/>
        <w:gridCol w:w="2748"/>
        <w:gridCol w:w="2332"/>
      </w:tblGrid>
      <w:tr w:rsidR="00A8783E" w:rsidRPr="00A8783E" w:rsidTr="005B5318">
        <w:trPr>
          <w:tblHeader/>
          <w:jc w:val="center"/>
        </w:trPr>
        <w:tc>
          <w:tcPr>
            <w:tcW w:w="170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280"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13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748"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332"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70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гнездящата популация</w:t>
            </w:r>
          </w:p>
        </w:tc>
        <w:tc>
          <w:tcPr>
            <w:tcW w:w="128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1-3 дв. </w:t>
            </w:r>
          </w:p>
        </w:tc>
        <w:tc>
          <w:tcPr>
            <w:tcW w:w="274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 настоящия СФ (актуализиран през 2018 г.) са посочени 1-3 гнездящи двойки. </w:t>
            </w:r>
          </w:p>
        </w:tc>
        <w:tc>
          <w:tcPr>
            <w:tcW w:w="233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Запазване стойността на гнездящата популация в зоната от поне 1 двойка.</w:t>
            </w:r>
          </w:p>
        </w:tc>
      </w:tr>
      <w:tr w:rsidR="00A8783E" w:rsidRPr="00A8783E" w:rsidTr="005B5318">
        <w:trPr>
          <w:jc w:val="center"/>
        </w:trPr>
        <w:tc>
          <w:tcPr>
            <w:tcW w:w="170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28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100-3000 инд.</w:t>
            </w:r>
          </w:p>
        </w:tc>
        <w:tc>
          <w:tcPr>
            <w:tcW w:w="274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СФ за концентрацията на вида по време на миграция в зоната е посочена стойност от 1000 инд.</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При наши проучвания в близост до ЗЗ и литературни източници върху миграцията на птиците, установихме че видът мигрира в района с променлива численост. </w:t>
            </w:r>
            <w:r w:rsidRPr="00A8783E">
              <w:rPr>
                <w:rFonts w:ascii="Times New Roman" w:hAnsi="Times New Roman"/>
                <w:lang w:eastAsia="bg-BG"/>
              </w:rPr>
              <w:lastRenderedPageBreak/>
              <w:t>Т.е. необходима е корекция на числеността: 100 - 3000 екз.</w:t>
            </w:r>
          </w:p>
          <w:p w:rsidR="00A8783E" w:rsidRPr="00A8783E" w:rsidRDefault="00A8783E" w:rsidP="00A8783E">
            <w:pPr>
              <w:spacing w:after="0" w:line="240" w:lineRule="auto"/>
              <w:jc w:val="both"/>
              <w:rPr>
                <w:rFonts w:ascii="Times New Roman" w:hAnsi="Times New Roman"/>
                <w:lang w:eastAsia="bg-BG"/>
              </w:rPr>
            </w:pPr>
          </w:p>
        </w:tc>
        <w:tc>
          <w:tcPr>
            <w:tcW w:w="2332"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lastRenderedPageBreak/>
              <w:t>Поддържане на популацията на вида в зоната в размер от най-малко 100 инд.</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Междинна цел до 2025 г.: провеждане на проучване за установяване на мигрираща численост на вида в зоната. </w:t>
            </w:r>
          </w:p>
          <w:p w:rsidR="00A8783E" w:rsidRPr="00A8783E" w:rsidRDefault="00A8783E" w:rsidP="00A8783E">
            <w:pPr>
              <w:spacing w:after="0" w:line="240" w:lineRule="auto"/>
              <w:jc w:val="both"/>
              <w:rPr>
                <w:rFonts w:ascii="Times New Roman" w:hAnsi="Times New Roman"/>
                <w:lang w:eastAsia="bg-BG"/>
              </w:rPr>
            </w:pPr>
          </w:p>
        </w:tc>
      </w:tr>
      <w:tr w:rsidR="00A8783E" w:rsidRPr="00A8783E" w:rsidTr="005B5318">
        <w:trPr>
          <w:jc w:val="center"/>
        </w:trPr>
        <w:tc>
          <w:tcPr>
            <w:tcW w:w="170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28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 0 </w:t>
            </w:r>
          </w:p>
        </w:tc>
        <w:tc>
          <w:tcPr>
            <w:tcW w:w="274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Видът гнезди основно в населени места и урбанизирани територии.</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Населеното място е извън границата на ЗЗ.</w:t>
            </w:r>
          </w:p>
        </w:tc>
        <w:tc>
          <w:tcPr>
            <w:tcW w:w="233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Увеличаване и съхраняване на площта на подходящите гнездови местообитания на вида в защитената зона.</w:t>
            </w:r>
          </w:p>
        </w:tc>
      </w:tr>
      <w:tr w:rsidR="00A8783E" w:rsidRPr="00A8783E" w:rsidTr="005B5318">
        <w:trPr>
          <w:jc w:val="center"/>
        </w:trPr>
        <w:tc>
          <w:tcPr>
            <w:tcW w:w="170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28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565</w:t>
            </w:r>
          </w:p>
        </w:tc>
        <w:tc>
          <w:tcPr>
            <w:tcW w:w="274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33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хранителни местообитания на вида в защитената зона чрез поддържане на оптимално ниво на водата в езерото.</w:t>
            </w:r>
          </w:p>
        </w:tc>
      </w:tr>
      <w:tr w:rsidR="00A8783E" w:rsidRPr="00A8783E" w:rsidTr="005B5318">
        <w:trPr>
          <w:jc w:val="center"/>
        </w:trPr>
        <w:tc>
          <w:tcPr>
            <w:tcW w:w="170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риби (</w:t>
            </w:r>
            <w:r w:rsidRPr="00A8783E">
              <w:rPr>
                <w:rFonts w:ascii="Times New Roman" w:hAnsi="Times New Roman"/>
                <w:lang w:val="en-GB" w:eastAsia="bg-BG"/>
              </w:rPr>
              <w:t>JDS</w:t>
            </w:r>
            <w:r w:rsidRPr="00A8783E">
              <w:rPr>
                <w:rFonts w:ascii="Times New Roman" w:hAnsi="Times New Roman"/>
                <w:lang w:eastAsia="bg-BG"/>
              </w:rPr>
              <w:t>4-</w:t>
            </w:r>
            <w:r w:rsidRPr="00A8783E">
              <w:rPr>
                <w:rFonts w:ascii="Times New Roman" w:hAnsi="Times New Roman"/>
                <w:lang w:val="en-GB" w:eastAsia="bg-BG"/>
              </w:rPr>
              <w:t>Fish</w:t>
            </w:r>
            <w:r w:rsidRPr="00A8783E">
              <w:rPr>
                <w:rFonts w:ascii="Times New Roman" w:hAnsi="Times New Roman"/>
                <w:lang w:eastAsia="bg-BG"/>
              </w:rPr>
              <w:t>)</w:t>
            </w:r>
          </w:p>
        </w:tc>
        <w:tc>
          <w:tcPr>
            <w:tcW w:w="1280"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748" w:type="dxa"/>
          </w:tcPr>
          <w:tbl>
            <w:tblPr>
              <w:tblW w:w="3029" w:type="dxa"/>
              <w:tblInd w:w="3" w:type="dxa"/>
              <w:tblLayout w:type="fixed"/>
              <w:tblCellMar>
                <w:left w:w="70" w:type="dxa"/>
                <w:right w:w="70" w:type="dxa"/>
              </w:tblCellMar>
              <w:tblLook w:val="00A0" w:firstRow="1" w:lastRow="0" w:firstColumn="1" w:lastColumn="0" w:noHBand="0" w:noVBand="0"/>
            </w:tblPr>
            <w:tblGrid>
              <w:gridCol w:w="3029"/>
            </w:tblGrid>
            <w:tr w:rsidR="00A8783E" w:rsidRPr="00A8783E" w:rsidTr="005B5318">
              <w:trPr>
                <w:trHeight w:val="304"/>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143"/>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304"/>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143"/>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304"/>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143"/>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304"/>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143"/>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304"/>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143"/>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304"/>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143"/>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4 (2019-2020, Табл. 5, стр. 51).</w:t>
            </w:r>
            <w:r w:rsidRPr="00A8783E">
              <w:rPr>
                <w:rFonts w:cs="Calibri"/>
              </w:rPr>
              <w:t xml:space="preserve"> </w:t>
            </w:r>
            <w:r w:rsidRPr="00A8783E">
              <w:rPr>
                <w:rFonts w:ascii="Times New Roman" w:hAnsi="Times New Roman"/>
                <w:lang w:eastAsia="bg-BG"/>
              </w:rPr>
              <w:t xml:space="preserve">Екологичното състояние на езерото Сребърна по БЕК Риби е оценено като „Умерено“, а по БЕК Макрозообентос е Отлично. </w:t>
            </w:r>
          </w:p>
        </w:tc>
        <w:tc>
          <w:tcPr>
            <w:tcW w:w="2332"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before="119" w:after="119" w:line="240" w:lineRule="auto"/>
        <w:rPr>
          <w:rFonts w:ascii="Times New Roman" w:hAnsi="Times New Roman"/>
          <w:b/>
          <w:bCs/>
          <w:sz w:val="24"/>
          <w:szCs w:val="24"/>
          <w:lang w:eastAsia="bg-BG"/>
        </w:rPr>
      </w:pPr>
    </w:p>
    <w:p w:rsidR="00A8783E" w:rsidRPr="00A8783E" w:rsidRDefault="00A8783E" w:rsidP="00A8783E">
      <w:pPr>
        <w:spacing w:before="119" w:after="119" w:line="240" w:lineRule="auto"/>
        <w:rPr>
          <w:rFonts w:ascii="Times New Roman" w:hAnsi="Times New Roman"/>
          <w:b/>
          <w:bCs/>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after="120" w:line="240" w:lineRule="auto"/>
        <w:jc w:val="both"/>
        <w:rPr>
          <w:rFonts w:ascii="Times New Roman" w:hAnsi="Times New Roman"/>
          <w:sz w:val="24"/>
          <w:szCs w:val="24"/>
        </w:rPr>
      </w:pPr>
      <w:r w:rsidRPr="00A8783E">
        <w:rPr>
          <w:rFonts w:ascii="Times New Roman" w:hAnsi="Times New Roman"/>
          <w:sz w:val="24"/>
          <w:szCs w:val="24"/>
          <w:lang w:eastAsia="bg-BG"/>
        </w:rPr>
        <w:t xml:space="preserve">Предвид наличната информация за настоящата мигрираща численост на вида в защитената зона по време на миграция, е необходима актуализация на СФ: </w:t>
      </w:r>
      <w:r w:rsidRPr="00A8783E">
        <w:rPr>
          <w:rFonts w:ascii="Times New Roman" w:hAnsi="Times New Roman"/>
          <w:sz w:val="24"/>
          <w:szCs w:val="24"/>
        </w:rPr>
        <w:t>По отношение на мигриращата популация предлагаме промяна в числеността на мигриращата популация на вида в размер 100 – 3000 инд.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23"/>
        <w:gridCol w:w="328"/>
        <w:gridCol w:w="483"/>
        <w:gridCol w:w="175"/>
        <w:gridCol w:w="175"/>
        <w:gridCol w:w="572"/>
        <w:gridCol w:w="616"/>
        <w:gridCol w:w="594"/>
        <w:gridCol w:w="578"/>
        <w:gridCol w:w="839"/>
        <w:gridCol w:w="950"/>
        <w:gridCol w:w="622"/>
        <w:gridCol w:w="522"/>
        <w:gridCol w:w="578"/>
      </w:tblGrid>
      <w:tr w:rsidR="00A8783E" w:rsidRPr="00A8783E" w:rsidTr="005B5318">
        <w:trPr>
          <w:jc w:val="center"/>
        </w:trPr>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Species</w:t>
            </w:r>
          </w:p>
        </w:tc>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Code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 xml:space="preserve">Scientific </w:t>
            </w:r>
            <w:r w:rsidRPr="00A8783E">
              <w:rPr>
                <w:rFonts w:ascii="Times New Roman" w:hAnsi="Times New Roman"/>
                <w:b/>
                <w:bCs/>
                <w:sz w:val="20"/>
                <w:szCs w:val="20"/>
                <w:lang w:eastAsia="en-GB"/>
              </w:rPr>
              <w:lastRenderedPageBreak/>
              <w:t>Name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lastRenderedPageBreak/>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NP</w:t>
            </w:r>
          </w:p>
        </w:tc>
        <w:tc>
          <w:tcPr>
            <w:tcW w:w="0" w:type="auto"/>
            <w:gridSpan w:val="2"/>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T</w:t>
            </w:r>
          </w:p>
        </w:tc>
        <w:tc>
          <w:tcPr>
            <w:tcW w:w="0" w:type="auto"/>
            <w:gridSpan w:val="2"/>
            <w:shd w:val="clear" w:color="auto" w:fill="D9D9D9"/>
            <w:vAlign w:val="center"/>
          </w:tcPr>
          <w:p w:rsidR="00A8783E" w:rsidRPr="00A8783E" w:rsidRDefault="00A8783E" w:rsidP="00A8783E">
            <w:pPr>
              <w:spacing w:after="0" w:line="240" w:lineRule="auto"/>
              <w:jc w:val="center"/>
              <w:rPr>
                <w:rFonts w:ascii="Times New Roman" w:hAnsi="Times New Roman"/>
                <w:b/>
                <w:bCs/>
                <w:sz w:val="20"/>
                <w:szCs w:val="20"/>
                <w:lang w:eastAsia="en-GB"/>
              </w:rPr>
            </w:pPr>
            <w:r w:rsidRPr="00A8783E">
              <w:rPr>
                <w:rFonts w:ascii="Times New Roman" w:hAnsi="Times New Roman"/>
                <w:b/>
                <w:bCs/>
                <w:sz w:val="20"/>
                <w:szCs w:val="20"/>
                <w:lang w:eastAsia="en-GB"/>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D.qual.</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Iso.</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Glo.</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jc w:val="both"/>
              <w:rPr>
                <w:rFonts w:ascii="Times New Roman" w:hAnsi="Times New Roman"/>
                <w:sz w:val="20"/>
                <w:szCs w:val="20"/>
                <w:lang w:eastAsia="en-GB"/>
              </w:rPr>
            </w:pPr>
            <w:r w:rsidRPr="00A8783E">
              <w:rPr>
                <w:rFonts w:ascii="Times New Roman" w:hAnsi="Times New Roman"/>
                <w:sz w:val="20"/>
                <w:szCs w:val="20"/>
                <w:lang w:eastAsia="en-GB"/>
              </w:rPr>
              <w:lastRenderedPageBreak/>
              <w:t>В</w:t>
            </w:r>
          </w:p>
        </w:tc>
        <w:tc>
          <w:tcPr>
            <w:tcW w:w="0" w:type="auto"/>
          </w:tcPr>
          <w:p w:rsidR="00A8783E" w:rsidRPr="00A8783E" w:rsidRDefault="00A8783E" w:rsidP="00A8783E">
            <w:pPr>
              <w:spacing w:after="0" w:line="240" w:lineRule="auto"/>
              <w:jc w:val="both"/>
              <w:rPr>
                <w:rFonts w:ascii="Times New Roman" w:hAnsi="Times New Roman"/>
                <w:sz w:val="20"/>
                <w:szCs w:val="20"/>
                <w:lang w:eastAsia="en-GB"/>
              </w:rPr>
            </w:pPr>
            <w:r w:rsidRPr="00A8783E">
              <w:rPr>
                <w:rFonts w:ascii="Times New Roman" w:hAnsi="Times New Roman"/>
                <w:sz w:val="20"/>
                <w:szCs w:val="20"/>
                <w:lang w:eastAsia="bg-BG"/>
              </w:rPr>
              <w:t>A031</w:t>
            </w:r>
          </w:p>
        </w:tc>
        <w:tc>
          <w:tcPr>
            <w:tcW w:w="0" w:type="auto"/>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eastAsia="bg-BG"/>
              </w:rPr>
            </w:pPr>
            <w:r w:rsidRPr="00A8783E">
              <w:rPr>
                <w:rFonts w:ascii="Times New Roman" w:hAnsi="Times New Roman"/>
                <w:i/>
                <w:iCs/>
                <w:color w:val="000000"/>
                <w:sz w:val="20"/>
                <w:szCs w:val="20"/>
                <w:lang w:val="en-US" w:eastAsia="bg-BG"/>
              </w:rPr>
              <w:t>Ciconia ciconia</w:t>
            </w:r>
          </w:p>
        </w:tc>
        <w:tc>
          <w:tcPr>
            <w:tcW w:w="0" w:type="auto"/>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с</w:t>
            </w:r>
          </w:p>
        </w:tc>
        <w:tc>
          <w:tcPr>
            <w:tcW w:w="0" w:type="auto"/>
            <w:vAlign w:val="bottom"/>
          </w:tcPr>
          <w:p w:rsidR="00A8783E" w:rsidRPr="00A8783E" w:rsidRDefault="00A8783E" w:rsidP="00A8783E">
            <w:pPr>
              <w:spacing w:after="0" w:line="240" w:lineRule="auto"/>
              <w:jc w:val="center"/>
              <w:rPr>
                <w:rFonts w:ascii="Times New Roman" w:hAnsi="Times New Roman"/>
                <w:b/>
                <w:bCs/>
                <w:color w:val="FF0000"/>
                <w:sz w:val="20"/>
                <w:szCs w:val="20"/>
                <w:lang w:eastAsia="en-GB"/>
              </w:rPr>
            </w:pPr>
            <w:r w:rsidRPr="00A8783E">
              <w:rPr>
                <w:rFonts w:ascii="Times New Roman" w:hAnsi="Times New Roman"/>
                <w:b/>
                <w:bCs/>
                <w:color w:val="FF0000"/>
                <w:sz w:val="20"/>
                <w:szCs w:val="20"/>
                <w:lang w:eastAsia="en-GB"/>
              </w:rPr>
              <w:t>100</w:t>
            </w:r>
          </w:p>
        </w:tc>
        <w:tc>
          <w:tcPr>
            <w:tcW w:w="0" w:type="auto"/>
            <w:vAlign w:val="bottom"/>
          </w:tcPr>
          <w:p w:rsidR="00A8783E" w:rsidRPr="00A8783E" w:rsidRDefault="00A8783E" w:rsidP="00A8783E">
            <w:pPr>
              <w:spacing w:after="0" w:line="240" w:lineRule="auto"/>
              <w:jc w:val="center"/>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eastAsia="bg-BG"/>
              </w:rPr>
              <w:t>30</w:t>
            </w:r>
            <w:r w:rsidRPr="00A8783E">
              <w:rPr>
                <w:rFonts w:ascii="Times New Roman" w:hAnsi="Times New Roman"/>
                <w:b/>
                <w:bCs/>
                <w:color w:val="FF0000"/>
                <w:sz w:val="20"/>
                <w:szCs w:val="20"/>
                <w:lang w:eastAsia="bg-BG"/>
              </w:rPr>
              <w:t>00</w:t>
            </w:r>
          </w:p>
        </w:tc>
        <w:tc>
          <w:tcPr>
            <w:tcW w:w="0" w:type="auto"/>
            <w:vAlign w:val="bottom"/>
          </w:tcPr>
          <w:p w:rsidR="00A8783E" w:rsidRPr="00A8783E" w:rsidRDefault="00A8783E" w:rsidP="00A8783E">
            <w:pPr>
              <w:spacing w:after="0" w:line="240" w:lineRule="auto"/>
              <w:jc w:val="center"/>
              <w:rPr>
                <w:rFonts w:ascii="Times New Roman" w:hAnsi="Times New Roman"/>
                <w:sz w:val="20"/>
                <w:szCs w:val="20"/>
                <w:lang w:val="en-US" w:eastAsia="en-GB"/>
              </w:rPr>
            </w:pPr>
            <w:r w:rsidRPr="00A8783E">
              <w:rPr>
                <w:rFonts w:ascii="Times New Roman" w:hAnsi="Times New Roman"/>
                <w:color w:val="000000"/>
                <w:sz w:val="20"/>
                <w:szCs w:val="20"/>
                <w:lang w:val="en-US" w:eastAsia="bg-BG"/>
              </w:rPr>
              <w:t>i</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0" w:type="auto"/>
            <w:vAlign w:val="bottom"/>
          </w:tcPr>
          <w:p w:rsidR="00A8783E" w:rsidRPr="00A8783E" w:rsidRDefault="00A8783E" w:rsidP="00A8783E">
            <w:pPr>
              <w:spacing w:after="0" w:line="240" w:lineRule="auto"/>
              <w:jc w:val="both"/>
              <w:rPr>
                <w:rFonts w:ascii="Times New Roman" w:hAnsi="Times New Roman"/>
                <w:sz w:val="20"/>
                <w:szCs w:val="20"/>
                <w:lang w:eastAsia="en-GB"/>
              </w:rPr>
            </w:pPr>
            <w:r w:rsidRPr="00A8783E">
              <w:rPr>
                <w:rFonts w:ascii="Times New Roman" w:hAnsi="Times New Roman"/>
                <w:sz w:val="20"/>
                <w:szCs w:val="20"/>
                <w:lang w:eastAsia="en-GB"/>
              </w:rPr>
              <w:t>С</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В</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С</w:t>
            </w:r>
          </w:p>
        </w:tc>
      </w:tr>
    </w:tbl>
    <w:p w:rsidR="00A8783E" w:rsidRPr="00A8783E" w:rsidRDefault="00A8783E" w:rsidP="00A8783E">
      <w:pPr>
        <w:spacing w:before="119" w:after="119" w:line="240" w:lineRule="auto"/>
        <w:rPr>
          <w:rFonts w:ascii="Times New Roman" w:hAnsi="Times New Roman"/>
          <w:b/>
          <w:bCs/>
          <w:sz w:val="24"/>
          <w:szCs w:val="24"/>
          <w:lang w:eastAsia="bg-BG"/>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69" w:name="_Toc89106074"/>
      <w:bookmarkStart w:id="170" w:name="_Toc98741913"/>
      <w:bookmarkStart w:id="171" w:name="_Toc98838588"/>
      <w:r w:rsidRPr="00A8783E">
        <w:rPr>
          <w:rFonts w:ascii="Times New Roman" w:hAnsi="Times New Roman"/>
          <w:color w:val="1F497D"/>
          <w:sz w:val="28"/>
          <w:szCs w:val="28"/>
          <w:lang w:eastAsia="bg-BG"/>
        </w:rPr>
        <w:t xml:space="preserve">Специфични цели за А032 </w:t>
      </w:r>
      <w:r w:rsidRPr="00A8783E">
        <w:rPr>
          <w:rFonts w:ascii="Times New Roman" w:hAnsi="Times New Roman"/>
          <w:i/>
          <w:iCs/>
          <w:color w:val="1F497D"/>
          <w:sz w:val="28"/>
          <w:szCs w:val="28"/>
          <w:lang w:val="en-GB" w:eastAsia="bg-BG"/>
        </w:rPr>
        <w:t>Plegadis</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GB" w:eastAsia="bg-BG"/>
        </w:rPr>
        <w:t>falcinellus</w:t>
      </w:r>
      <w:r w:rsidRPr="00A8783E">
        <w:rPr>
          <w:rFonts w:ascii="Times New Roman" w:hAnsi="Times New Roman"/>
          <w:color w:val="1F497D"/>
          <w:sz w:val="28"/>
          <w:szCs w:val="28"/>
          <w:lang w:eastAsia="bg-BG"/>
        </w:rPr>
        <w:t xml:space="preserve"> (блестящ ибис)</w:t>
      </w:r>
      <w:bookmarkEnd w:id="169"/>
      <w:bookmarkEnd w:id="170"/>
      <w:bookmarkEnd w:id="171"/>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Дължина на тялото: 55 – 65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Размах на крилата: 88 – 105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Оперението е тъмно, пурпурно-кафяво със зелен метален отблясък по крилата. През есента и зимата възрастните имат светли точки по главата и шията. Клюнът е дълъг и извит надолу.</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Блестящият ибис е гнездящо-прелетен и преминаващ вид в България. Пролетната миграция е от началото на март до средата април, а есенната – от август до началото на ноември (Симеонов и др., 1990). Зимува в Африка.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Блестящият ибис обитава блата и езера с обширни тръстикови масиви, заливни гори и храсталаци от върба, оризища, рибарници, напоителни канали, микроязовири влажни ливади, разливи на реки и др. Размножителният период е от началото на май до края на юли. Най – често образува смесени колонии с различни видове чапли, корморани и лопатарки. Гнездата са разположени в труднодостъпни тръстикови масиви, или заливни гори, както и високо по дърветата в равнинните дъбови гори (Симеонов и др., 1990). Снася 3 – 5 яйца, като има едно поколение годишно. Предпочитаните местообитания са 1130, 1150, 1160, 3130, 3150, 91D0, 91E0 и 91F0 според Директивата за хабитатите (Кавръкова и др., 2009).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Храни се с насекоми, водни безгръбначни, земноводни и др. По врене на проучване, проведено в Софийското поле, в 4 изследнани стомаха са установени: </w:t>
      </w:r>
      <w:r w:rsidRPr="00A8783E">
        <w:rPr>
          <w:rFonts w:ascii="Times New Roman" w:hAnsi="Times New Roman"/>
          <w:sz w:val="24"/>
          <w:szCs w:val="24"/>
          <w:lang w:val="en-GB" w:eastAsia="bg-BG"/>
        </w:rPr>
        <w:t>Dytiscidae</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Hydrophilus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sp</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Culicidae</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Araneae</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Planorbis</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planorbis</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Radix</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auricularia</w:t>
      </w:r>
      <w:r w:rsidRPr="00A8783E">
        <w:rPr>
          <w:rFonts w:ascii="Times New Roman" w:hAnsi="Times New Roman"/>
          <w:sz w:val="24"/>
          <w:szCs w:val="24"/>
          <w:lang w:eastAsia="bg-BG"/>
        </w:rPr>
        <w:t xml:space="preserve">, </w:t>
      </w:r>
      <w:r w:rsidRPr="00A8783E">
        <w:rPr>
          <w:rFonts w:ascii="Times New Roman" w:hAnsi="Times New Roman"/>
          <w:i/>
          <w:iCs/>
          <w:sz w:val="24"/>
          <w:szCs w:val="24"/>
          <w:lang w:val="en-GB" w:eastAsia="bg-BG"/>
        </w:rPr>
        <w:t>Rana</w:t>
      </w:r>
      <w:r w:rsidRPr="00A8783E">
        <w:rPr>
          <w:rFonts w:ascii="Times New Roman" w:hAnsi="Times New Roman"/>
          <w:i/>
          <w:iCs/>
          <w:sz w:val="24"/>
          <w:szCs w:val="24"/>
          <w:lang w:eastAsia="bg-BG"/>
        </w:rPr>
        <w:t xml:space="preserve"> </w:t>
      </w:r>
      <w:r w:rsidRPr="00A8783E">
        <w:rPr>
          <w:rFonts w:ascii="Times New Roman" w:hAnsi="Times New Roman"/>
          <w:i/>
          <w:iCs/>
          <w:sz w:val="24"/>
          <w:szCs w:val="24"/>
          <w:lang w:val="en-GB" w:eastAsia="bg-BG"/>
        </w:rPr>
        <w:t>ridibunda</w:t>
      </w:r>
      <w:r w:rsidRPr="00A8783E">
        <w:rPr>
          <w:rFonts w:ascii="Times New Roman" w:hAnsi="Times New Roman"/>
          <w:sz w:val="24"/>
          <w:szCs w:val="24"/>
          <w:lang w:eastAsia="bg-BG"/>
        </w:rPr>
        <w:t xml:space="preserve"> (Симеонов и др., 1990).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Рядък и малоброен гнездящ вид. Гнезди в смесени колонии с корморани, чапли и лопатарки по Дунавските острови и в различен тип влажни зони – езера, блата, рибарници и язовири. С изолирани гнездовища по Дунавското крайбрежие, Горнотракийската низина и Бургаските влажни зони. Редовно гнезди единствено в ез. Сребърна и в ЗМ „Пода“ край гр. Бургас.</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Природозащитният статус на блестящия ибис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е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xml:space="preserve">). Включен в </w:t>
      </w:r>
      <w:r w:rsidRPr="00A8783E">
        <w:rPr>
          <w:rFonts w:ascii="Times New Roman" w:hAnsi="Times New Roman"/>
          <w:sz w:val="24"/>
          <w:szCs w:val="24"/>
          <w:lang w:val="en-GB" w:eastAsia="bg-BG"/>
        </w:rPr>
        <w:t>SPEC</w:t>
      </w:r>
      <w:r w:rsidRPr="00A8783E">
        <w:rPr>
          <w:rFonts w:ascii="Times New Roman" w:hAnsi="Times New Roman"/>
          <w:sz w:val="24"/>
          <w:szCs w:val="24"/>
          <w:lang w:eastAsia="bg-BG"/>
        </w:rPr>
        <w:t xml:space="preserve"> 3. Включен в Червената книга на Р България (Големански ред., 2015) в категория „Критично застрашен“-</w:t>
      </w:r>
      <w:r w:rsidRPr="00A8783E">
        <w:rPr>
          <w:rFonts w:ascii="Times New Roman" w:hAnsi="Times New Roman"/>
          <w:sz w:val="24"/>
          <w:szCs w:val="24"/>
          <w:lang w:val="en-US" w:eastAsia="bg-BG"/>
        </w:rPr>
        <w:t>CR</w:t>
      </w:r>
      <w:r w:rsidRPr="00A8783E">
        <w:rPr>
          <w:rFonts w:ascii="Times New Roman" w:hAnsi="Times New Roman"/>
          <w:sz w:val="24"/>
          <w:szCs w:val="24"/>
          <w:lang w:eastAsia="bg-BG"/>
        </w:rPr>
        <w:t xml:space="preserve">. Включен е в Приложение 1 на Директивата за птиците, както и в Приложения 2 и 3 на ЗБР.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 на 50 – 400 двойки. Краткосрочната тенденция на популацията (за периода 2000 – 2018 г.) е флуктуираща, а дългосрочната (за периода 1980 – 2018 г.) – намаляваща. Краткосрочната тенденция на гнездящата популацията в рамките на Натура 2000 е флуктуираща.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 xml:space="preserve">Мигриращата национална популация (за периода 2001 – 2018 г.) е оценена на 500 – 1200 индивида.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За гнездящата и мигриращата популация са посочени следните заплахи и влияния: A26, A30, A31, F26 и F05.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вида е гнездящ и мигриращ. </w:t>
      </w:r>
      <w:r w:rsidRPr="00A8783E">
        <w:rPr>
          <w:rFonts w:ascii="Times New Roman" w:hAnsi="Times New Roman"/>
          <w:b/>
          <w:bCs/>
          <w:sz w:val="24"/>
          <w:szCs w:val="24"/>
          <w:lang w:eastAsia="bg-BG"/>
        </w:rPr>
        <w:t>Гнездящата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10 - 175 двойки,</w:t>
      </w:r>
      <w:r w:rsidRPr="00A8783E">
        <w:rPr>
          <w:rFonts w:ascii="Times New Roman" w:hAnsi="Times New Roman"/>
          <w:sz w:val="24"/>
          <w:szCs w:val="24"/>
          <w:lang w:eastAsia="bg-BG"/>
        </w:rPr>
        <w:t xml:space="preserve"> което представлява 20,0 – 43,7 %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100 индивида,</w:t>
      </w:r>
      <w:r w:rsidRPr="00A8783E">
        <w:rPr>
          <w:rFonts w:ascii="Times New Roman" w:hAnsi="Times New Roman"/>
          <w:sz w:val="24"/>
          <w:szCs w:val="24"/>
          <w:lang w:eastAsia="bg-BG"/>
        </w:rPr>
        <w:t xml:space="preserve"> което представлява 8,3 – 20,0 %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color w:val="000000"/>
          <w:sz w:val="24"/>
          <w:szCs w:val="24"/>
          <w:lang w:eastAsia="bg-BG"/>
        </w:rPr>
      </w:pPr>
      <w:r w:rsidRPr="00A8783E">
        <w:rPr>
          <w:rFonts w:ascii="Times New Roman" w:hAnsi="Times New Roman"/>
          <w:i/>
          <w:iCs/>
          <w:color w:val="000000"/>
          <w:sz w:val="24"/>
          <w:szCs w:val="24"/>
          <w:lang w:eastAsia="bg-BG"/>
        </w:rPr>
        <w:t>Гнездяща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Редовно гнездяща птица единствено в Сребърна от влажните зони по поречието на р. Дунав. Публикуваната информация за гнезденето на вида в зоната посочва през 2001 и 2002 г. съответно 28 и 15 дв. (</w:t>
      </w:r>
      <w:r w:rsidRPr="00A8783E">
        <w:rPr>
          <w:rFonts w:ascii="Times New Roman" w:hAnsi="Times New Roman"/>
          <w:color w:val="000000"/>
          <w:sz w:val="24"/>
          <w:szCs w:val="24"/>
          <w:lang w:val="en-US" w:eastAsia="bg-BG"/>
        </w:rPr>
        <w:t>Kamburova</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2003). В края на ХХ век числеността на вида е била между 50 и 500 дв., а между 2001 и 2003 г.: 10 – 28 дв. (</w:t>
      </w:r>
      <w:r w:rsidRPr="00A8783E">
        <w:rPr>
          <w:rFonts w:ascii="Times New Roman" w:hAnsi="Times New Roman"/>
          <w:color w:val="000000"/>
          <w:sz w:val="24"/>
          <w:szCs w:val="24"/>
          <w:lang w:val="en-US" w:eastAsia="bg-BG"/>
        </w:rPr>
        <w:t>Kambourova</w:t>
      </w:r>
      <w:r w:rsidRPr="00A8783E">
        <w:rPr>
          <w:rFonts w:ascii="Times New Roman" w:hAnsi="Times New Roman"/>
          <w:color w:val="000000"/>
          <w:sz w:val="24"/>
          <w:szCs w:val="24"/>
          <w:lang w:eastAsia="bg-BG"/>
        </w:rPr>
        <w:t xml:space="preserve">, 2003, 2012). В периода 2010-2014 г. числеността на ибиса в Сребърна варира между 10 и 175 дв., като най-голям брой – 175 дв. е регистриран през 2013 г.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xml:space="preserve">., 2019). Според Матеева и др. (2013) в зоната са гнездили 45 – 65 дв. през 2012 г. Михов и др. (1997) дават численост от 5 дв., а Костадинова, Граматиков (2007): 15 – 50 дв. в зоната. През 2017 г. при проучване по р. Дунав, видът е наблюдаван в ПР „Сребърна” с численост от 47 екз. (Димитров, 2018). В Актуализирания План за управление на ПР „Сребърна” (2015 г.), се посочва че видът гнезди с численост 20-30 дв. или около 30 % от националната гнездова популация. </w:t>
      </w:r>
      <w:r w:rsidRPr="00A8783E">
        <w:rPr>
          <w:rFonts w:ascii="Times New Roman" w:hAnsi="Times New Roman"/>
          <w:sz w:val="24"/>
          <w:szCs w:val="24"/>
          <w:lang w:eastAsia="bg-BG"/>
        </w:rPr>
        <w:t>При теренните проучвания през 2021 г. видът е наблюдаван многократно през месеците май и юни – 53 птици в подходящ гнездови биотоп. Регистрирани са минимум 7 - 10 гнездящи двойки в три смесени колонии. При цялостно проучване по р. Дунав през м. юли 2021 г. са наблюдавани 5 птици в участък на реката в близост до границата на защитената зона.</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Мигрираща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Рядък мигрант за Дунавската равнина и поречието на р. Дунав. По-често е наблюдаван през пролетната миграция (Шурулинков, 2005). Напълно липсва информация за числеността на вида по време на миграция в зоната и в района на Сребърна.</w:t>
      </w:r>
    </w:p>
    <w:p w:rsidR="00A8783E" w:rsidRPr="00A8783E" w:rsidRDefault="00A8783E" w:rsidP="00A8783E">
      <w:pPr>
        <w:spacing w:before="120" w:after="120" w:line="240" w:lineRule="auto"/>
        <w:jc w:val="both"/>
      </w:pPr>
      <w:r w:rsidRPr="00A8783E">
        <w:rPr>
          <w:rFonts w:ascii="Times New Roman" w:hAnsi="Times New Roman"/>
          <w:sz w:val="24"/>
          <w:szCs w:val="24"/>
          <w:lang w:eastAsia="bg-BG"/>
        </w:rPr>
        <w:t xml:space="preserve">За мигриращата популация са посочени следните заплахи и влияния: A26, A30, A31, F26 и F05. Потенциално валидни за СЗЗ „Сребърна“ и района са следните: </w:t>
      </w:r>
      <w:r w:rsidRPr="00A8783E">
        <w:rPr>
          <w:rFonts w:ascii="Times New Roman" w:hAnsi="Times New Roman"/>
          <w:sz w:val="24"/>
          <w:szCs w:val="24"/>
        </w:rPr>
        <w:t>А26 - Земеделски дейности, причиняващи дифузно замърсяване на повърхностни или подземни води.</w:t>
      </w:r>
      <w:r w:rsidRPr="00A8783E">
        <w:t xml:space="preserve">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53"/>
        <w:gridCol w:w="1276"/>
        <w:gridCol w:w="1266"/>
        <w:gridCol w:w="2635"/>
        <w:gridCol w:w="2326"/>
      </w:tblGrid>
      <w:tr w:rsidR="00A8783E" w:rsidRPr="00A8783E" w:rsidTr="005B5318">
        <w:trPr>
          <w:tblHeader/>
          <w:jc w:val="center"/>
        </w:trPr>
        <w:tc>
          <w:tcPr>
            <w:tcW w:w="1853"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27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26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635"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32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85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lastRenderedPageBreak/>
              <w:t>Размер на гнездящата популация</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 xml:space="preserve">Брой </w:t>
            </w:r>
            <w:r w:rsidRPr="00A8783E">
              <w:rPr>
                <w:rFonts w:ascii="Times New Roman" w:hAnsi="Times New Roman"/>
                <w:lang w:eastAsia="bg-BG"/>
              </w:rPr>
              <w:lastRenderedPageBreak/>
              <w:t>гнездящи двойки</w:t>
            </w:r>
          </w:p>
        </w:tc>
        <w:tc>
          <w:tcPr>
            <w:tcW w:w="126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 xml:space="preserve">10-175 </w:t>
            </w:r>
            <w:r w:rsidRPr="00A8783E">
              <w:rPr>
                <w:rFonts w:ascii="Times New Roman" w:hAnsi="Times New Roman"/>
                <w:lang w:eastAsia="bg-BG"/>
              </w:rPr>
              <w:lastRenderedPageBreak/>
              <w:t xml:space="preserve">двойки </w:t>
            </w:r>
          </w:p>
        </w:tc>
        <w:tc>
          <w:tcPr>
            <w:tcW w:w="263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 xml:space="preserve">Целевата стойност е </w:t>
            </w:r>
            <w:r w:rsidRPr="00A8783E">
              <w:rPr>
                <w:rFonts w:ascii="Times New Roman" w:hAnsi="Times New Roman"/>
                <w:lang w:eastAsia="bg-BG"/>
              </w:rPr>
              <w:lastRenderedPageBreak/>
              <w:t>определена на база данните от СФ, от извършен мониторинг в защитената зона през гнездовия период на 2021 г. и от литературни източници през последните години.</w:t>
            </w:r>
          </w:p>
          <w:p w:rsidR="00A8783E" w:rsidRPr="00A8783E" w:rsidRDefault="00A8783E" w:rsidP="00A8783E">
            <w:pPr>
              <w:spacing w:after="0" w:line="240" w:lineRule="auto"/>
              <w:jc w:val="both"/>
              <w:rPr>
                <w:rFonts w:ascii="Times New Roman" w:hAnsi="Times New Roman"/>
                <w:lang w:eastAsia="bg-BG"/>
              </w:rPr>
            </w:pPr>
          </w:p>
        </w:tc>
        <w:tc>
          <w:tcPr>
            <w:tcW w:w="232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 xml:space="preserve">Запазване стойността </w:t>
            </w:r>
            <w:r w:rsidRPr="00A8783E">
              <w:rPr>
                <w:rFonts w:ascii="Times New Roman" w:hAnsi="Times New Roman"/>
                <w:lang w:eastAsia="bg-BG"/>
              </w:rPr>
              <w:lastRenderedPageBreak/>
              <w:t>на гнездящата популация в зоната от поне 10 двойки чрез поддържане на гнездовите местообитания.</w:t>
            </w:r>
          </w:p>
        </w:tc>
      </w:tr>
      <w:tr w:rsidR="00A8783E" w:rsidRPr="00A8783E" w:rsidTr="005B5318">
        <w:trPr>
          <w:jc w:val="center"/>
        </w:trPr>
        <w:tc>
          <w:tcPr>
            <w:tcW w:w="185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Популация: </w:t>
            </w:r>
            <w:r w:rsidRPr="00A8783E">
              <w:rPr>
                <w:rFonts w:ascii="Times New Roman" w:hAnsi="Times New Roman"/>
                <w:lang w:eastAsia="bg-BG"/>
              </w:rPr>
              <w:t>Размер на мигриращата популация</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26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100 инд.</w:t>
            </w:r>
          </w:p>
        </w:tc>
        <w:tc>
          <w:tcPr>
            <w:tcW w:w="263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СФ за концентрацията на вида по време на миграция в зоната е посочена стойност от 100 инд.</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Напълно липсва информация за числеността на вида по време на миграция в зоната и в района на Сребърна.</w:t>
            </w:r>
          </w:p>
        </w:tc>
        <w:tc>
          <w:tcPr>
            <w:tcW w:w="232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Междинна цел до 2025 г.: провеждане на проучване за установяване на мигриращата численост на вида в зоната. </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благоприятно състояние на водите в зоната.</w:t>
            </w:r>
          </w:p>
        </w:tc>
      </w:tr>
      <w:tr w:rsidR="00A8783E" w:rsidRPr="00A8783E" w:rsidTr="005B5318">
        <w:trPr>
          <w:jc w:val="center"/>
        </w:trPr>
        <w:tc>
          <w:tcPr>
            <w:tcW w:w="185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6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565</w:t>
            </w:r>
          </w:p>
        </w:tc>
        <w:tc>
          <w:tcPr>
            <w:tcW w:w="263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32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гнездови местообитания на вида в защитената зона чрез поддържане на оптимално ниво на водата в езерото.</w:t>
            </w:r>
          </w:p>
        </w:tc>
      </w:tr>
      <w:tr w:rsidR="00A8783E" w:rsidRPr="00A8783E" w:rsidTr="005B5318">
        <w:trPr>
          <w:jc w:val="center"/>
        </w:trPr>
        <w:tc>
          <w:tcPr>
            <w:tcW w:w="185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6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840</w:t>
            </w:r>
          </w:p>
        </w:tc>
        <w:tc>
          <w:tcPr>
            <w:tcW w:w="263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Включва гнездовото местообитание и всички стоящи и течащи води в зоната.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 xml:space="preserve">07 и </w:t>
            </w:r>
            <w:r w:rsidRPr="00A8783E">
              <w:rPr>
                <w:rFonts w:ascii="Times New Roman" w:hAnsi="Times New Roman"/>
                <w:lang w:val="en-US" w:eastAsia="bg-BG"/>
              </w:rPr>
              <w:t>N</w:t>
            </w:r>
            <w:r w:rsidRPr="00A8783E">
              <w:rPr>
                <w:rFonts w:ascii="Times New Roman" w:hAnsi="Times New Roman"/>
                <w:lang w:eastAsia="bg-BG"/>
              </w:rPr>
              <w:t>06.</w:t>
            </w:r>
          </w:p>
        </w:tc>
        <w:tc>
          <w:tcPr>
            <w:tcW w:w="232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хранителни местообитания на вида</w:t>
            </w:r>
            <w:r w:rsidRPr="00A8783E">
              <w:rPr>
                <w:rFonts w:cs="Calibri"/>
              </w:rPr>
              <w:t xml:space="preserve"> </w:t>
            </w:r>
            <w:r w:rsidRPr="00A8783E">
              <w:rPr>
                <w:rFonts w:ascii="Times New Roman" w:hAnsi="Times New Roman"/>
                <w:lang w:eastAsia="bg-BG"/>
              </w:rPr>
              <w:t>чрез поддържане на оптимално ниво на водата в езерото.</w:t>
            </w:r>
          </w:p>
        </w:tc>
      </w:tr>
      <w:tr w:rsidR="00A8783E" w:rsidRPr="00A8783E" w:rsidTr="005B5318">
        <w:trPr>
          <w:jc w:val="center"/>
        </w:trPr>
        <w:tc>
          <w:tcPr>
            <w:tcW w:w="185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водни безгръбначни животни (</w:t>
            </w:r>
            <w:r w:rsidRPr="00A8783E">
              <w:rPr>
                <w:rFonts w:ascii="Times New Roman" w:hAnsi="Times New Roman"/>
                <w:lang w:val="en-GB" w:eastAsia="bg-BG"/>
              </w:rPr>
              <w:t>JDS</w:t>
            </w:r>
            <w:r w:rsidRPr="00A8783E">
              <w:rPr>
                <w:rFonts w:ascii="Times New Roman" w:hAnsi="Times New Roman"/>
                <w:lang w:eastAsia="bg-BG"/>
              </w:rPr>
              <w:t xml:space="preserve">4- </w:t>
            </w:r>
            <w:r w:rsidRPr="00A8783E">
              <w:rPr>
                <w:rFonts w:ascii="Times New Roman" w:hAnsi="Times New Roman"/>
                <w:lang w:val="en-US" w:eastAsia="bg-BG"/>
              </w:rPr>
              <w:t>Aqatic</w:t>
            </w:r>
            <w:r w:rsidRPr="00A8783E">
              <w:rPr>
                <w:rFonts w:ascii="Times New Roman" w:hAnsi="Times New Roman"/>
                <w:lang w:eastAsia="bg-BG"/>
              </w:rPr>
              <w:t xml:space="preserve"> </w:t>
            </w:r>
            <w:r w:rsidRPr="00A8783E">
              <w:rPr>
                <w:rFonts w:ascii="Times New Roman" w:hAnsi="Times New Roman"/>
                <w:lang w:val="en-US" w:eastAsia="bg-BG"/>
              </w:rPr>
              <w:t>macroinvertebrates</w:t>
            </w:r>
            <w:r w:rsidRPr="00A8783E">
              <w:rPr>
                <w:rFonts w:ascii="Times New Roman" w:hAnsi="Times New Roman"/>
                <w:lang w:eastAsia="bg-BG"/>
              </w:rPr>
              <w:t>)</w:t>
            </w:r>
          </w:p>
        </w:tc>
        <w:tc>
          <w:tcPr>
            <w:tcW w:w="127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26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635" w:type="dxa"/>
          </w:tcPr>
          <w:tbl>
            <w:tblPr>
              <w:tblW w:w="2640" w:type="dxa"/>
              <w:jc w:val="center"/>
              <w:tblLayout w:type="fixed"/>
              <w:tblCellMar>
                <w:left w:w="70" w:type="dxa"/>
                <w:right w:w="70" w:type="dxa"/>
              </w:tblCellMar>
              <w:tblLook w:val="00A0" w:firstRow="1" w:lastRow="0" w:firstColumn="1" w:lastColumn="0" w:noHBand="0" w:noVBand="0"/>
            </w:tblPr>
            <w:tblGrid>
              <w:gridCol w:w="2640"/>
            </w:tblGrid>
            <w:tr w:rsidR="00A8783E" w:rsidRPr="00A8783E" w:rsidTr="005B5318">
              <w:trPr>
                <w:trHeight w:val="261"/>
                <w:jc w:val="center"/>
              </w:trPr>
              <w:tc>
                <w:tcPr>
                  <w:tcW w:w="2640"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157"/>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261"/>
                <w:jc w:val="center"/>
              </w:trPr>
              <w:tc>
                <w:tcPr>
                  <w:tcW w:w="2640"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157"/>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261"/>
                <w:jc w:val="center"/>
              </w:trPr>
              <w:tc>
                <w:tcPr>
                  <w:tcW w:w="2640"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157"/>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261"/>
                <w:jc w:val="center"/>
              </w:trPr>
              <w:tc>
                <w:tcPr>
                  <w:tcW w:w="264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157"/>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261"/>
                <w:jc w:val="center"/>
              </w:trPr>
              <w:tc>
                <w:tcPr>
                  <w:tcW w:w="264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157"/>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261"/>
                <w:jc w:val="center"/>
              </w:trPr>
              <w:tc>
                <w:tcPr>
                  <w:tcW w:w="2640"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157"/>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водни безгръбначни животни (пункт при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 xml:space="preserve">4 </w:t>
            </w:r>
            <w:r w:rsidRPr="00A8783E">
              <w:rPr>
                <w:rFonts w:ascii="Times New Roman" w:hAnsi="Times New Roman"/>
                <w:lang w:eastAsia="bg-BG"/>
              </w:rPr>
              <w:lastRenderedPageBreak/>
              <w:t>(2019-2020, Табл. 1, стр. 62).</w:t>
            </w:r>
            <w:r w:rsidRPr="00A8783E">
              <w:rPr>
                <w:rFonts w:cs="Calibri"/>
              </w:rPr>
              <w:t xml:space="preserve"> </w:t>
            </w:r>
            <w:r w:rsidRPr="00A8783E">
              <w:rPr>
                <w:rFonts w:ascii="Times New Roman" w:hAnsi="Times New Roman"/>
                <w:lang w:eastAsia="bg-BG"/>
              </w:rPr>
              <w:t xml:space="preserve">Екологичното състояние на езерото Сребърна по БЕК Макрозообентос е Отлично. </w:t>
            </w:r>
          </w:p>
        </w:tc>
        <w:tc>
          <w:tcPr>
            <w:tcW w:w="2326"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lastRenderedPageBreak/>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before="119" w:after="119" w:line="240" w:lineRule="auto"/>
        <w:rPr>
          <w:rFonts w:ascii="Times New Roman" w:hAnsi="Times New Roman"/>
          <w:b/>
          <w:bCs/>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Предвид наличната информация за настоящата мигрираща численост на вида в защитената зона не е необходима актуализация на СФ.</w:t>
      </w:r>
    </w:p>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72" w:name="_Toc89106075"/>
      <w:bookmarkStart w:id="173" w:name="_Toc98741914"/>
      <w:bookmarkStart w:id="174" w:name="_Toc98838589"/>
      <w:r w:rsidRPr="00A8783E">
        <w:rPr>
          <w:rFonts w:ascii="Times New Roman" w:hAnsi="Times New Roman"/>
          <w:color w:val="1F497D"/>
          <w:sz w:val="28"/>
          <w:szCs w:val="28"/>
          <w:lang w:eastAsia="bg-BG"/>
        </w:rPr>
        <w:t xml:space="preserve">Специфични цели за А034 </w:t>
      </w:r>
      <w:r w:rsidRPr="00A8783E">
        <w:rPr>
          <w:rFonts w:ascii="Times New Roman" w:hAnsi="Times New Roman"/>
          <w:i/>
          <w:iCs/>
          <w:color w:val="1F497D"/>
          <w:sz w:val="28"/>
          <w:szCs w:val="28"/>
          <w:lang w:val="en-GB" w:eastAsia="bg-BG"/>
        </w:rPr>
        <w:t>Platalea</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GB" w:eastAsia="bg-BG"/>
        </w:rPr>
        <w:t>leucorodia</w:t>
      </w:r>
      <w:r w:rsidRPr="00A8783E">
        <w:rPr>
          <w:rFonts w:ascii="Times New Roman" w:hAnsi="Times New Roman"/>
          <w:color w:val="1F497D"/>
          <w:sz w:val="28"/>
          <w:szCs w:val="28"/>
          <w:lang w:eastAsia="bg-BG"/>
        </w:rPr>
        <w:t xml:space="preserve"> (бяла лопатарка)</w:t>
      </w:r>
      <w:bookmarkEnd w:id="172"/>
      <w:bookmarkEnd w:id="173"/>
      <w:bookmarkEnd w:id="174"/>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Дължина на тялото: 80 – 93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Размах на крилата: 120 – 135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Оперението при възрастните е бяло, с жълто петно на гърдите и характерна „грива“ на тила. Клюнът е характерен, дълъг с лопатовидно разширение на върха. Младите имат черни върхове на крилата. В полет вратът е изправен, за разлика от чаплите.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Бялата лопатарка е гнездящо-прелетен и по изключение зимуващ вид в България. Пролетната миграция е от март до края на април, а есенната – от август до края на септември (Симеонов и др., 1990). Зимува в Африка.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Бялата лопатарка обитава блата и езера с обширни тръстикови масиви, заливни и равнинни гори, речни разливи, влажни ливади, рибарници, а по време на миграции се среща и в солници, тузли, микроязовири и др. Размножителният период е от края на април до края на юни. Гнезди в самостоятелни или смесени колонии заедно с чапли, корморани и блестящи ибиси. Гнездата са разположени по-често в тръстикови масиви и храсталаци от бяла и сива върба, на бяла топола и др. (Симеонов и др., 1990). Снася 3 – 5 яйца, като има едно поколение годишно. Предпочитаните местообитания са 1130, 1150, 1160, 3130, 3150, 91D0, 91E0 и 91F0 според Директивата за хабитатите (Кавръкова и др., 2009).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Храни се с водни насекоми, ракообразни, рибки, дребни земноводни и др. (Симеонов и др., 1990).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 разпръснати гнездови находища в смесени колонии от чапли и корморани по поречието на река Дунав и в единственото сигурно находище по Черноморието - блатото Пода край Бургас (Янков отг. ред., 2007), което е част от Специално защитена зона „Комплекс Мандра-Пода“. По поречието на река Дунав гнезди предимно на острови, а по-рядко - в блата (в СЗЗ „Сребърна“, СЗЗ „Комплекс Калимок“, СЗЗ „Комплекс Беленски острови“) (</w:t>
      </w:r>
      <w:r w:rsidRPr="00A8783E">
        <w:rPr>
          <w:rFonts w:ascii="Times New Roman" w:hAnsi="Times New Roman"/>
          <w:sz w:val="24"/>
          <w:szCs w:val="24"/>
          <w:lang w:val="en-GB" w:eastAsia="bg-BG"/>
        </w:rPr>
        <w:t>Shurulinkov</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et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al</w:t>
      </w:r>
      <w:r w:rsidRPr="00A8783E">
        <w:rPr>
          <w:rFonts w:ascii="Times New Roman" w:hAnsi="Times New Roman"/>
          <w:sz w:val="24"/>
          <w:szCs w:val="24"/>
          <w:lang w:eastAsia="bg-BG"/>
        </w:rPr>
        <w:t xml:space="preserve">., 2019). В различните райони </w:t>
      </w:r>
      <w:r w:rsidRPr="00A8783E">
        <w:rPr>
          <w:rFonts w:ascii="Times New Roman" w:hAnsi="Times New Roman"/>
          <w:sz w:val="24"/>
          <w:szCs w:val="24"/>
          <w:lang w:eastAsia="bg-BG"/>
        </w:rPr>
        <w:lastRenderedPageBreak/>
        <w:t>колониите често променят своето местоположение, което води до известни колебания в разпространението.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Природозащитният статус на бялата лопатарка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е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xml:space="preserve">). Включен в </w:t>
      </w:r>
      <w:r w:rsidRPr="00A8783E">
        <w:rPr>
          <w:rFonts w:ascii="Times New Roman" w:hAnsi="Times New Roman"/>
          <w:sz w:val="24"/>
          <w:szCs w:val="24"/>
          <w:lang w:val="en-GB" w:eastAsia="bg-BG"/>
        </w:rPr>
        <w:t>SPEC</w:t>
      </w:r>
      <w:r w:rsidRPr="00A8783E">
        <w:rPr>
          <w:rFonts w:ascii="Times New Roman" w:hAnsi="Times New Roman"/>
          <w:sz w:val="24"/>
          <w:szCs w:val="24"/>
          <w:lang w:eastAsia="bg-BG"/>
        </w:rPr>
        <w:t xml:space="preserve"> 2. Включен в Червената книга на Р България (Големански ред., 2015) в категория „Критично застрашен“-</w:t>
      </w:r>
      <w:r w:rsidRPr="00A8783E">
        <w:rPr>
          <w:rFonts w:ascii="Times New Roman" w:hAnsi="Times New Roman"/>
          <w:sz w:val="24"/>
          <w:szCs w:val="24"/>
          <w:lang w:val="en-US" w:eastAsia="bg-BG"/>
        </w:rPr>
        <w:t>CR</w:t>
      </w:r>
      <w:r w:rsidRPr="00A8783E">
        <w:rPr>
          <w:rFonts w:ascii="Times New Roman" w:hAnsi="Times New Roman"/>
          <w:sz w:val="24"/>
          <w:szCs w:val="24"/>
          <w:lang w:eastAsia="bg-BG"/>
        </w:rPr>
        <w:t xml:space="preserve">. Включен е в Приложение 1 на Директивата за птиците, както и в Приложения 2 и 3 на ЗБР.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 на 80 – 150 двойки. Краткосрочната тенденция на популацията (за периода 2000 – 2018 г.) е флуктуираща, а дългосрочната (за периода 1980 – 2018 г.) – също флуктуираща. Краткосрочната тенденция на гнездящата популацията в рамките на Натура 2000 е флуктуираща.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Мигриращата национална популация (за периода 2001 – 2018 г.) е оценена на 500 – 1000 индивида.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За гнездящата и мигриращата популация са посочени следните заплахи и влияния: A31, J02, F03 и F26.</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вида е гнездящ и мигриращ. </w:t>
      </w:r>
      <w:r w:rsidRPr="00A8783E">
        <w:rPr>
          <w:rFonts w:ascii="Times New Roman" w:hAnsi="Times New Roman"/>
          <w:b/>
          <w:bCs/>
          <w:sz w:val="24"/>
          <w:szCs w:val="24"/>
          <w:lang w:eastAsia="bg-BG"/>
        </w:rPr>
        <w:t>Гнездящата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27 - 90 двойки</w:t>
      </w:r>
      <w:r w:rsidRPr="00A8783E">
        <w:rPr>
          <w:rFonts w:ascii="Times New Roman" w:hAnsi="Times New Roman"/>
          <w:sz w:val="24"/>
          <w:szCs w:val="24"/>
          <w:lang w:eastAsia="bg-BG"/>
        </w:rPr>
        <w:t>, което представлява 33,7 - 60,0 %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СФ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7 - 30 индивида,</w:t>
      </w:r>
      <w:r w:rsidRPr="00A8783E">
        <w:rPr>
          <w:rFonts w:ascii="Times New Roman" w:hAnsi="Times New Roman"/>
          <w:sz w:val="24"/>
          <w:szCs w:val="24"/>
          <w:lang w:eastAsia="bg-BG"/>
        </w:rPr>
        <w:t xml:space="preserve"> което представлява 1,4 – 3,0 %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color w:val="000000"/>
          <w:sz w:val="24"/>
          <w:szCs w:val="24"/>
          <w:lang w:eastAsia="bg-BG"/>
        </w:rPr>
      </w:pPr>
      <w:r w:rsidRPr="00A8783E">
        <w:rPr>
          <w:rFonts w:ascii="Times New Roman" w:hAnsi="Times New Roman"/>
          <w:i/>
          <w:iCs/>
          <w:color w:val="000000"/>
          <w:sz w:val="24"/>
          <w:szCs w:val="24"/>
          <w:lang w:eastAsia="bg-BG"/>
        </w:rPr>
        <w:t>Гнездяща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Малочислен, локално гнездящ вид по р. Дунав. Гнезди в смесени колонии с чапли и корморани. В миналото е гнездил предимно по Дунавското и Черноморското крайбрежие. През 1960 г. изчезва като гнездящ, след което бавно възстановява колониите си по Дунав.  Публикуваната информация за гнезденето на вида в зоната посочва през 2001 и 2002 г. съответно 24 и 20 дв. (</w:t>
      </w:r>
      <w:r w:rsidRPr="00A8783E">
        <w:rPr>
          <w:rFonts w:ascii="Times New Roman" w:hAnsi="Times New Roman"/>
          <w:color w:val="000000"/>
          <w:sz w:val="24"/>
          <w:szCs w:val="24"/>
          <w:lang w:val="en-US" w:eastAsia="bg-BG"/>
        </w:rPr>
        <w:t>Kamburova</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2003). В края на ХХ век числеността на вида е била между 10 и 15 дв., а между 2001 и 2003 г.: 20 – 24 дв. (</w:t>
      </w:r>
      <w:r w:rsidRPr="00A8783E">
        <w:rPr>
          <w:rFonts w:ascii="Times New Roman" w:hAnsi="Times New Roman"/>
          <w:color w:val="000000"/>
          <w:sz w:val="24"/>
          <w:szCs w:val="24"/>
          <w:lang w:val="en-US" w:eastAsia="bg-BG"/>
        </w:rPr>
        <w:t>Kambourova</w:t>
      </w:r>
      <w:r w:rsidRPr="00A8783E">
        <w:rPr>
          <w:rFonts w:ascii="Times New Roman" w:hAnsi="Times New Roman"/>
          <w:color w:val="000000"/>
          <w:sz w:val="24"/>
          <w:szCs w:val="24"/>
          <w:lang w:eastAsia="bg-BG"/>
        </w:rPr>
        <w:t xml:space="preserve">, 2003, 2012). В периода 2006-2014 г. числеността на лопатарката в Сребърна е следната: 2006 – 17 дв., 2010 – 25 дв., 2011 – 30 дв., 2012 – 75 дв., 2013 – 30 дв. и 2014 – 25 дв.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xml:space="preserve">., 2019). Според Матеева и др. (2013) в зоната са гнездили 60 – 90 дв. през 2012 г. Михов и др. (1997) посочва като гнездящи 6 дв., а Костадинова, Граматиков (2007) дават числености от 15 - 35 дв. През 2017 г. при проучване по р. Дунав, видът не е наблюдаван в ПР „Сребърна” (Димитров, 2018). В Актуализирания План за управление на ПР „Сребърна” (2015 г.), се посочва че видът гнезди с численост 15-20 дв. или около 13 % от националната гнездова популация. </w:t>
      </w:r>
      <w:r w:rsidRPr="00A8783E">
        <w:rPr>
          <w:rFonts w:ascii="Times New Roman" w:hAnsi="Times New Roman"/>
          <w:sz w:val="24"/>
          <w:szCs w:val="24"/>
          <w:lang w:eastAsia="bg-BG"/>
        </w:rPr>
        <w:t xml:space="preserve">При теренните проучвания през 2021 г. видът е наблюдаван многократно през месеците май и юни – 42 екз. Регистрирани са минимум 10 гнезда в три смесени колонии – в югоизточния, западния край на езерото и централната част. При цялостно проучване по </w:t>
      </w:r>
      <w:r w:rsidRPr="00A8783E">
        <w:rPr>
          <w:rFonts w:ascii="Times New Roman" w:hAnsi="Times New Roman"/>
          <w:sz w:val="24"/>
          <w:szCs w:val="24"/>
          <w:lang w:eastAsia="bg-BG"/>
        </w:rPr>
        <w:lastRenderedPageBreak/>
        <w:t>р. Дунав през м. юли 2021 г. са наблюдавани 6 птици в участъка на реката в близост до границата на защитената зона.</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Мигрираща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Липсват публикувани данни за концентрацията на вида в зоната с изключение на Михов и др. </w:t>
      </w:r>
      <w:r w:rsidRPr="00A8783E">
        <w:rPr>
          <w:rFonts w:ascii="Times New Roman" w:hAnsi="Times New Roman"/>
          <w:color w:val="000000"/>
          <w:sz w:val="24"/>
          <w:szCs w:val="24"/>
          <w:lang w:eastAsia="bg-BG"/>
        </w:rPr>
        <w:t>(1997) и Костадинова, Граматиков (2007): 7 - 30 инд. откъдето е взета числеността в СФ.</w:t>
      </w:r>
      <w:r w:rsidRPr="00A8783E">
        <w:rPr>
          <w:rFonts w:ascii="Times New Roman" w:hAnsi="Times New Roman"/>
          <w:sz w:val="24"/>
          <w:szCs w:val="24"/>
          <w:lang w:eastAsia="bg-BG"/>
        </w:rPr>
        <w:t xml:space="preserve"> При няколко годишни проучвания на мигриращите птици в района на с. Бабук (на 15 км югоизточно от ЗЗ „Сребърна”) мигриращи лопатарки са наблюдавани единствено през есента на 2007 – 17 екз. (Караиванов, непубл. данни).</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От посочените в Докладването от 2019 г. заплахи и влияния за гнездящата популация: A31, J02, F03 и F26, няма валидни заплахи за зоната.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289"/>
        <w:gridCol w:w="1262"/>
        <w:gridCol w:w="2781"/>
        <w:gridCol w:w="2322"/>
      </w:tblGrid>
      <w:tr w:rsidR="00A8783E" w:rsidRPr="00A8783E" w:rsidTr="005B5318">
        <w:trPr>
          <w:tblHeader/>
          <w:jc w:val="center"/>
        </w:trPr>
        <w:tc>
          <w:tcPr>
            <w:tcW w:w="1555"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289"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262"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781"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322"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55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гнездовата популация</w:t>
            </w:r>
          </w:p>
        </w:tc>
        <w:tc>
          <w:tcPr>
            <w:tcW w:w="1289"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26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15-90 дв. </w:t>
            </w:r>
          </w:p>
        </w:tc>
        <w:tc>
          <w:tcPr>
            <w:tcW w:w="278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настоящия СФ (актуализиран през 2018 г.) са посочени от 27 до 90 гн. дв. В резултат на извършен мониторинг в защитената зона през гнездовия период на 2021 г. са установени минимум 10 гнездящи двойки. Числеността на вида в последните 20 години силно варира. Най-ниската установена гнездова численост е 15 двойки.</w:t>
            </w:r>
          </w:p>
        </w:tc>
        <w:tc>
          <w:tcPr>
            <w:tcW w:w="232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популацията на вида в зоната в размер от  най-малко 15 гнездящи двойки чрез поддържане на подходящите места за гнездене.</w:t>
            </w:r>
          </w:p>
        </w:tc>
      </w:tr>
      <w:tr w:rsidR="00A8783E" w:rsidRPr="00A8783E" w:rsidTr="005B5318">
        <w:trPr>
          <w:jc w:val="center"/>
        </w:trPr>
        <w:tc>
          <w:tcPr>
            <w:tcW w:w="155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289"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26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7 – 30 инд.</w:t>
            </w:r>
          </w:p>
        </w:tc>
        <w:tc>
          <w:tcPr>
            <w:tcW w:w="278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 СФ за концентрацията на вида по време на миграция в зоната е посочена минимална и максимална стойност от 7 до 30 инд. </w:t>
            </w:r>
          </w:p>
        </w:tc>
        <w:tc>
          <w:tcPr>
            <w:tcW w:w="232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Междинна цел: Да се извърши целенасочен мониторинг за установяване на размера на мигриращата популация до 2025 г.</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популацията на вида, най-малко 7 инд.</w:t>
            </w:r>
          </w:p>
        </w:tc>
      </w:tr>
      <w:tr w:rsidR="00A8783E" w:rsidRPr="00A8783E" w:rsidTr="005B5318">
        <w:trPr>
          <w:jc w:val="center"/>
        </w:trPr>
        <w:tc>
          <w:tcPr>
            <w:tcW w:w="155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289"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6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най-малко 565, </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от които само тръстика са 370 ha</w:t>
            </w:r>
          </w:p>
          <w:p w:rsidR="00A8783E" w:rsidRPr="00A8783E" w:rsidRDefault="00A8783E" w:rsidP="00A8783E">
            <w:pPr>
              <w:spacing w:after="0" w:line="240" w:lineRule="auto"/>
              <w:jc w:val="both"/>
              <w:rPr>
                <w:rFonts w:ascii="Times New Roman" w:hAnsi="Times New Roman"/>
                <w:lang w:eastAsia="bg-BG"/>
              </w:rPr>
            </w:pPr>
          </w:p>
        </w:tc>
        <w:tc>
          <w:tcPr>
            <w:tcW w:w="278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32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гнездови местообитания на вида в защитената зона чрез поддържане на оптимално ниво на водата в езерото.</w:t>
            </w:r>
          </w:p>
        </w:tc>
      </w:tr>
      <w:tr w:rsidR="00A8783E" w:rsidRPr="00A8783E" w:rsidTr="005B5318">
        <w:trPr>
          <w:jc w:val="center"/>
        </w:trPr>
        <w:tc>
          <w:tcPr>
            <w:tcW w:w="155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 xml:space="preserve">Площ на </w:t>
            </w:r>
            <w:r w:rsidRPr="00A8783E">
              <w:rPr>
                <w:rFonts w:ascii="Times New Roman" w:hAnsi="Times New Roman"/>
                <w:lang w:eastAsia="bg-BG"/>
              </w:rPr>
              <w:lastRenderedPageBreak/>
              <w:t>подходящите хранителни местообитания на вида</w:t>
            </w:r>
            <w:r w:rsidRPr="00A8783E">
              <w:rPr>
                <w:rFonts w:ascii="Times New Roman" w:hAnsi="Times New Roman"/>
                <w:b/>
                <w:bCs/>
                <w:lang w:eastAsia="bg-BG"/>
              </w:rPr>
              <w:t xml:space="preserve"> </w:t>
            </w:r>
          </w:p>
        </w:tc>
        <w:tc>
          <w:tcPr>
            <w:tcW w:w="1289"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ha</w:t>
            </w:r>
          </w:p>
        </w:tc>
        <w:tc>
          <w:tcPr>
            <w:tcW w:w="126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565</w:t>
            </w:r>
          </w:p>
        </w:tc>
        <w:tc>
          <w:tcPr>
            <w:tcW w:w="278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мочурища и блата в рамките на СЗЗ. Данните </w:t>
            </w:r>
            <w:r w:rsidRPr="00A8783E">
              <w:rPr>
                <w:rFonts w:ascii="Times New Roman" w:hAnsi="Times New Roman"/>
                <w:lang w:eastAsia="bg-BG"/>
              </w:rPr>
              <w:lastRenderedPageBreak/>
              <w:t xml:space="preserve">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32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 xml:space="preserve">Поддържане и увеличаване на площта на </w:t>
            </w:r>
            <w:r w:rsidRPr="00A8783E">
              <w:rPr>
                <w:rFonts w:ascii="Times New Roman" w:hAnsi="Times New Roman"/>
                <w:lang w:eastAsia="bg-BG"/>
              </w:rPr>
              <w:lastRenderedPageBreak/>
              <w:t>подходящите гнездови местообитания на вида в защитената зона чрез поддържане на оптимално ниво на водата в езерото.</w:t>
            </w:r>
          </w:p>
        </w:tc>
      </w:tr>
      <w:tr w:rsidR="00A8783E" w:rsidRPr="00A8783E" w:rsidTr="005B5318">
        <w:trPr>
          <w:jc w:val="center"/>
        </w:trPr>
        <w:tc>
          <w:tcPr>
            <w:tcW w:w="155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водни безгръбначни животни (</w:t>
            </w:r>
            <w:r w:rsidRPr="00A8783E">
              <w:rPr>
                <w:rFonts w:ascii="Times New Roman" w:hAnsi="Times New Roman"/>
                <w:lang w:val="en-GB" w:eastAsia="bg-BG"/>
              </w:rPr>
              <w:t>JDS</w:t>
            </w:r>
            <w:r w:rsidRPr="00A8783E">
              <w:rPr>
                <w:rFonts w:ascii="Times New Roman" w:hAnsi="Times New Roman"/>
                <w:lang w:eastAsia="bg-BG"/>
              </w:rPr>
              <w:t xml:space="preserve">4- </w:t>
            </w:r>
            <w:r w:rsidRPr="00A8783E">
              <w:rPr>
                <w:rFonts w:ascii="Times New Roman" w:hAnsi="Times New Roman"/>
                <w:lang w:val="en-US" w:eastAsia="bg-BG"/>
              </w:rPr>
              <w:t>Aqatic</w:t>
            </w:r>
            <w:r w:rsidRPr="00A8783E">
              <w:rPr>
                <w:rFonts w:ascii="Times New Roman" w:hAnsi="Times New Roman"/>
                <w:lang w:eastAsia="bg-BG"/>
              </w:rPr>
              <w:t xml:space="preserve"> </w:t>
            </w:r>
            <w:r w:rsidRPr="00A8783E">
              <w:rPr>
                <w:rFonts w:ascii="Times New Roman" w:hAnsi="Times New Roman"/>
                <w:lang w:val="en-US" w:eastAsia="bg-BG"/>
              </w:rPr>
              <w:t>macroinvertebrates</w:t>
            </w:r>
            <w:r w:rsidRPr="00A8783E">
              <w:rPr>
                <w:rFonts w:ascii="Times New Roman" w:hAnsi="Times New Roman"/>
                <w:lang w:eastAsia="bg-BG"/>
              </w:rPr>
              <w:t>)</w:t>
            </w:r>
          </w:p>
        </w:tc>
        <w:tc>
          <w:tcPr>
            <w:tcW w:w="1289"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26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781" w:type="dxa"/>
          </w:tcPr>
          <w:tbl>
            <w:tblPr>
              <w:tblW w:w="3023" w:type="dxa"/>
              <w:tblInd w:w="3" w:type="dxa"/>
              <w:tblLayout w:type="fixed"/>
              <w:tblCellMar>
                <w:left w:w="70" w:type="dxa"/>
                <w:right w:w="70" w:type="dxa"/>
              </w:tblCellMar>
              <w:tblLook w:val="00A0" w:firstRow="1" w:lastRow="0" w:firstColumn="1" w:lastColumn="0" w:noHBand="0" w:noVBand="0"/>
            </w:tblPr>
            <w:tblGrid>
              <w:gridCol w:w="3023"/>
            </w:tblGrid>
            <w:tr w:rsidR="00A8783E" w:rsidRPr="00A8783E" w:rsidTr="005B5318">
              <w:trPr>
                <w:trHeight w:val="302"/>
              </w:trPr>
              <w:tc>
                <w:tcPr>
                  <w:tcW w:w="3023"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79"/>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79"/>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79"/>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79"/>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79"/>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79"/>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водни безгръбначни животни (пункт при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4 (2019-2020, табл. 1, стр 62).</w:t>
            </w:r>
            <w:r w:rsidRPr="00A8783E">
              <w:rPr>
                <w:rFonts w:cs="Calibri"/>
              </w:rPr>
              <w:t xml:space="preserve"> </w:t>
            </w:r>
            <w:r w:rsidRPr="00A8783E">
              <w:rPr>
                <w:rFonts w:ascii="Times New Roman" w:hAnsi="Times New Roman"/>
                <w:lang w:eastAsia="bg-BG"/>
              </w:rPr>
              <w:t xml:space="preserve">Екологичното състояние на езерото Сребърна по БЕК Макрозообентос е </w:t>
            </w:r>
            <w:r w:rsidRPr="00A8783E">
              <w:rPr>
                <w:rFonts w:ascii="Times New Roman" w:hAnsi="Times New Roman"/>
                <w:b/>
                <w:bCs/>
                <w:lang w:eastAsia="bg-BG"/>
              </w:rPr>
              <w:t>Отлично</w:t>
            </w:r>
            <w:r w:rsidRPr="00A8783E">
              <w:rPr>
                <w:rFonts w:ascii="Times New Roman" w:hAnsi="Times New Roman"/>
                <w:lang w:eastAsia="bg-BG"/>
              </w:rPr>
              <w:t xml:space="preserve">. </w:t>
            </w:r>
          </w:p>
        </w:tc>
        <w:tc>
          <w:tcPr>
            <w:tcW w:w="2322"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after="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lang w:eastAsia="bg-BG"/>
        </w:rPr>
        <w:t xml:space="preserve">Предвид наличната информация за настоящата </w:t>
      </w:r>
      <w:r w:rsidRPr="00A8783E">
        <w:rPr>
          <w:rFonts w:ascii="Times New Roman" w:hAnsi="Times New Roman"/>
          <w:b/>
          <w:bCs/>
          <w:sz w:val="24"/>
          <w:szCs w:val="24"/>
          <w:lang w:eastAsia="bg-BG"/>
        </w:rPr>
        <w:t>гнездова</w:t>
      </w:r>
      <w:r w:rsidRPr="00A8783E">
        <w:rPr>
          <w:rFonts w:ascii="Times New Roman" w:hAnsi="Times New Roman"/>
          <w:sz w:val="24"/>
          <w:szCs w:val="24"/>
          <w:lang w:eastAsia="bg-BG"/>
        </w:rPr>
        <w:t xml:space="preserve"> численост на вида в защитената зона е необходима актуализация на СФ: </w:t>
      </w:r>
      <w:r w:rsidRPr="00A8783E">
        <w:rPr>
          <w:rFonts w:ascii="Times New Roman" w:hAnsi="Times New Roman"/>
          <w:sz w:val="24"/>
          <w:szCs w:val="24"/>
        </w:rPr>
        <w:t>По отношение на гнездящата популация предлагаме промяна в числеността на 15 – 90 двойки, предвид най-ниската установена гнездова численост от 15 двойки.</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lang w:eastAsia="bg-BG"/>
        </w:rPr>
        <w:t xml:space="preserve">Предвид наличната информация за настоящата </w:t>
      </w:r>
      <w:r w:rsidRPr="00A8783E">
        <w:rPr>
          <w:rFonts w:ascii="Times New Roman" w:hAnsi="Times New Roman"/>
          <w:b/>
          <w:bCs/>
          <w:sz w:val="24"/>
          <w:szCs w:val="24"/>
          <w:lang w:eastAsia="bg-BG"/>
        </w:rPr>
        <w:t>мигрираща</w:t>
      </w:r>
      <w:r w:rsidRPr="00A8783E">
        <w:rPr>
          <w:rFonts w:ascii="Times New Roman" w:hAnsi="Times New Roman"/>
          <w:sz w:val="24"/>
          <w:szCs w:val="24"/>
          <w:lang w:eastAsia="bg-BG"/>
        </w:rPr>
        <w:t xml:space="preserve"> численост на вида в защитената зона е необходима актуализация на СФ: </w:t>
      </w:r>
      <w:r w:rsidRPr="00A8783E">
        <w:rPr>
          <w:rFonts w:ascii="Times New Roman" w:hAnsi="Times New Roman"/>
          <w:sz w:val="24"/>
          <w:szCs w:val="24"/>
        </w:rPr>
        <w:t>По отношение на мигриращата популация предлагаме промяна в значението на зоната за националната мигрираща популация на вида от категория „А“ в категория „В“, тъй като мигрира с числености до 3 % от националната мигрираща популация на 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175"/>
        <w:gridCol w:w="175"/>
        <w:gridCol w:w="572"/>
        <w:gridCol w:w="605"/>
        <w:gridCol w:w="594"/>
        <w:gridCol w:w="578"/>
        <w:gridCol w:w="839"/>
        <w:gridCol w:w="950"/>
        <w:gridCol w:w="622"/>
        <w:gridCol w:w="522"/>
        <w:gridCol w:w="578"/>
      </w:tblGrid>
      <w:tr w:rsidR="00A8783E" w:rsidRPr="00A8783E" w:rsidTr="005B5318">
        <w:trPr>
          <w:jc w:val="center"/>
        </w:trPr>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Species</w:t>
            </w:r>
          </w:p>
        </w:tc>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Code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Scientific Name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NP</w:t>
            </w:r>
          </w:p>
        </w:tc>
        <w:tc>
          <w:tcPr>
            <w:tcW w:w="0" w:type="auto"/>
            <w:gridSpan w:val="2"/>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T</w:t>
            </w:r>
          </w:p>
        </w:tc>
        <w:tc>
          <w:tcPr>
            <w:tcW w:w="0" w:type="auto"/>
            <w:gridSpan w:val="2"/>
            <w:shd w:val="clear" w:color="auto" w:fill="D9D9D9"/>
            <w:vAlign w:val="center"/>
          </w:tcPr>
          <w:p w:rsidR="00A8783E" w:rsidRPr="00A8783E" w:rsidRDefault="00A8783E" w:rsidP="00A8783E">
            <w:pPr>
              <w:spacing w:after="0" w:line="240" w:lineRule="auto"/>
              <w:jc w:val="center"/>
              <w:rPr>
                <w:rFonts w:ascii="Times New Roman" w:hAnsi="Times New Roman"/>
                <w:b/>
                <w:bCs/>
                <w:sz w:val="20"/>
                <w:szCs w:val="20"/>
                <w:lang w:eastAsia="en-GB"/>
              </w:rPr>
            </w:pPr>
            <w:r w:rsidRPr="00A8783E">
              <w:rPr>
                <w:rFonts w:ascii="Times New Roman" w:hAnsi="Times New Roman"/>
                <w:b/>
                <w:bCs/>
                <w:sz w:val="20"/>
                <w:szCs w:val="20"/>
                <w:lang w:eastAsia="en-GB"/>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D.qual.</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Iso.</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Glo.</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en-GB"/>
              </w:rPr>
              <w:t>В</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bg-BG"/>
              </w:rPr>
              <w:t>A034</w:t>
            </w:r>
          </w:p>
        </w:tc>
        <w:tc>
          <w:tcPr>
            <w:tcW w:w="0" w:type="auto"/>
            <w:vAlign w:val="center"/>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val="en-US" w:eastAsia="bg-BG"/>
              </w:rPr>
            </w:pPr>
            <w:r w:rsidRPr="00A8783E">
              <w:rPr>
                <w:rFonts w:ascii="Times New Roman" w:hAnsi="Times New Roman"/>
                <w:i/>
                <w:iCs/>
                <w:color w:val="000000"/>
                <w:sz w:val="20"/>
                <w:szCs w:val="20"/>
                <w:lang w:val="en-US" w:eastAsia="bg-BG"/>
              </w:rPr>
              <w:t>Platalea leucorodia</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gridSpan w:val="2"/>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r</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eastAsia="bg-BG"/>
              </w:rPr>
              <w:t>15</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bg-BG"/>
              </w:rPr>
              <w:t>90</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color w:val="000000"/>
                <w:sz w:val="20"/>
                <w:szCs w:val="20"/>
                <w:lang w:val="en-US" w:eastAsia="bg-BG"/>
              </w:rPr>
              <w:t>p</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sz w:val="20"/>
                <w:szCs w:val="20"/>
                <w:lang w:eastAsia="bg-BG"/>
              </w:rPr>
              <w:t>А</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en-GB"/>
              </w:rPr>
              <w:t>В</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bg-BG"/>
              </w:rPr>
              <w:t>A034</w:t>
            </w:r>
          </w:p>
        </w:tc>
        <w:tc>
          <w:tcPr>
            <w:tcW w:w="0" w:type="auto"/>
            <w:vAlign w:val="center"/>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val="en-US" w:eastAsia="bg-BG"/>
              </w:rPr>
            </w:pPr>
            <w:r w:rsidRPr="00A8783E">
              <w:rPr>
                <w:rFonts w:ascii="Times New Roman" w:hAnsi="Times New Roman"/>
                <w:i/>
                <w:iCs/>
                <w:color w:val="000000"/>
                <w:sz w:val="20"/>
                <w:szCs w:val="20"/>
                <w:lang w:val="en-US" w:eastAsia="bg-BG"/>
              </w:rPr>
              <w:t>Platalea leucorodia</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gridSpan w:val="2"/>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с</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bg-BG"/>
              </w:rPr>
              <w:t>7</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bg-BG"/>
              </w:rPr>
              <w:t>30</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color w:val="000000"/>
                <w:sz w:val="20"/>
                <w:szCs w:val="20"/>
                <w:lang w:val="en-US" w:eastAsia="bg-BG"/>
              </w:rPr>
              <w:t>i</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eastAsia="bg-BG"/>
              </w:rPr>
              <w:t>В</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r>
    </w:tbl>
    <w:p w:rsidR="00A8783E" w:rsidRPr="00A8783E" w:rsidRDefault="00A8783E" w:rsidP="00A8783E">
      <w:pPr>
        <w:spacing w:after="160" w:line="259" w:lineRule="auto"/>
        <w:rPr>
          <w:lang w:val="en-US"/>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75" w:name="_Toc89106076"/>
      <w:bookmarkStart w:id="176" w:name="_Toc98741915"/>
      <w:bookmarkStart w:id="177" w:name="_Toc98838590"/>
      <w:r w:rsidRPr="00A8783E">
        <w:rPr>
          <w:rFonts w:ascii="Times New Roman" w:hAnsi="Times New Roman"/>
          <w:color w:val="1F497D"/>
          <w:sz w:val="28"/>
          <w:szCs w:val="28"/>
          <w:lang w:eastAsia="bg-BG"/>
        </w:rPr>
        <w:t>Специфични цели за А</w:t>
      </w:r>
      <w:r w:rsidRPr="00A8783E">
        <w:rPr>
          <w:rFonts w:ascii="Times New Roman" w:hAnsi="Times New Roman"/>
          <w:color w:val="1F497D"/>
          <w:sz w:val="28"/>
          <w:szCs w:val="28"/>
          <w:lang w:val="ru-RU" w:eastAsia="bg-BG"/>
        </w:rPr>
        <w:t>03</w:t>
      </w:r>
      <w:r w:rsidRPr="00A8783E">
        <w:rPr>
          <w:rFonts w:ascii="Times New Roman" w:hAnsi="Times New Roman"/>
          <w:color w:val="1F497D"/>
          <w:sz w:val="28"/>
          <w:szCs w:val="28"/>
          <w:lang w:eastAsia="bg-BG"/>
        </w:rPr>
        <w:t>6</w:t>
      </w:r>
      <w:r w:rsidRPr="00A8783E">
        <w:rPr>
          <w:rFonts w:ascii="Times New Roman" w:hAnsi="Times New Roman"/>
          <w:color w:val="1F497D"/>
          <w:sz w:val="28"/>
          <w:szCs w:val="28"/>
          <w:lang w:val="ru-RU" w:eastAsia="bg-BG"/>
        </w:rPr>
        <w:t xml:space="preserve"> </w:t>
      </w:r>
      <w:r w:rsidRPr="00A8783E">
        <w:rPr>
          <w:rFonts w:ascii="Times New Roman" w:hAnsi="Times New Roman"/>
          <w:i/>
          <w:iCs/>
          <w:color w:val="1F497D"/>
          <w:sz w:val="28"/>
          <w:szCs w:val="28"/>
          <w:lang w:eastAsia="bg-BG"/>
        </w:rPr>
        <w:t>Cygnus olor</w:t>
      </w:r>
      <w:r w:rsidRPr="00A8783E">
        <w:rPr>
          <w:rFonts w:ascii="Times New Roman" w:hAnsi="Times New Roman"/>
          <w:color w:val="1F497D"/>
          <w:sz w:val="28"/>
          <w:szCs w:val="28"/>
          <w:lang w:val="ru-RU" w:eastAsia="bg-BG"/>
        </w:rPr>
        <w:t xml:space="preserve"> (</w:t>
      </w:r>
      <w:r w:rsidRPr="00A8783E">
        <w:rPr>
          <w:rFonts w:ascii="Times New Roman" w:hAnsi="Times New Roman"/>
          <w:color w:val="1F497D"/>
          <w:sz w:val="28"/>
          <w:szCs w:val="28"/>
          <w:lang w:eastAsia="bg-BG"/>
        </w:rPr>
        <w:t>ням лебед</w:t>
      </w:r>
      <w:r w:rsidRPr="00A8783E">
        <w:rPr>
          <w:rFonts w:ascii="Times New Roman" w:hAnsi="Times New Roman"/>
          <w:color w:val="1F497D"/>
          <w:sz w:val="28"/>
          <w:szCs w:val="28"/>
          <w:lang w:val="ru-RU" w:eastAsia="bg-BG"/>
        </w:rPr>
        <w:t>)</w:t>
      </w:r>
      <w:bookmarkEnd w:id="175"/>
      <w:bookmarkEnd w:id="176"/>
      <w:bookmarkEnd w:id="177"/>
    </w:p>
    <w:p w:rsidR="00A8783E" w:rsidRPr="00A8783E" w:rsidRDefault="00A8783E" w:rsidP="00A8783E">
      <w:pPr>
        <w:spacing w:before="120" w:after="120" w:line="240" w:lineRule="auto"/>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 xml:space="preserve">Дължината на тялото 140-160 cm, а размахът на крилата – 200-240 cm. Оперението е изцяло бяло. Клюнът е червен, в основата си черен. Краката са черни. Няма полов диморфизъм, но се наблюдава възрастов. Младите индивиди са сивокафяви, със сив клюн с черна основа. От водата излита тежко, набирайки скорост с продължително разбягване по водната повърхност. При летенето се чува ясен звук от размахването на крилата.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Немият лебед у нас е гнездящ, постоянен вид, а също преминаващ по време на миграция и зимуващ. През зимата големи ята от този вид долитат от север и се концентрират главно по Черноморското крайбрежие, р. Дунав и някои от по-големите вътрешни водоеми. Пролетната миграция е от февруари до средата на април. Есенната миграция е от септември до декември. Най-често мигрира на семейни групи, но често в районите на зимуване формира големи ята, обикновено смесени с патици и лиски.</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Гнездовото местообитание е водната растителност (тръстика, папур, камъш) в и по периферията на блата, езера, язовири, рибарници, изоставени баластриери и стари речни корита. По-рядък е в крайбрежната водна растителност на по-големи бавно течащи реки. Гнезди главно в сладководни и по-рядко бракични водоеми. Понякога гнезди и в почти напълно обрасли с водна растителност водоеми, дори и с малки размери. По време на миграция и зимуване се среща и в бързотечащи реки, в плитководни участъци на р. Дунав, в лагуни, солени езера, както и в морето. Подходящи местообитания за гнездене са 3140, 3150 и 3270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Храни се главно с водна растителност – най-вече водорасли, включително и семена по дъното. В малки количества яде и водни безгръбначни – ракообразни, насекоми и мекотели. Понякога се храни и из посеви със зимна пшеница и други култури (Cramp </w:t>
      </w:r>
      <w:r w:rsidRPr="00A8783E">
        <w:rPr>
          <w:rFonts w:ascii="Times New Roman" w:hAnsi="Times New Roman"/>
          <w:sz w:val="24"/>
          <w:szCs w:val="24"/>
          <w:lang w:val="en-US" w:eastAsia="bg-BG"/>
        </w:rPr>
        <w:t>and</w:t>
      </w:r>
      <w:r w:rsidRPr="00A8783E">
        <w:rPr>
          <w:rFonts w:ascii="Times New Roman" w:hAnsi="Times New Roman"/>
          <w:sz w:val="24"/>
          <w:szCs w:val="24"/>
          <w:lang w:eastAsia="bg-BG"/>
        </w:rPr>
        <w:t xml:space="preserve"> Simmons eds., 1977)</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Като гнездящ вид е рядък, разпространен по Дунавските езера, блата и рибарници, по езерата по Черноморското крайбрежие, в редица обрасли с водна растителност рибарници и язовири в Горнотракийската низина, както и в малък брой подобни водоеми в Дунавската равнина, включително и в стари речни корита (Янков ред., 2007; Дерелиев, Иванов, 2015; Даскалова и Шурулинков, 2020; П. Шурулинков, Р. Цонев – непубликувани данни). Според Червената книга на България (Големански ред., 2015) у нас гнездят 12-36 дв. с тенденция на увеличение. Понастоящем числеността на вида у нас е в рамките на 80-120 двойки. Според докладването по чл. 12 от 2019 г. гнездовата популация се оценява на 20-50 двойки, което вече не е актуално. Тенденцията и в числеността и в разпространението е положителна. В докладването е посочено, че краткосрочната тенденция на разпространението на вида у нас (2000-2018 г.) е стабилна, но всъщност и тя показва увеличение. За този период немият лебед се появи в редица нови локалитети главно в Горнотракийската низина и Дунавската равнина (Shurulinkov et al., 2019; Даскалова и Шурулинков, 2020).</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Немият лебед зимува в цялата страна, във водоеми под 1200 </w:t>
      </w:r>
      <w:r w:rsidRPr="00A8783E">
        <w:rPr>
          <w:rFonts w:ascii="Times New Roman" w:hAnsi="Times New Roman"/>
          <w:sz w:val="24"/>
          <w:szCs w:val="24"/>
          <w:lang w:val="en-US" w:eastAsia="bg-BG"/>
        </w:rPr>
        <w:t>m</w:t>
      </w:r>
      <w:r w:rsidRPr="00A8783E">
        <w:rPr>
          <w:rFonts w:ascii="Times New Roman" w:hAnsi="Times New Roman"/>
          <w:sz w:val="24"/>
          <w:szCs w:val="24"/>
          <w:lang w:eastAsia="bg-BG"/>
        </w:rPr>
        <w:t xml:space="preserve"> н.в. Най-значителните зимни концентрации са по брега на Черно море и в крайморските езера –Поморийско, </w:t>
      </w:r>
      <w:r w:rsidRPr="00A8783E">
        <w:rPr>
          <w:rFonts w:ascii="Times New Roman" w:hAnsi="Times New Roman"/>
          <w:sz w:val="24"/>
          <w:szCs w:val="24"/>
          <w:lang w:eastAsia="bg-BG"/>
        </w:rPr>
        <w:lastRenderedPageBreak/>
        <w:t>Атанасовско, яз. Мандра, ез. Дуранкулак, Шабленска тузла и др. Ята от по 10-50 екз. зимуват и във редица вътрешни язовири и поречията на реките Марица, Янтра, Тунджа, Огоста, Искър, Вит и др. Числеността на зимуващите у нас неми лебеди според Докладването по чл.12 е 1000-4100 екз. Няма ясна тенденция, числеността е флуктуираща. През по-сурови зими броят на зимуващите лебеди е значително по-висок отколкото при меки зими.</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По време на миграция немият лебед също може да се срещне из водоеми в цялата страна. Според докладването по чл.12 понастоящем миграционната численост на вида е в рамките на 500-1200 инд. Всъщност няма никакви системни и стандартизирани проучвания в това направление и числеността по време на миграция остава неизвестна.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В Червената книга (Дерелиев, Иванов 2015) са посочени като заплахи отравянето с оловни съчми и тежести, безпокойство, отстрел, унищожаване и деградация на местообитания. замърсяването на влажните зони, преследване в рибни стопанства и др. Често пъти местообитанията се засягат от умишлени пожари в тръстиковите и папурови масиви. Отрицателно въздействие оказват и осушаването на влажни зони –особено рибарници и язовири, което понякога се случва дори и през гнездовия период на птиците. Сред естествените лимитиращи фактори са масовите случаи на разпространение на птичи грип при немия лебед в някои години и гибелта на индивиди поради тежки зимни условия.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вида е гнездящ, мигриращ и зимуващ. </w:t>
      </w:r>
      <w:r w:rsidRPr="00A8783E">
        <w:rPr>
          <w:rFonts w:ascii="Times New Roman" w:hAnsi="Times New Roman"/>
          <w:b/>
          <w:bCs/>
          <w:sz w:val="24"/>
          <w:szCs w:val="24"/>
          <w:lang w:eastAsia="bg-BG"/>
        </w:rPr>
        <w:t>Гнездящата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10 до 13 двойки</w:t>
      </w:r>
      <w:r w:rsidRPr="00A8783E">
        <w:rPr>
          <w:rFonts w:ascii="Times New Roman" w:hAnsi="Times New Roman"/>
          <w:sz w:val="24"/>
          <w:szCs w:val="24"/>
          <w:lang w:eastAsia="bg-BG"/>
        </w:rPr>
        <w:t xml:space="preserve">, което е 26,0 – 50,0 % от националната популация (оценка „С“). Опазването на вида е отлично (оценка „А“), популацията не е изолирана </w:t>
      </w:r>
      <w:r w:rsidRPr="00A8783E">
        <w:rPr>
          <w:rFonts w:ascii="Times New Roman" w:hAnsi="Times New Roman"/>
          <w:color w:val="000000"/>
          <w:sz w:val="24"/>
          <w:szCs w:val="24"/>
          <w:lang w:eastAsia="bg-BG"/>
        </w:rPr>
        <w:t xml:space="preserve">в рамките на разширен ареал (оценка „С“). </w:t>
      </w:r>
      <w:r w:rsidRPr="00A8783E">
        <w:rPr>
          <w:rFonts w:ascii="Times New Roman" w:hAnsi="Times New Roman"/>
          <w:sz w:val="24"/>
          <w:szCs w:val="24"/>
          <w:lang w:eastAsia="bg-BG"/>
        </w:rPr>
        <w:t>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до 8 индивида</w:t>
      </w:r>
      <w:r w:rsidRPr="00A8783E">
        <w:rPr>
          <w:rFonts w:ascii="Times New Roman" w:hAnsi="Times New Roman"/>
          <w:sz w:val="24"/>
          <w:szCs w:val="24"/>
          <w:lang w:eastAsia="bg-BG"/>
        </w:rPr>
        <w:t xml:space="preserve">, което е 0,7 – 1,6 % от националната популация (оценка „С“). Опазването на вида е отлично (оценка „А“), популацията не е изолирана </w:t>
      </w:r>
      <w:r w:rsidRPr="00A8783E">
        <w:rPr>
          <w:rFonts w:ascii="Times New Roman" w:hAnsi="Times New Roman"/>
          <w:color w:val="000000"/>
          <w:sz w:val="24"/>
          <w:szCs w:val="24"/>
          <w:lang w:eastAsia="bg-BG"/>
        </w:rPr>
        <w:t xml:space="preserve">в рамките на разширен ареал (оценка „С“). </w:t>
      </w:r>
      <w:r w:rsidRPr="00A8783E">
        <w:rPr>
          <w:rFonts w:ascii="Times New Roman" w:hAnsi="Times New Roman"/>
          <w:sz w:val="24"/>
          <w:szCs w:val="24"/>
          <w:lang w:eastAsia="bg-BG"/>
        </w:rPr>
        <w:t>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color w:val="000000"/>
          <w:sz w:val="24"/>
          <w:szCs w:val="24"/>
          <w:lang w:eastAsia="bg-BG"/>
        </w:rPr>
      </w:pPr>
      <w:r w:rsidRPr="00A8783E">
        <w:rPr>
          <w:rFonts w:ascii="Times New Roman" w:hAnsi="Times New Roman"/>
          <w:color w:val="000000"/>
          <w:sz w:val="24"/>
          <w:szCs w:val="24"/>
          <w:lang w:eastAsia="bg-BG"/>
        </w:rPr>
        <w:t xml:space="preserve">Според СФ </w:t>
      </w:r>
      <w:r w:rsidRPr="00A8783E">
        <w:rPr>
          <w:rFonts w:ascii="Times New Roman" w:hAnsi="Times New Roman"/>
          <w:b/>
          <w:bCs/>
          <w:color w:val="000000"/>
          <w:sz w:val="24"/>
          <w:szCs w:val="24"/>
          <w:lang w:eastAsia="bg-BG"/>
        </w:rPr>
        <w:t>зимуващата</w:t>
      </w:r>
      <w:r w:rsidRPr="00A8783E">
        <w:rPr>
          <w:rFonts w:ascii="Times New Roman" w:hAnsi="Times New Roman"/>
          <w:color w:val="000000"/>
          <w:sz w:val="24"/>
          <w:szCs w:val="24"/>
          <w:lang w:eastAsia="bg-BG"/>
        </w:rPr>
        <w:t xml:space="preserve"> популация на вида се оценява на </w:t>
      </w:r>
      <w:r w:rsidRPr="00A8783E">
        <w:rPr>
          <w:rFonts w:ascii="Times New Roman" w:hAnsi="Times New Roman"/>
          <w:b/>
          <w:bCs/>
          <w:color w:val="000000"/>
          <w:sz w:val="24"/>
          <w:szCs w:val="24"/>
          <w:lang w:eastAsia="bg-BG"/>
        </w:rPr>
        <w:t>до 50 индивида</w:t>
      </w:r>
      <w:r w:rsidRPr="00A8783E">
        <w:rPr>
          <w:rFonts w:ascii="Times New Roman" w:hAnsi="Times New Roman"/>
          <w:color w:val="000000"/>
          <w:sz w:val="24"/>
          <w:szCs w:val="24"/>
          <w:lang w:eastAsia="bg-BG"/>
        </w:rPr>
        <w:t>, което е 1,2 - 5,0 % от националната зимуваща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autoSpaceDE w:val="0"/>
        <w:autoSpaceDN w:val="0"/>
        <w:adjustRightInd w:val="0"/>
        <w:spacing w:before="120" w:after="120" w:line="240" w:lineRule="auto"/>
        <w:jc w:val="both"/>
        <w:rPr>
          <w:rFonts w:ascii="Times New Roman" w:eastAsia="MinionPro-Regular" w:hAnsi="Times New Roman"/>
          <w:i/>
          <w:iCs/>
          <w:sz w:val="24"/>
          <w:szCs w:val="24"/>
          <w:lang w:eastAsia="bg-BG"/>
        </w:rPr>
      </w:pPr>
      <w:r w:rsidRPr="00A8783E">
        <w:rPr>
          <w:rFonts w:ascii="Times New Roman" w:eastAsia="MinionPro-Regular" w:hAnsi="Times New Roman"/>
          <w:i/>
          <w:iCs/>
          <w:sz w:val="24"/>
          <w:szCs w:val="24"/>
          <w:lang w:eastAsia="bg-BG"/>
        </w:rPr>
        <w:t>Гнездяща популация</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eastAsia="MinionPro-Regular" w:hAnsi="Times New Roman"/>
          <w:sz w:val="24"/>
          <w:szCs w:val="24"/>
          <w:lang w:eastAsia="bg-BG"/>
        </w:rPr>
        <w:t xml:space="preserve">Рядък гнездящ вид, установен в 11 влажни зони по Дунав. Най важното гнездовище е Сребърна. </w:t>
      </w:r>
      <w:r w:rsidRPr="00A8783E">
        <w:rPr>
          <w:rFonts w:ascii="Times New Roman" w:hAnsi="Times New Roman"/>
          <w:color w:val="000000"/>
          <w:sz w:val="24"/>
          <w:szCs w:val="24"/>
          <w:lang w:eastAsia="bg-BG"/>
        </w:rPr>
        <w:t>През 2001 и 2002 г. видът гнезди с численост от 5 дв. (</w:t>
      </w:r>
      <w:r w:rsidRPr="00A8783E">
        <w:rPr>
          <w:rFonts w:ascii="Times New Roman" w:hAnsi="Times New Roman"/>
          <w:color w:val="000000"/>
          <w:sz w:val="24"/>
          <w:szCs w:val="24"/>
          <w:lang w:val="en-US" w:eastAsia="bg-BG"/>
        </w:rPr>
        <w:t>Kamburova</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2003). В края на ХХ век числеността на вида е била между 1 и 10 дв., а между 2001 и 2003 г.: 4 – 5 дв. (</w:t>
      </w:r>
      <w:r w:rsidRPr="00A8783E">
        <w:rPr>
          <w:rFonts w:ascii="Times New Roman" w:hAnsi="Times New Roman"/>
          <w:color w:val="000000"/>
          <w:sz w:val="24"/>
          <w:szCs w:val="24"/>
          <w:lang w:val="en-US" w:eastAsia="bg-BG"/>
        </w:rPr>
        <w:t>Kambourova</w:t>
      </w:r>
      <w:r w:rsidRPr="00A8783E">
        <w:rPr>
          <w:rFonts w:ascii="Times New Roman" w:hAnsi="Times New Roman"/>
          <w:color w:val="000000"/>
          <w:sz w:val="24"/>
          <w:szCs w:val="24"/>
          <w:lang w:eastAsia="bg-BG"/>
        </w:rPr>
        <w:t xml:space="preserve">, 2003, 2012). В периода 2006-2014 г. числеността на лебедите в Сребърна е между 3 и 15 дв.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xml:space="preserve">., 2019). Според Матеева и др. (2013) в зоната са гнездили минимум 5 дв. през 2012 г. Михов и др. (1997) и Костадинова, Граматиков (2007) не дават числености на вида в зоната. През 2017 г. при проучване по р. Дунав, видът е наблюдаван в ПР „Сребърна” с 23 индивида (Димитров, 2018). В Актуализирания План за управление на ПР „Сребърна” (2015 г.), се посочва че видът гнезди с численост 15-17 дв. или около 34 % от националната гнездова </w:t>
      </w:r>
      <w:r w:rsidRPr="00A8783E">
        <w:rPr>
          <w:rFonts w:ascii="Times New Roman" w:hAnsi="Times New Roman"/>
          <w:color w:val="000000"/>
          <w:sz w:val="24"/>
          <w:szCs w:val="24"/>
          <w:lang w:eastAsia="bg-BG"/>
        </w:rPr>
        <w:lastRenderedPageBreak/>
        <w:t xml:space="preserve">популация. </w:t>
      </w:r>
      <w:r w:rsidRPr="00A8783E">
        <w:rPr>
          <w:rFonts w:ascii="Times New Roman" w:hAnsi="Times New Roman"/>
          <w:sz w:val="24"/>
          <w:szCs w:val="24"/>
          <w:lang w:eastAsia="bg-BG"/>
        </w:rPr>
        <w:t xml:space="preserve">При теренните проучвания през 2021 г. видът е наблюдаван многократно през месеците май и юни – общо 177 екз. При обхождането на резервата на 23.06.2021 за един ден са преброени 107 птици. Регистрирани са 6 дв. с малки (средно 6 малки на двойка), но вероятно броя на гнездящите двойки е по-голям. </w:t>
      </w:r>
    </w:p>
    <w:p w:rsidR="00A8783E" w:rsidRPr="00A8783E" w:rsidRDefault="00A8783E" w:rsidP="00A8783E">
      <w:pPr>
        <w:autoSpaceDE w:val="0"/>
        <w:autoSpaceDN w:val="0"/>
        <w:adjustRightInd w:val="0"/>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Мигрираща и зимуваща популация</w:t>
      </w:r>
    </w:p>
    <w:p w:rsidR="00A8783E" w:rsidRPr="00A8783E" w:rsidRDefault="00A8783E" w:rsidP="00A8783E">
      <w:pPr>
        <w:autoSpaceDE w:val="0"/>
        <w:autoSpaceDN w:val="0"/>
        <w:adjustRightInd w:val="0"/>
        <w:spacing w:before="120" w:after="120" w:line="240" w:lineRule="auto"/>
        <w:jc w:val="both"/>
        <w:rPr>
          <w:rFonts w:ascii="Times New Roman" w:hAnsi="Times New Roman"/>
          <w:color w:val="000000"/>
          <w:sz w:val="24"/>
          <w:szCs w:val="24"/>
          <w:lang w:eastAsia="bg-BG"/>
        </w:rPr>
      </w:pPr>
      <w:r w:rsidRPr="00A8783E">
        <w:rPr>
          <w:rFonts w:ascii="Times New Roman" w:eastAsia="MinionPro-Regular" w:hAnsi="Times New Roman"/>
          <w:sz w:val="24"/>
          <w:szCs w:val="24"/>
          <w:lang w:eastAsia="bg-BG"/>
        </w:rPr>
        <w:t xml:space="preserve">По време на миграциите и зимуването е по-чест. Обикновено пристига по водоемите в района след по-големи застудявания – обикновено в края на ноември-началото на декември. Зимува с по-голяма численост при по-студени зими и остава до края на март-средата на април (Шурулинков, 2005). </w:t>
      </w:r>
      <w:r w:rsidRPr="00A8783E">
        <w:rPr>
          <w:rFonts w:ascii="Times New Roman" w:hAnsi="Times New Roman"/>
          <w:color w:val="000000"/>
          <w:sz w:val="24"/>
          <w:szCs w:val="24"/>
          <w:lang w:eastAsia="bg-BG"/>
        </w:rPr>
        <w:t xml:space="preserve">Мигрира по цялото поречие на р. Дунав. </w:t>
      </w:r>
      <w:r w:rsidRPr="00A8783E">
        <w:rPr>
          <w:rFonts w:ascii="Times New Roman" w:hAnsi="Times New Roman"/>
          <w:sz w:val="24"/>
          <w:szCs w:val="24"/>
          <w:lang w:eastAsia="bg-BG"/>
        </w:rPr>
        <w:t xml:space="preserve">Иванов (1979) посочва че Сребърна е единственото зимовище покрай р. Дунав у нас. Най-висока численост е отбелязана през януари 1977 г. – 348 птици. През декември 1977 и януари 1978 г. са регистрирани съответно 80 и 66 птици. </w:t>
      </w:r>
      <w:r w:rsidRPr="00A8783E">
        <w:rPr>
          <w:rFonts w:ascii="Times New Roman" w:hAnsi="Times New Roman"/>
          <w:color w:val="000000"/>
          <w:sz w:val="24"/>
          <w:szCs w:val="24"/>
          <w:lang w:eastAsia="bg-BG"/>
        </w:rPr>
        <w:t xml:space="preserve">През зимните месеци от 1984 до 2005 в участъка Сомовит – Силистра числеността на лебедите варира между 1 и 132 инд. При средно-зимните преброявания в ез. Сребърна между 2013 и 2018 г. са отчетени зимуващи лебеди през 2016 – 150 птици и 2018 – 95 екз. При средно-зимното преброяване през 2019 г. не са наблюдавани птици, а през 2020 – са отчетени 220 птици в участъка на р. Дунав в границите на зоната. Видът не зимува ежегодно в зоната и в ез. Сребърна, но през някои години се среща със значителна численост. </w:t>
      </w:r>
      <w:r w:rsidRPr="00A8783E">
        <w:rPr>
          <w:rFonts w:ascii="Times New Roman" w:hAnsi="Times New Roman"/>
          <w:sz w:val="24"/>
          <w:szCs w:val="24"/>
          <w:lang w:eastAsia="bg-BG"/>
        </w:rPr>
        <w:t xml:space="preserve">Числености за вероятно мигриращи птици в Сребърна през месеците октомври и март съобщава Иванов (1979). През март 1976 г. – 42 птици, март 1977 г. – 120 птици и март 1978 г. – 67 птици. През октомври техния брой е значително по-малък – през 1976 г. – 7 екз. и 1977 г. – 1 екз. По-конкретни данни през последните години за числеността на вида по време на миграция липсват.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 xml:space="preserve">От заплахите за вида, валидни за зоната са </w:t>
      </w:r>
      <w:r w:rsidRPr="00A8783E">
        <w:rPr>
          <w:rFonts w:ascii="Times New Roman" w:hAnsi="Times New Roman"/>
          <w:sz w:val="24"/>
          <w:szCs w:val="24"/>
          <w:lang w:eastAsia="bg-BG"/>
        </w:rPr>
        <w:t xml:space="preserve">оказват основно безпокойството.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5"/>
        <w:gridCol w:w="1418"/>
        <w:gridCol w:w="1276"/>
        <w:gridCol w:w="2680"/>
        <w:gridCol w:w="2258"/>
      </w:tblGrid>
      <w:tr w:rsidR="00A8783E" w:rsidRPr="00A8783E" w:rsidTr="005B5318">
        <w:trPr>
          <w:tblHeader/>
          <w:jc w:val="center"/>
        </w:trPr>
        <w:tc>
          <w:tcPr>
            <w:tcW w:w="1705"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418"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27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680"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258"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70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гнездовата популация</w:t>
            </w:r>
          </w:p>
        </w:tc>
        <w:tc>
          <w:tcPr>
            <w:tcW w:w="141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10-13 двойки </w:t>
            </w:r>
          </w:p>
        </w:tc>
        <w:tc>
          <w:tcPr>
            <w:tcW w:w="268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настоящия СФ (актуализиран през 2018 г.) са посочени от 10 до 13 гнездящи двойки. В резултат на извършен мониторинг в защитената зона през гнездовия период на 2021 г. са установени минимум 6 гнездящи двойки. Числеността на вида се потвърждава от теренните наблюдения и литературните данни.</w:t>
            </w:r>
          </w:p>
        </w:tc>
        <w:tc>
          <w:tcPr>
            <w:tcW w:w="225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Поддържане популацията на вида в зоната в размер от  най-малко 10 гнездящи двойки чрез запазване но подходящите местообитания. </w:t>
            </w:r>
          </w:p>
        </w:tc>
      </w:tr>
      <w:tr w:rsidR="00A8783E" w:rsidRPr="00A8783E" w:rsidTr="005B5318">
        <w:trPr>
          <w:jc w:val="center"/>
        </w:trPr>
        <w:tc>
          <w:tcPr>
            <w:tcW w:w="170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41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0 – 8 инд.</w:t>
            </w:r>
          </w:p>
        </w:tc>
        <w:tc>
          <w:tcPr>
            <w:tcW w:w="2680" w:type="dxa"/>
          </w:tcPr>
          <w:p w:rsidR="00A8783E" w:rsidRPr="00A8783E" w:rsidRDefault="00A8783E" w:rsidP="00A8783E">
            <w:pPr>
              <w:spacing w:after="0" w:line="240" w:lineRule="auto"/>
              <w:jc w:val="both"/>
              <w:rPr>
                <w:rFonts w:ascii="Times New Roman" w:hAnsi="Times New Roman"/>
                <w:color w:val="000000"/>
                <w:lang w:eastAsia="bg-BG"/>
              </w:rPr>
            </w:pPr>
            <w:r w:rsidRPr="00A8783E">
              <w:rPr>
                <w:rFonts w:ascii="Times New Roman" w:hAnsi="Times New Roman"/>
                <w:lang w:eastAsia="bg-BG"/>
              </w:rPr>
              <w:t xml:space="preserve">В СФ за концентрацията на вида по време на миграция в зоната е посочена стойност от 8 инд. По-конкретни данни през последните години за числеността на вида по време на миграция </w:t>
            </w:r>
            <w:r w:rsidRPr="00A8783E">
              <w:rPr>
                <w:rFonts w:ascii="Times New Roman" w:hAnsi="Times New Roman"/>
                <w:lang w:eastAsia="bg-BG"/>
              </w:rPr>
              <w:lastRenderedPageBreak/>
              <w:t xml:space="preserve">липсват. </w:t>
            </w:r>
          </w:p>
        </w:tc>
        <w:tc>
          <w:tcPr>
            <w:tcW w:w="225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jc w:val="center"/>
        </w:trPr>
        <w:tc>
          <w:tcPr>
            <w:tcW w:w="170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Популация: </w:t>
            </w:r>
            <w:r w:rsidRPr="00A8783E">
              <w:rPr>
                <w:rFonts w:ascii="Times New Roman" w:hAnsi="Times New Roman"/>
                <w:lang w:eastAsia="bg-BG"/>
              </w:rPr>
              <w:t>Размер на зимуващата популация</w:t>
            </w:r>
          </w:p>
        </w:tc>
        <w:tc>
          <w:tcPr>
            <w:tcW w:w="141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0 - 150 инд.</w:t>
            </w:r>
          </w:p>
        </w:tc>
        <w:tc>
          <w:tcPr>
            <w:tcW w:w="2680" w:type="dxa"/>
          </w:tcPr>
          <w:p w:rsidR="00A8783E" w:rsidRPr="00A8783E" w:rsidRDefault="00A8783E" w:rsidP="00A8783E">
            <w:pPr>
              <w:spacing w:after="0" w:line="240" w:lineRule="auto"/>
              <w:jc w:val="both"/>
              <w:rPr>
                <w:rFonts w:ascii="Times New Roman" w:hAnsi="Times New Roman"/>
                <w:color w:val="000000"/>
                <w:lang w:eastAsia="bg-BG"/>
              </w:rPr>
            </w:pPr>
            <w:r w:rsidRPr="00A8783E">
              <w:rPr>
                <w:rFonts w:ascii="Times New Roman" w:hAnsi="Times New Roman"/>
                <w:lang w:eastAsia="bg-BG"/>
              </w:rPr>
              <w:t>Според СФ на зоната числеността на зимуващите индивиди е до 50 инд. По данни от средно зимните преброявания (СЗП) през 2016 г. и 2018 са установени 150 и 95 инд. в Сребърна. Видът не зимува ежегодно в зоната и в ез. Сребърна, но през някои години се среща със значителна численост.</w:t>
            </w:r>
          </w:p>
        </w:tc>
        <w:tc>
          <w:tcPr>
            <w:tcW w:w="2258"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Междинна цел до 2025 г.: провеждане на проучване за установяване на зимната численост на вида в зоната в подходящите местообитания.</w:t>
            </w:r>
          </w:p>
          <w:p w:rsidR="00A8783E" w:rsidRPr="00A8783E" w:rsidRDefault="00A8783E" w:rsidP="00A8783E">
            <w:pPr>
              <w:spacing w:after="0" w:line="240" w:lineRule="auto"/>
              <w:jc w:val="both"/>
              <w:rPr>
                <w:rFonts w:ascii="Times New Roman" w:hAnsi="Times New Roman"/>
                <w:lang w:eastAsia="bg-BG"/>
              </w:rPr>
            </w:pPr>
          </w:p>
        </w:tc>
      </w:tr>
      <w:tr w:rsidR="00A8783E" w:rsidRPr="00A8783E" w:rsidTr="005B5318">
        <w:trPr>
          <w:jc w:val="center"/>
        </w:trPr>
        <w:tc>
          <w:tcPr>
            <w:tcW w:w="170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41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565</w:t>
            </w:r>
          </w:p>
        </w:tc>
        <w:tc>
          <w:tcPr>
            <w:tcW w:w="268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25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гнездови местообитания на вида в защитената зона чрез поддържане на оптимално ниво на водата в езерото.</w:t>
            </w:r>
          </w:p>
        </w:tc>
      </w:tr>
      <w:tr w:rsidR="00A8783E" w:rsidRPr="00A8783E" w:rsidTr="005B5318">
        <w:trPr>
          <w:jc w:val="center"/>
        </w:trPr>
        <w:tc>
          <w:tcPr>
            <w:tcW w:w="170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41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840</w:t>
            </w:r>
          </w:p>
        </w:tc>
        <w:tc>
          <w:tcPr>
            <w:tcW w:w="268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Включва гнездовото местообитание и всички стоящи и течащи води в зоната.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 xml:space="preserve">07-мочурища и блата и </w:t>
            </w:r>
            <w:r w:rsidRPr="00A8783E">
              <w:rPr>
                <w:rFonts w:ascii="Times New Roman" w:hAnsi="Times New Roman"/>
                <w:lang w:val="en-US" w:eastAsia="bg-BG"/>
              </w:rPr>
              <w:t>N</w:t>
            </w:r>
            <w:r w:rsidRPr="00A8783E">
              <w:rPr>
                <w:rFonts w:ascii="Times New Roman" w:hAnsi="Times New Roman"/>
                <w:lang w:eastAsia="bg-BG"/>
              </w:rPr>
              <w:t>06-вътрешни водни тела.</w:t>
            </w:r>
          </w:p>
        </w:tc>
        <w:tc>
          <w:tcPr>
            <w:tcW w:w="225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хранителни местообитания на вида</w:t>
            </w:r>
            <w:r w:rsidRPr="00A8783E">
              <w:rPr>
                <w:rFonts w:cs="Calibri"/>
              </w:rPr>
              <w:t xml:space="preserve"> </w:t>
            </w:r>
            <w:r w:rsidRPr="00A8783E">
              <w:rPr>
                <w:rFonts w:ascii="Times New Roman" w:hAnsi="Times New Roman"/>
                <w:lang w:eastAsia="bg-BG"/>
              </w:rPr>
              <w:t>чрез поддържане на оптимално ниво на водата в езерото.</w:t>
            </w:r>
          </w:p>
        </w:tc>
      </w:tr>
      <w:tr w:rsidR="00A8783E" w:rsidRPr="00A8783E" w:rsidTr="005B5318">
        <w:trPr>
          <w:jc w:val="center"/>
        </w:trPr>
        <w:tc>
          <w:tcPr>
            <w:tcW w:w="1705"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водни безгръбначни животни (</w:t>
            </w:r>
            <w:r w:rsidRPr="00A8783E">
              <w:rPr>
                <w:rFonts w:ascii="Times New Roman" w:hAnsi="Times New Roman"/>
                <w:lang w:val="en-GB" w:eastAsia="bg-BG"/>
              </w:rPr>
              <w:t>JDS</w:t>
            </w:r>
            <w:r w:rsidRPr="00A8783E">
              <w:rPr>
                <w:rFonts w:ascii="Times New Roman" w:hAnsi="Times New Roman"/>
                <w:lang w:eastAsia="bg-BG"/>
              </w:rPr>
              <w:t xml:space="preserve">4- </w:t>
            </w:r>
            <w:r w:rsidRPr="00A8783E">
              <w:rPr>
                <w:rFonts w:ascii="Times New Roman" w:hAnsi="Times New Roman"/>
                <w:lang w:val="en-US" w:eastAsia="bg-BG"/>
              </w:rPr>
              <w:t>Aqatic</w:t>
            </w:r>
            <w:r w:rsidRPr="00A8783E">
              <w:rPr>
                <w:rFonts w:ascii="Times New Roman" w:hAnsi="Times New Roman"/>
                <w:lang w:eastAsia="bg-BG"/>
              </w:rPr>
              <w:t xml:space="preserve"> </w:t>
            </w:r>
            <w:r w:rsidRPr="00A8783E">
              <w:rPr>
                <w:rFonts w:ascii="Times New Roman" w:hAnsi="Times New Roman"/>
                <w:lang w:val="en-US" w:eastAsia="bg-BG"/>
              </w:rPr>
              <w:t>macroinvertebrates</w:t>
            </w:r>
            <w:r w:rsidRPr="00A8783E">
              <w:rPr>
                <w:rFonts w:ascii="Times New Roman" w:hAnsi="Times New Roman"/>
                <w:lang w:eastAsia="bg-BG"/>
              </w:rPr>
              <w:t>)</w:t>
            </w:r>
          </w:p>
        </w:tc>
        <w:tc>
          <w:tcPr>
            <w:tcW w:w="1418"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680" w:type="dxa"/>
          </w:tcPr>
          <w:tbl>
            <w:tblPr>
              <w:tblW w:w="3029" w:type="dxa"/>
              <w:tblInd w:w="3" w:type="dxa"/>
              <w:tblLayout w:type="fixed"/>
              <w:tblCellMar>
                <w:left w:w="70" w:type="dxa"/>
                <w:right w:w="70" w:type="dxa"/>
              </w:tblCellMar>
              <w:tblLook w:val="00A0" w:firstRow="1" w:lastRow="0" w:firstColumn="1" w:lastColumn="0" w:noHBand="0" w:noVBand="0"/>
            </w:tblPr>
            <w:tblGrid>
              <w:gridCol w:w="3029"/>
            </w:tblGrid>
            <w:tr w:rsidR="00A8783E" w:rsidRPr="00A8783E" w:rsidTr="005B5318">
              <w:trPr>
                <w:trHeight w:val="316"/>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380"/>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380"/>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водни безгръбначни животни (пункт при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4 (2019-2020, Табл. 1, стр. 62).</w:t>
            </w:r>
            <w:r w:rsidRPr="00A8783E">
              <w:rPr>
                <w:rFonts w:cs="Calibri"/>
              </w:rPr>
              <w:t xml:space="preserve"> </w:t>
            </w:r>
            <w:r w:rsidRPr="00A8783E">
              <w:rPr>
                <w:rFonts w:ascii="Times New Roman" w:hAnsi="Times New Roman"/>
                <w:lang w:eastAsia="bg-BG"/>
              </w:rPr>
              <w:t xml:space="preserve">Екологичното </w:t>
            </w:r>
            <w:r w:rsidRPr="00A8783E">
              <w:rPr>
                <w:rFonts w:ascii="Times New Roman" w:hAnsi="Times New Roman"/>
                <w:lang w:eastAsia="bg-BG"/>
              </w:rPr>
              <w:lastRenderedPageBreak/>
              <w:t>състояние на езерото Сребърна по БЕК Макрозообентос е отлично и Лошо – по БЕК Макрофити.</w:t>
            </w:r>
          </w:p>
        </w:tc>
        <w:tc>
          <w:tcPr>
            <w:tcW w:w="2258"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lastRenderedPageBreak/>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120" w:line="240" w:lineRule="auto"/>
        <w:rPr>
          <w:rFonts w:ascii="Times New Roman" w:hAnsi="Times New Roman"/>
          <w:b/>
          <w:bCs/>
          <w:sz w:val="24"/>
          <w:szCs w:val="24"/>
          <w:lang w:eastAsia="bg-BG"/>
        </w:rPr>
      </w:pPr>
    </w:p>
    <w:p w:rsidR="00A8783E" w:rsidRPr="00A8783E" w:rsidRDefault="00A8783E" w:rsidP="00A8783E">
      <w:pPr>
        <w:spacing w:after="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lang w:eastAsia="bg-BG"/>
        </w:rPr>
        <w:t xml:space="preserve">Предвид наличната информация за настоящата гнездова и мигрираща численост на вида в защитената зона е необходима актуализация на СФ: </w:t>
      </w:r>
      <w:r w:rsidRPr="00A8783E">
        <w:rPr>
          <w:rFonts w:ascii="Times New Roman" w:hAnsi="Times New Roman"/>
          <w:sz w:val="24"/>
          <w:szCs w:val="24"/>
        </w:rPr>
        <w:t>По отношение на гнездящата популация предлагаме промяна в значението на зоната за националната гнездяща популация от категория „С“ в категория „В“.</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lang w:eastAsia="bg-BG"/>
        </w:rPr>
        <w:t xml:space="preserve">Предвид наличната информация за настоящата зимуваща численост на вида в защитената зона е необходима актуализация на СФ: </w:t>
      </w:r>
      <w:r w:rsidRPr="00A8783E">
        <w:rPr>
          <w:rFonts w:ascii="Times New Roman" w:hAnsi="Times New Roman"/>
          <w:sz w:val="24"/>
          <w:szCs w:val="24"/>
        </w:rPr>
        <w:t>По отношение на зимуващата популация предлагаме промяна в числеността на 0 – 150 инд., както и значението на зоната за националната зимуваща популация на вида от категория „С“ в категория „В“.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22"/>
        <w:gridCol w:w="328"/>
        <w:gridCol w:w="483"/>
        <w:gridCol w:w="181"/>
        <w:gridCol w:w="181"/>
        <w:gridCol w:w="572"/>
        <w:gridCol w:w="605"/>
        <w:gridCol w:w="594"/>
        <w:gridCol w:w="578"/>
        <w:gridCol w:w="839"/>
        <w:gridCol w:w="950"/>
        <w:gridCol w:w="622"/>
        <w:gridCol w:w="522"/>
        <w:gridCol w:w="578"/>
      </w:tblGrid>
      <w:tr w:rsidR="00A8783E" w:rsidRPr="00A8783E" w:rsidTr="005B5318">
        <w:trPr>
          <w:jc w:val="center"/>
        </w:trPr>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Species</w:t>
            </w:r>
          </w:p>
        </w:tc>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Code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Scientific Name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NP</w:t>
            </w:r>
          </w:p>
        </w:tc>
        <w:tc>
          <w:tcPr>
            <w:tcW w:w="0" w:type="auto"/>
            <w:gridSpan w:val="2"/>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T</w:t>
            </w:r>
          </w:p>
        </w:tc>
        <w:tc>
          <w:tcPr>
            <w:tcW w:w="0" w:type="auto"/>
            <w:gridSpan w:val="2"/>
            <w:shd w:val="clear" w:color="auto" w:fill="D9D9D9"/>
            <w:vAlign w:val="center"/>
          </w:tcPr>
          <w:p w:rsidR="00A8783E" w:rsidRPr="00A8783E" w:rsidRDefault="00A8783E" w:rsidP="00A8783E">
            <w:pPr>
              <w:spacing w:after="0" w:line="240" w:lineRule="auto"/>
              <w:jc w:val="center"/>
              <w:rPr>
                <w:rFonts w:ascii="Times New Roman" w:hAnsi="Times New Roman"/>
                <w:b/>
                <w:bCs/>
                <w:sz w:val="20"/>
                <w:szCs w:val="20"/>
                <w:lang w:eastAsia="en-GB"/>
              </w:rPr>
            </w:pPr>
            <w:r w:rsidRPr="00A8783E">
              <w:rPr>
                <w:rFonts w:ascii="Times New Roman" w:hAnsi="Times New Roman"/>
                <w:b/>
                <w:bCs/>
                <w:sz w:val="20"/>
                <w:szCs w:val="20"/>
                <w:lang w:eastAsia="en-GB"/>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D.qual.</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Iso.</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Glo.</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jc w:val="both"/>
              <w:rPr>
                <w:rFonts w:ascii="Times New Roman" w:hAnsi="Times New Roman"/>
                <w:sz w:val="20"/>
                <w:szCs w:val="20"/>
                <w:lang w:eastAsia="en-GB"/>
              </w:rPr>
            </w:pPr>
            <w:r w:rsidRPr="00A8783E">
              <w:rPr>
                <w:rFonts w:ascii="Times New Roman" w:hAnsi="Times New Roman"/>
                <w:sz w:val="20"/>
                <w:szCs w:val="20"/>
                <w:lang w:eastAsia="en-GB"/>
              </w:rPr>
              <w:t>В</w:t>
            </w:r>
          </w:p>
        </w:tc>
        <w:tc>
          <w:tcPr>
            <w:tcW w:w="0" w:type="auto"/>
          </w:tcPr>
          <w:p w:rsidR="00A8783E" w:rsidRPr="00A8783E" w:rsidRDefault="00A8783E" w:rsidP="00A8783E">
            <w:pPr>
              <w:spacing w:after="0" w:line="240" w:lineRule="auto"/>
              <w:jc w:val="both"/>
              <w:rPr>
                <w:rFonts w:ascii="Times New Roman" w:hAnsi="Times New Roman"/>
                <w:sz w:val="20"/>
                <w:szCs w:val="20"/>
                <w:lang w:val="en-US" w:eastAsia="en-GB"/>
              </w:rPr>
            </w:pPr>
            <w:r w:rsidRPr="00A8783E">
              <w:rPr>
                <w:rFonts w:ascii="Times New Roman" w:hAnsi="Times New Roman"/>
                <w:sz w:val="20"/>
                <w:szCs w:val="20"/>
                <w:lang w:eastAsia="bg-BG"/>
              </w:rPr>
              <w:t>A03</w:t>
            </w:r>
            <w:r w:rsidRPr="00A8783E">
              <w:rPr>
                <w:rFonts w:ascii="Times New Roman" w:hAnsi="Times New Roman"/>
                <w:sz w:val="20"/>
                <w:szCs w:val="20"/>
                <w:lang w:val="en-US" w:eastAsia="bg-BG"/>
              </w:rPr>
              <w:t>6</w:t>
            </w:r>
          </w:p>
        </w:tc>
        <w:tc>
          <w:tcPr>
            <w:tcW w:w="0" w:type="auto"/>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val="en-US" w:eastAsia="bg-BG"/>
              </w:rPr>
            </w:pPr>
            <w:r w:rsidRPr="00A8783E">
              <w:rPr>
                <w:rFonts w:ascii="Times New Roman" w:hAnsi="Times New Roman"/>
                <w:i/>
                <w:iCs/>
                <w:color w:val="000000"/>
                <w:sz w:val="20"/>
                <w:szCs w:val="20"/>
                <w:lang w:val="en-US" w:eastAsia="bg-BG"/>
              </w:rPr>
              <w:t>Cygnus olor</w:t>
            </w:r>
          </w:p>
        </w:tc>
        <w:tc>
          <w:tcPr>
            <w:tcW w:w="0" w:type="auto"/>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Align w:val="bottom"/>
          </w:tcPr>
          <w:p w:rsidR="00A8783E" w:rsidRPr="00A8783E" w:rsidRDefault="00A8783E" w:rsidP="00A8783E">
            <w:pPr>
              <w:spacing w:after="0" w:line="240" w:lineRule="auto"/>
              <w:jc w:val="both"/>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r</w:t>
            </w:r>
          </w:p>
        </w:tc>
        <w:tc>
          <w:tcPr>
            <w:tcW w:w="0" w:type="auto"/>
            <w:vAlign w:val="bottom"/>
          </w:tcPr>
          <w:p w:rsidR="00A8783E" w:rsidRPr="00A8783E" w:rsidRDefault="00A8783E" w:rsidP="00A8783E">
            <w:pPr>
              <w:spacing w:after="0" w:line="240" w:lineRule="auto"/>
              <w:jc w:val="center"/>
              <w:rPr>
                <w:rFonts w:ascii="Times New Roman" w:hAnsi="Times New Roman"/>
                <w:sz w:val="20"/>
                <w:szCs w:val="20"/>
                <w:lang w:val="en-US" w:eastAsia="en-GB"/>
              </w:rPr>
            </w:pPr>
            <w:r w:rsidRPr="00A8783E">
              <w:rPr>
                <w:rFonts w:ascii="Times New Roman" w:hAnsi="Times New Roman"/>
                <w:sz w:val="20"/>
                <w:szCs w:val="20"/>
                <w:lang w:eastAsia="bg-BG"/>
              </w:rPr>
              <w:t>1</w:t>
            </w:r>
            <w:r w:rsidRPr="00A8783E">
              <w:rPr>
                <w:rFonts w:ascii="Times New Roman" w:hAnsi="Times New Roman"/>
                <w:sz w:val="20"/>
                <w:szCs w:val="20"/>
                <w:lang w:val="en-US" w:eastAsia="bg-BG"/>
              </w:rPr>
              <w:t>0</w:t>
            </w:r>
          </w:p>
        </w:tc>
        <w:tc>
          <w:tcPr>
            <w:tcW w:w="0" w:type="auto"/>
            <w:vAlign w:val="bottom"/>
          </w:tcPr>
          <w:p w:rsidR="00A8783E" w:rsidRPr="00A8783E" w:rsidRDefault="00A8783E" w:rsidP="00A8783E">
            <w:pPr>
              <w:spacing w:after="0" w:line="240" w:lineRule="auto"/>
              <w:jc w:val="center"/>
              <w:rPr>
                <w:rFonts w:ascii="Times New Roman" w:hAnsi="Times New Roman"/>
                <w:sz w:val="20"/>
                <w:szCs w:val="20"/>
                <w:lang w:val="en-US" w:eastAsia="en-GB"/>
              </w:rPr>
            </w:pPr>
            <w:r w:rsidRPr="00A8783E">
              <w:rPr>
                <w:rFonts w:ascii="Times New Roman" w:hAnsi="Times New Roman"/>
                <w:sz w:val="20"/>
                <w:szCs w:val="20"/>
                <w:lang w:val="en-US" w:eastAsia="bg-BG"/>
              </w:rPr>
              <w:t>13</w:t>
            </w:r>
          </w:p>
        </w:tc>
        <w:tc>
          <w:tcPr>
            <w:tcW w:w="0" w:type="auto"/>
            <w:vAlign w:val="bottom"/>
          </w:tcPr>
          <w:p w:rsidR="00A8783E" w:rsidRPr="00A8783E" w:rsidRDefault="00A8783E" w:rsidP="00A8783E">
            <w:pPr>
              <w:spacing w:after="0" w:line="240" w:lineRule="auto"/>
              <w:jc w:val="center"/>
              <w:rPr>
                <w:rFonts w:ascii="Times New Roman" w:hAnsi="Times New Roman"/>
                <w:sz w:val="20"/>
                <w:szCs w:val="20"/>
                <w:lang w:val="en-US" w:eastAsia="en-GB"/>
              </w:rPr>
            </w:pPr>
            <w:r w:rsidRPr="00A8783E">
              <w:rPr>
                <w:rFonts w:ascii="Times New Roman" w:hAnsi="Times New Roman"/>
                <w:color w:val="000000"/>
                <w:sz w:val="20"/>
                <w:szCs w:val="20"/>
                <w:lang w:val="en-US" w:eastAsia="bg-BG"/>
              </w:rPr>
              <w:t>p</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0" w:type="auto"/>
            <w:vAlign w:val="bottom"/>
          </w:tcPr>
          <w:p w:rsidR="00A8783E" w:rsidRPr="00A8783E" w:rsidRDefault="00A8783E" w:rsidP="00A8783E">
            <w:pPr>
              <w:spacing w:after="0" w:line="240" w:lineRule="auto"/>
              <w:jc w:val="both"/>
              <w:rPr>
                <w:rFonts w:ascii="Times New Roman" w:hAnsi="Times New Roman"/>
                <w:b/>
                <w:bCs/>
                <w:color w:val="FF0000"/>
                <w:sz w:val="20"/>
                <w:szCs w:val="20"/>
                <w:lang w:val="en-US" w:eastAsia="en-GB"/>
              </w:rPr>
            </w:pPr>
            <w:r w:rsidRPr="00A8783E">
              <w:rPr>
                <w:rFonts w:ascii="Times New Roman" w:hAnsi="Times New Roman"/>
                <w:b/>
                <w:bCs/>
                <w:color w:val="FF0000"/>
                <w:sz w:val="20"/>
                <w:szCs w:val="20"/>
                <w:lang w:val="en-US" w:eastAsia="bg-BG"/>
              </w:rPr>
              <w:t>B</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C</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jc w:val="both"/>
              <w:rPr>
                <w:rFonts w:ascii="Times New Roman" w:hAnsi="Times New Roman"/>
                <w:sz w:val="20"/>
                <w:szCs w:val="20"/>
                <w:lang w:eastAsia="en-GB"/>
              </w:rPr>
            </w:pPr>
            <w:r w:rsidRPr="00A8783E">
              <w:rPr>
                <w:rFonts w:ascii="Times New Roman" w:hAnsi="Times New Roman"/>
                <w:sz w:val="20"/>
                <w:szCs w:val="20"/>
                <w:lang w:eastAsia="en-GB"/>
              </w:rPr>
              <w:t>В</w:t>
            </w:r>
          </w:p>
        </w:tc>
        <w:tc>
          <w:tcPr>
            <w:tcW w:w="0" w:type="auto"/>
          </w:tcPr>
          <w:p w:rsidR="00A8783E" w:rsidRPr="00A8783E" w:rsidRDefault="00A8783E" w:rsidP="00A8783E">
            <w:pPr>
              <w:spacing w:after="0" w:line="240" w:lineRule="auto"/>
              <w:jc w:val="both"/>
              <w:rPr>
                <w:rFonts w:ascii="Times New Roman" w:hAnsi="Times New Roman"/>
                <w:sz w:val="20"/>
                <w:szCs w:val="20"/>
                <w:lang w:eastAsia="en-GB"/>
              </w:rPr>
            </w:pPr>
            <w:r w:rsidRPr="00A8783E">
              <w:rPr>
                <w:rFonts w:ascii="Times New Roman" w:hAnsi="Times New Roman"/>
                <w:sz w:val="20"/>
                <w:szCs w:val="20"/>
                <w:lang w:eastAsia="bg-BG"/>
              </w:rPr>
              <w:t>A036</w:t>
            </w:r>
          </w:p>
        </w:tc>
        <w:tc>
          <w:tcPr>
            <w:tcW w:w="0" w:type="auto"/>
          </w:tcPr>
          <w:p w:rsidR="00A8783E" w:rsidRPr="00A8783E" w:rsidRDefault="00A8783E" w:rsidP="00A8783E">
            <w:pPr>
              <w:autoSpaceDE w:val="0"/>
              <w:autoSpaceDN w:val="0"/>
              <w:adjustRightInd w:val="0"/>
              <w:spacing w:after="0" w:line="240" w:lineRule="auto"/>
              <w:rPr>
                <w:rFonts w:ascii="Times New Roman" w:hAnsi="Times New Roman"/>
                <w:i/>
                <w:iCs/>
                <w:color w:val="000000"/>
                <w:sz w:val="20"/>
                <w:szCs w:val="20"/>
                <w:lang w:val="en-US" w:eastAsia="bg-BG"/>
              </w:rPr>
            </w:pPr>
            <w:r w:rsidRPr="00A8783E">
              <w:rPr>
                <w:rFonts w:ascii="Times New Roman" w:hAnsi="Times New Roman"/>
                <w:i/>
                <w:iCs/>
                <w:color w:val="000000"/>
                <w:sz w:val="20"/>
                <w:szCs w:val="20"/>
                <w:lang w:val="en-US" w:eastAsia="bg-BG"/>
              </w:rPr>
              <w:t>Cygnus olor</w:t>
            </w:r>
          </w:p>
        </w:tc>
        <w:tc>
          <w:tcPr>
            <w:tcW w:w="0" w:type="auto"/>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0" w:type="auto"/>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Align w:val="bottom"/>
          </w:tcPr>
          <w:p w:rsidR="00A8783E" w:rsidRPr="00A8783E" w:rsidRDefault="00A8783E" w:rsidP="00A8783E">
            <w:pPr>
              <w:spacing w:after="0" w:line="240" w:lineRule="auto"/>
              <w:jc w:val="both"/>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w</w:t>
            </w:r>
          </w:p>
        </w:tc>
        <w:tc>
          <w:tcPr>
            <w:tcW w:w="0" w:type="auto"/>
            <w:vAlign w:val="bottom"/>
          </w:tcPr>
          <w:p w:rsidR="00A8783E" w:rsidRPr="00A8783E" w:rsidRDefault="00A8783E" w:rsidP="00A8783E">
            <w:pPr>
              <w:spacing w:after="0" w:line="240" w:lineRule="auto"/>
              <w:jc w:val="center"/>
              <w:rPr>
                <w:rFonts w:ascii="Times New Roman" w:hAnsi="Times New Roman"/>
                <w:b/>
                <w:bCs/>
                <w:color w:val="FF0000"/>
                <w:sz w:val="20"/>
                <w:szCs w:val="20"/>
                <w:lang w:val="en-US" w:eastAsia="en-GB"/>
              </w:rPr>
            </w:pPr>
            <w:r w:rsidRPr="00A8783E">
              <w:rPr>
                <w:rFonts w:ascii="Times New Roman" w:hAnsi="Times New Roman"/>
                <w:b/>
                <w:bCs/>
                <w:color w:val="FF0000"/>
                <w:sz w:val="20"/>
                <w:szCs w:val="20"/>
                <w:lang w:val="en-US" w:eastAsia="bg-BG"/>
              </w:rPr>
              <w:t>0</w:t>
            </w:r>
          </w:p>
        </w:tc>
        <w:tc>
          <w:tcPr>
            <w:tcW w:w="0" w:type="auto"/>
            <w:vAlign w:val="bottom"/>
          </w:tcPr>
          <w:p w:rsidR="00A8783E" w:rsidRPr="00A8783E" w:rsidRDefault="00A8783E" w:rsidP="00A8783E">
            <w:pPr>
              <w:spacing w:after="0" w:line="240" w:lineRule="auto"/>
              <w:jc w:val="center"/>
              <w:rPr>
                <w:rFonts w:ascii="Times New Roman" w:hAnsi="Times New Roman"/>
                <w:b/>
                <w:bCs/>
                <w:color w:val="FF0000"/>
                <w:sz w:val="20"/>
                <w:szCs w:val="20"/>
                <w:lang w:val="en-US" w:eastAsia="en-GB"/>
              </w:rPr>
            </w:pPr>
            <w:r w:rsidRPr="00A8783E">
              <w:rPr>
                <w:rFonts w:ascii="Times New Roman" w:hAnsi="Times New Roman"/>
                <w:b/>
                <w:bCs/>
                <w:color w:val="FF0000"/>
                <w:sz w:val="20"/>
                <w:szCs w:val="20"/>
                <w:lang w:val="en-US" w:eastAsia="bg-BG"/>
              </w:rPr>
              <w:t>150</w:t>
            </w:r>
          </w:p>
        </w:tc>
        <w:tc>
          <w:tcPr>
            <w:tcW w:w="0" w:type="auto"/>
            <w:vAlign w:val="bottom"/>
          </w:tcPr>
          <w:p w:rsidR="00A8783E" w:rsidRPr="00A8783E" w:rsidRDefault="00A8783E" w:rsidP="00A8783E">
            <w:pPr>
              <w:spacing w:after="0" w:line="240" w:lineRule="auto"/>
              <w:jc w:val="center"/>
              <w:rPr>
                <w:rFonts w:ascii="Times New Roman" w:hAnsi="Times New Roman"/>
                <w:sz w:val="20"/>
                <w:szCs w:val="20"/>
                <w:lang w:eastAsia="en-GB"/>
              </w:rPr>
            </w:pPr>
            <w:r w:rsidRPr="00A8783E">
              <w:rPr>
                <w:rFonts w:ascii="Times New Roman" w:hAnsi="Times New Roman"/>
                <w:color w:val="000000"/>
                <w:sz w:val="20"/>
                <w:szCs w:val="20"/>
                <w:lang w:val="en-US" w:eastAsia="bg-BG"/>
              </w:rPr>
              <w:t>i</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G</w:t>
            </w:r>
          </w:p>
        </w:tc>
        <w:tc>
          <w:tcPr>
            <w:tcW w:w="0" w:type="auto"/>
            <w:vAlign w:val="bottom"/>
          </w:tcPr>
          <w:p w:rsidR="00A8783E" w:rsidRPr="00A8783E" w:rsidRDefault="00A8783E" w:rsidP="00A8783E">
            <w:pPr>
              <w:spacing w:after="0" w:line="240" w:lineRule="auto"/>
              <w:jc w:val="both"/>
              <w:rPr>
                <w:rFonts w:ascii="Times New Roman" w:hAnsi="Times New Roman"/>
                <w:b/>
                <w:bCs/>
                <w:color w:val="FF0000"/>
                <w:sz w:val="20"/>
                <w:szCs w:val="20"/>
                <w:lang w:eastAsia="en-GB"/>
              </w:rPr>
            </w:pPr>
            <w:r w:rsidRPr="00A8783E">
              <w:rPr>
                <w:rFonts w:ascii="Times New Roman" w:hAnsi="Times New Roman"/>
                <w:b/>
                <w:bCs/>
                <w:color w:val="FF0000"/>
                <w:sz w:val="20"/>
                <w:szCs w:val="20"/>
                <w:lang w:eastAsia="bg-BG"/>
              </w:rPr>
              <w:t>В</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А</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color w:val="000000"/>
                <w:sz w:val="20"/>
                <w:szCs w:val="20"/>
                <w:lang w:eastAsia="bg-BG"/>
              </w:rPr>
              <w:t>C</w:t>
            </w:r>
          </w:p>
        </w:tc>
        <w:tc>
          <w:tcPr>
            <w:tcW w:w="0" w:type="auto"/>
            <w:vAlign w:val="bottom"/>
          </w:tcPr>
          <w:p w:rsidR="00A8783E" w:rsidRPr="00A8783E" w:rsidRDefault="00A8783E" w:rsidP="00A8783E">
            <w:pPr>
              <w:spacing w:after="0" w:line="240" w:lineRule="auto"/>
              <w:jc w:val="both"/>
              <w:rPr>
                <w:rFonts w:ascii="Times New Roman" w:hAnsi="Times New Roman"/>
                <w:b/>
                <w:bCs/>
                <w:sz w:val="20"/>
                <w:szCs w:val="20"/>
                <w:lang w:val="en-US" w:eastAsia="en-GB"/>
              </w:rPr>
            </w:pPr>
            <w:r w:rsidRPr="00A8783E">
              <w:rPr>
                <w:rFonts w:ascii="Times New Roman" w:hAnsi="Times New Roman"/>
                <w:color w:val="000000"/>
                <w:sz w:val="20"/>
                <w:szCs w:val="20"/>
                <w:lang w:val="en-US" w:eastAsia="bg-BG"/>
              </w:rPr>
              <w:t>C</w:t>
            </w:r>
          </w:p>
        </w:tc>
      </w:tr>
    </w:tbl>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78" w:name="_Toc89106077"/>
      <w:bookmarkStart w:id="179" w:name="_Toc98741916"/>
      <w:bookmarkStart w:id="180" w:name="_Toc98838591"/>
      <w:r w:rsidRPr="00A8783E">
        <w:rPr>
          <w:rFonts w:ascii="Times New Roman" w:hAnsi="Times New Roman"/>
          <w:color w:val="1F497D"/>
          <w:sz w:val="28"/>
          <w:szCs w:val="28"/>
          <w:lang w:eastAsia="bg-BG"/>
        </w:rPr>
        <w:t xml:space="preserve">Специфични цели за А041 </w:t>
      </w:r>
      <w:r w:rsidRPr="00A8783E">
        <w:rPr>
          <w:rFonts w:ascii="Times New Roman" w:hAnsi="Times New Roman"/>
          <w:i/>
          <w:iCs/>
          <w:color w:val="1F497D"/>
          <w:sz w:val="28"/>
          <w:szCs w:val="28"/>
          <w:lang w:val="en-GB" w:eastAsia="bg-BG"/>
        </w:rPr>
        <w:t>Anser</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GB" w:eastAsia="bg-BG"/>
        </w:rPr>
        <w:t>albifrons</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GB" w:eastAsia="bg-BG"/>
        </w:rPr>
        <w:t>albifrons</w:t>
      </w:r>
      <w:r w:rsidRPr="00A8783E">
        <w:rPr>
          <w:rFonts w:ascii="Times New Roman" w:hAnsi="Times New Roman"/>
          <w:color w:val="1F497D"/>
          <w:sz w:val="28"/>
          <w:szCs w:val="28"/>
          <w:lang w:eastAsia="bg-BG"/>
        </w:rPr>
        <w:t xml:space="preserve"> (голяма белочела гъска)</w:t>
      </w:r>
      <w:bookmarkEnd w:id="178"/>
      <w:bookmarkEnd w:id="179"/>
      <w:bookmarkEnd w:id="180"/>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Тегло между 1,4 и 3,3 </w:t>
      </w:r>
      <w:r w:rsidRPr="00A8783E">
        <w:rPr>
          <w:rFonts w:ascii="Times New Roman" w:hAnsi="Times New Roman"/>
          <w:sz w:val="24"/>
          <w:szCs w:val="24"/>
          <w:lang w:val="en-US" w:eastAsia="bg-BG"/>
        </w:rPr>
        <w:t>kg</w:t>
      </w:r>
      <w:r w:rsidRPr="00A8783E">
        <w:rPr>
          <w:rFonts w:ascii="Times New Roman" w:hAnsi="Times New Roman"/>
          <w:sz w:val="24"/>
          <w:szCs w:val="24"/>
          <w:lang w:eastAsia="bg-BG"/>
        </w:rPr>
        <w:t xml:space="preserve">. Дължина на тялото 65 - 78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размах на крилете около 130 – 165 </w:t>
      </w:r>
      <w:r w:rsidRPr="00A8783E">
        <w:rPr>
          <w:rFonts w:ascii="Times New Roman" w:hAnsi="Times New Roman"/>
          <w:sz w:val="24"/>
          <w:szCs w:val="24"/>
          <w:lang w:val="en-US" w:eastAsia="bg-BG"/>
        </w:rPr>
        <w:t>cm</w:t>
      </w:r>
      <w:r w:rsidRPr="00A8783E">
        <w:rPr>
          <w:rFonts w:ascii="Times New Roman" w:hAnsi="Times New Roman"/>
          <w:sz w:val="24"/>
          <w:szCs w:val="24"/>
          <w:lang w:eastAsia="bg-BG"/>
        </w:rPr>
        <w:t xml:space="preserve">. Няма изразен полов и сезонен диморфизъм. По-дребна от сивата гъска. При възрастните бялото петно на челото не достига окото. Надопашието и подопашието бели. Гърдите и коремът сивокафяви със светли окраища на перата. Гърбът и кръстът са тъмносиви. Клюнът е розов с жълтеникави основи на гребена и долния полуклюн. Нокътят бял. Краката жълто-оранжеви. Ирисът </w:t>
      </w:r>
      <w:r w:rsidRPr="00A8783E">
        <w:rPr>
          <w:rFonts w:ascii="Times New Roman" w:hAnsi="Times New Roman"/>
          <w:sz w:val="24"/>
          <w:szCs w:val="24"/>
          <w:lang w:val="en-US" w:eastAsia="bg-BG"/>
        </w:rPr>
        <w:t>e</w:t>
      </w:r>
      <w:r w:rsidRPr="00A8783E">
        <w:rPr>
          <w:rFonts w:ascii="Times New Roman" w:hAnsi="Times New Roman"/>
          <w:sz w:val="24"/>
          <w:szCs w:val="24"/>
          <w:lang w:eastAsia="bg-BG"/>
        </w:rPr>
        <w:t xml:space="preserve"> тъмнокафяв. При младите липсва бялото петно на челото и коремът е без черни петна. Клюнът е сиво-жълт или сиво-розов със сиво-черен нокът. Краката жълти до сиво-жълти. Издава висок, звънлив крясък.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Голямата белочела гъска е мигриращ и зимуващ вид в България. Есенната миграция е основно от втората половина на октомври и началото на ноември. Пролетният прелет започва през февруари и приключва до края на март (Нанкинов и др., 1997). Често образува смесени ята и с други видове гъски.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По време на размножителния период голямата белочела гъска обитава райони от лесотундрата с богата мрежа от реки и езера. По време на миграции и през зимните месеци се среща край реки, езера, блата и изкуствени водоеми, които са в близост до обработваеми площи със зимници (Нанкинов и др., 1997). Нощува в блата, езера, язовири, по-рядко в реки и крайбрежни морски води. Предпочитаните местообитания </w:t>
      </w:r>
      <w:r w:rsidRPr="00A8783E">
        <w:rPr>
          <w:rFonts w:ascii="Times New Roman" w:hAnsi="Times New Roman"/>
          <w:sz w:val="24"/>
          <w:szCs w:val="24"/>
          <w:lang w:eastAsia="bg-BG"/>
        </w:rPr>
        <w:lastRenderedPageBreak/>
        <w:t>са 1130, 1150, 1160, 3130, 3140 и 3150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По време на миграциите и зимуването видът се храни главно по обработваемите площи със зимници, както и с разпиляна и неприбрана от нивите царевица (Нанкинов и др., 1997).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Широкоразпространен вид в страната през зимните месеци. Основните зимовища на голямата белочела гъска у нас са Бургаските езера, езерата Шабла и Дуранкулак, поречието на река Дунав (и по конкретно при Специално защитените зони Свищовско-Беленската низина, Златията и Сребърна), както и някои от по-големите вътрешни язовири.</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Природозащитният статус на голямата белочела гъска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е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xml:space="preserve">). Включен е в Приложение 2 на Директивата за птиците, както и в Приложения 2а и 4 на ЗБР. Ловен обект.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Докладването от 2019 г. (за периода 2013 – 2018 г.) националната зимуващата популация е оценена на 20 000 – 450 000 индивида. Краткосрочната тенденция на зимуващата популацията (за периода 2000 – 2018 г.) е намаляваща, а дългосрочната (за периода 1980 – 2018 г.) – също намаляваща.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Мигриращата национална популация (за периода 2001 – 2018 г.) е оценена на 5400 – 400 000 индивида.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За мигриращата и зимуващата популация са посочени следните заплахи и влияния: A02, A06, C02, C03, D01, E01, F03, F05, D05, E04 и G02.</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СФ на зоната вида е преминаващ и зимуващ.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 на </w:t>
      </w:r>
      <w:r w:rsidRPr="00A8783E">
        <w:rPr>
          <w:rFonts w:ascii="Times New Roman" w:hAnsi="Times New Roman"/>
          <w:b/>
          <w:bCs/>
          <w:sz w:val="24"/>
          <w:szCs w:val="24"/>
          <w:lang w:eastAsia="bg-BG"/>
        </w:rPr>
        <w:t>10654 - 25775 индивида</w:t>
      </w:r>
      <w:r w:rsidRPr="00A8783E">
        <w:rPr>
          <w:rFonts w:ascii="Times New Roman" w:hAnsi="Times New Roman"/>
          <w:sz w:val="24"/>
          <w:szCs w:val="24"/>
          <w:lang w:eastAsia="bg-BG"/>
        </w:rPr>
        <w:t>, което е 2,6 – 6,4 %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СФ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на вида се оценява на </w:t>
      </w:r>
      <w:r w:rsidRPr="00A8783E">
        <w:rPr>
          <w:rFonts w:ascii="Times New Roman" w:hAnsi="Times New Roman"/>
          <w:b/>
          <w:bCs/>
          <w:sz w:val="24"/>
          <w:szCs w:val="24"/>
          <w:lang w:eastAsia="bg-BG"/>
        </w:rPr>
        <w:t>до 4073 индивида</w:t>
      </w:r>
      <w:r w:rsidRPr="00A8783E">
        <w:rPr>
          <w:rFonts w:ascii="Times New Roman" w:hAnsi="Times New Roman"/>
          <w:sz w:val="24"/>
          <w:szCs w:val="24"/>
          <w:lang w:eastAsia="bg-BG"/>
        </w:rPr>
        <w:t>, което е 0,9 – 20,4 % от националната зимуваща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color w:val="000000"/>
          <w:sz w:val="24"/>
          <w:szCs w:val="24"/>
          <w:lang w:eastAsia="bg-BG"/>
        </w:rPr>
      </w:pPr>
      <w:r w:rsidRPr="00A8783E">
        <w:rPr>
          <w:rFonts w:ascii="Times New Roman" w:hAnsi="Times New Roman"/>
          <w:i/>
          <w:iCs/>
          <w:color w:val="000000"/>
          <w:sz w:val="24"/>
          <w:szCs w:val="24"/>
          <w:lang w:eastAsia="bg-BG"/>
        </w:rPr>
        <w:t>Зимуваща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Видът е често срещан през зимата в р. Дунав, на места с висока численост. В периода 1977-1996 е най-многобройната в България водолюбива птица със средна численост около 138 000 индивида. По поречието на р. Дунав се концентрират около 7 % от зимуващите гъски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Profirov</w:t>
      </w:r>
      <w:r w:rsidRPr="00A8783E">
        <w:rPr>
          <w:rFonts w:ascii="Times New Roman" w:hAnsi="Times New Roman"/>
          <w:color w:val="000000"/>
          <w:sz w:val="24"/>
          <w:szCs w:val="24"/>
          <w:lang w:eastAsia="bg-BG"/>
        </w:rPr>
        <w:t>, 2003). В участъка Сомовит – Силистра между 1984 – 2005 г. са регистрирани между 171 и 2688 големи белочели гъски, като численост им вероятно е по-високата, тъй като през деня гъските не са концентрирани в реката (</w:t>
      </w:r>
      <w:r w:rsidRPr="00A8783E">
        <w:rPr>
          <w:rFonts w:ascii="Times New Roman" w:hAnsi="Times New Roman"/>
          <w:color w:val="000000"/>
          <w:sz w:val="24"/>
          <w:szCs w:val="24"/>
          <w:lang w:val="en-US" w:eastAsia="bg-BG"/>
        </w:rPr>
        <w:t>Ivanov</w:t>
      </w:r>
      <w:r w:rsidRPr="00A8783E">
        <w:rPr>
          <w:rFonts w:ascii="Times New Roman" w:hAnsi="Times New Roman"/>
          <w:color w:val="000000"/>
          <w:sz w:val="24"/>
          <w:szCs w:val="24"/>
          <w:lang w:eastAsia="bg-BG"/>
        </w:rPr>
        <w:t xml:space="preserve">, 2008). При средно-зимните преброявания видът е наблюдаван в Сребърна през </w:t>
      </w:r>
      <w:r w:rsidRPr="00A8783E">
        <w:rPr>
          <w:rFonts w:ascii="Times New Roman" w:hAnsi="Times New Roman"/>
          <w:color w:val="000000"/>
          <w:sz w:val="24"/>
          <w:szCs w:val="24"/>
          <w:lang w:eastAsia="bg-BG"/>
        </w:rPr>
        <w:lastRenderedPageBreak/>
        <w:t xml:space="preserve">2015 г. – 44 екз. и през 2020 г. - 1700 екз. в Дунав в близост до границите на защитената зона.  Числеността на гъските силно варира в зависимост от метеорологичните условия. По-висока е в години с по-студени зими и по-ниско водно ниво. </w:t>
      </w:r>
      <w:r w:rsidRPr="00A8783E">
        <w:rPr>
          <w:rFonts w:ascii="Times New Roman" w:hAnsi="Times New Roman"/>
          <w:sz w:val="24"/>
          <w:szCs w:val="24"/>
          <w:lang w:eastAsia="bg-BG"/>
        </w:rPr>
        <w:t xml:space="preserve">Иванов (1979) дава зимни числености на вида в Сребърна от 20 000 птици през декември 1975 г., 18040 екз. през декември 1976, 11493 през януари 1977, 6620 птици през ноември и 3115 птици през декември 1977 г. Михов и др. (1997) и </w:t>
      </w:r>
      <w:r w:rsidRPr="00A8783E">
        <w:rPr>
          <w:rFonts w:ascii="Times New Roman" w:hAnsi="Times New Roman"/>
          <w:color w:val="000000"/>
          <w:sz w:val="24"/>
          <w:szCs w:val="24"/>
          <w:lang w:eastAsia="bg-BG"/>
        </w:rPr>
        <w:t xml:space="preserve">Костадинова, Граматиков (2007) </w:t>
      </w:r>
      <w:r w:rsidRPr="00A8783E">
        <w:rPr>
          <w:rFonts w:ascii="Times New Roman" w:hAnsi="Times New Roman"/>
          <w:sz w:val="24"/>
          <w:szCs w:val="24"/>
          <w:lang w:eastAsia="bg-BG"/>
        </w:rPr>
        <w:t>дават зимна численост от 1 000 до 50 550 птици. За 25 годишен период 1977-2001 г., през зимата са наблюдавани общо 115 034 големи белочели гъски (</w:t>
      </w:r>
      <w:r w:rsidRPr="00A8783E">
        <w:rPr>
          <w:rFonts w:ascii="Times New Roman" w:hAnsi="Times New Roman"/>
          <w:sz w:val="24"/>
          <w:szCs w:val="24"/>
          <w:lang w:val="en-US" w:eastAsia="bg-BG"/>
        </w:rPr>
        <w:t>Michev</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and</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Profirov</w:t>
      </w:r>
      <w:r w:rsidRPr="00A8783E">
        <w:rPr>
          <w:rFonts w:ascii="Times New Roman" w:hAnsi="Times New Roman"/>
          <w:sz w:val="24"/>
          <w:szCs w:val="24"/>
          <w:lang w:eastAsia="bg-BG"/>
        </w:rPr>
        <w:t>, 2003). От 2008 до 2013 г. зимуването на вида в зоната е следното: през 2008 – 100 екз., 2009 – 555 екз., 2010 – 80 екз. и 2011 г. - 43 птици. През 2012 и 2013 не са отчетени зимуващи гъски в Сребърна (ПУ „Сребърна”, по данни от ИАОС).</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Мигрираща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Не са налични данни за мигриращата популация на вида в зоната, поради което трябва да се заложи междинна цел.</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За мигриращата и зимуващата популация са посочени следните заплахи и влияния: A02, A06, C02, C03, D01, E01, F03, F05, D05, E04 и G02. От тях потенциално валидни за СЗЗ „Сребърна” са А02 - Преминаване от един вид земеделско ползване към друг вид земеделско ползване (с изключение на отводняване и изгаряне), а също и </w:t>
      </w:r>
      <w:r w:rsidRPr="00A8783E">
        <w:rPr>
          <w:rFonts w:ascii="Times New Roman" w:hAnsi="Times New Roman"/>
          <w:sz w:val="24"/>
          <w:szCs w:val="24"/>
          <w:lang w:val="en-US" w:eastAsia="bg-BG"/>
        </w:rPr>
        <w:t>G</w:t>
      </w:r>
      <w:r w:rsidRPr="00A8783E">
        <w:rPr>
          <w:rFonts w:ascii="Times New Roman" w:hAnsi="Times New Roman"/>
          <w:sz w:val="24"/>
          <w:szCs w:val="24"/>
          <w:lang w:eastAsia="bg-BG"/>
        </w:rPr>
        <w:t>10-Незаконен отстрел/убиване.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4"/>
        <w:gridCol w:w="1276"/>
        <w:gridCol w:w="1134"/>
        <w:gridCol w:w="2551"/>
        <w:gridCol w:w="2398"/>
      </w:tblGrid>
      <w:tr w:rsidR="00A8783E" w:rsidRPr="00A8783E" w:rsidTr="005B5318">
        <w:trPr>
          <w:tblHeader/>
          <w:jc w:val="center"/>
        </w:trPr>
        <w:tc>
          <w:tcPr>
            <w:tcW w:w="197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27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13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551"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398"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974"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10654 – 25775 инд.</w:t>
            </w:r>
          </w:p>
        </w:tc>
        <w:tc>
          <w:tcPr>
            <w:tcW w:w="255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СФ за концентрацията на вида по време на миграция в зоната е посочена минимална и максимална стойност от 10654 до 25775 инд. Не са известни други данни.</w:t>
            </w:r>
          </w:p>
        </w:tc>
        <w:tc>
          <w:tcPr>
            <w:tcW w:w="239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Междинна цел: Да се извърши целенасочен мониторинг за установяване на размера на мигриращата популация до 2025 г.</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популацията на вида, най-малко 10 000 зимуващи индивида чрез поддържане на подходящите местообитания.</w:t>
            </w:r>
          </w:p>
        </w:tc>
      </w:tr>
      <w:tr w:rsidR="00A8783E" w:rsidRPr="00A8783E" w:rsidTr="005B5318">
        <w:trPr>
          <w:jc w:val="center"/>
        </w:trPr>
        <w:tc>
          <w:tcPr>
            <w:tcW w:w="1974"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зимуващата популация</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13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0 – 4073 инд.</w:t>
            </w:r>
          </w:p>
        </w:tc>
        <w:tc>
          <w:tcPr>
            <w:tcW w:w="255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Според СФ на зоната числеността на зимуващите индивиди е между 0 и 4073. По данни от средно зимните преброявания (СЗП) през 2015 и 2020 са установени 44 и 1700 инд. в езерото и в р. Дунав. Не са отчетени зимуващи гъски всяка зима.</w:t>
            </w:r>
          </w:p>
        </w:tc>
        <w:tc>
          <w:tcPr>
            <w:tcW w:w="239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Продължаване на ежегодния среднозимен мониторинг в зоната за броя на зимуващите гъски.</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Запазване и подобряване на екологичното състояние и качество на водите в зоната.</w:t>
            </w:r>
          </w:p>
        </w:tc>
      </w:tr>
      <w:tr w:rsidR="00A8783E" w:rsidRPr="00A8783E" w:rsidTr="005B5318">
        <w:trPr>
          <w:jc w:val="center"/>
        </w:trPr>
        <w:tc>
          <w:tcPr>
            <w:tcW w:w="1974" w:type="dxa"/>
          </w:tcPr>
          <w:p w:rsidR="00A8783E" w:rsidRPr="00A8783E" w:rsidRDefault="00A8783E" w:rsidP="00A8783E">
            <w:pPr>
              <w:spacing w:after="160" w:line="259" w:lineRule="auto"/>
              <w:rPr>
                <w:rFonts w:ascii="Times New Roman" w:hAnsi="Times New Roman"/>
                <w:lang w:eastAsia="bg-BG"/>
              </w:rPr>
            </w:pPr>
            <w:r w:rsidRPr="00A8783E">
              <w:rPr>
                <w:rFonts w:ascii="Times New Roman" w:hAnsi="Times New Roman"/>
                <w:b/>
                <w:bCs/>
                <w:lang w:eastAsia="bg-BG"/>
              </w:rPr>
              <w:t xml:space="preserve">Местообитание </w:t>
            </w:r>
            <w:r w:rsidRPr="00A8783E">
              <w:rPr>
                <w:rFonts w:ascii="Times New Roman" w:hAnsi="Times New Roman"/>
                <w:b/>
                <w:bCs/>
                <w:lang w:eastAsia="bg-BG"/>
              </w:rPr>
              <w:lastRenderedPageBreak/>
              <w:t xml:space="preserve">на вида: </w:t>
            </w:r>
            <w:r w:rsidRPr="00A8783E">
              <w:rPr>
                <w:rFonts w:ascii="Times New Roman" w:hAnsi="Times New Roman"/>
                <w:lang w:eastAsia="bg-BG"/>
              </w:rPr>
              <w:t>Площ на подходящите местообитанията за пренощуване по време на зимуване и миграция</w:t>
            </w:r>
          </w:p>
        </w:tc>
        <w:tc>
          <w:tcPr>
            <w:tcW w:w="1276" w:type="dxa"/>
          </w:tcPr>
          <w:p w:rsidR="00A8783E" w:rsidRPr="00A8783E" w:rsidRDefault="00A8783E" w:rsidP="00A8783E">
            <w:pPr>
              <w:spacing w:after="160" w:line="259" w:lineRule="auto"/>
              <w:rPr>
                <w:rFonts w:ascii="Times New Roman" w:hAnsi="Times New Roman"/>
                <w:lang w:val="en-US" w:eastAsia="bg-BG"/>
              </w:rPr>
            </w:pPr>
            <w:r w:rsidRPr="00A8783E">
              <w:rPr>
                <w:rFonts w:ascii="Times New Roman" w:hAnsi="Times New Roman"/>
                <w:lang w:val="en-US" w:eastAsia="bg-BG"/>
              </w:rPr>
              <w:lastRenderedPageBreak/>
              <w:t>ha</w:t>
            </w:r>
          </w:p>
        </w:tc>
        <w:tc>
          <w:tcPr>
            <w:tcW w:w="1134" w:type="dxa"/>
          </w:tcPr>
          <w:p w:rsidR="00A8783E" w:rsidRPr="00A8783E" w:rsidRDefault="00A8783E" w:rsidP="00A8783E">
            <w:pPr>
              <w:spacing w:after="160" w:line="259" w:lineRule="auto"/>
              <w:rPr>
                <w:rFonts w:ascii="Times New Roman" w:hAnsi="Times New Roman"/>
                <w:lang w:eastAsia="bg-BG"/>
              </w:rPr>
            </w:pPr>
            <w:r w:rsidRPr="00A8783E">
              <w:rPr>
                <w:rFonts w:ascii="Times New Roman" w:hAnsi="Times New Roman"/>
                <w:lang w:eastAsia="bg-BG"/>
              </w:rPr>
              <w:t>най-</w:t>
            </w:r>
            <w:r w:rsidRPr="00A8783E">
              <w:rPr>
                <w:rFonts w:ascii="Times New Roman" w:hAnsi="Times New Roman"/>
                <w:lang w:eastAsia="bg-BG"/>
              </w:rPr>
              <w:lastRenderedPageBreak/>
              <w:t xml:space="preserve">малко 275 </w:t>
            </w:r>
          </w:p>
        </w:tc>
        <w:tc>
          <w:tcPr>
            <w:tcW w:w="2551" w:type="dxa"/>
          </w:tcPr>
          <w:p w:rsidR="00A8783E" w:rsidRPr="00A8783E" w:rsidRDefault="00A8783E" w:rsidP="00A8783E">
            <w:pPr>
              <w:spacing w:after="160" w:line="259" w:lineRule="auto"/>
              <w:rPr>
                <w:rFonts w:ascii="Times New Roman" w:hAnsi="Times New Roman"/>
                <w:lang w:eastAsia="bg-BG"/>
              </w:rPr>
            </w:pPr>
            <w:r w:rsidRPr="00A8783E">
              <w:rPr>
                <w:rFonts w:ascii="Times New Roman" w:hAnsi="Times New Roman"/>
                <w:lang w:eastAsia="bg-BG"/>
              </w:rPr>
              <w:lastRenderedPageBreak/>
              <w:t xml:space="preserve">През нощта гъските </w:t>
            </w:r>
            <w:r w:rsidRPr="00A8783E">
              <w:rPr>
                <w:rFonts w:ascii="Times New Roman" w:hAnsi="Times New Roman"/>
                <w:lang w:eastAsia="bg-BG"/>
              </w:rPr>
              <w:lastRenderedPageBreak/>
              <w:t xml:space="preserve">обитават езерото и реката. Определени на базата % участие на местообитание </w:t>
            </w:r>
            <w:r w:rsidRPr="00A8783E">
              <w:rPr>
                <w:rFonts w:ascii="Times New Roman" w:hAnsi="Times New Roman"/>
                <w:lang w:val="en-US" w:eastAsia="bg-BG"/>
              </w:rPr>
              <w:t>N</w:t>
            </w:r>
            <w:r w:rsidRPr="00A8783E">
              <w:rPr>
                <w:rFonts w:ascii="Times New Roman" w:hAnsi="Times New Roman"/>
                <w:lang w:eastAsia="bg-BG"/>
              </w:rPr>
              <w:t>06-вътрешни водни тела.</w:t>
            </w:r>
          </w:p>
        </w:tc>
        <w:tc>
          <w:tcPr>
            <w:tcW w:w="2398" w:type="dxa"/>
          </w:tcPr>
          <w:p w:rsidR="00A8783E" w:rsidRPr="00A8783E" w:rsidRDefault="00A8783E" w:rsidP="00A8783E">
            <w:pPr>
              <w:spacing w:after="160" w:line="259" w:lineRule="auto"/>
              <w:rPr>
                <w:rFonts w:ascii="Times New Roman" w:hAnsi="Times New Roman"/>
                <w:lang w:eastAsia="bg-BG"/>
              </w:rPr>
            </w:pPr>
            <w:r w:rsidRPr="00A8783E">
              <w:rPr>
                <w:rFonts w:ascii="Times New Roman" w:hAnsi="Times New Roman"/>
                <w:lang w:eastAsia="bg-BG"/>
              </w:rPr>
              <w:lastRenderedPageBreak/>
              <w:t xml:space="preserve">Поддържане и </w:t>
            </w:r>
            <w:r w:rsidRPr="00A8783E">
              <w:rPr>
                <w:rFonts w:ascii="Times New Roman" w:hAnsi="Times New Roman"/>
                <w:lang w:eastAsia="bg-BG"/>
              </w:rPr>
              <w:lastRenderedPageBreak/>
              <w:t xml:space="preserve">увеличаване на площта на подходящите места за пренощуване на вида в зоната в размер от най-малко 275 </w:t>
            </w:r>
            <w:r w:rsidRPr="00A8783E">
              <w:rPr>
                <w:rFonts w:ascii="Times New Roman" w:hAnsi="Times New Roman"/>
                <w:lang w:val="en-US" w:eastAsia="bg-BG"/>
              </w:rPr>
              <w:t>ha</w:t>
            </w:r>
            <w:r w:rsidRPr="00A8783E">
              <w:rPr>
                <w:rFonts w:ascii="Times New Roman" w:hAnsi="Times New Roman"/>
                <w:lang w:eastAsia="bg-BG"/>
              </w:rPr>
              <w:t>.</w:t>
            </w:r>
          </w:p>
        </w:tc>
      </w:tr>
      <w:tr w:rsidR="00A8783E" w:rsidRPr="00A8783E" w:rsidTr="005B5318">
        <w:trPr>
          <w:jc w:val="center"/>
        </w:trPr>
        <w:tc>
          <w:tcPr>
            <w:tcW w:w="1974"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най-малко 72 </w:t>
            </w:r>
          </w:p>
        </w:tc>
        <w:tc>
          <w:tcPr>
            <w:tcW w:w="255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Включва основно обработваемите земи в западната част на зоната.</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обработваеми земи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15 – Други обработваеми земи. Основните хранителни местообитания през зимните месеци са извън границите на защитената зона.</w:t>
            </w:r>
          </w:p>
        </w:tc>
        <w:tc>
          <w:tcPr>
            <w:tcW w:w="239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Поддържане и увеличаване на площта на подходящите хранителни местообитания на вида в зоната в размер от най-малко 72 </w:t>
            </w:r>
            <w:r w:rsidRPr="00A8783E">
              <w:rPr>
                <w:rFonts w:ascii="Times New Roman" w:hAnsi="Times New Roman"/>
                <w:lang w:val="en-US" w:eastAsia="bg-BG"/>
              </w:rPr>
              <w:t>ha</w:t>
            </w:r>
            <w:r w:rsidRPr="00A8783E">
              <w:rPr>
                <w:rFonts w:ascii="Times New Roman" w:hAnsi="Times New Roman"/>
                <w:lang w:eastAsia="bg-BG"/>
              </w:rPr>
              <w:t>.</w:t>
            </w:r>
          </w:p>
        </w:tc>
      </w:tr>
      <w:tr w:rsidR="00A8783E" w:rsidRPr="00A8783E" w:rsidTr="005B5318">
        <w:trPr>
          <w:jc w:val="center"/>
        </w:trPr>
        <w:tc>
          <w:tcPr>
            <w:tcW w:w="1974"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по биологичен елемент водни безгръбначни животни (</w:t>
            </w:r>
            <w:r w:rsidRPr="00A8783E">
              <w:rPr>
                <w:rFonts w:ascii="Times New Roman" w:hAnsi="Times New Roman"/>
                <w:lang w:val="en-GB" w:eastAsia="bg-BG"/>
              </w:rPr>
              <w:t>JDS</w:t>
            </w:r>
            <w:r w:rsidRPr="00A8783E">
              <w:rPr>
                <w:rFonts w:ascii="Times New Roman" w:hAnsi="Times New Roman"/>
                <w:lang w:eastAsia="bg-BG"/>
              </w:rPr>
              <w:t xml:space="preserve">4- </w:t>
            </w:r>
            <w:r w:rsidRPr="00A8783E">
              <w:rPr>
                <w:rFonts w:ascii="Times New Roman" w:hAnsi="Times New Roman"/>
                <w:lang w:val="en-US" w:eastAsia="bg-BG"/>
              </w:rPr>
              <w:t>Aqatic</w:t>
            </w:r>
            <w:r w:rsidRPr="00A8783E">
              <w:rPr>
                <w:rFonts w:ascii="Times New Roman" w:hAnsi="Times New Roman"/>
                <w:lang w:eastAsia="bg-BG"/>
              </w:rPr>
              <w:t xml:space="preserve"> </w:t>
            </w:r>
            <w:r w:rsidRPr="00A8783E">
              <w:rPr>
                <w:rFonts w:ascii="Times New Roman" w:hAnsi="Times New Roman"/>
                <w:lang w:val="en-US" w:eastAsia="bg-BG"/>
              </w:rPr>
              <w:t>macroinvertebrates</w:t>
            </w:r>
            <w:r w:rsidRPr="00A8783E">
              <w:rPr>
                <w:rFonts w:ascii="Times New Roman" w:hAnsi="Times New Roman"/>
                <w:lang w:eastAsia="bg-BG"/>
              </w:rPr>
              <w:t>)</w:t>
            </w:r>
          </w:p>
        </w:tc>
        <w:tc>
          <w:tcPr>
            <w:tcW w:w="127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 съгласно РДВ</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551" w:type="dxa"/>
          </w:tcPr>
          <w:tbl>
            <w:tblPr>
              <w:tblW w:w="3029" w:type="dxa"/>
              <w:tblInd w:w="3" w:type="dxa"/>
              <w:tblLayout w:type="fixed"/>
              <w:tblCellMar>
                <w:left w:w="70" w:type="dxa"/>
                <w:right w:w="70" w:type="dxa"/>
              </w:tblCellMar>
              <w:tblLook w:val="00A0" w:firstRow="1" w:lastRow="0" w:firstColumn="1" w:lastColumn="0" w:noHBand="0" w:noVBand="0"/>
            </w:tblPr>
            <w:tblGrid>
              <w:gridCol w:w="3029"/>
            </w:tblGrid>
            <w:tr w:rsidR="00A8783E" w:rsidRPr="00A8783E" w:rsidTr="005B5318">
              <w:trPr>
                <w:trHeight w:val="316"/>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107"/>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107"/>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107"/>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107"/>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107"/>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107"/>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по р. Дунав по показател водни безгръбначни животни (пункт при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4 (2019-2020, Табл. 1, стр. 62).</w:t>
            </w:r>
            <w:r w:rsidRPr="00A8783E">
              <w:rPr>
                <w:rFonts w:cs="Calibri"/>
              </w:rPr>
              <w:t xml:space="preserve"> </w:t>
            </w:r>
            <w:r w:rsidRPr="00A8783E">
              <w:rPr>
                <w:rFonts w:ascii="Times New Roman" w:hAnsi="Times New Roman"/>
                <w:lang w:eastAsia="bg-BG"/>
              </w:rPr>
              <w:t xml:space="preserve">Екологичното състояние на езерото Сребърна по БЕК Макрозообентос е Отлично, по БЕК Фитопланктон и БЕК Макрофити е Лошо. </w:t>
            </w:r>
          </w:p>
        </w:tc>
        <w:tc>
          <w:tcPr>
            <w:tcW w:w="2398"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after="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Предвид наличната информация за настоящата зимуваща и мигрираща численост на вида в защитената зона не е необходима актуализация на СФ.</w:t>
      </w:r>
    </w:p>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81" w:name="_Toc89106078"/>
      <w:bookmarkStart w:id="182" w:name="_Toc98741917"/>
      <w:bookmarkStart w:id="183" w:name="_Toc98838592"/>
      <w:r w:rsidRPr="00A8783E">
        <w:rPr>
          <w:rFonts w:ascii="Times New Roman" w:hAnsi="Times New Roman"/>
          <w:color w:val="1F497D"/>
          <w:sz w:val="28"/>
          <w:szCs w:val="28"/>
          <w:lang w:eastAsia="bg-BG"/>
        </w:rPr>
        <w:t xml:space="preserve">Специфични цели за А043 </w:t>
      </w:r>
      <w:r w:rsidRPr="00A8783E">
        <w:rPr>
          <w:rFonts w:ascii="Times New Roman" w:hAnsi="Times New Roman"/>
          <w:i/>
          <w:iCs/>
          <w:color w:val="1F497D"/>
          <w:sz w:val="28"/>
          <w:szCs w:val="28"/>
          <w:lang w:eastAsia="bg-BG"/>
        </w:rPr>
        <w:t>Аnser anser</w:t>
      </w:r>
      <w:r w:rsidRPr="00A8783E">
        <w:rPr>
          <w:rFonts w:ascii="Times New Roman" w:hAnsi="Times New Roman"/>
          <w:color w:val="1F497D"/>
          <w:sz w:val="28"/>
          <w:szCs w:val="28"/>
          <w:lang w:eastAsia="bg-BG"/>
        </w:rPr>
        <w:t xml:space="preserve"> (сива гъска)</w:t>
      </w:r>
      <w:bookmarkEnd w:id="181"/>
      <w:bookmarkEnd w:id="182"/>
      <w:bookmarkEnd w:id="183"/>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Дължината на тялото 74-90 cm, размах на крилата – 147 - 180 cm. (Cramp </w:t>
      </w:r>
      <w:r w:rsidRPr="00A8783E">
        <w:rPr>
          <w:rFonts w:ascii="Times New Roman" w:hAnsi="Times New Roman"/>
          <w:sz w:val="24"/>
          <w:szCs w:val="24"/>
          <w:lang w:val="en-US" w:eastAsia="bg-BG"/>
        </w:rPr>
        <w:t>and</w:t>
      </w:r>
      <w:r w:rsidRPr="00A8783E">
        <w:rPr>
          <w:rFonts w:ascii="Times New Roman" w:hAnsi="Times New Roman"/>
          <w:sz w:val="24"/>
          <w:szCs w:val="24"/>
          <w:lang w:eastAsia="bg-BG"/>
        </w:rPr>
        <w:t xml:space="preserve"> Simmons 1977; Svensson, 2013). Оперението е сивокафяво, с бяла подопашка. Гърбът е по-тъмен. Предната част на крилата отгоре е по-светло сива, дори сиво-бяла. Клюнът е оранжев, краката розови. Птиците от популации обитаващи Сибир и СИ Европа са с розов клюн (подвидът </w:t>
      </w:r>
      <w:r w:rsidRPr="00A8783E">
        <w:rPr>
          <w:rFonts w:ascii="Times New Roman" w:hAnsi="Times New Roman"/>
          <w:i/>
          <w:iCs/>
          <w:sz w:val="24"/>
          <w:szCs w:val="24"/>
          <w:lang w:eastAsia="bg-BG"/>
        </w:rPr>
        <w:t>A. anser rubrirostris</w:t>
      </w:r>
      <w:r w:rsidRPr="00A8783E">
        <w:rPr>
          <w:rFonts w:ascii="Times New Roman" w:hAnsi="Times New Roman"/>
          <w:sz w:val="24"/>
          <w:szCs w:val="24"/>
          <w:lang w:eastAsia="bg-BG"/>
        </w:rPr>
        <w:t xml:space="preserve">). Няма полов диморфизъм. Доста гласовита, издава звуци подобни на домашните гъски. Най-често мигрира и зимува на големи ята.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Сивата гъска у нас е гнездящ, постоянен вид, а също преминаващ по време на миграция и зимуващ. След гнездовия период местните птици формират ята и се концентрират на недостъпни места за линеене –например в делтата на р. Дунав и по някои недостъпни пясъчни коси в река Дунав. През есента и зимата големи ята от този вид долитат от север и североизток и се концентрират главно по Северното Черноморско крайбрежие, по р. Дунав и по-рядко и в по-малък брой по Южното Черноморие и в някои от по-големите вътрешни водоеми. В тези ята има и индивиди от подвида</w:t>
      </w:r>
      <w:r w:rsidRPr="00A8783E">
        <w:rPr>
          <w:rFonts w:ascii="Times New Roman" w:hAnsi="Times New Roman"/>
          <w:i/>
          <w:iCs/>
          <w:sz w:val="24"/>
          <w:szCs w:val="24"/>
          <w:lang w:eastAsia="bg-BG"/>
        </w:rPr>
        <w:t xml:space="preserve"> A. anser rubrirostris.</w:t>
      </w:r>
      <w:r w:rsidRPr="00A8783E">
        <w:rPr>
          <w:rFonts w:ascii="Times New Roman" w:hAnsi="Times New Roman"/>
          <w:sz w:val="24"/>
          <w:szCs w:val="24"/>
          <w:lang w:eastAsia="bg-BG"/>
        </w:rPr>
        <w:t xml:space="preserve"> Пролетната миграция е от началото на февруари до началото на април. Есенната миграция е от средата на октомври до декември, най-забележима през ноември.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Гнездовото местообитание е водната растителност (тръстика, папур, камъш) в и по периферията на блата, езера и рибарници. Често гнезди и в наводнени върбалаци. У нас гнезди само в сладководни водоеми. Понякога гнезди и в почти напълно обрасли с водна растителност водоеми. По време на миграция и зимуване се среща във всякакви типове влажни зони, но главно в плитководни участъци на р. Дунав, в сладководни езера, блата, мочурища, големи язовири, в лагуни, в бракични и дори солени езера. Много често през деня се храни в нивите покрай водоемите избрани за нощувка и почивка. Подходящи гнездови местообитания са 3140, 3150 и 3270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Сивата гъска се храни с растителна храна – водорасли, зелени части и корени на различни видове висши водни растения, листа на върби, трева, поници на пшеница и други култури, семена. По-често се храни на сушата край водоемите (Cramp </w:t>
      </w:r>
      <w:r w:rsidRPr="00A8783E">
        <w:rPr>
          <w:rFonts w:ascii="Times New Roman" w:hAnsi="Times New Roman"/>
          <w:sz w:val="24"/>
          <w:szCs w:val="24"/>
          <w:lang w:val="en-US" w:eastAsia="bg-BG"/>
        </w:rPr>
        <w:t>and</w:t>
      </w:r>
      <w:r w:rsidRPr="00A8783E">
        <w:rPr>
          <w:rFonts w:ascii="Times New Roman" w:hAnsi="Times New Roman"/>
          <w:sz w:val="24"/>
          <w:szCs w:val="24"/>
          <w:lang w:eastAsia="bg-BG"/>
        </w:rPr>
        <w:t xml:space="preserve"> Simmons eds., 1977). В хранителния спектър на вида в Чехия са установени 35 вида растения (Stastny </w:t>
      </w:r>
      <w:r w:rsidRPr="00A8783E">
        <w:rPr>
          <w:rFonts w:ascii="Times New Roman" w:hAnsi="Times New Roman"/>
          <w:sz w:val="24"/>
          <w:szCs w:val="24"/>
          <w:lang w:val="en-US" w:eastAsia="bg-BG"/>
        </w:rPr>
        <w:t>and</w:t>
      </w:r>
      <w:r w:rsidRPr="00A8783E">
        <w:rPr>
          <w:rFonts w:ascii="Times New Roman" w:hAnsi="Times New Roman"/>
          <w:sz w:val="24"/>
          <w:szCs w:val="24"/>
          <w:lang w:eastAsia="bg-BG"/>
        </w:rPr>
        <w:t xml:space="preserve"> Hudec, 2016).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Като гнездящ вид е рядък, разпространен у нас само в Крайдунавските влажни зони от Никопол на изток и в езерата Дуранкулашко и Шабленско по Северното Черноморие (Янков ред. 2007; Иванов, Дерелиев, 2015; Shurulinkov et al., 2019). Според Червената книга на България у нас гнездят 20-30 двойки с тенденция за намаление. В крайдунавските влажни зони за периода 2006 – 2014 г. числеността е определена на 4-14 двойки (Shurulinkov et al., 2019). Сивата гъска зимува в цялата страна, но главно по р. Дунав и в крайморска Добруджа. Зимните ята рядко надхвърлят 100 екз. Среща се редовно и в Бургаските езера. Във вътрешните водоеми зимува спорадично и </w:t>
      </w:r>
      <w:r w:rsidRPr="00A8783E">
        <w:rPr>
          <w:rFonts w:ascii="Times New Roman" w:hAnsi="Times New Roman"/>
          <w:sz w:val="24"/>
          <w:szCs w:val="24"/>
          <w:lang w:eastAsia="bg-BG"/>
        </w:rPr>
        <w:lastRenderedPageBreak/>
        <w:t xml:space="preserve">нередовно. По време на миграция сивите гъски преминават главно по Черноморския бряг и по течението на р. Дунав. По-рядко спират и в някои от по-големите вътрешни водоеми, по-често в Северна България.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Според докладването по чл.12 от 2019 г. (за периода 2013-2018 г.) гнездовата популация се оценява на 15-25 двойки без ясно изразена тенденция и със стабилно разпространение.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Числеността на зимуващите у нас сиви гъски според Докладването по чл.12 е между 50 и 700 екз. Няма ясна тенденция, числеността е флуктуираща.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докладването по чл.12 понастоящем миграционната численост на вида е в рамките на 100-2500 инд. Специални проучвания по този въпрос не са публикувани. През лятото концентрациите на линеещите сиви гъски по дунавските острови достигат до 500-1000 екз. и явно произхождат от гнездилищата както у нас така и в Румъния.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В Червената книга (Иванов, Дерелиев 2015) са посочени като заплахи за сивата гъска прекомерното обрастване с тръстика и папур на водоеми, непостоянен и неблагоприятен воден режим, безпокойство от рибари и ловци, бракониерството и отсичането на стари върбови гори на о. Персина. Освен това местообитанията на вида се засягат от умишлени пожари в тръстиковите и папурови масиви. Отрицателно въздействие оказват и осушаването на влажни зони – особено рибарници и язовири, което понякога се случва дори и през гнездовия период на птиците. При докладването по чл. 12 са посочени като заплахи използването на повърхностни и подземни води за напояване в земеделието, осушаването на водоеми за селскостопански нужди и промяната на предназначението на земите. </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вида е гнездящ, зимуващ и мигриращ. </w:t>
      </w:r>
      <w:r w:rsidRPr="00A8783E">
        <w:rPr>
          <w:rFonts w:ascii="Times New Roman" w:hAnsi="Times New Roman"/>
          <w:b/>
          <w:bCs/>
          <w:sz w:val="24"/>
          <w:szCs w:val="24"/>
          <w:lang w:eastAsia="bg-BG"/>
        </w:rPr>
        <w:t>Гнездящата</w:t>
      </w:r>
      <w:r w:rsidRPr="00A8783E">
        <w:rPr>
          <w:rFonts w:ascii="Times New Roman" w:hAnsi="Times New Roman"/>
          <w:sz w:val="24"/>
          <w:szCs w:val="24"/>
          <w:lang w:eastAsia="bg-BG"/>
        </w:rPr>
        <w:t xml:space="preserve"> популация на вида се оценява на </w:t>
      </w:r>
      <w:r w:rsidRPr="00A8783E">
        <w:rPr>
          <w:rFonts w:ascii="Times New Roman" w:hAnsi="Times New Roman"/>
          <w:b/>
          <w:bCs/>
          <w:sz w:val="24"/>
          <w:szCs w:val="24"/>
          <w:lang w:eastAsia="bg-BG"/>
        </w:rPr>
        <w:t>6 - 10 двойки</w:t>
      </w:r>
      <w:r w:rsidRPr="00A8783E">
        <w:rPr>
          <w:rFonts w:ascii="Times New Roman" w:hAnsi="Times New Roman"/>
          <w:sz w:val="24"/>
          <w:szCs w:val="24"/>
          <w:lang w:eastAsia="bg-BG"/>
        </w:rPr>
        <w:t>, което е 40,0 %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sz w:val="24"/>
          <w:szCs w:val="24"/>
          <w:lang w:eastAsia="bg-BG"/>
        </w:rPr>
        <w:t xml:space="preserve">Според СФ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на вида се оценява на </w:t>
      </w:r>
      <w:r w:rsidRPr="00A8783E">
        <w:rPr>
          <w:rFonts w:ascii="Times New Roman" w:hAnsi="Times New Roman"/>
          <w:b/>
          <w:bCs/>
          <w:sz w:val="24"/>
          <w:szCs w:val="24"/>
          <w:lang w:eastAsia="bg-BG"/>
        </w:rPr>
        <w:t>0 - 114 индивида</w:t>
      </w:r>
      <w:r w:rsidRPr="00A8783E">
        <w:rPr>
          <w:rFonts w:ascii="Times New Roman" w:hAnsi="Times New Roman"/>
          <w:sz w:val="24"/>
          <w:szCs w:val="24"/>
          <w:lang w:eastAsia="bg-BG"/>
        </w:rPr>
        <w:t>, което е 16,3 – 100 % от националната зимуваща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на вида се оценява на </w:t>
      </w:r>
      <w:r w:rsidRPr="00A8783E">
        <w:rPr>
          <w:rFonts w:ascii="Times New Roman" w:hAnsi="Times New Roman"/>
          <w:b/>
          <w:bCs/>
          <w:sz w:val="24"/>
          <w:szCs w:val="24"/>
          <w:lang w:eastAsia="bg-BG"/>
        </w:rPr>
        <w:t>1 - 500 индивида</w:t>
      </w:r>
      <w:r w:rsidRPr="00A8783E">
        <w:rPr>
          <w:rFonts w:ascii="Times New Roman" w:hAnsi="Times New Roman"/>
          <w:sz w:val="24"/>
          <w:szCs w:val="24"/>
          <w:lang w:eastAsia="bg-BG"/>
        </w:rPr>
        <w:t>, което е 1,0 – 20,0 %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color w:val="000000"/>
          <w:sz w:val="24"/>
          <w:szCs w:val="24"/>
          <w:lang w:eastAsia="bg-BG"/>
        </w:rPr>
      </w:pPr>
      <w:r w:rsidRPr="00A8783E">
        <w:rPr>
          <w:rFonts w:ascii="Times New Roman" w:hAnsi="Times New Roman"/>
          <w:i/>
          <w:iCs/>
          <w:color w:val="000000"/>
          <w:sz w:val="24"/>
          <w:szCs w:val="24"/>
          <w:lang w:eastAsia="bg-BG"/>
        </w:rPr>
        <w:t>Гнездяща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 xml:space="preserve">Рядък гнездящ вид. По Дунав редовни гнездилища на вида са само в Сребърна и Персинските блата. Едно от най-важните гнездовища в страната е Сребърна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2019). През 2001 и 2002 г. видът гнезди с численост, съответно 2 и 1 двойки (</w:t>
      </w:r>
      <w:r w:rsidRPr="00A8783E">
        <w:rPr>
          <w:rFonts w:ascii="Times New Roman" w:hAnsi="Times New Roman"/>
          <w:color w:val="000000"/>
          <w:sz w:val="24"/>
          <w:szCs w:val="24"/>
          <w:lang w:val="en-US" w:eastAsia="bg-BG"/>
        </w:rPr>
        <w:t>Kamburova</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2003). В края на ХХ век числеността на вида е била между 1 и 15 дв., а между 2001 и 2003 г.: 1 – 2 дв. (</w:t>
      </w:r>
      <w:r w:rsidRPr="00A8783E">
        <w:rPr>
          <w:rFonts w:ascii="Times New Roman" w:hAnsi="Times New Roman"/>
          <w:color w:val="000000"/>
          <w:sz w:val="24"/>
          <w:szCs w:val="24"/>
          <w:lang w:val="en-US" w:eastAsia="bg-BG"/>
        </w:rPr>
        <w:t>Kambourova</w:t>
      </w:r>
      <w:r w:rsidRPr="00A8783E">
        <w:rPr>
          <w:rFonts w:ascii="Times New Roman" w:hAnsi="Times New Roman"/>
          <w:color w:val="000000"/>
          <w:sz w:val="24"/>
          <w:szCs w:val="24"/>
          <w:lang w:eastAsia="bg-BG"/>
        </w:rPr>
        <w:t xml:space="preserve">, 2003, 2012). В периода 2006-2014 г. числеността на сивите гъски в Сребърна е между 6 и 8 дв. (Shurulinkov </w:t>
      </w:r>
      <w:r w:rsidRPr="00A8783E">
        <w:rPr>
          <w:rFonts w:ascii="Times New Roman" w:hAnsi="Times New Roman"/>
          <w:color w:val="000000"/>
          <w:sz w:val="24"/>
          <w:szCs w:val="24"/>
          <w:lang w:val="en-GB" w:eastAsia="bg-BG"/>
        </w:rPr>
        <w:t>et</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GB" w:eastAsia="bg-BG"/>
        </w:rPr>
        <w:t>al</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eastAsia="bg-BG"/>
        </w:rPr>
        <w:lastRenderedPageBreak/>
        <w:t xml:space="preserve">2019). Според Матеева и др. (2013) в зоната са гнездили 5 – 10 дв. през 2012 г. Михов и др. (1997) и Костадинова, Граматиков (2007) дават числености на вида в зоната между 1 и 3 дв. През 2017 г. при проучване по р. Дунав, видът е наблюдаван в реката в акваторията на ПР „Сребърна” с една двойка с 2 млади птици (Димитров, 2018). В Актуализирания План за управление на ПР „Сребърна” (2015 г.), се посочва че видът гнезди в естествени водни площи с вкоренена тръстика, с численост 10-12 дв. или около 48 % от националната гнездова популация. </w:t>
      </w:r>
      <w:r w:rsidRPr="00A8783E">
        <w:rPr>
          <w:rFonts w:ascii="Times New Roman" w:hAnsi="Times New Roman"/>
          <w:sz w:val="24"/>
          <w:szCs w:val="24"/>
          <w:lang w:eastAsia="bg-BG"/>
        </w:rPr>
        <w:t>При теренните проучвания през 2021 г. видът е наблюдаван многократно през месеците май и юни – общо 114 екз. При обхождането на резервата на 24.06.2021 за един ден са преброени 40 птици. Регистрирани са минимум 7 двойки с 28 малки (средно 4 малки на двойка), но вероятно броя на гнездящите двойки е по-голям. Размножаващите се птици се придържат основно в западната и южната част на блатото и под селото, в малки водни огледала, заобиколени от тръстика.</w:t>
      </w:r>
    </w:p>
    <w:p w:rsidR="00A8783E" w:rsidRPr="00A8783E" w:rsidRDefault="00A8783E" w:rsidP="00A8783E">
      <w:pPr>
        <w:spacing w:before="120" w:after="120" w:line="240" w:lineRule="auto"/>
        <w:jc w:val="both"/>
        <w:rPr>
          <w:rFonts w:ascii="Times New Roman" w:hAnsi="Times New Roman"/>
          <w:i/>
          <w:iCs/>
          <w:color w:val="000000"/>
          <w:sz w:val="24"/>
          <w:szCs w:val="24"/>
          <w:lang w:eastAsia="bg-BG"/>
        </w:rPr>
      </w:pPr>
      <w:r w:rsidRPr="00A8783E">
        <w:rPr>
          <w:rFonts w:ascii="Times New Roman" w:hAnsi="Times New Roman"/>
          <w:i/>
          <w:iCs/>
          <w:color w:val="000000"/>
          <w:sz w:val="24"/>
          <w:szCs w:val="24"/>
          <w:lang w:eastAsia="bg-BG"/>
        </w:rPr>
        <w:t>Зимуваща и мигрираща популация</w:t>
      </w:r>
    </w:p>
    <w:p w:rsidR="00A8783E" w:rsidRPr="00A8783E" w:rsidRDefault="00A8783E" w:rsidP="00A8783E">
      <w:pPr>
        <w:spacing w:before="120" w:after="120" w:line="240" w:lineRule="auto"/>
        <w:jc w:val="both"/>
        <w:rPr>
          <w:rFonts w:ascii="Times New Roman" w:hAnsi="Times New Roman"/>
          <w:color w:val="000000"/>
          <w:sz w:val="24"/>
          <w:szCs w:val="24"/>
          <w:lang w:eastAsia="bg-BG"/>
        </w:rPr>
      </w:pPr>
      <w:r w:rsidRPr="00A8783E">
        <w:rPr>
          <w:rFonts w:ascii="Times New Roman" w:hAnsi="Times New Roman"/>
          <w:color w:val="000000"/>
          <w:sz w:val="24"/>
          <w:szCs w:val="24"/>
          <w:lang w:eastAsia="bg-BG"/>
        </w:rPr>
        <w:t>Видът е често срещан през зимата в р. Дунав. В периода 1977-1996 е установена средна численост от около 790 индивида, като по-голяма част от зимуващата популация се концентрира по поречието на р. Дунав (</w:t>
      </w:r>
      <w:r w:rsidRPr="00A8783E">
        <w:rPr>
          <w:rFonts w:ascii="Times New Roman" w:hAnsi="Times New Roman"/>
          <w:color w:val="000000"/>
          <w:sz w:val="24"/>
          <w:szCs w:val="24"/>
          <w:lang w:val="en-US" w:eastAsia="bg-BG"/>
        </w:rPr>
        <w:t>Michev</w:t>
      </w:r>
      <w:r w:rsidRPr="00A8783E">
        <w:rPr>
          <w:rFonts w:ascii="Times New Roman" w:hAnsi="Times New Roman"/>
          <w:color w:val="000000"/>
          <w:sz w:val="24"/>
          <w:szCs w:val="24"/>
          <w:lang w:eastAsia="bg-BG"/>
        </w:rPr>
        <w:t xml:space="preserve">, </w:t>
      </w:r>
      <w:r w:rsidRPr="00A8783E">
        <w:rPr>
          <w:rFonts w:ascii="Times New Roman" w:hAnsi="Times New Roman"/>
          <w:color w:val="000000"/>
          <w:sz w:val="24"/>
          <w:szCs w:val="24"/>
          <w:lang w:val="en-US" w:eastAsia="bg-BG"/>
        </w:rPr>
        <w:t>Profirov</w:t>
      </w:r>
      <w:r w:rsidRPr="00A8783E">
        <w:rPr>
          <w:rFonts w:ascii="Times New Roman" w:hAnsi="Times New Roman"/>
          <w:color w:val="000000"/>
          <w:sz w:val="24"/>
          <w:szCs w:val="24"/>
          <w:lang w:eastAsia="bg-BG"/>
        </w:rPr>
        <w:t>, 2003). В участъка Сомовит – Силистра между 1984 – 2005 г. са регистрирани между 4 и 850 сиви гъски, като числеността им е по-висока при ниски водни нива и наличие на пясъчни коси. При ниски температура и високи водни нива птиците напускат района (</w:t>
      </w:r>
      <w:r w:rsidRPr="00A8783E">
        <w:rPr>
          <w:rFonts w:ascii="Times New Roman" w:hAnsi="Times New Roman"/>
          <w:color w:val="000000"/>
          <w:sz w:val="24"/>
          <w:szCs w:val="24"/>
          <w:lang w:val="en-US" w:eastAsia="bg-BG"/>
        </w:rPr>
        <w:t>Ivanov</w:t>
      </w:r>
      <w:r w:rsidRPr="00A8783E">
        <w:rPr>
          <w:rFonts w:ascii="Times New Roman" w:hAnsi="Times New Roman"/>
          <w:color w:val="000000"/>
          <w:sz w:val="24"/>
          <w:szCs w:val="24"/>
          <w:lang w:eastAsia="bg-BG"/>
        </w:rPr>
        <w:t>, 2008). При средно-зимните преброявания в ез. Сребърна през 2015 г. са наблюдавани 2 екз., 2016 – 6 екз. Иванов (1979) дава зимна численост на вида през януари между 16 и 813 птици. Михов и др. (1997) и Костадинова, Граматиков (2007) дават зимни числености на вида в зоната между 17 и 505 екз. Последните дават и мигрираща численост от около 500 екз. По време на след гнездовите скитания и есенния прелет се срещат повече птици по пясъците на р. Дунав. Есенния прелет е през ноември (Симеонов и др. 1990). Иванов (1979) дава следните численост на вида в Сребърна през ноември – 1975 г. – 204 птици, 1976 – 360 екз. и 1977 – 283 екз.</w:t>
      </w:r>
    </w:p>
    <w:p w:rsidR="00A8783E" w:rsidRPr="00A8783E" w:rsidRDefault="00A8783E" w:rsidP="00A8783E">
      <w:pPr>
        <w:spacing w:before="120" w:after="120" w:line="240" w:lineRule="auto"/>
        <w:jc w:val="both"/>
        <w:rPr>
          <w:rFonts w:ascii="Times New Roman" w:hAnsi="Times New Roman"/>
          <w:color w:val="000000"/>
          <w:sz w:val="24"/>
          <w:szCs w:val="24"/>
          <w:lang w:eastAsia="bg-BG"/>
        </w:rPr>
      </w:pPr>
      <w:r w:rsidRPr="00A8783E">
        <w:rPr>
          <w:rFonts w:ascii="Times New Roman" w:hAnsi="Times New Roman"/>
          <w:color w:val="000000"/>
          <w:sz w:val="24"/>
          <w:szCs w:val="24"/>
          <w:lang w:eastAsia="bg-BG"/>
        </w:rPr>
        <w:t xml:space="preserve">За гнездящата популация са посочени следните заплахи и влияния (Докладване 2019 г.): A30, А31 и </w:t>
      </w:r>
      <w:r w:rsidRPr="00A8783E">
        <w:rPr>
          <w:rFonts w:ascii="Times New Roman" w:hAnsi="Times New Roman"/>
          <w:color w:val="000000"/>
          <w:sz w:val="24"/>
          <w:szCs w:val="24"/>
          <w:lang w:val="en-US" w:eastAsia="bg-BG"/>
        </w:rPr>
        <w:t>F</w:t>
      </w:r>
      <w:r w:rsidRPr="00A8783E">
        <w:rPr>
          <w:rFonts w:ascii="Times New Roman" w:hAnsi="Times New Roman"/>
          <w:color w:val="000000"/>
          <w:sz w:val="24"/>
          <w:szCs w:val="24"/>
          <w:lang w:eastAsia="bg-BG"/>
        </w:rPr>
        <w:t xml:space="preserve">03. От тях няма потенциално валидни за СЗЗ „Сребърна”. За мигриращата и зимуващата популация са посочени следните 4 заплахи: </w:t>
      </w:r>
      <w:r w:rsidRPr="00A8783E">
        <w:rPr>
          <w:rFonts w:ascii="Times New Roman" w:hAnsi="Times New Roman"/>
          <w:color w:val="000000"/>
          <w:sz w:val="24"/>
          <w:szCs w:val="24"/>
          <w:lang w:val="en-US" w:eastAsia="bg-BG"/>
        </w:rPr>
        <w:t>A</w:t>
      </w:r>
      <w:r w:rsidRPr="00A8783E">
        <w:rPr>
          <w:rFonts w:ascii="Times New Roman" w:hAnsi="Times New Roman"/>
          <w:color w:val="000000"/>
          <w:sz w:val="24"/>
          <w:szCs w:val="24"/>
          <w:lang w:eastAsia="bg-BG"/>
        </w:rPr>
        <w:t xml:space="preserve">02, </w:t>
      </w:r>
      <w:r w:rsidRPr="00A8783E">
        <w:rPr>
          <w:rFonts w:ascii="Times New Roman" w:hAnsi="Times New Roman"/>
          <w:color w:val="000000"/>
          <w:sz w:val="24"/>
          <w:szCs w:val="24"/>
          <w:lang w:val="en-US" w:eastAsia="bg-BG"/>
        </w:rPr>
        <w:t>C</w:t>
      </w:r>
      <w:r w:rsidRPr="00A8783E">
        <w:rPr>
          <w:rFonts w:ascii="Times New Roman" w:hAnsi="Times New Roman"/>
          <w:color w:val="000000"/>
          <w:sz w:val="24"/>
          <w:szCs w:val="24"/>
          <w:lang w:eastAsia="bg-BG"/>
        </w:rPr>
        <w:t xml:space="preserve">03, </w:t>
      </w:r>
      <w:r w:rsidRPr="00A8783E">
        <w:rPr>
          <w:rFonts w:ascii="Times New Roman" w:hAnsi="Times New Roman"/>
          <w:color w:val="000000"/>
          <w:sz w:val="24"/>
          <w:szCs w:val="24"/>
          <w:lang w:val="en-US" w:eastAsia="bg-BG"/>
        </w:rPr>
        <w:t>E</w:t>
      </w:r>
      <w:r w:rsidRPr="00A8783E">
        <w:rPr>
          <w:rFonts w:ascii="Times New Roman" w:hAnsi="Times New Roman"/>
          <w:color w:val="000000"/>
          <w:sz w:val="24"/>
          <w:szCs w:val="24"/>
          <w:lang w:eastAsia="bg-BG"/>
        </w:rPr>
        <w:t xml:space="preserve">01 и </w:t>
      </w:r>
      <w:r w:rsidRPr="00A8783E">
        <w:rPr>
          <w:rFonts w:ascii="Times New Roman" w:hAnsi="Times New Roman"/>
          <w:color w:val="000000"/>
          <w:sz w:val="24"/>
          <w:szCs w:val="24"/>
          <w:lang w:val="en-US" w:eastAsia="bg-BG"/>
        </w:rPr>
        <w:t>F</w:t>
      </w:r>
      <w:r w:rsidRPr="00A8783E">
        <w:rPr>
          <w:rFonts w:ascii="Times New Roman" w:hAnsi="Times New Roman"/>
          <w:color w:val="000000"/>
          <w:sz w:val="24"/>
          <w:szCs w:val="24"/>
          <w:lang w:eastAsia="bg-BG"/>
        </w:rPr>
        <w:t>03. От тях също няма валидни за зоната. Заплахи за вида в зоната са бракониерството и незаконния отстрел, както и риболов с мрежени уреди,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236"/>
        <w:gridCol w:w="1134"/>
        <w:gridCol w:w="2835"/>
        <w:gridCol w:w="2369"/>
      </w:tblGrid>
      <w:tr w:rsidR="00A8783E" w:rsidRPr="00A8783E" w:rsidTr="005B5318">
        <w:trPr>
          <w:tblHeader/>
          <w:jc w:val="center"/>
        </w:trPr>
        <w:tc>
          <w:tcPr>
            <w:tcW w:w="1701"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23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13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835"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369"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701"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гнездовата популация</w:t>
            </w:r>
          </w:p>
        </w:tc>
        <w:tc>
          <w:tcPr>
            <w:tcW w:w="123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6-10 дв. </w:t>
            </w:r>
          </w:p>
        </w:tc>
        <w:tc>
          <w:tcPr>
            <w:tcW w:w="283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 настоящия СФ (актуализиран през 2018 г.) са посочени от 6 до 10 гнездящи двойки. В резултат на извършен мониторинг в защитената зона през гнездовия период на 2021 г. са установени минимум 7 гнездящи двойки. Числеността на вида се потвърждава от </w:t>
            </w:r>
            <w:r w:rsidRPr="00A8783E">
              <w:rPr>
                <w:rFonts w:ascii="Times New Roman" w:hAnsi="Times New Roman"/>
                <w:lang w:eastAsia="bg-BG"/>
              </w:rPr>
              <w:lastRenderedPageBreak/>
              <w:t>теренните наблюдения и литературните данни.</w:t>
            </w:r>
          </w:p>
        </w:tc>
        <w:tc>
          <w:tcPr>
            <w:tcW w:w="2369"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 xml:space="preserve">Поддържане популацията на вида в размер от най-малко 6 гнездящи двойки. </w:t>
            </w:r>
          </w:p>
        </w:tc>
      </w:tr>
      <w:tr w:rsidR="00A8783E" w:rsidRPr="00A8783E" w:rsidTr="005B5318">
        <w:trPr>
          <w:jc w:val="center"/>
        </w:trPr>
        <w:tc>
          <w:tcPr>
            <w:tcW w:w="1701"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Популация: </w:t>
            </w:r>
            <w:r w:rsidRPr="00A8783E">
              <w:rPr>
                <w:rFonts w:ascii="Times New Roman" w:hAnsi="Times New Roman"/>
                <w:lang w:eastAsia="bg-BG"/>
              </w:rPr>
              <w:t>Размер на мигриращата популация</w:t>
            </w:r>
          </w:p>
        </w:tc>
        <w:tc>
          <w:tcPr>
            <w:tcW w:w="123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1 - 500</w:t>
            </w:r>
          </w:p>
        </w:tc>
        <w:tc>
          <w:tcPr>
            <w:tcW w:w="283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СФ за концентрацията на вида по време на миграция в зоната е посочена минимална и максимална стойност от 1 до 500 инд. Няма нови данни за мигририращата численост на вида в зоната.</w:t>
            </w:r>
          </w:p>
        </w:tc>
        <w:tc>
          <w:tcPr>
            <w:tcW w:w="2369"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Междинна цел: Да се извърши целенасочен мониторинг за установяване на размера на мигриращата популация до 2025 г.</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Запазване и подобряване на екологичното състояние и качество на водите в зоната.</w:t>
            </w:r>
          </w:p>
        </w:tc>
      </w:tr>
      <w:tr w:rsidR="00A8783E" w:rsidRPr="00A8783E" w:rsidTr="005B5318">
        <w:trPr>
          <w:jc w:val="center"/>
        </w:trPr>
        <w:tc>
          <w:tcPr>
            <w:tcW w:w="1701"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зимуващата популация</w:t>
            </w:r>
          </w:p>
        </w:tc>
        <w:tc>
          <w:tcPr>
            <w:tcW w:w="123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0 - 114</w:t>
            </w:r>
          </w:p>
        </w:tc>
        <w:tc>
          <w:tcPr>
            <w:tcW w:w="283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Според СФ на зоната числеността на зимуващите индивиди е между 0 и 114. По данни от средно зимните преброявания (СЗП) през 2015 и 2016 г. са установени 2 и 6 инд. в Сребърна. Зимуващата численост ще зависи в голяма степен от климатичните условия.</w:t>
            </w:r>
          </w:p>
        </w:tc>
        <w:tc>
          <w:tcPr>
            <w:tcW w:w="2369"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Междинна цел до 2025 г.: провеждане на проучване за установяване на зимната численост на вида в зоната в подходящите местообитания.</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Запазване и подобряване на екологичното състояние и качество на водите в зоната.</w:t>
            </w:r>
          </w:p>
        </w:tc>
      </w:tr>
      <w:tr w:rsidR="00A8783E" w:rsidRPr="00A8783E" w:rsidTr="005B5318">
        <w:trPr>
          <w:jc w:val="center"/>
        </w:trPr>
        <w:tc>
          <w:tcPr>
            <w:tcW w:w="1701"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23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565</w:t>
            </w:r>
          </w:p>
        </w:tc>
        <w:tc>
          <w:tcPr>
            <w:tcW w:w="283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Изчислена на база мочурища и блата в рамките на СЗЗ.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07 – Мочурища, блата.</w:t>
            </w:r>
          </w:p>
        </w:tc>
        <w:tc>
          <w:tcPr>
            <w:tcW w:w="2369"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гнездови местообитания на вида в защитената зона чрез поддържане на оптимално ниво на водата в езерото.</w:t>
            </w:r>
          </w:p>
        </w:tc>
      </w:tr>
      <w:tr w:rsidR="00A8783E" w:rsidRPr="00A8783E" w:rsidTr="005B5318">
        <w:trPr>
          <w:jc w:val="center"/>
        </w:trPr>
        <w:tc>
          <w:tcPr>
            <w:tcW w:w="1701"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23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840</w:t>
            </w:r>
          </w:p>
        </w:tc>
        <w:tc>
          <w:tcPr>
            <w:tcW w:w="2835"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Включва гнездовото местообитание и всички стоящи и течащи води в зоната.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 xml:space="preserve">07 и </w:t>
            </w:r>
            <w:r w:rsidRPr="00A8783E">
              <w:rPr>
                <w:rFonts w:ascii="Times New Roman" w:hAnsi="Times New Roman"/>
                <w:lang w:val="en-US" w:eastAsia="bg-BG"/>
              </w:rPr>
              <w:t>N</w:t>
            </w:r>
            <w:r w:rsidRPr="00A8783E">
              <w:rPr>
                <w:rFonts w:ascii="Times New Roman" w:hAnsi="Times New Roman"/>
                <w:lang w:eastAsia="bg-BG"/>
              </w:rPr>
              <w:t>06.</w:t>
            </w:r>
          </w:p>
          <w:p w:rsidR="00A8783E" w:rsidRPr="00A8783E" w:rsidRDefault="00A8783E" w:rsidP="00A8783E">
            <w:pPr>
              <w:spacing w:after="0" w:line="240" w:lineRule="auto"/>
              <w:jc w:val="both"/>
              <w:rPr>
                <w:rFonts w:ascii="Times New Roman" w:hAnsi="Times New Roman"/>
                <w:lang w:eastAsia="bg-BG"/>
              </w:rPr>
            </w:pPr>
          </w:p>
        </w:tc>
        <w:tc>
          <w:tcPr>
            <w:tcW w:w="2369"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хранителни местообитания на вида чрез поддържане на оптимално ниво на водата в езерото.</w:t>
            </w:r>
          </w:p>
        </w:tc>
      </w:tr>
      <w:tr w:rsidR="00A8783E" w:rsidRPr="00A8783E" w:rsidTr="005B5318">
        <w:trPr>
          <w:jc w:val="center"/>
        </w:trPr>
        <w:tc>
          <w:tcPr>
            <w:tcW w:w="1701"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 xml:space="preserve">Екологично състояние на водните тела с местообитания на вида, по биологичен </w:t>
            </w:r>
            <w:r w:rsidRPr="00A8783E">
              <w:rPr>
                <w:rFonts w:ascii="Times New Roman" w:hAnsi="Times New Roman"/>
                <w:lang w:eastAsia="bg-BG"/>
              </w:rPr>
              <w:lastRenderedPageBreak/>
              <w:t>елемент водни безгръбначни животни (</w:t>
            </w:r>
            <w:r w:rsidRPr="00A8783E">
              <w:rPr>
                <w:rFonts w:ascii="Times New Roman" w:hAnsi="Times New Roman"/>
                <w:lang w:val="en-GB" w:eastAsia="bg-BG"/>
              </w:rPr>
              <w:t>JDS</w:t>
            </w:r>
            <w:r w:rsidRPr="00A8783E">
              <w:rPr>
                <w:rFonts w:ascii="Times New Roman" w:hAnsi="Times New Roman"/>
                <w:lang w:eastAsia="bg-BG"/>
              </w:rPr>
              <w:t xml:space="preserve">4- </w:t>
            </w:r>
            <w:r w:rsidRPr="00A8783E">
              <w:rPr>
                <w:rFonts w:ascii="Times New Roman" w:hAnsi="Times New Roman"/>
                <w:lang w:val="en-US" w:eastAsia="bg-BG"/>
              </w:rPr>
              <w:t>Aqatic</w:t>
            </w:r>
            <w:r w:rsidRPr="00A8783E">
              <w:rPr>
                <w:rFonts w:ascii="Times New Roman" w:hAnsi="Times New Roman"/>
                <w:lang w:eastAsia="bg-BG"/>
              </w:rPr>
              <w:t xml:space="preserve"> </w:t>
            </w:r>
            <w:r w:rsidRPr="00A8783E">
              <w:rPr>
                <w:rFonts w:ascii="Times New Roman" w:hAnsi="Times New Roman"/>
                <w:lang w:val="en-US" w:eastAsia="bg-BG"/>
              </w:rPr>
              <w:t>macroinvertebrates</w:t>
            </w:r>
            <w:r w:rsidRPr="00A8783E">
              <w:rPr>
                <w:rFonts w:ascii="Times New Roman" w:hAnsi="Times New Roman"/>
                <w:lang w:eastAsia="bg-BG"/>
              </w:rPr>
              <w:t>)</w:t>
            </w:r>
          </w:p>
        </w:tc>
        <w:tc>
          <w:tcPr>
            <w:tcW w:w="123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lastRenderedPageBreak/>
              <w:t>5 степенна скала за екологично състояние, съгласно РДВ</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835" w:type="dxa"/>
          </w:tcPr>
          <w:tbl>
            <w:tblPr>
              <w:tblW w:w="3029" w:type="dxa"/>
              <w:tblInd w:w="3" w:type="dxa"/>
              <w:tblLayout w:type="fixed"/>
              <w:tblCellMar>
                <w:left w:w="70" w:type="dxa"/>
                <w:right w:w="70" w:type="dxa"/>
              </w:tblCellMar>
              <w:tblLook w:val="00A0" w:firstRow="1" w:lastRow="0" w:firstColumn="1" w:lastColumn="0" w:noHBand="0" w:noVBand="0"/>
            </w:tblPr>
            <w:tblGrid>
              <w:gridCol w:w="3029"/>
            </w:tblGrid>
            <w:tr w:rsidR="00A8783E" w:rsidRPr="00A8783E" w:rsidTr="005B5318">
              <w:trPr>
                <w:trHeight w:val="316"/>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107"/>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107"/>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107"/>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107"/>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107"/>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107"/>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 xml:space="preserve">Екологичното състояние на водите по р. Дунав по показател водни безгръбначни животни (пункт при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4 (2019-2020, Табл. 1, стр. 62).</w:t>
            </w:r>
            <w:r w:rsidRPr="00A8783E">
              <w:rPr>
                <w:rFonts w:cs="Calibri"/>
              </w:rPr>
              <w:t xml:space="preserve"> </w:t>
            </w:r>
            <w:r w:rsidRPr="00A8783E">
              <w:rPr>
                <w:rFonts w:ascii="Times New Roman" w:hAnsi="Times New Roman"/>
                <w:lang w:eastAsia="bg-BG"/>
              </w:rPr>
              <w:t xml:space="preserve">Екологичното състояние на езерото Сребърна по БЕК Макрозообентос е Отлично, по БЕК Фитопланктон и БЕК Макрофити е Лошо. </w:t>
            </w:r>
          </w:p>
        </w:tc>
        <w:tc>
          <w:tcPr>
            <w:tcW w:w="2369"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lastRenderedPageBreak/>
              <w:t xml:space="preserve">Подобряване на екологичното състояние на водните тела с подходящи хранителни местообитания на вида, до постигане на стойност по-висока </w:t>
            </w:r>
            <w:r w:rsidRPr="00A8783E">
              <w:rPr>
                <w:rFonts w:ascii="Times New Roman" w:hAnsi="Times New Roman"/>
                <w:lang w:eastAsia="bg-BG"/>
              </w:rPr>
              <w:lastRenderedPageBreak/>
              <w:t>или равна на 2 – Добро 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after="120" w:line="240" w:lineRule="auto"/>
        <w:rPr>
          <w:rFonts w:ascii="Times New Roman" w:hAnsi="Times New Roman"/>
          <w:b/>
          <w:bCs/>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Предвид наличната информация за настоящата гнездяща, мигрираща и зимуваща численост на вида в защитената зона, не е необходима актуализация на СФ.</w:t>
      </w:r>
    </w:p>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184" w:name="_Toc89106079"/>
      <w:bookmarkStart w:id="185" w:name="_Toc98741918"/>
      <w:bookmarkStart w:id="186" w:name="_Toc98838593"/>
      <w:r w:rsidRPr="00A8783E">
        <w:rPr>
          <w:rFonts w:ascii="Times New Roman" w:hAnsi="Times New Roman"/>
          <w:color w:val="1F497D"/>
          <w:sz w:val="28"/>
          <w:szCs w:val="28"/>
          <w:lang w:eastAsia="bg-BG"/>
        </w:rPr>
        <w:t xml:space="preserve">Специфични цели за А048 </w:t>
      </w:r>
      <w:r w:rsidRPr="00A8783E">
        <w:rPr>
          <w:rFonts w:ascii="Times New Roman" w:hAnsi="Times New Roman"/>
          <w:i/>
          <w:iCs/>
          <w:color w:val="1F497D"/>
          <w:sz w:val="28"/>
          <w:szCs w:val="28"/>
          <w:lang w:val="en-US" w:eastAsia="bg-BG"/>
        </w:rPr>
        <w:t>Tadorna</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US" w:eastAsia="bg-BG"/>
        </w:rPr>
        <w:t>tadorna</w:t>
      </w:r>
      <w:r w:rsidRPr="00A8783E">
        <w:rPr>
          <w:rFonts w:ascii="Times New Roman" w:hAnsi="Times New Roman"/>
          <w:color w:val="1F497D"/>
          <w:sz w:val="28"/>
          <w:szCs w:val="28"/>
          <w:lang w:eastAsia="bg-BG"/>
        </w:rPr>
        <w:t xml:space="preserve"> (бял ангъч)</w:t>
      </w:r>
      <w:bookmarkEnd w:id="184"/>
      <w:bookmarkEnd w:id="185"/>
      <w:bookmarkEnd w:id="186"/>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Дължината на тялото 55-67 cm, размах на крилата – 110 – 133 cm. (Cramp </w:t>
      </w:r>
      <w:r w:rsidRPr="00A8783E">
        <w:rPr>
          <w:rFonts w:ascii="Times New Roman" w:hAnsi="Times New Roman"/>
          <w:sz w:val="24"/>
          <w:szCs w:val="24"/>
          <w:lang w:val="en-US" w:eastAsia="bg-BG"/>
        </w:rPr>
        <w:t>and</w:t>
      </w:r>
      <w:r w:rsidRPr="00A8783E">
        <w:rPr>
          <w:rFonts w:ascii="Times New Roman" w:hAnsi="Times New Roman"/>
          <w:sz w:val="24"/>
          <w:szCs w:val="24"/>
          <w:lang w:eastAsia="bg-BG"/>
        </w:rPr>
        <w:t xml:space="preserve"> Simmons 1977; Svensson 2013). Главата е черна със зеленикав отблясък. Шията, гърдите и страните на тялото са бели. В долната част на гърдите има ръждива препаска. Гърбът в средата е бял, а отстрани черен. Черни са и първостепенните махови пера, а крилното огледало е тъмнозелено. Клюнът е червен, при мъжките с изразен израстък през пролетта. Краката са оранжеви. Младите се отличават лесно от възрастните по редица детайли на оперението. Клюнът при тях е сив.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Белият ангъч у нас е гнездящ, постоянен вид, а също преминаващ по време на миграция и зимуващ. Пролетната миграция е от началото на март до края на април. Есенната миграция е от края на август до края на ноември. През прелета и зимата обикновено се среща на ята, често самостоятелни, а понякога смесени с патици от род </w:t>
      </w:r>
      <w:r w:rsidRPr="00A8783E">
        <w:rPr>
          <w:rFonts w:ascii="Times New Roman" w:hAnsi="Times New Roman"/>
          <w:i/>
          <w:iCs/>
          <w:sz w:val="24"/>
          <w:szCs w:val="24"/>
          <w:lang w:eastAsia="bg-BG"/>
        </w:rPr>
        <w:t>Anas</w:t>
      </w:r>
      <w:r w:rsidRPr="00A8783E">
        <w:rPr>
          <w:rFonts w:ascii="Times New Roman" w:hAnsi="Times New Roman"/>
          <w:sz w:val="24"/>
          <w:szCs w:val="24"/>
          <w:lang w:eastAsia="bg-BG"/>
        </w:rPr>
        <w:t>, червени ангъчи, неми лебеди или гъски.</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Гнездовото местообитание на вида са различни солени, бракични и сладководни водоеми. Обикновено гнезди по дигите в солените езера или рибарници или по брега. Гнезди в земни дупки, често на лисици или язовци. По време на миграция и зимуване се среща във всякакви типове влажни зони - в р. Дунав, в по-големите вътрешни реки, в сладководни езера, блата, рибарници, големи язовири, в лагуни, в бракични и свръхсолени езера /солници/. Редовно мигрира и над морето, но не предпочита да каца там. Най-големи концентрации се наблюдават в крайморските солени и бракични езера по време на миграцията. Тогава ятата бели ангъчи достигат до няколкостотин птици, а в някои езера общата численост на вида надхвърля 1000 -1500 екз.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lastRenderedPageBreak/>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Белият ангъч се храни главно с водни безгръбначни – мекотели, ларви на насекоми и ракообразни. У нас в солените езера яде и солнични рачета – </w:t>
      </w:r>
      <w:r w:rsidRPr="00A8783E">
        <w:rPr>
          <w:rFonts w:ascii="Times New Roman" w:hAnsi="Times New Roman"/>
          <w:i/>
          <w:iCs/>
          <w:sz w:val="24"/>
          <w:szCs w:val="24"/>
          <w:lang w:eastAsia="bg-BG"/>
        </w:rPr>
        <w:t>Artemia salina</w:t>
      </w:r>
      <w:r w:rsidRPr="00A8783E">
        <w:rPr>
          <w:rFonts w:ascii="Times New Roman" w:hAnsi="Times New Roman"/>
          <w:sz w:val="24"/>
          <w:szCs w:val="24"/>
          <w:lang w:eastAsia="bg-BG"/>
        </w:rPr>
        <w:t xml:space="preserve">. Намира храната си най-вече в тинята на водоемите. В по-малки количества се случва да яде и дребни рибки, червеи и растителна храна – главно водорасли ,както и зелени части и семена на водни растения. Понякога яде и ларви на хирономиди (Cramp </w:t>
      </w:r>
      <w:r w:rsidRPr="00A8783E">
        <w:rPr>
          <w:rFonts w:ascii="Times New Roman" w:hAnsi="Times New Roman"/>
          <w:sz w:val="24"/>
          <w:szCs w:val="24"/>
          <w:lang w:val="en-US" w:eastAsia="bg-BG"/>
        </w:rPr>
        <w:t>and</w:t>
      </w:r>
      <w:r w:rsidRPr="00A8783E">
        <w:rPr>
          <w:rFonts w:ascii="Times New Roman" w:hAnsi="Times New Roman"/>
          <w:sz w:val="24"/>
          <w:szCs w:val="24"/>
          <w:lang w:eastAsia="bg-BG"/>
        </w:rPr>
        <w:t xml:space="preserve"> Simmons, </w:t>
      </w:r>
      <w:r w:rsidRPr="00A8783E">
        <w:rPr>
          <w:rFonts w:ascii="Times New Roman" w:hAnsi="Times New Roman"/>
          <w:sz w:val="24"/>
          <w:szCs w:val="24"/>
          <w:lang w:val="en-US" w:eastAsia="bg-BG"/>
        </w:rPr>
        <w:t>eds</w:t>
      </w:r>
      <w:r w:rsidRPr="00A8783E">
        <w:rPr>
          <w:rFonts w:ascii="Times New Roman" w:hAnsi="Times New Roman"/>
          <w:sz w:val="24"/>
          <w:szCs w:val="24"/>
          <w:lang w:eastAsia="bg-BG"/>
        </w:rPr>
        <w:t>., 1977).</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Като гнездящ вид има доста ограничен ареал у нас и е доста малоброен. Гнездови находища има главно в крайните източни райони на страната - в езерата Атанасовско, Поморийско и Шабленско, Шабленската тузла, ез. Вая, яз. Тънково, яз. Церковски (Янков ред., 2007; Daskalova </w:t>
      </w:r>
      <w:r w:rsidRPr="00A8783E">
        <w:rPr>
          <w:rFonts w:ascii="Times New Roman" w:hAnsi="Times New Roman"/>
          <w:sz w:val="24"/>
          <w:szCs w:val="24"/>
          <w:lang w:val="en-US" w:eastAsia="bg-BG"/>
        </w:rPr>
        <w:t>and</w:t>
      </w:r>
      <w:r w:rsidRPr="00A8783E">
        <w:rPr>
          <w:rFonts w:ascii="Times New Roman" w:hAnsi="Times New Roman"/>
          <w:sz w:val="24"/>
          <w:szCs w:val="24"/>
          <w:lang w:eastAsia="bg-BG"/>
        </w:rPr>
        <w:t xml:space="preserve"> Shurulinkov, 2010; Профиров, 2015б). В миналото –до 70-те години на 20-ти век е гнездил и по р. Дунав (Нанкинов и др., 1997), но няма по-нови данни доказващи гнезденето му там. Във Централна и Западна България гнездовите находища са на единични двойки и са нередовни. Според Червената книга на България (Големански ред., 2015) у нас гнездят 30-65 двойки. Белият ангъч зимува в цялата страна, но главно по южното Черноморско крайбрежие, където формира значителни концентрации в крайморските езера. Във вътрешните водоеми зимуват малки групи птици или отделни индивиди. В по-топли зими остават да зимуват по-голям брой бели ангъчи и в по-голям брой водоеми. С глобалното затопляне на климата тенденцията за увеличаване на зимуващите у нас бели ангъчи е лесно обяснима. По време на миграция белите ангъчи преминават през цялата страна като спират в удобни плитководни язовири, разливи, рибарници и други водоеми.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Според докладването по чл.12 от 2019 г. (за периода 2013-2018 г.) гнездовата популация се оценява на 30-60 двойки. Популацията е с неизвестна тенденция, а разпространението е посочено като стабилно.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Числеността на зимуващите у нас бели ангъчи според Докладването по чл.12 е между 750 и 9000 екз. Краткосрочната тенденция е на увеличение, а дългосрочно - числеността е подложена на флуктуации.</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Според докладването по чл.12 понастоящем миграционната численост на вида е в рамките на 1000 – 6300 инд. Специални проучвания по този въпрос не са публикувани. Във вътрешността на страната пролетната миграция на вида е много по-изразена и многочислена от есенната.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В Червената книга на България (Профиров, 2015б) като заплахи за белия ангъч са посочени загубата на хабитати заради застрояване на Черноморското крайбрежие, еутрофикацията и осушаването на водоеми, увеличаването на числеността на чакала. Други установени от нас заплахи са бракониерския отстрел, включително през гнездовия период, безпокойството от страна на рибари и ловци, преследването и прогонването на птиците от рибовъдните стопанства. При докладването по чл. 12 са посочени като осушаването на водоеми, пътното строителство, промяната на предназначението на земите, недостъпност на някои от подходящите хабитати за птиците, замърсяване на водите, изграждането и функциониране на язовири. Трябва да се има предвид обаче, че немалко от находищата на вида в различни сезони са точно в язовирите.</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sz w:val="24"/>
          <w:szCs w:val="24"/>
          <w:lang w:eastAsia="bg-BG"/>
        </w:rPr>
        <w:lastRenderedPageBreak/>
        <w:t xml:space="preserve">Съгласно стандартния формуляр за данни на зоната вида е мигриращ.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на вида се оценява на </w:t>
      </w:r>
      <w:r w:rsidRPr="00A8783E">
        <w:rPr>
          <w:rFonts w:ascii="Times New Roman" w:hAnsi="Times New Roman"/>
          <w:b/>
          <w:bCs/>
          <w:sz w:val="24"/>
          <w:szCs w:val="24"/>
          <w:lang w:eastAsia="bg-BG"/>
        </w:rPr>
        <w:t>1 индивид</w:t>
      </w:r>
      <w:r w:rsidRPr="00A8783E">
        <w:rPr>
          <w:rFonts w:ascii="Times New Roman" w:hAnsi="Times New Roman"/>
          <w:sz w:val="24"/>
          <w:szCs w:val="24"/>
          <w:lang w:eastAsia="bg-BG"/>
        </w:rPr>
        <w:t>, което е 0,02 – 0,1 %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color w:val="000000"/>
          <w:sz w:val="24"/>
          <w:szCs w:val="24"/>
          <w:lang w:eastAsia="bg-BG"/>
        </w:rPr>
        <w:t>Наблюдаван е рядко по време на пролетния прелет по р. Дунав (Иванов, 1979). В участъка Сомовит – Силистра през 1984 – 2005 г. са регистрирани само 2 ангъча (</w:t>
      </w:r>
      <w:r w:rsidRPr="00A8783E">
        <w:rPr>
          <w:rFonts w:ascii="Times New Roman" w:hAnsi="Times New Roman"/>
          <w:color w:val="000000"/>
          <w:sz w:val="24"/>
          <w:szCs w:val="24"/>
          <w:lang w:val="en-US" w:eastAsia="bg-BG"/>
        </w:rPr>
        <w:t>Ivanov</w:t>
      </w:r>
      <w:r w:rsidRPr="00A8783E">
        <w:rPr>
          <w:rFonts w:ascii="Times New Roman" w:hAnsi="Times New Roman"/>
          <w:color w:val="000000"/>
          <w:sz w:val="24"/>
          <w:szCs w:val="24"/>
          <w:lang w:eastAsia="bg-BG"/>
        </w:rPr>
        <w:t xml:space="preserve">, 2008). През останалите години не е наблюдаван в реката. При средно-зимните преброявания е отчетен в р. Дунав само през януари 2019 г. – 19 птици, но далеч от границите на защитената зона. </w:t>
      </w:r>
      <w:r w:rsidRPr="00A8783E">
        <w:rPr>
          <w:rFonts w:ascii="Times New Roman" w:hAnsi="Times New Roman"/>
          <w:sz w:val="24"/>
          <w:szCs w:val="24"/>
          <w:lang w:eastAsia="bg-BG"/>
        </w:rPr>
        <w:t xml:space="preserve">Липсват други данни за концентрация на вида в зоната.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За гнездящата популация са посочени следните заплахи и влияния (Докладване 2019 г.): </w:t>
      </w:r>
      <w:r w:rsidRPr="00A8783E">
        <w:rPr>
          <w:rFonts w:ascii="Times New Roman" w:hAnsi="Times New Roman"/>
          <w:sz w:val="24"/>
          <w:szCs w:val="24"/>
          <w:lang w:val="en-US" w:eastAsia="bg-BG"/>
        </w:rPr>
        <w:t>A</w:t>
      </w:r>
      <w:r w:rsidRPr="00A8783E">
        <w:rPr>
          <w:rFonts w:ascii="Times New Roman" w:hAnsi="Times New Roman"/>
          <w:sz w:val="24"/>
          <w:szCs w:val="24"/>
          <w:lang w:eastAsia="bg-BG"/>
        </w:rPr>
        <w:t xml:space="preserve">02, </w:t>
      </w:r>
      <w:r w:rsidRPr="00A8783E">
        <w:rPr>
          <w:rFonts w:ascii="Times New Roman" w:hAnsi="Times New Roman"/>
          <w:sz w:val="24"/>
          <w:szCs w:val="24"/>
          <w:lang w:val="en-US" w:eastAsia="bg-BG"/>
        </w:rPr>
        <w:t>H</w:t>
      </w:r>
      <w:r w:rsidRPr="00A8783E">
        <w:rPr>
          <w:rFonts w:ascii="Times New Roman" w:hAnsi="Times New Roman"/>
          <w:sz w:val="24"/>
          <w:szCs w:val="24"/>
          <w:lang w:eastAsia="bg-BG"/>
        </w:rPr>
        <w:t xml:space="preserve">06, </w:t>
      </w:r>
      <w:r w:rsidRPr="00A8783E">
        <w:rPr>
          <w:rFonts w:ascii="Times New Roman" w:hAnsi="Times New Roman"/>
          <w:sz w:val="24"/>
          <w:szCs w:val="24"/>
          <w:lang w:val="en-US" w:eastAsia="bg-BG"/>
        </w:rPr>
        <w:t>E</w:t>
      </w:r>
      <w:r w:rsidRPr="00A8783E">
        <w:rPr>
          <w:rFonts w:ascii="Times New Roman" w:hAnsi="Times New Roman"/>
          <w:sz w:val="24"/>
          <w:szCs w:val="24"/>
          <w:lang w:eastAsia="bg-BG"/>
        </w:rPr>
        <w:t xml:space="preserve">01, </w:t>
      </w:r>
      <w:r w:rsidRPr="00A8783E">
        <w:rPr>
          <w:rFonts w:ascii="Times New Roman" w:hAnsi="Times New Roman"/>
          <w:sz w:val="24"/>
          <w:szCs w:val="24"/>
          <w:lang w:val="en-US" w:eastAsia="bg-BG"/>
        </w:rPr>
        <w:t>J</w:t>
      </w:r>
      <w:r w:rsidRPr="00A8783E">
        <w:rPr>
          <w:rFonts w:ascii="Times New Roman" w:hAnsi="Times New Roman"/>
          <w:sz w:val="24"/>
          <w:szCs w:val="24"/>
          <w:lang w:eastAsia="bg-BG"/>
        </w:rPr>
        <w:t xml:space="preserve">02, </w:t>
      </w:r>
      <w:r w:rsidRPr="00A8783E">
        <w:rPr>
          <w:rFonts w:ascii="Times New Roman" w:hAnsi="Times New Roman"/>
          <w:sz w:val="24"/>
          <w:szCs w:val="24"/>
          <w:lang w:val="en-US" w:eastAsia="bg-BG"/>
        </w:rPr>
        <w:t>K</w:t>
      </w:r>
      <w:r w:rsidRPr="00A8783E">
        <w:rPr>
          <w:rFonts w:ascii="Times New Roman" w:hAnsi="Times New Roman"/>
          <w:sz w:val="24"/>
          <w:szCs w:val="24"/>
          <w:lang w:eastAsia="bg-BG"/>
        </w:rPr>
        <w:t xml:space="preserve">02, </w:t>
      </w:r>
      <w:r w:rsidRPr="00A8783E">
        <w:rPr>
          <w:rFonts w:ascii="Times New Roman" w:hAnsi="Times New Roman"/>
          <w:sz w:val="24"/>
          <w:szCs w:val="24"/>
          <w:lang w:val="en-US" w:eastAsia="bg-BG"/>
        </w:rPr>
        <w:t>K</w:t>
      </w:r>
      <w:r w:rsidRPr="00A8783E">
        <w:rPr>
          <w:rFonts w:ascii="Times New Roman" w:hAnsi="Times New Roman"/>
          <w:sz w:val="24"/>
          <w:szCs w:val="24"/>
          <w:lang w:eastAsia="bg-BG"/>
        </w:rPr>
        <w:t xml:space="preserve">03. От тях няма потенциално валидни за СЗЗ „Сребърна”. За мигриращата и зимуващата популация са посочени следните 4 заплахи: </w:t>
      </w:r>
      <w:r w:rsidRPr="00A8783E">
        <w:rPr>
          <w:rFonts w:ascii="Times New Roman" w:hAnsi="Times New Roman"/>
          <w:sz w:val="24"/>
          <w:szCs w:val="24"/>
          <w:lang w:val="en-US" w:eastAsia="bg-BG"/>
        </w:rPr>
        <w:t>E</w:t>
      </w:r>
      <w:r w:rsidRPr="00A8783E">
        <w:rPr>
          <w:rFonts w:ascii="Times New Roman" w:hAnsi="Times New Roman"/>
          <w:sz w:val="24"/>
          <w:szCs w:val="24"/>
          <w:lang w:eastAsia="bg-BG"/>
        </w:rPr>
        <w:t xml:space="preserve">01, </w:t>
      </w:r>
      <w:r w:rsidRPr="00A8783E">
        <w:rPr>
          <w:rFonts w:ascii="Times New Roman" w:hAnsi="Times New Roman"/>
          <w:sz w:val="24"/>
          <w:szCs w:val="24"/>
          <w:lang w:val="en-US" w:eastAsia="bg-BG"/>
        </w:rPr>
        <w:t>K</w:t>
      </w:r>
      <w:r w:rsidRPr="00A8783E">
        <w:rPr>
          <w:rFonts w:ascii="Times New Roman" w:hAnsi="Times New Roman"/>
          <w:sz w:val="24"/>
          <w:szCs w:val="24"/>
          <w:lang w:eastAsia="bg-BG"/>
        </w:rPr>
        <w:t xml:space="preserve">02, </w:t>
      </w:r>
      <w:r w:rsidRPr="00A8783E">
        <w:rPr>
          <w:rFonts w:ascii="Times New Roman" w:hAnsi="Times New Roman"/>
          <w:sz w:val="24"/>
          <w:szCs w:val="24"/>
          <w:lang w:val="en-US" w:eastAsia="bg-BG"/>
        </w:rPr>
        <w:t>K</w:t>
      </w:r>
      <w:r w:rsidRPr="00A8783E">
        <w:rPr>
          <w:rFonts w:ascii="Times New Roman" w:hAnsi="Times New Roman"/>
          <w:sz w:val="24"/>
          <w:szCs w:val="24"/>
          <w:lang w:eastAsia="bg-BG"/>
        </w:rPr>
        <w:t xml:space="preserve">03, </w:t>
      </w:r>
      <w:r w:rsidRPr="00A8783E">
        <w:rPr>
          <w:rFonts w:ascii="Times New Roman" w:hAnsi="Times New Roman"/>
          <w:sz w:val="24"/>
          <w:szCs w:val="24"/>
          <w:lang w:val="en-US" w:eastAsia="bg-BG"/>
        </w:rPr>
        <w:t>J</w:t>
      </w:r>
      <w:r w:rsidRPr="00A8783E">
        <w:rPr>
          <w:rFonts w:ascii="Times New Roman" w:hAnsi="Times New Roman"/>
          <w:sz w:val="24"/>
          <w:szCs w:val="24"/>
          <w:lang w:eastAsia="bg-BG"/>
        </w:rPr>
        <w:t>02. От тях също няма валидни за зоната. Заплахи за вида в зоната са риболов с мрежени уреди (</w:t>
      </w:r>
      <w:r w:rsidRPr="00A8783E">
        <w:rPr>
          <w:rFonts w:ascii="Times New Roman" w:hAnsi="Times New Roman"/>
          <w:sz w:val="24"/>
          <w:szCs w:val="24"/>
          <w:lang w:val="en-US" w:eastAsia="bg-BG"/>
        </w:rPr>
        <w:t>G</w:t>
      </w:r>
      <w:r w:rsidRPr="00A8783E">
        <w:rPr>
          <w:rFonts w:ascii="Times New Roman" w:hAnsi="Times New Roman"/>
          <w:sz w:val="24"/>
          <w:szCs w:val="24"/>
          <w:lang w:eastAsia="bg-BG"/>
        </w:rPr>
        <w:t>12-</w:t>
      </w:r>
      <w:r w:rsidRPr="00A8783E">
        <w:rPr>
          <w:rFonts w:cs="Calibri"/>
        </w:rPr>
        <w:t xml:space="preserve"> </w:t>
      </w:r>
      <w:r w:rsidRPr="00A8783E">
        <w:rPr>
          <w:rFonts w:ascii="Times New Roman" w:hAnsi="Times New Roman"/>
          <w:sz w:val="24"/>
          <w:szCs w:val="24"/>
          <w:lang w:eastAsia="bg-BG"/>
        </w:rPr>
        <w:t>Прилов и инцидентно убиване (при риболовни дейности),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1418"/>
        <w:gridCol w:w="1276"/>
        <w:gridCol w:w="2551"/>
        <w:gridCol w:w="2396"/>
      </w:tblGrid>
      <w:tr w:rsidR="00A8783E" w:rsidRPr="00A8783E" w:rsidTr="005B5318">
        <w:trPr>
          <w:tblHeader/>
          <w:jc w:val="center"/>
        </w:trPr>
        <w:tc>
          <w:tcPr>
            <w:tcW w:w="1563"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418"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27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551"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39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jc w:val="center"/>
        </w:trPr>
        <w:tc>
          <w:tcPr>
            <w:tcW w:w="156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41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1 инд.</w:t>
            </w:r>
          </w:p>
        </w:tc>
        <w:tc>
          <w:tcPr>
            <w:tcW w:w="255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СФ за концентрацията на вида по време на миграция в зоната е посочена минимална и максимална стойност от 1 инд. Няма данни за миграционните числености на вида в зоната, поради което е необходимо да се заложи междинна цел.</w:t>
            </w:r>
          </w:p>
        </w:tc>
        <w:tc>
          <w:tcPr>
            <w:tcW w:w="239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Междинна цел: Да се извърши целенасочен мониторинг за установяване на размера на мигриращата популация до 2025 г.</w:t>
            </w:r>
          </w:p>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Запазване на подходящите местообитания на вида в зоната.</w:t>
            </w:r>
          </w:p>
          <w:p w:rsidR="00A8783E" w:rsidRPr="00A8783E" w:rsidRDefault="00A8783E" w:rsidP="00A8783E">
            <w:pPr>
              <w:spacing w:after="0" w:line="240" w:lineRule="auto"/>
              <w:jc w:val="both"/>
              <w:rPr>
                <w:rFonts w:ascii="Times New Roman" w:hAnsi="Times New Roman"/>
                <w:lang w:eastAsia="bg-BG"/>
              </w:rPr>
            </w:pPr>
          </w:p>
        </w:tc>
      </w:tr>
      <w:tr w:rsidR="00A8783E" w:rsidRPr="00A8783E" w:rsidTr="005B5318">
        <w:trPr>
          <w:jc w:val="center"/>
        </w:trPr>
        <w:tc>
          <w:tcPr>
            <w:tcW w:w="156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41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840</w:t>
            </w:r>
          </w:p>
        </w:tc>
        <w:tc>
          <w:tcPr>
            <w:tcW w:w="2551"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Включва всички стоящи и течащи води в зоната както и местообитание мочурища и блата. Данните са взети от СФ като % на местообитание </w:t>
            </w:r>
            <w:r w:rsidRPr="00A8783E">
              <w:rPr>
                <w:rFonts w:ascii="Times New Roman" w:hAnsi="Times New Roman"/>
                <w:lang w:val="en-GB" w:eastAsia="bg-BG"/>
              </w:rPr>
              <w:t>N</w:t>
            </w:r>
            <w:r w:rsidRPr="00A8783E">
              <w:rPr>
                <w:rFonts w:ascii="Times New Roman" w:hAnsi="Times New Roman"/>
                <w:lang w:eastAsia="bg-BG"/>
              </w:rPr>
              <w:t xml:space="preserve">07 и </w:t>
            </w:r>
            <w:r w:rsidRPr="00A8783E">
              <w:rPr>
                <w:rFonts w:ascii="Times New Roman" w:hAnsi="Times New Roman"/>
                <w:lang w:val="en-US" w:eastAsia="bg-BG"/>
              </w:rPr>
              <w:t>N</w:t>
            </w:r>
            <w:r w:rsidRPr="00A8783E">
              <w:rPr>
                <w:rFonts w:ascii="Times New Roman" w:hAnsi="Times New Roman"/>
                <w:lang w:eastAsia="bg-BG"/>
              </w:rPr>
              <w:t>06.</w:t>
            </w:r>
          </w:p>
        </w:tc>
        <w:tc>
          <w:tcPr>
            <w:tcW w:w="239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и увеличаване на площта на подходящите хранителни местообитания на вида чрез поддържане на оптимално ниво на водата в езерото.</w:t>
            </w:r>
          </w:p>
        </w:tc>
      </w:tr>
      <w:tr w:rsidR="00A8783E" w:rsidRPr="00A8783E" w:rsidTr="005B5318">
        <w:trPr>
          <w:jc w:val="center"/>
        </w:trPr>
        <w:tc>
          <w:tcPr>
            <w:tcW w:w="1563"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 xml:space="preserve">Екологично състояние на водните тела с местообитания на вида, по биологичен </w:t>
            </w:r>
            <w:r w:rsidRPr="00A8783E">
              <w:rPr>
                <w:rFonts w:ascii="Times New Roman" w:hAnsi="Times New Roman"/>
                <w:lang w:eastAsia="bg-BG"/>
              </w:rPr>
              <w:lastRenderedPageBreak/>
              <w:t>елемент водни безгръбначни животни (</w:t>
            </w:r>
            <w:r w:rsidRPr="00A8783E">
              <w:rPr>
                <w:rFonts w:ascii="Times New Roman" w:hAnsi="Times New Roman"/>
                <w:lang w:val="en-GB" w:eastAsia="bg-BG"/>
              </w:rPr>
              <w:t>JDS</w:t>
            </w:r>
            <w:r w:rsidRPr="00A8783E">
              <w:rPr>
                <w:rFonts w:ascii="Times New Roman" w:hAnsi="Times New Roman"/>
                <w:lang w:eastAsia="bg-BG"/>
              </w:rPr>
              <w:t xml:space="preserve">4- </w:t>
            </w:r>
            <w:r w:rsidRPr="00A8783E">
              <w:rPr>
                <w:rFonts w:ascii="Times New Roman" w:hAnsi="Times New Roman"/>
                <w:lang w:val="en-US" w:eastAsia="bg-BG"/>
              </w:rPr>
              <w:t>Aqatic</w:t>
            </w:r>
            <w:r w:rsidRPr="00A8783E">
              <w:rPr>
                <w:rFonts w:ascii="Times New Roman" w:hAnsi="Times New Roman"/>
                <w:lang w:eastAsia="bg-BG"/>
              </w:rPr>
              <w:t xml:space="preserve"> </w:t>
            </w:r>
            <w:r w:rsidRPr="00A8783E">
              <w:rPr>
                <w:rFonts w:ascii="Times New Roman" w:hAnsi="Times New Roman"/>
                <w:lang w:val="en-US" w:eastAsia="bg-BG"/>
              </w:rPr>
              <w:t>macroinvertebrates</w:t>
            </w:r>
            <w:r w:rsidRPr="00A8783E">
              <w:rPr>
                <w:rFonts w:ascii="Times New Roman" w:hAnsi="Times New Roman"/>
                <w:lang w:eastAsia="bg-BG"/>
              </w:rPr>
              <w:t>)</w:t>
            </w:r>
          </w:p>
        </w:tc>
        <w:tc>
          <w:tcPr>
            <w:tcW w:w="1418"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lastRenderedPageBreak/>
              <w:t>5 степенна скала за екологично състояние, съгласно РДВ</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или 1-Отлично</w:t>
            </w:r>
          </w:p>
        </w:tc>
        <w:tc>
          <w:tcPr>
            <w:tcW w:w="2551" w:type="dxa"/>
          </w:tcPr>
          <w:tbl>
            <w:tblPr>
              <w:tblW w:w="3029" w:type="dxa"/>
              <w:tblInd w:w="3" w:type="dxa"/>
              <w:tblLayout w:type="fixed"/>
              <w:tblCellMar>
                <w:left w:w="70" w:type="dxa"/>
                <w:right w:w="70" w:type="dxa"/>
              </w:tblCellMar>
              <w:tblLook w:val="00A0" w:firstRow="1" w:lastRow="0" w:firstColumn="1" w:lastColumn="0" w:noHBand="0" w:noVBand="0"/>
            </w:tblPr>
            <w:tblGrid>
              <w:gridCol w:w="3029"/>
            </w:tblGrid>
            <w:tr w:rsidR="00A8783E" w:rsidRPr="00A8783E" w:rsidTr="005B5318">
              <w:trPr>
                <w:trHeight w:val="316"/>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24"/>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24"/>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24"/>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24"/>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24"/>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24"/>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w:t>
            </w:r>
            <w:r w:rsidRPr="00A8783E">
              <w:rPr>
                <w:rFonts w:ascii="Times New Roman" w:hAnsi="Times New Roman"/>
                <w:lang w:eastAsia="bg-BG"/>
              </w:rPr>
              <w:lastRenderedPageBreak/>
              <w:t xml:space="preserve">на водите по р. Дунав по показател водни безгръбначни животни (пункт при Силистра) е оценено на </w:t>
            </w:r>
            <w:r w:rsidRPr="00A8783E">
              <w:rPr>
                <w:rFonts w:ascii="Times New Roman" w:hAnsi="Times New Roman"/>
                <w:b/>
                <w:bCs/>
                <w:lang w:eastAsia="bg-BG"/>
              </w:rPr>
              <w:t xml:space="preserve">умерено (3) </w:t>
            </w:r>
            <w:r w:rsidRPr="00A8783E">
              <w:rPr>
                <w:rFonts w:ascii="Times New Roman" w:hAnsi="Times New Roman"/>
                <w:lang w:eastAsia="bg-BG"/>
              </w:rPr>
              <w:t xml:space="preserve">според доклада на </w:t>
            </w:r>
            <w:r w:rsidRPr="00A8783E">
              <w:rPr>
                <w:rFonts w:ascii="Times New Roman" w:hAnsi="Times New Roman"/>
                <w:lang w:val="en-GB" w:eastAsia="bg-BG"/>
              </w:rPr>
              <w:t>JDS</w:t>
            </w:r>
            <w:r w:rsidRPr="00A8783E">
              <w:rPr>
                <w:rFonts w:ascii="Times New Roman" w:hAnsi="Times New Roman"/>
                <w:lang w:eastAsia="bg-BG"/>
              </w:rPr>
              <w:t>4 (2019-2020, Табл. 1, стр. 62).</w:t>
            </w:r>
            <w:r w:rsidRPr="00A8783E">
              <w:rPr>
                <w:rFonts w:cs="Calibri"/>
              </w:rPr>
              <w:t xml:space="preserve"> </w:t>
            </w:r>
            <w:r w:rsidRPr="00A8783E">
              <w:rPr>
                <w:rFonts w:ascii="Times New Roman" w:hAnsi="Times New Roman"/>
                <w:lang w:eastAsia="bg-BG"/>
              </w:rPr>
              <w:t>Екологичното състояние на езерото Сребърна по</w:t>
            </w:r>
            <w:r w:rsidRPr="00A8783E">
              <w:rPr>
                <w:rFonts w:cs="Calibri"/>
              </w:rPr>
              <w:t xml:space="preserve"> </w:t>
            </w:r>
            <w:r w:rsidRPr="00A8783E">
              <w:rPr>
                <w:rFonts w:ascii="Times New Roman" w:hAnsi="Times New Roman"/>
                <w:lang w:eastAsia="bg-BG"/>
              </w:rPr>
              <w:t>БЕК Макрозообентос е отлично.</w:t>
            </w:r>
          </w:p>
        </w:tc>
        <w:tc>
          <w:tcPr>
            <w:tcW w:w="2396"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lastRenderedPageBreak/>
              <w:t xml:space="preserve">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w:t>
            </w:r>
            <w:r w:rsidRPr="00A8783E">
              <w:rPr>
                <w:rFonts w:ascii="Times New Roman" w:hAnsi="Times New Roman"/>
                <w:lang w:eastAsia="bg-BG"/>
              </w:rPr>
              <w:lastRenderedPageBreak/>
              <w:t>състояние.</w:t>
            </w:r>
          </w:p>
          <w:p w:rsidR="00A8783E" w:rsidRPr="00A8783E" w:rsidRDefault="00A8783E" w:rsidP="00A8783E">
            <w:pPr>
              <w:spacing w:after="0" w:line="240" w:lineRule="auto"/>
              <w:jc w:val="both"/>
              <w:rPr>
                <w:rFonts w:ascii="Times New Roman" w:hAnsi="Times New Roman"/>
                <w:lang w:eastAsia="bg-BG"/>
              </w:rPr>
            </w:pP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after="120" w:line="240" w:lineRule="auto"/>
        <w:rPr>
          <w:rFonts w:ascii="Times New Roman" w:hAnsi="Times New Roman"/>
          <w:b/>
          <w:bCs/>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Предвид наличната информация за настоящата мигрираща численост на вида в защитената зона по време на миграция, не е необходима актуализация на СФ.</w:t>
      </w:r>
    </w:p>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187" w:name="_Toc89106080"/>
      <w:bookmarkStart w:id="188" w:name="_Toc98741919"/>
      <w:bookmarkStart w:id="189" w:name="_Toc98838594"/>
      <w:r w:rsidRPr="00A8783E">
        <w:rPr>
          <w:rFonts w:ascii="Times New Roman" w:hAnsi="Times New Roman"/>
          <w:color w:val="1F497D"/>
          <w:sz w:val="28"/>
          <w:szCs w:val="28"/>
        </w:rPr>
        <w:t xml:space="preserve">Специфични цели за А050  </w:t>
      </w:r>
      <w:r w:rsidRPr="00A8783E">
        <w:rPr>
          <w:rFonts w:ascii="Times New Roman" w:hAnsi="Times New Roman"/>
          <w:i/>
          <w:iCs/>
          <w:color w:val="1F497D"/>
          <w:sz w:val="28"/>
          <w:szCs w:val="28"/>
          <w:lang w:val="en-US"/>
        </w:rPr>
        <w:t>Mareca</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penelope</w:t>
      </w:r>
      <w:r w:rsidRPr="00A8783E">
        <w:rPr>
          <w:rFonts w:ascii="Times New Roman" w:hAnsi="Times New Roman"/>
          <w:color w:val="1F497D"/>
          <w:sz w:val="28"/>
          <w:szCs w:val="28"/>
        </w:rPr>
        <w:t xml:space="preserve"> (фиш)</w:t>
      </w:r>
      <w:bookmarkEnd w:id="187"/>
      <w:bookmarkEnd w:id="188"/>
      <w:bookmarkEnd w:id="189"/>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42-51 cm, а размахът на крилата: 71-86 </w:t>
      </w:r>
      <w:r w:rsidRPr="00A8783E">
        <w:rPr>
          <w:rFonts w:ascii="Times New Roman" w:hAnsi="Times New Roman"/>
          <w:sz w:val="24"/>
          <w:szCs w:val="24"/>
          <w:lang w:val="en-US"/>
        </w:rPr>
        <w:t>cm</w:t>
      </w:r>
      <w:r w:rsidRPr="00A8783E">
        <w:rPr>
          <w:rFonts w:ascii="Times New Roman" w:hAnsi="Times New Roman"/>
          <w:sz w:val="24"/>
          <w:szCs w:val="24"/>
        </w:rPr>
        <w:t xml:space="preserve"> (</w:t>
      </w:r>
      <w:r w:rsidRPr="00A8783E">
        <w:rPr>
          <w:rFonts w:ascii="Times New Roman" w:hAnsi="Times New Roman"/>
          <w:sz w:val="24"/>
          <w:szCs w:val="24"/>
          <w:lang w:val="en-US"/>
        </w:rPr>
        <w:t>Cramp</w:t>
      </w:r>
      <w:r w:rsidRPr="00A8783E">
        <w:rPr>
          <w:rFonts w:ascii="Times New Roman" w:hAnsi="Times New Roman"/>
          <w:sz w:val="24"/>
          <w:szCs w:val="24"/>
        </w:rPr>
        <w:t xml:space="preserve"> and </w:t>
      </w:r>
      <w:r w:rsidRPr="00A8783E">
        <w:rPr>
          <w:rFonts w:ascii="Times New Roman" w:hAnsi="Times New Roman"/>
          <w:sz w:val="24"/>
          <w:szCs w:val="24"/>
          <w:lang w:val="en-US"/>
        </w:rPr>
        <w:t>Simmons</w:t>
      </w:r>
      <w:r w:rsidRPr="00A8783E">
        <w:rPr>
          <w:rFonts w:ascii="Times New Roman" w:hAnsi="Times New Roman"/>
          <w:sz w:val="24"/>
          <w:szCs w:val="24"/>
        </w:rPr>
        <w:t xml:space="preserve"> </w:t>
      </w:r>
      <w:r w:rsidRPr="00A8783E">
        <w:rPr>
          <w:rFonts w:ascii="Times New Roman" w:hAnsi="Times New Roman"/>
          <w:sz w:val="24"/>
          <w:szCs w:val="24"/>
          <w:lang w:val="en-US"/>
        </w:rPr>
        <w:t>eds</w:t>
      </w:r>
      <w:r w:rsidRPr="00A8783E">
        <w:rPr>
          <w:rFonts w:ascii="Times New Roman" w:hAnsi="Times New Roman"/>
          <w:sz w:val="24"/>
          <w:szCs w:val="24"/>
        </w:rPr>
        <w:t xml:space="preserve">., 1977; </w:t>
      </w:r>
      <w:r w:rsidRPr="00A8783E">
        <w:rPr>
          <w:rFonts w:ascii="Times New Roman" w:hAnsi="Times New Roman"/>
          <w:sz w:val="24"/>
          <w:szCs w:val="24"/>
          <w:lang w:val="en-US"/>
        </w:rPr>
        <w:t>Svensson</w:t>
      </w:r>
      <w:r w:rsidRPr="00A8783E">
        <w:rPr>
          <w:rFonts w:ascii="Times New Roman" w:hAnsi="Times New Roman"/>
          <w:sz w:val="24"/>
          <w:szCs w:val="24"/>
        </w:rPr>
        <w:t>, 2013). Оперението е с изразен полов диморфизъм. При мъжките главата е ръждивокафява със златисто чело. Маховите пера и гърбът са светлосиви, коремът-бял. Гърдите са розови. Подопашието – черно-бяло. Крилното огледало е с голямо бяло петно, а в основата зелено с черни кантове. Женската със защитно ръждивокафяво оперение. Гласовит, често издава характерен позив. Обикновено мигрира и зимува на големи ята. Фишовете редовно излизат в нивите и в тинята покрай водоемите и търсят храна там през деня и през нощта. Видът е ловен обект.</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 У нас фишът е зимуващ и мигриращ вид. През зимата големи ята долитат от северните части на Европа и се концентрират главно по големите вътрешни язовири, крайморските езера, в морето и по-големите реки, включително в р. Дунав.  Пролетната миграция е от средата на февруари до първите дни на май. Есенната миграция е през октомври-декември. В по-голямата част от страната пролетната миграция е много по-добре изразена от есенната.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 време на миграция и зимуване се среща в солени, бракични и сладководни стоящи водоеми от всякакъв характер, в средни течения на реки, в плитководни участъци на р.Дунав, както и в морето. Предпочита по-плитки водоеми или по-плитките части на язовирите. Среща се редовно и в планински язовири като яз. Батак. По време на пролетната миграция каца във всякакъв тип водоеми, дори в микроязовири.</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Храни се с водна растителност – водорасли и др., със зелени части на висшата водна растителност, с рапица и поници на пшеница, листа на други култури, живовлек и семена. Животинска храна поглъща само случайно (</w:t>
      </w:r>
      <w:r w:rsidRPr="00A8783E">
        <w:rPr>
          <w:rFonts w:ascii="Times New Roman" w:hAnsi="Times New Roman"/>
          <w:sz w:val="24"/>
          <w:szCs w:val="24"/>
          <w:lang w:val="en-US"/>
        </w:rPr>
        <w:t>Cramp</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Simmons</w:t>
      </w:r>
      <w:r w:rsidRPr="00A8783E">
        <w:rPr>
          <w:rFonts w:ascii="Times New Roman" w:hAnsi="Times New Roman"/>
          <w:sz w:val="24"/>
          <w:szCs w:val="24"/>
        </w:rPr>
        <w:t xml:space="preserve"> </w:t>
      </w:r>
      <w:r w:rsidRPr="00A8783E">
        <w:rPr>
          <w:rFonts w:ascii="Times New Roman" w:hAnsi="Times New Roman"/>
          <w:sz w:val="24"/>
          <w:szCs w:val="24"/>
          <w:lang w:val="en-US"/>
        </w:rPr>
        <w:t>eds</w:t>
      </w:r>
      <w:r w:rsidRPr="00A8783E">
        <w:rPr>
          <w:rFonts w:ascii="Times New Roman" w:hAnsi="Times New Roman"/>
          <w:sz w:val="24"/>
          <w:szCs w:val="24"/>
        </w:rPr>
        <w:t xml:space="preserve">., 1977; </w:t>
      </w:r>
      <w:r w:rsidRPr="00A8783E">
        <w:rPr>
          <w:rFonts w:ascii="Times New Roman" w:hAnsi="Times New Roman"/>
          <w:sz w:val="24"/>
          <w:szCs w:val="24"/>
          <w:lang w:val="en-US"/>
        </w:rPr>
        <w:t>Stastny</w:t>
      </w:r>
      <w:r w:rsidRPr="00A8783E">
        <w:rPr>
          <w:rFonts w:ascii="Times New Roman" w:hAnsi="Times New Roman"/>
          <w:sz w:val="24"/>
          <w:szCs w:val="24"/>
        </w:rPr>
        <w:t xml:space="preserve">, </w:t>
      </w:r>
      <w:r w:rsidRPr="00A8783E">
        <w:rPr>
          <w:rFonts w:ascii="Times New Roman" w:hAnsi="Times New Roman"/>
          <w:sz w:val="24"/>
          <w:szCs w:val="24"/>
          <w:lang w:val="en-US"/>
        </w:rPr>
        <w:t>Hudec</w:t>
      </w:r>
      <w:r w:rsidRPr="00A8783E">
        <w:rPr>
          <w:rFonts w:ascii="Times New Roman" w:hAnsi="Times New Roman"/>
          <w:sz w:val="24"/>
          <w:szCs w:val="24"/>
        </w:rPr>
        <w:t>, 2016).</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lastRenderedPageBreak/>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sz w:val="24"/>
          <w:szCs w:val="24"/>
        </w:rPr>
        <w:t xml:space="preserve">Фишът зимува в цялата страна, във всякакъв тип водоеми. Най-значителните зимни концентрации са по брега на Черно море – в районите на езерата Шабленско и Дуранкулашко, в Атанасовското езеро, в Поморийското езеро, яз. Мандра, Варненското и Белославското езеро.  Големи концентрации от няколкостотин екземпляра, а понякога и над 1000 се наблюдават и в яз. Пясъчник, яз. Жребчево, яз. Овчарица, яз. Розов кладенец, яз.Батак, яз.Искър и в река Дунав. Числеността на зимуващите у нас фишове според Докладването по чл. 12 е 1000- 7500 екз. Тенденциите –както краткосрочна така и дългосрочна са неизвестни, отбелязани „с флуктуации“.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sz w:val="24"/>
          <w:szCs w:val="24"/>
        </w:rPr>
        <w:t>По време на миграция фишът е многочислен. Според докладването по чл.12 понастоящем миграционната численост на вида е в рамките на 1000 до 3000 индивида. Тази численост няма нищо общо с реалното положение, тъй като тя е подценена дори ако се касаеше само за един единствен водоем –Атанасовското езеро край Бургас. За да се оцени по-правилно миграционната численост на вида са необходими синхронни преброявания в основните места за концентрация през месеците на миграция. Тази численост едва ли би била по-малка от 5000 -15 000 екз.</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sz w:val="24"/>
          <w:szCs w:val="24"/>
        </w:rPr>
        <w:t xml:space="preserve">При докладването по чл.12 като заплахи за фиша са посочени екстракцията на петрол и природен газ  и замърсяването на водите. Едва ли първият от тези фактори има някакво сериозно значение в България. Всъщност заплахите за вида са съвсем други – прекомерният острел, включително с незаконни средства, в защитени територии и в забранени периоди за лов, безпокойството през прелета и зимата от ловци, рибари, туристи и рибовъди, използването на пестициди и други химикали в селското стопанство.  Сред естествените лимитиращи фактори са резките промени във времето през зимата – застудяване и валежи, водещи до поледици и бързо замръзване на водоемите и околните земи, при което немалко фишове загиват.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видът е преминаващ и зимуващ.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до </w:t>
      </w:r>
      <w:r w:rsidRPr="00A8783E">
        <w:rPr>
          <w:rFonts w:ascii="Times New Roman" w:hAnsi="Times New Roman"/>
          <w:b/>
          <w:bCs/>
          <w:sz w:val="24"/>
          <w:szCs w:val="24"/>
          <w:lang w:eastAsia="bg-BG"/>
        </w:rPr>
        <w:t>10 индивида</w:t>
      </w:r>
      <w:r w:rsidRPr="00A8783E">
        <w:rPr>
          <w:rFonts w:ascii="Times New Roman" w:hAnsi="Times New Roman"/>
          <w:sz w:val="24"/>
          <w:szCs w:val="24"/>
          <w:lang w:eastAsia="bg-BG"/>
        </w:rPr>
        <w:t xml:space="preserve">, което е </w:t>
      </w:r>
      <w:r w:rsidRPr="00A8783E">
        <w:rPr>
          <w:rFonts w:ascii="Times New Roman" w:hAnsi="Times New Roman"/>
          <w:color w:val="000000"/>
          <w:sz w:val="24"/>
          <w:szCs w:val="24"/>
          <w:lang w:eastAsia="bg-BG"/>
        </w:rPr>
        <w:t>0,33-1 %</w:t>
      </w:r>
      <w:r w:rsidRPr="00A8783E">
        <w:rPr>
          <w:rFonts w:ascii="Times New Roman" w:hAnsi="Times New Roman"/>
          <w:sz w:val="24"/>
          <w:szCs w:val="24"/>
          <w:lang w:eastAsia="bg-BG"/>
        </w:rPr>
        <w:t xml:space="preserve"> от националната популация (оценка „</w:t>
      </w:r>
      <w:r w:rsidRPr="00A8783E">
        <w:rPr>
          <w:rFonts w:ascii="Times New Roman" w:hAnsi="Times New Roman"/>
          <w:sz w:val="24"/>
          <w:szCs w:val="24"/>
          <w:lang w:val="en-US" w:eastAsia="bg-BG"/>
        </w:rPr>
        <w:t>C</w:t>
      </w:r>
      <w:r w:rsidRPr="00A8783E">
        <w:rPr>
          <w:rFonts w:ascii="Times New Roman" w:hAnsi="Times New Roman"/>
          <w:sz w:val="24"/>
          <w:szCs w:val="24"/>
          <w:lang w:eastAsia="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СФ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на вида се оценява на до </w:t>
      </w:r>
      <w:r w:rsidRPr="00A8783E">
        <w:rPr>
          <w:rFonts w:ascii="Times New Roman" w:hAnsi="Times New Roman"/>
          <w:b/>
          <w:bCs/>
          <w:sz w:val="24"/>
          <w:szCs w:val="24"/>
          <w:lang w:eastAsia="bg-BG"/>
        </w:rPr>
        <w:t>21 индивида</w:t>
      </w:r>
      <w:r w:rsidRPr="00A8783E">
        <w:rPr>
          <w:rFonts w:ascii="Times New Roman" w:hAnsi="Times New Roman"/>
          <w:sz w:val="24"/>
          <w:szCs w:val="24"/>
          <w:lang w:eastAsia="bg-BG"/>
        </w:rPr>
        <w:t xml:space="preserve">, което е </w:t>
      </w:r>
      <w:r w:rsidRPr="00A8783E">
        <w:rPr>
          <w:rFonts w:ascii="Times New Roman" w:hAnsi="Times New Roman"/>
          <w:color w:val="000000"/>
          <w:sz w:val="24"/>
          <w:szCs w:val="24"/>
          <w:lang w:eastAsia="bg-BG"/>
        </w:rPr>
        <w:t>0,28-2,1</w:t>
      </w:r>
      <w:r w:rsidRPr="00A8783E">
        <w:rPr>
          <w:rFonts w:ascii="Times New Roman" w:hAnsi="Times New Roman"/>
          <w:b/>
          <w:bCs/>
          <w:color w:val="000000"/>
          <w:sz w:val="24"/>
          <w:szCs w:val="24"/>
          <w:lang w:eastAsia="bg-BG"/>
        </w:rPr>
        <w:t xml:space="preserve"> </w:t>
      </w:r>
      <w:r w:rsidRPr="00A8783E">
        <w:rPr>
          <w:rFonts w:ascii="Times New Roman" w:hAnsi="Times New Roman"/>
          <w:color w:val="000000"/>
          <w:sz w:val="24"/>
          <w:szCs w:val="24"/>
          <w:lang w:eastAsia="bg-BG"/>
        </w:rPr>
        <w:t xml:space="preserve">% </w:t>
      </w:r>
      <w:r w:rsidRPr="00A8783E">
        <w:rPr>
          <w:rFonts w:ascii="Times New Roman" w:hAnsi="Times New Roman"/>
          <w:sz w:val="24"/>
          <w:szCs w:val="24"/>
          <w:lang w:eastAsia="bg-BG"/>
        </w:rPr>
        <w:t>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4. Анализ на наличната информация</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Зимуваща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През зимата фишът се наблюдава сравнително често и редовно по р. Дунав като ятата обикновено са от 30-200 птици, рядко докъм 500 екз. Повечето наблюдения и с по-големи концентрации са в района на о. Персин и ез. Сребърна. През януари 2019 г. по целия български участък на р. Дунав са преброени общо 105 фиша в 11 локалитета, а през 2020 г. – 424 екз. в 12 локалитета. </w:t>
      </w:r>
      <w:r w:rsidRPr="00A8783E">
        <w:rPr>
          <w:rFonts w:ascii="Times New Roman" w:hAnsi="Times New Roman"/>
          <w:b/>
          <w:bCs/>
          <w:sz w:val="24"/>
          <w:szCs w:val="24"/>
          <w:lang w:eastAsia="bg-BG"/>
        </w:rPr>
        <w:t>Ято от 300 екз. е наблюдавано в ез. Сребърна</w:t>
      </w:r>
      <w:r w:rsidRPr="00A8783E">
        <w:rPr>
          <w:rFonts w:ascii="Times New Roman" w:hAnsi="Times New Roman"/>
          <w:sz w:val="24"/>
          <w:szCs w:val="24"/>
          <w:lang w:eastAsia="bg-BG"/>
        </w:rPr>
        <w:t xml:space="preserve">. Концентрациите на фиша там понякога достигат и 500-600 екз. При по-топли зими количествата на зимуващите по р. Дунав фишове са по-големи, тъй като много от тези </w:t>
      </w:r>
      <w:r w:rsidRPr="00A8783E">
        <w:rPr>
          <w:rFonts w:ascii="Times New Roman" w:hAnsi="Times New Roman"/>
          <w:sz w:val="24"/>
          <w:szCs w:val="24"/>
          <w:lang w:eastAsia="bg-BG"/>
        </w:rPr>
        <w:lastRenderedPageBreak/>
        <w:t>птици не достигат традиционните си масови зимовища в Гърция, Турция, Горнотракийската низина и Бургаско, а остават северно от тях. Според Актуализирания план за управление на ПР „Сребърна“ (2015 г.) общият брой зимуващи фишове за периода 1977-2001 г. е 20 инд., а за периода 2008-2013 г. – 21 инд.</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Мигрираща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По време на нашите теренни проучвания в защитената зона през май-юни 2021 г. видът не беше установен.</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 оглед на горепосочените наблюдения считаме, че зимната численост на вида в СЗЗ „Сребърна“ следва да бъде коригирана, тъй като численост от 21 екземпляра през зимата не отговаря на актуалното положение. По-адекватна би била оценка от порядъка на 300 екз. Необходими са специализирани проучвания през есента, зимата и пролетта за установяване на честотата на срещаемост и броя на зимуващите и мигриращи фишове в зоната.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За мигриращата и зимуващата популация са посочени следните заплахи при Докладването през 2019 г.: </w:t>
      </w:r>
      <w:r w:rsidRPr="00A8783E">
        <w:rPr>
          <w:rFonts w:ascii="Times New Roman" w:hAnsi="Times New Roman"/>
          <w:sz w:val="24"/>
          <w:szCs w:val="24"/>
          <w:lang w:val="en-US" w:eastAsia="bg-BG"/>
        </w:rPr>
        <w:t>C</w:t>
      </w:r>
      <w:r w:rsidRPr="00A8783E">
        <w:rPr>
          <w:rFonts w:ascii="Times New Roman" w:hAnsi="Times New Roman"/>
          <w:sz w:val="24"/>
          <w:szCs w:val="24"/>
          <w:lang w:eastAsia="bg-BG"/>
        </w:rPr>
        <w:t xml:space="preserve">03, </w:t>
      </w:r>
      <w:r w:rsidRPr="00A8783E">
        <w:rPr>
          <w:rFonts w:ascii="Times New Roman" w:hAnsi="Times New Roman"/>
          <w:sz w:val="24"/>
          <w:szCs w:val="24"/>
          <w:lang w:val="en-US" w:eastAsia="bg-BG"/>
        </w:rPr>
        <w:t>F</w:t>
      </w:r>
      <w:r w:rsidRPr="00A8783E">
        <w:rPr>
          <w:rFonts w:ascii="Times New Roman" w:hAnsi="Times New Roman"/>
          <w:sz w:val="24"/>
          <w:szCs w:val="24"/>
          <w:lang w:eastAsia="bg-BG"/>
        </w:rPr>
        <w:t>26, J02. От тях няма валидни за зоната. Заплахи за вида в зоната са риболов с мрежени уреди (G12- Прилов и инцидентно убиване (при риболовни дейности), пожари в тръстиковите масиви.</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5"/>
        <w:gridCol w:w="1134"/>
        <w:gridCol w:w="1134"/>
        <w:gridCol w:w="2977"/>
        <w:gridCol w:w="2130"/>
      </w:tblGrid>
      <w:tr w:rsidR="00A8783E" w:rsidRPr="00A8783E" w:rsidTr="005B5318">
        <w:trPr>
          <w:tblHeader/>
          <w:jc w:val="center"/>
        </w:trPr>
        <w:tc>
          <w:tcPr>
            <w:tcW w:w="170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977"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13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705"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мигриращата популация</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10 инд.</w:t>
            </w:r>
          </w:p>
        </w:tc>
        <w:tc>
          <w:tcPr>
            <w:tcW w:w="297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 настоящия СФ (актуализиран през 2018 г.) за концентрацията на вида по време на миграция в зоната не е посочена минимална стойност. Като максимална численост на мигриращата популация са посочени 10 индивида. Необходимо е да се заложи междинна цел за установяване на миграционната численост а вида в зоната.</w:t>
            </w:r>
          </w:p>
        </w:tc>
        <w:tc>
          <w:tcPr>
            <w:tcW w:w="213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trHeight w:val="606"/>
          <w:jc w:val="center"/>
        </w:trPr>
        <w:tc>
          <w:tcPr>
            <w:tcW w:w="1705"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зимуващата популацията</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21 инд.</w:t>
            </w:r>
          </w:p>
        </w:tc>
        <w:tc>
          <w:tcPr>
            <w:tcW w:w="297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 време на средно-зимно преброяване през 2020 г. са установени 300 инд. в защитената зона. Количеството на зимуващите птици ще зависи от средните температури през зимата. При по-високи ср. темп. в района на СЗЗ се очаква целевата стойност да бъде изпълнена.</w:t>
            </w:r>
          </w:p>
        </w:tc>
        <w:tc>
          <w:tcPr>
            <w:tcW w:w="213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Редовен мониторинг на зимуващите водолюбиви птици.</w:t>
            </w:r>
          </w:p>
        </w:tc>
      </w:tr>
      <w:tr w:rsidR="00A8783E" w:rsidRPr="00A8783E" w:rsidTr="005B5318">
        <w:trPr>
          <w:trHeight w:val="748"/>
          <w:jc w:val="center"/>
        </w:trPr>
        <w:tc>
          <w:tcPr>
            <w:tcW w:w="1705"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lastRenderedPageBreak/>
              <w:t xml:space="preserve">Местообитание на вида: </w:t>
            </w:r>
            <w:r w:rsidRPr="00A8783E">
              <w:rPr>
                <w:rFonts w:ascii="Times New Roman" w:hAnsi="Times New Roman"/>
              </w:rPr>
              <w:t xml:space="preserve">Площ на подходящите хранителни местообитания на вида </w:t>
            </w:r>
          </w:p>
        </w:tc>
        <w:tc>
          <w:tcPr>
            <w:tcW w:w="1134"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912 ha </w:t>
            </w:r>
          </w:p>
        </w:tc>
        <w:tc>
          <w:tcPr>
            <w:tcW w:w="297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Разстоянието, на което летят между местата за почивка и местата за хранене е между 8-16 км.  Данните са взети от СФ като % на местообитание N07-мочурища и блата и N06 - вътрешни водни тела и N15-други обработваеми земи. Местообитания </w:t>
            </w:r>
            <w:r w:rsidRPr="00A8783E">
              <w:rPr>
                <w:rFonts w:ascii="Times New Roman" w:hAnsi="Times New Roman"/>
                <w:lang w:val="en-US"/>
              </w:rPr>
              <w:t>N</w:t>
            </w:r>
            <w:r w:rsidRPr="00A8783E">
              <w:rPr>
                <w:rFonts w:ascii="Times New Roman" w:hAnsi="Times New Roman"/>
              </w:rPr>
              <w:t xml:space="preserve">06 и </w:t>
            </w:r>
            <w:r w:rsidRPr="00A8783E">
              <w:rPr>
                <w:rFonts w:ascii="Times New Roman" w:hAnsi="Times New Roman"/>
                <w:lang w:val="en-US"/>
              </w:rPr>
              <w:t>N</w:t>
            </w:r>
            <w:r w:rsidRPr="00A8783E">
              <w:rPr>
                <w:rFonts w:ascii="Times New Roman" w:hAnsi="Times New Roman"/>
              </w:rPr>
              <w:t xml:space="preserve">07 служат за почивка, а </w:t>
            </w:r>
            <w:r w:rsidRPr="00A8783E">
              <w:rPr>
                <w:rFonts w:ascii="Times New Roman" w:hAnsi="Times New Roman"/>
                <w:lang w:val="en-US"/>
              </w:rPr>
              <w:t>N</w:t>
            </w:r>
            <w:r w:rsidRPr="00A8783E">
              <w:rPr>
                <w:rFonts w:ascii="Times New Roman" w:hAnsi="Times New Roman"/>
              </w:rPr>
              <w:t>15 за хранене.</w:t>
            </w:r>
          </w:p>
        </w:tc>
        <w:tc>
          <w:tcPr>
            <w:tcW w:w="213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площта на подходящите хранителни местообитания и такива за почивка на вида в размер най-малко 912 ha.</w:t>
            </w:r>
          </w:p>
        </w:tc>
      </w:tr>
      <w:tr w:rsidR="00A8783E" w:rsidRPr="00A8783E" w:rsidTr="005B5318">
        <w:trPr>
          <w:trHeight w:val="3460"/>
          <w:jc w:val="center"/>
        </w:trPr>
        <w:tc>
          <w:tcPr>
            <w:tcW w:w="1705"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Екологично състояние на водните тела с местообитания на вида – по биологичен елемент водни безгръбначни (JDS4-Aquatic Macroinvertebrates)</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 степенна скала за екологично състояние</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1-Отлично/2-Добро</w:t>
            </w:r>
          </w:p>
        </w:tc>
        <w:tc>
          <w:tcPr>
            <w:tcW w:w="2977" w:type="dxa"/>
          </w:tcPr>
          <w:tbl>
            <w:tblPr>
              <w:tblW w:w="2976" w:type="dxa"/>
              <w:jc w:val="center"/>
              <w:tblLayout w:type="fixed"/>
              <w:tblCellMar>
                <w:left w:w="70" w:type="dxa"/>
                <w:right w:w="70" w:type="dxa"/>
              </w:tblCellMar>
              <w:tblLook w:val="00A0" w:firstRow="1" w:lastRow="0" w:firstColumn="1" w:lastColumn="0" w:noHBand="0" w:noVBand="0"/>
            </w:tblPr>
            <w:tblGrid>
              <w:gridCol w:w="2976"/>
            </w:tblGrid>
            <w:tr w:rsidR="00A8783E" w:rsidRPr="00A8783E" w:rsidTr="005B5318">
              <w:trPr>
                <w:trHeight w:val="57"/>
                <w:jc w:val="center"/>
              </w:trPr>
              <w:tc>
                <w:tcPr>
                  <w:tcW w:w="2976"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67"/>
                <w:jc w:val="center"/>
              </w:trPr>
              <w:tc>
                <w:tcPr>
                  <w:tcW w:w="2976"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1-Отлично - High</w:t>
                  </w:r>
                </w:p>
              </w:tc>
            </w:tr>
            <w:tr w:rsidR="00A8783E" w:rsidRPr="00A8783E" w:rsidTr="005B5318">
              <w:trPr>
                <w:trHeight w:val="267"/>
                <w:jc w:val="center"/>
              </w:trPr>
              <w:tc>
                <w:tcPr>
                  <w:tcW w:w="2976"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2-Добро - Good</w:t>
                  </w:r>
                </w:p>
              </w:tc>
            </w:tr>
            <w:tr w:rsidR="00A8783E" w:rsidRPr="00A8783E" w:rsidTr="005B5318">
              <w:trPr>
                <w:trHeight w:val="267"/>
                <w:jc w:val="center"/>
              </w:trPr>
              <w:tc>
                <w:tcPr>
                  <w:tcW w:w="2976"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3-Умерено - Moderate</w:t>
                  </w:r>
                </w:p>
              </w:tc>
            </w:tr>
            <w:tr w:rsidR="00A8783E" w:rsidRPr="00A8783E" w:rsidTr="005B5318">
              <w:trPr>
                <w:trHeight w:val="267"/>
                <w:jc w:val="center"/>
              </w:trPr>
              <w:tc>
                <w:tcPr>
                  <w:tcW w:w="2976"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4-Лошо - Poor</w:t>
                  </w:r>
                </w:p>
              </w:tc>
            </w:tr>
            <w:tr w:rsidR="00A8783E" w:rsidRPr="00A8783E" w:rsidTr="005B5318">
              <w:trPr>
                <w:trHeight w:val="267"/>
                <w:jc w:val="center"/>
              </w:trPr>
              <w:tc>
                <w:tcPr>
                  <w:tcW w:w="2976"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на р. Дунав в пункт „Силистра“ е оценено на </w:t>
            </w:r>
            <w:r w:rsidRPr="00A8783E">
              <w:rPr>
                <w:rFonts w:ascii="Times New Roman" w:hAnsi="Times New Roman"/>
                <w:b/>
                <w:bCs/>
              </w:rPr>
              <w:t>умерено (3)</w:t>
            </w:r>
            <w:r w:rsidRPr="00A8783E">
              <w:rPr>
                <w:rFonts w:ascii="Times New Roman" w:hAnsi="Times New Roman"/>
              </w:rPr>
              <w:t xml:space="preserve"> според доклада на JDS4 (2019-2020, табл. 1, стр 62).</w:t>
            </w:r>
            <w:r w:rsidRPr="00A8783E">
              <w:rPr>
                <w:rFonts w:cs="Calibri"/>
              </w:rPr>
              <w:t xml:space="preserve"> </w:t>
            </w:r>
            <w:r w:rsidRPr="00A8783E">
              <w:rPr>
                <w:rFonts w:ascii="Times New Roman" w:hAnsi="Times New Roman"/>
              </w:rPr>
              <w:t xml:space="preserve">Според данните от биологичния мониторинг на повърхностните води през 2020 г. ЕС на ез. Сребърна е определено като </w:t>
            </w:r>
            <w:r w:rsidRPr="00A8783E">
              <w:rPr>
                <w:rFonts w:ascii="Times New Roman" w:hAnsi="Times New Roman"/>
                <w:b/>
                <w:bCs/>
              </w:rPr>
              <w:t>Отлично</w:t>
            </w:r>
            <w:r w:rsidRPr="00A8783E">
              <w:rPr>
                <w:rFonts w:ascii="Times New Roman" w:hAnsi="Times New Roman"/>
              </w:rPr>
              <w:t xml:space="preserve"> по БЕК Макрозообентос.</w:t>
            </w:r>
          </w:p>
        </w:tc>
        <w:tc>
          <w:tcPr>
            <w:tcW w:w="213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60" w:line="259" w:lineRule="auto"/>
        <w:jc w:val="both"/>
        <w:rPr>
          <w:rFonts w:ascii="Times New Roman" w:hAnsi="Times New Roman"/>
          <w:sz w:val="24"/>
          <w:szCs w:val="24"/>
          <w:lang w:eastAsia="bg-BG"/>
        </w:rPr>
      </w:pPr>
    </w:p>
    <w:p w:rsidR="00A8783E" w:rsidRPr="00A8783E" w:rsidRDefault="00A8783E" w:rsidP="00A8783E">
      <w:pPr>
        <w:spacing w:after="12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„Сребърна“</w:t>
      </w:r>
    </w:p>
    <w:p w:rsidR="00A8783E" w:rsidRPr="00A8783E" w:rsidRDefault="00A8783E" w:rsidP="00A8783E">
      <w:pPr>
        <w:spacing w:after="0" w:line="240" w:lineRule="auto"/>
        <w:jc w:val="both"/>
        <w:rPr>
          <w:rFonts w:ascii="Times New Roman" w:hAnsi="Times New Roman"/>
          <w:sz w:val="24"/>
          <w:szCs w:val="24"/>
        </w:rPr>
      </w:pPr>
      <w:r w:rsidRPr="00A8783E">
        <w:rPr>
          <w:rFonts w:ascii="Times New Roman" w:hAnsi="Times New Roman"/>
          <w:sz w:val="24"/>
          <w:szCs w:val="24"/>
        </w:rPr>
        <w:t>Предвид на наличната публикувана и непубликувана информация и данните от СЗП през 2019 и 2020 г. предлагаме следните промени в СФ (маркирани с червено):</w:t>
      </w:r>
    </w:p>
    <w:p w:rsidR="00A8783E" w:rsidRPr="00A8783E" w:rsidRDefault="00A8783E" w:rsidP="00A8783E">
      <w:pPr>
        <w:numPr>
          <w:ilvl w:val="0"/>
          <w:numId w:val="24"/>
        </w:numPr>
        <w:spacing w:after="0" w:line="240" w:lineRule="auto"/>
        <w:ind w:left="567" w:hanging="283"/>
        <w:jc w:val="both"/>
        <w:rPr>
          <w:rFonts w:ascii="Times New Roman" w:hAnsi="Times New Roman"/>
          <w:sz w:val="24"/>
          <w:szCs w:val="24"/>
        </w:rPr>
      </w:pPr>
      <w:r w:rsidRPr="00A8783E">
        <w:rPr>
          <w:rFonts w:ascii="Times New Roman" w:hAnsi="Times New Roman"/>
          <w:sz w:val="24"/>
          <w:szCs w:val="24"/>
        </w:rPr>
        <w:t>Актуализиране на кода (</w:t>
      </w:r>
      <w:r w:rsidRPr="00A8783E">
        <w:rPr>
          <w:rFonts w:ascii="Times New Roman" w:hAnsi="Times New Roman"/>
          <w:sz w:val="24"/>
          <w:szCs w:val="24"/>
          <w:lang w:val="en-GB"/>
        </w:rPr>
        <w:t>code</w:t>
      </w:r>
      <w:r w:rsidRPr="00A8783E">
        <w:rPr>
          <w:rFonts w:ascii="Times New Roman" w:hAnsi="Times New Roman"/>
          <w:sz w:val="24"/>
          <w:szCs w:val="24"/>
        </w:rPr>
        <w:t>) и научното наименование (Scientific Name), съобразно Докладването от 2019 г.;</w:t>
      </w:r>
    </w:p>
    <w:p w:rsidR="00A8783E" w:rsidRPr="00A8783E" w:rsidRDefault="00A8783E" w:rsidP="00A8783E">
      <w:pPr>
        <w:numPr>
          <w:ilvl w:val="0"/>
          <w:numId w:val="24"/>
        </w:numPr>
        <w:spacing w:after="0" w:line="240" w:lineRule="auto"/>
        <w:ind w:left="567" w:hanging="283"/>
        <w:jc w:val="both"/>
        <w:rPr>
          <w:rFonts w:ascii="Times New Roman" w:hAnsi="Times New Roman"/>
          <w:sz w:val="24"/>
          <w:szCs w:val="24"/>
        </w:rPr>
      </w:pPr>
      <w:r w:rsidRPr="00A8783E">
        <w:rPr>
          <w:rFonts w:ascii="Times New Roman" w:hAnsi="Times New Roman"/>
          <w:sz w:val="24"/>
          <w:szCs w:val="24"/>
        </w:rPr>
        <w:t>По отношение на числеността на зимуващата популация в зоната – да се коригира на 21-300 индивида;</w:t>
      </w:r>
    </w:p>
    <w:p w:rsidR="00A8783E" w:rsidRPr="00A8783E" w:rsidRDefault="00A8783E" w:rsidP="00A8783E">
      <w:pPr>
        <w:numPr>
          <w:ilvl w:val="0"/>
          <w:numId w:val="24"/>
        </w:numPr>
        <w:spacing w:after="0" w:line="240" w:lineRule="auto"/>
        <w:ind w:left="567" w:hanging="283"/>
        <w:jc w:val="both"/>
        <w:rPr>
          <w:rFonts w:ascii="Times New Roman" w:hAnsi="Times New Roman"/>
          <w:sz w:val="24"/>
          <w:szCs w:val="24"/>
        </w:rPr>
      </w:pPr>
      <w:r w:rsidRPr="00A8783E">
        <w:rPr>
          <w:rFonts w:ascii="Times New Roman" w:hAnsi="Times New Roman"/>
          <w:sz w:val="24"/>
          <w:szCs w:val="24"/>
        </w:rPr>
        <w:t>По отношение на оценката на популацията и общата оценка – да се коригират от „С“ на „В“ (в зоната се опазват 2-15% от националната популация).</w:t>
      </w:r>
    </w:p>
    <w:p w:rsidR="00A8783E" w:rsidRPr="00A8783E" w:rsidRDefault="00A8783E" w:rsidP="00A8783E">
      <w:pPr>
        <w:spacing w:after="0" w:line="240" w:lineRule="auto"/>
        <w:ind w:left="567"/>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22"/>
        <w:gridCol w:w="328"/>
        <w:gridCol w:w="483"/>
        <w:gridCol w:w="17"/>
        <w:gridCol w:w="345"/>
        <w:gridCol w:w="572"/>
        <w:gridCol w:w="605"/>
        <w:gridCol w:w="594"/>
        <w:gridCol w:w="578"/>
        <w:gridCol w:w="839"/>
        <w:gridCol w:w="15"/>
        <w:gridCol w:w="935"/>
        <w:gridCol w:w="622"/>
        <w:gridCol w:w="522"/>
        <w:gridCol w:w="578"/>
      </w:tblGrid>
      <w:tr w:rsidR="00A8783E" w:rsidRPr="00A8783E" w:rsidTr="005B5318">
        <w:trPr>
          <w:jc w:val="center"/>
        </w:trPr>
        <w:tc>
          <w:tcPr>
            <w:tcW w:w="1750" w:type="pct"/>
            <w:gridSpan w:val="6"/>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sz w:val="20"/>
                <w:szCs w:val="20"/>
              </w:rPr>
              <w:t>.</w:t>
            </w:r>
            <w:r w:rsidRPr="00A8783E">
              <w:rPr>
                <w:rFonts w:ascii="Times New Roman" w:hAnsi="Times New Roman"/>
                <w:b/>
                <w:bCs/>
                <w:sz w:val="20"/>
                <w:szCs w:val="20"/>
              </w:rPr>
              <w:t>Species</w:t>
            </w:r>
          </w:p>
        </w:tc>
        <w:tc>
          <w:tcPr>
            <w:tcW w:w="1852" w:type="pct"/>
            <w:gridSpan w:val="7"/>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Population in the site</w:t>
            </w:r>
          </w:p>
        </w:tc>
        <w:tc>
          <w:tcPr>
            <w:tcW w:w="1399" w:type="pct"/>
            <w:gridSpan w:val="4"/>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Site assessment</w:t>
            </w:r>
          </w:p>
        </w:tc>
      </w:tr>
      <w:tr w:rsidR="00A8783E" w:rsidRPr="00A8783E" w:rsidTr="005B5318">
        <w:trPr>
          <w:jc w:val="center"/>
        </w:trPr>
        <w:tc>
          <w:tcPr>
            <w:tcW w:w="187" w:type="pct"/>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G</w:t>
            </w:r>
          </w:p>
        </w:tc>
        <w:tc>
          <w:tcPr>
            <w:tcW w:w="348" w:type="pct"/>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Code</w:t>
            </w:r>
          </w:p>
        </w:tc>
        <w:tc>
          <w:tcPr>
            <w:tcW w:w="797" w:type="pct"/>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Scientific Name</w:t>
            </w:r>
          </w:p>
        </w:tc>
        <w:tc>
          <w:tcPr>
            <w:tcW w:w="162" w:type="pct"/>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S</w:t>
            </w:r>
          </w:p>
        </w:tc>
        <w:tc>
          <w:tcPr>
            <w:tcW w:w="248" w:type="pct"/>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NP</w:t>
            </w:r>
          </w:p>
        </w:tc>
        <w:tc>
          <w:tcPr>
            <w:tcW w:w="181" w:type="pct"/>
            <w:gridSpan w:val="2"/>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T</w:t>
            </w:r>
          </w:p>
        </w:tc>
        <w:tc>
          <w:tcPr>
            <w:tcW w:w="614" w:type="pct"/>
            <w:gridSpan w:val="2"/>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Size</w:t>
            </w:r>
          </w:p>
        </w:tc>
        <w:tc>
          <w:tcPr>
            <w:tcW w:w="310" w:type="pct"/>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Unit</w:t>
            </w:r>
          </w:p>
        </w:tc>
        <w:tc>
          <w:tcPr>
            <w:tcW w:w="301" w:type="pct"/>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Cat.</w:t>
            </w:r>
          </w:p>
        </w:tc>
        <w:tc>
          <w:tcPr>
            <w:tcW w:w="446" w:type="pct"/>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D.qual.</w:t>
            </w:r>
          </w:p>
        </w:tc>
        <w:tc>
          <w:tcPr>
            <w:tcW w:w="508" w:type="pct"/>
            <w:gridSpan w:val="2"/>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A/B/C/D</w:t>
            </w:r>
          </w:p>
        </w:tc>
        <w:tc>
          <w:tcPr>
            <w:tcW w:w="897" w:type="pct"/>
            <w:gridSpan w:val="3"/>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A/B/C</w:t>
            </w:r>
          </w:p>
        </w:tc>
      </w:tr>
      <w:tr w:rsidR="00A8783E" w:rsidRPr="00A8783E" w:rsidTr="005B5318">
        <w:trPr>
          <w:jc w:val="center"/>
        </w:trPr>
        <w:tc>
          <w:tcPr>
            <w:tcW w:w="187" w:type="pct"/>
            <w:vMerge/>
            <w:shd w:val="clear" w:color="auto" w:fill="D9D9D9"/>
            <w:vAlign w:val="center"/>
          </w:tcPr>
          <w:p w:rsidR="00A8783E" w:rsidRPr="00A8783E" w:rsidRDefault="00A8783E" w:rsidP="00A8783E">
            <w:pPr>
              <w:spacing w:after="120" w:line="259" w:lineRule="auto"/>
              <w:rPr>
                <w:rFonts w:ascii="Times New Roman" w:hAnsi="Times New Roman"/>
                <w:sz w:val="20"/>
                <w:szCs w:val="20"/>
              </w:rPr>
            </w:pPr>
          </w:p>
        </w:tc>
        <w:tc>
          <w:tcPr>
            <w:tcW w:w="348" w:type="pct"/>
            <w:vMerge/>
            <w:shd w:val="clear" w:color="auto" w:fill="D9D9D9"/>
            <w:vAlign w:val="center"/>
          </w:tcPr>
          <w:p w:rsidR="00A8783E" w:rsidRPr="00A8783E" w:rsidRDefault="00A8783E" w:rsidP="00A8783E">
            <w:pPr>
              <w:spacing w:after="120" w:line="259" w:lineRule="auto"/>
              <w:rPr>
                <w:rFonts w:ascii="Times New Roman" w:hAnsi="Times New Roman"/>
                <w:sz w:val="20"/>
                <w:szCs w:val="20"/>
              </w:rPr>
            </w:pPr>
          </w:p>
        </w:tc>
        <w:tc>
          <w:tcPr>
            <w:tcW w:w="797" w:type="pct"/>
            <w:vMerge/>
            <w:shd w:val="clear" w:color="auto" w:fill="D9D9D9"/>
            <w:vAlign w:val="center"/>
          </w:tcPr>
          <w:p w:rsidR="00A8783E" w:rsidRPr="00A8783E" w:rsidRDefault="00A8783E" w:rsidP="00A8783E">
            <w:pPr>
              <w:spacing w:after="120" w:line="259" w:lineRule="auto"/>
              <w:rPr>
                <w:rFonts w:ascii="Times New Roman" w:hAnsi="Times New Roman"/>
                <w:sz w:val="20"/>
                <w:szCs w:val="20"/>
              </w:rPr>
            </w:pPr>
          </w:p>
        </w:tc>
        <w:tc>
          <w:tcPr>
            <w:tcW w:w="162" w:type="pct"/>
            <w:vMerge/>
            <w:shd w:val="clear" w:color="auto" w:fill="D9D9D9"/>
            <w:vAlign w:val="center"/>
          </w:tcPr>
          <w:p w:rsidR="00A8783E" w:rsidRPr="00A8783E" w:rsidRDefault="00A8783E" w:rsidP="00A8783E">
            <w:pPr>
              <w:spacing w:after="120" w:line="259" w:lineRule="auto"/>
              <w:rPr>
                <w:rFonts w:ascii="Times New Roman" w:hAnsi="Times New Roman"/>
                <w:sz w:val="20"/>
                <w:szCs w:val="20"/>
              </w:rPr>
            </w:pPr>
          </w:p>
        </w:tc>
        <w:tc>
          <w:tcPr>
            <w:tcW w:w="248" w:type="pct"/>
            <w:vMerge/>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p>
        </w:tc>
        <w:tc>
          <w:tcPr>
            <w:tcW w:w="181" w:type="pct"/>
            <w:gridSpan w:val="2"/>
            <w:vMerge/>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p>
        </w:tc>
        <w:tc>
          <w:tcPr>
            <w:tcW w:w="298" w:type="pc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Min</w:t>
            </w:r>
          </w:p>
        </w:tc>
        <w:tc>
          <w:tcPr>
            <w:tcW w:w="316" w:type="pc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Max</w:t>
            </w:r>
          </w:p>
        </w:tc>
        <w:tc>
          <w:tcPr>
            <w:tcW w:w="310" w:type="pct"/>
            <w:vMerge/>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p>
        </w:tc>
        <w:tc>
          <w:tcPr>
            <w:tcW w:w="301" w:type="pct"/>
            <w:vMerge/>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p>
        </w:tc>
        <w:tc>
          <w:tcPr>
            <w:tcW w:w="446" w:type="pct"/>
            <w:vMerge/>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p>
        </w:tc>
        <w:tc>
          <w:tcPr>
            <w:tcW w:w="508" w:type="pct"/>
            <w:gridSpan w:val="2"/>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Pop.</w:t>
            </w:r>
          </w:p>
        </w:tc>
        <w:tc>
          <w:tcPr>
            <w:tcW w:w="326" w:type="pc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Con.</w:t>
            </w:r>
          </w:p>
        </w:tc>
        <w:tc>
          <w:tcPr>
            <w:tcW w:w="270" w:type="pc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Iso.</w:t>
            </w:r>
          </w:p>
        </w:tc>
        <w:tc>
          <w:tcPr>
            <w:tcW w:w="301" w:type="pc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Glo.</w:t>
            </w:r>
          </w:p>
        </w:tc>
      </w:tr>
      <w:tr w:rsidR="00A8783E" w:rsidRPr="00A8783E" w:rsidTr="005B5318">
        <w:trPr>
          <w:jc w:val="center"/>
        </w:trPr>
        <w:tc>
          <w:tcPr>
            <w:tcW w:w="187" w:type="pct"/>
            <w:vAlign w:val="center"/>
          </w:tcPr>
          <w:p w:rsidR="00A8783E" w:rsidRPr="00A8783E" w:rsidRDefault="00A8783E" w:rsidP="00A8783E">
            <w:pPr>
              <w:spacing w:after="120" w:line="259" w:lineRule="auto"/>
              <w:rPr>
                <w:rFonts w:ascii="Times New Roman" w:hAnsi="Times New Roman"/>
                <w:sz w:val="20"/>
                <w:szCs w:val="20"/>
              </w:rPr>
            </w:pPr>
            <w:r w:rsidRPr="00A8783E">
              <w:rPr>
                <w:rFonts w:ascii="Times New Roman" w:hAnsi="Times New Roman"/>
                <w:sz w:val="20"/>
                <w:szCs w:val="20"/>
              </w:rPr>
              <w:t>В</w:t>
            </w:r>
          </w:p>
        </w:tc>
        <w:tc>
          <w:tcPr>
            <w:tcW w:w="348" w:type="pct"/>
            <w:vAlign w:val="center"/>
          </w:tcPr>
          <w:p w:rsidR="00A8783E" w:rsidRPr="00A8783E" w:rsidRDefault="00A8783E" w:rsidP="00A8783E">
            <w:pPr>
              <w:spacing w:after="120" w:line="259" w:lineRule="auto"/>
              <w:rPr>
                <w:rFonts w:ascii="Times New Roman" w:hAnsi="Times New Roman"/>
                <w:b/>
                <w:bCs/>
                <w:color w:val="FF0000"/>
                <w:sz w:val="20"/>
                <w:szCs w:val="20"/>
                <w:lang w:val="en-GB"/>
              </w:rPr>
            </w:pPr>
            <w:r w:rsidRPr="00A8783E">
              <w:rPr>
                <w:rFonts w:ascii="Times New Roman" w:hAnsi="Times New Roman"/>
                <w:b/>
                <w:bCs/>
                <w:color w:val="FF0000"/>
                <w:sz w:val="20"/>
                <w:szCs w:val="20"/>
              </w:rPr>
              <w:t>A85</w:t>
            </w:r>
            <w:r w:rsidRPr="00A8783E">
              <w:rPr>
                <w:rFonts w:ascii="Times New Roman" w:hAnsi="Times New Roman"/>
                <w:b/>
                <w:bCs/>
                <w:color w:val="FF0000"/>
                <w:sz w:val="20"/>
                <w:szCs w:val="20"/>
                <w:lang w:val="en-GB"/>
              </w:rPr>
              <w:t>5</w:t>
            </w:r>
          </w:p>
        </w:tc>
        <w:tc>
          <w:tcPr>
            <w:tcW w:w="797" w:type="pct"/>
            <w:vAlign w:val="center"/>
          </w:tcPr>
          <w:p w:rsidR="00A8783E" w:rsidRPr="00A8783E" w:rsidRDefault="00A8783E" w:rsidP="00A8783E">
            <w:pPr>
              <w:spacing w:after="120" w:line="259" w:lineRule="auto"/>
              <w:rPr>
                <w:rFonts w:ascii="Times New Roman" w:hAnsi="Times New Roman"/>
                <w:b/>
                <w:bCs/>
                <w:i/>
                <w:iCs/>
                <w:color w:val="FF0000"/>
                <w:sz w:val="20"/>
                <w:szCs w:val="20"/>
              </w:rPr>
            </w:pPr>
            <w:r w:rsidRPr="00A8783E">
              <w:rPr>
                <w:rFonts w:ascii="Times New Roman" w:hAnsi="Times New Roman"/>
                <w:b/>
                <w:bCs/>
                <w:i/>
                <w:iCs/>
                <w:color w:val="FF0000"/>
                <w:sz w:val="20"/>
                <w:szCs w:val="20"/>
                <w:lang w:val="en-GB"/>
              </w:rPr>
              <w:t>Mareca</w:t>
            </w:r>
            <w:r w:rsidRPr="00A8783E">
              <w:rPr>
                <w:rFonts w:ascii="Times New Roman" w:hAnsi="Times New Roman"/>
                <w:b/>
                <w:bCs/>
                <w:i/>
                <w:iCs/>
                <w:color w:val="FF0000"/>
                <w:sz w:val="20"/>
                <w:szCs w:val="20"/>
              </w:rPr>
              <w:t xml:space="preserve"> </w:t>
            </w:r>
            <w:r w:rsidRPr="00A8783E">
              <w:rPr>
                <w:rFonts w:ascii="Times New Roman" w:hAnsi="Times New Roman"/>
                <w:b/>
                <w:bCs/>
                <w:i/>
                <w:iCs/>
                <w:sz w:val="20"/>
                <w:szCs w:val="20"/>
              </w:rPr>
              <w:t>penelope</w:t>
            </w:r>
          </w:p>
        </w:tc>
        <w:tc>
          <w:tcPr>
            <w:tcW w:w="162" w:type="pct"/>
            <w:vAlign w:val="center"/>
          </w:tcPr>
          <w:p w:rsidR="00A8783E" w:rsidRPr="00A8783E" w:rsidRDefault="00A8783E" w:rsidP="00A8783E">
            <w:pPr>
              <w:spacing w:after="120" w:line="259" w:lineRule="auto"/>
              <w:rPr>
                <w:rFonts w:ascii="Times New Roman" w:hAnsi="Times New Roman"/>
                <w:sz w:val="20"/>
                <w:szCs w:val="20"/>
              </w:rPr>
            </w:pPr>
          </w:p>
        </w:tc>
        <w:tc>
          <w:tcPr>
            <w:tcW w:w="248" w:type="pct"/>
            <w:vAlign w:val="center"/>
          </w:tcPr>
          <w:p w:rsidR="00A8783E" w:rsidRPr="00A8783E" w:rsidRDefault="00A8783E" w:rsidP="00A8783E">
            <w:pPr>
              <w:spacing w:after="120" w:line="259" w:lineRule="auto"/>
              <w:rPr>
                <w:rFonts w:ascii="Times New Roman" w:hAnsi="Times New Roman"/>
                <w:b/>
                <w:bCs/>
                <w:sz w:val="20"/>
                <w:szCs w:val="20"/>
              </w:rPr>
            </w:pPr>
          </w:p>
        </w:tc>
        <w:tc>
          <w:tcPr>
            <w:tcW w:w="181" w:type="pct"/>
            <w:gridSpan w:val="2"/>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sz w:val="20"/>
                <w:szCs w:val="20"/>
              </w:rPr>
              <w:t>w</w:t>
            </w:r>
          </w:p>
        </w:tc>
        <w:tc>
          <w:tcPr>
            <w:tcW w:w="298" w:type="pct"/>
            <w:vAlign w:val="center"/>
          </w:tcPr>
          <w:p w:rsidR="00A8783E" w:rsidRPr="00A8783E" w:rsidRDefault="00A8783E" w:rsidP="00A8783E">
            <w:pPr>
              <w:spacing w:after="120" w:line="259" w:lineRule="auto"/>
              <w:rPr>
                <w:rFonts w:ascii="Times New Roman" w:hAnsi="Times New Roman"/>
                <w:b/>
                <w:bCs/>
                <w:color w:val="FF0000"/>
                <w:sz w:val="20"/>
                <w:szCs w:val="20"/>
              </w:rPr>
            </w:pPr>
            <w:r w:rsidRPr="00A8783E">
              <w:rPr>
                <w:rFonts w:ascii="Times New Roman" w:hAnsi="Times New Roman"/>
                <w:b/>
                <w:bCs/>
                <w:color w:val="FF0000"/>
                <w:sz w:val="20"/>
                <w:szCs w:val="20"/>
              </w:rPr>
              <w:t>21</w:t>
            </w:r>
          </w:p>
        </w:tc>
        <w:tc>
          <w:tcPr>
            <w:tcW w:w="316" w:type="pct"/>
            <w:vAlign w:val="center"/>
          </w:tcPr>
          <w:p w:rsidR="00A8783E" w:rsidRPr="00A8783E" w:rsidRDefault="00A8783E" w:rsidP="00A8783E">
            <w:pPr>
              <w:spacing w:after="120" w:line="259" w:lineRule="auto"/>
              <w:rPr>
                <w:rFonts w:ascii="Times New Roman" w:hAnsi="Times New Roman"/>
                <w:b/>
                <w:bCs/>
                <w:color w:val="FF0000"/>
                <w:sz w:val="20"/>
                <w:szCs w:val="20"/>
              </w:rPr>
            </w:pPr>
            <w:r w:rsidRPr="00A8783E">
              <w:rPr>
                <w:rFonts w:ascii="Times New Roman" w:hAnsi="Times New Roman"/>
                <w:b/>
                <w:bCs/>
                <w:color w:val="FF0000"/>
                <w:sz w:val="20"/>
                <w:szCs w:val="20"/>
              </w:rPr>
              <w:t>300</w:t>
            </w:r>
          </w:p>
        </w:tc>
        <w:tc>
          <w:tcPr>
            <w:tcW w:w="310" w:type="pct"/>
            <w:vAlign w:val="center"/>
          </w:tcPr>
          <w:p w:rsidR="00A8783E" w:rsidRPr="00A8783E" w:rsidRDefault="00A8783E" w:rsidP="00A8783E">
            <w:pPr>
              <w:spacing w:after="120" w:line="259" w:lineRule="auto"/>
              <w:rPr>
                <w:rFonts w:ascii="Times New Roman" w:hAnsi="Times New Roman"/>
                <w:sz w:val="20"/>
                <w:szCs w:val="20"/>
                <w:lang w:val="en-GB"/>
              </w:rPr>
            </w:pPr>
            <w:r w:rsidRPr="00A8783E">
              <w:rPr>
                <w:rFonts w:ascii="Times New Roman" w:hAnsi="Times New Roman"/>
                <w:sz w:val="20"/>
                <w:szCs w:val="20"/>
                <w:lang w:val="en-GB"/>
              </w:rPr>
              <w:t>i</w:t>
            </w:r>
          </w:p>
        </w:tc>
        <w:tc>
          <w:tcPr>
            <w:tcW w:w="301" w:type="pct"/>
            <w:vAlign w:val="center"/>
          </w:tcPr>
          <w:p w:rsidR="00A8783E" w:rsidRPr="00A8783E" w:rsidRDefault="00A8783E" w:rsidP="00A8783E">
            <w:pPr>
              <w:spacing w:after="120" w:line="259" w:lineRule="auto"/>
              <w:rPr>
                <w:rFonts w:ascii="Times New Roman" w:hAnsi="Times New Roman"/>
                <w:b/>
                <w:bCs/>
                <w:sz w:val="20"/>
                <w:szCs w:val="20"/>
              </w:rPr>
            </w:pPr>
          </w:p>
        </w:tc>
        <w:tc>
          <w:tcPr>
            <w:tcW w:w="446" w:type="pct"/>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sz w:val="20"/>
                <w:szCs w:val="20"/>
              </w:rPr>
              <w:t>G</w:t>
            </w:r>
          </w:p>
        </w:tc>
        <w:tc>
          <w:tcPr>
            <w:tcW w:w="508" w:type="pct"/>
            <w:gridSpan w:val="2"/>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color w:val="FF0000"/>
                <w:sz w:val="20"/>
                <w:szCs w:val="20"/>
              </w:rPr>
              <w:t>В</w:t>
            </w:r>
          </w:p>
        </w:tc>
        <w:tc>
          <w:tcPr>
            <w:tcW w:w="326" w:type="pct"/>
            <w:vAlign w:val="center"/>
          </w:tcPr>
          <w:p w:rsidR="00A8783E" w:rsidRPr="00A8783E" w:rsidRDefault="00A8783E" w:rsidP="00A8783E">
            <w:pPr>
              <w:spacing w:after="120" w:line="259" w:lineRule="auto"/>
              <w:rPr>
                <w:rFonts w:ascii="Times New Roman" w:hAnsi="Times New Roman"/>
                <w:b/>
                <w:bCs/>
                <w:sz w:val="20"/>
                <w:szCs w:val="20"/>
                <w:lang w:val="en-US"/>
              </w:rPr>
            </w:pPr>
            <w:r w:rsidRPr="00A8783E">
              <w:rPr>
                <w:rFonts w:ascii="Times New Roman" w:hAnsi="Times New Roman"/>
                <w:sz w:val="20"/>
                <w:szCs w:val="20"/>
                <w:lang w:val="en-US"/>
              </w:rPr>
              <w:t>B</w:t>
            </w:r>
          </w:p>
        </w:tc>
        <w:tc>
          <w:tcPr>
            <w:tcW w:w="270" w:type="pct"/>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sz w:val="20"/>
                <w:szCs w:val="20"/>
              </w:rPr>
              <w:t>C</w:t>
            </w:r>
          </w:p>
        </w:tc>
        <w:tc>
          <w:tcPr>
            <w:tcW w:w="301" w:type="pct"/>
            <w:vAlign w:val="center"/>
          </w:tcPr>
          <w:p w:rsidR="00A8783E" w:rsidRPr="00A8783E" w:rsidRDefault="00A8783E" w:rsidP="00A8783E">
            <w:pPr>
              <w:spacing w:after="120" w:line="259" w:lineRule="auto"/>
              <w:rPr>
                <w:rFonts w:ascii="Times New Roman" w:hAnsi="Times New Roman"/>
                <w:b/>
                <w:bCs/>
                <w:sz w:val="20"/>
                <w:szCs w:val="20"/>
                <w:lang w:val="en-US"/>
              </w:rPr>
            </w:pPr>
            <w:r w:rsidRPr="00A8783E">
              <w:rPr>
                <w:rFonts w:ascii="Times New Roman" w:hAnsi="Times New Roman"/>
                <w:b/>
                <w:bCs/>
                <w:color w:val="FF0000"/>
                <w:sz w:val="20"/>
                <w:szCs w:val="20"/>
                <w:lang w:val="en-US"/>
              </w:rPr>
              <w:t>B</w:t>
            </w:r>
          </w:p>
        </w:tc>
      </w:tr>
    </w:tbl>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Calibri Light" w:hAnsi="Calibri Light"/>
          <w:color w:val="2E74B5"/>
          <w:sz w:val="26"/>
          <w:szCs w:val="26"/>
        </w:rPr>
      </w:pPr>
      <w:bookmarkStart w:id="190" w:name="_Toc89106081"/>
      <w:bookmarkStart w:id="191" w:name="_Toc98741920"/>
      <w:bookmarkStart w:id="192" w:name="_Toc98838595"/>
      <w:r w:rsidRPr="00A8783E">
        <w:rPr>
          <w:rFonts w:ascii="Calibri Light" w:hAnsi="Calibri Light"/>
          <w:color w:val="2E74B5"/>
          <w:sz w:val="26"/>
          <w:szCs w:val="26"/>
        </w:rPr>
        <w:lastRenderedPageBreak/>
        <w:t xml:space="preserve">Специфични цели за А889 </w:t>
      </w:r>
      <w:r w:rsidRPr="00A8783E">
        <w:rPr>
          <w:rFonts w:ascii="Calibri Light" w:hAnsi="Calibri Light" w:cs="Calibri Light"/>
          <w:i/>
          <w:iCs/>
          <w:color w:val="2E74B5"/>
          <w:sz w:val="26"/>
          <w:szCs w:val="26"/>
          <w:lang w:val="en-US"/>
        </w:rPr>
        <w:t>Mareca</w:t>
      </w:r>
      <w:r w:rsidRPr="00A8783E">
        <w:rPr>
          <w:rFonts w:ascii="Calibri Light" w:hAnsi="Calibri Light"/>
          <w:i/>
          <w:iCs/>
          <w:color w:val="2E74B5"/>
          <w:sz w:val="26"/>
          <w:szCs w:val="26"/>
        </w:rPr>
        <w:t xml:space="preserve"> </w:t>
      </w:r>
      <w:r w:rsidRPr="00A8783E">
        <w:rPr>
          <w:rFonts w:ascii="Calibri Light" w:hAnsi="Calibri Light"/>
          <w:i/>
          <w:iCs/>
          <w:color w:val="2E74B5"/>
          <w:sz w:val="26"/>
          <w:szCs w:val="26"/>
          <w:lang w:val="en-US"/>
        </w:rPr>
        <w:t>strepera</w:t>
      </w:r>
      <w:r w:rsidRPr="00A8783E">
        <w:rPr>
          <w:rFonts w:ascii="Calibri Light" w:hAnsi="Calibri Light"/>
          <w:color w:val="2E74B5"/>
          <w:sz w:val="26"/>
          <w:szCs w:val="26"/>
        </w:rPr>
        <w:t xml:space="preserve"> (сива патица)</w:t>
      </w:r>
      <w:bookmarkEnd w:id="190"/>
      <w:bookmarkEnd w:id="191"/>
      <w:bookmarkEnd w:id="192"/>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46-56 cm, тегло  470-1300 </w:t>
      </w:r>
      <w:r w:rsidRPr="00A8783E">
        <w:rPr>
          <w:rFonts w:ascii="Times New Roman" w:hAnsi="Times New Roman"/>
          <w:sz w:val="24"/>
          <w:szCs w:val="24"/>
          <w:lang w:val="en-US"/>
        </w:rPr>
        <w:t>kg</w:t>
      </w:r>
      <w:r w:rsidRPr="00A8783E">
        <w:rPr>
          <w:rFonts w:ascii="Times New Roman" w:hAnsi="Times New Roman"/>
          <w:sz w:val="24"/>
          <w:szCs w:val="24"/>
        </w:rPr>
        <w:t>., размах на крилата: 78-95 cm. (</w:t>
      </w:r>
      <w:r w:rsidRPr="00A8783E">
        <w:rPr>
          <w:rFonts w:ascii="Times New Roman" w:hAnsi="Times New Roman"/>
          <w:sz w:val="24"/>
          <w:szCs w:val="24"/>
          <w:lang w:val="en-US"/>
        </w:rPr>
        <w:t>Cramp</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Simmons</w:t>
      </w:r>
      <w:r w:rsidRPr="00A8783E">
        <w:rPr>
          <w:rFonts w:ascii="Times New Roman" w:hAnsi="Times New Roman"/>
          <w:sz w:val="24"/>
          <w:szCs w:val="24"/>
        </w:rPr>
        <w:t xml:space="preserve">, 1977; </w:t>
      </w:r>
      <w:r w:rsidRPr="00A8783E">
        <w:rPr>
          <w:rFonts w:ascii="Times New Roman" w:hAnsi="Times New Roman"/>
          <w:sz w:val="24"/>
          <w:szCs w:val="24"/>
          <w:lang w:val="en-US"/>
        </w:rPr>
        <w:t>Svensson</w:t>
      </w:r>
      <w:r w:rsidRPr="00A8783E">
        <w:rPr>
          <w:rFonts w:ascii="Times New Roman" w:hAnsi="Times New Roman"/>
          <w:sz w:val="24"/>
          <w:szCs w:val="24"/>
        </w:rPr>
        <w:t xml:space="preserve">, 2013). Налице е ясен полов диморфизъм. При мъжкия оперението е сиво, със сивокафява глава и черна опашка. Крилното огледало е съчетание на черно, бяло и ръждиво. Клюнът е тъмносив, а краката жълти. Женската е със защитно кафеникаво оперение. Защитен вид, включен в Червената книга на България (Големански ред., 2015).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Сивата патица у нас е гнездящ, постоянен вид, а също преминаващ по време на миграция и зимуващ. Формира малобройни ята през прелета и зимата. След гнездовия период местните птици формират големи ята и се концентрират на недостъпни места за линеене –например по влажните зони около р. Дунав. През есента и зимата ята от този вид, често смесени с други видове патици,  долитат от по-северни популации. Ятата на сивата патица у нас рядко надхвърлят 50 екз. Пролетната миграция е от края на февруари до края на април. Есенната миграция е от началото на септември до ноември.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Гнездовото местообитание на сивата патица е водната растителност (тръстика, папур, камъш) в и по периферията на блата, езера, обрасли с водна растителност язовири и рибарници. Често гнезди и в наводнени върбалаци и затони по Дунавските острови. По време на миграция и зимуване се среща във всякакви типове влажни зони, но главно в плитководни участъци на р. Дунав, в сладководни езера, блата, мочурища, големи язовири, в лагуни, в бракични и дори солени езера.  Подходящи местообитания са 91</w:t>
      </w:r>
      <w:r w:rsidRPr="00A8783E">
        <w:rPr>
          <w:rFonts w:ascii="Times New Roman" w:hAnsi="Times New Roman"/>
          <w:sz w:val="24"/>
          <w:szCs w:val="24"/>
          <w:lang w:val="en-US"/>
        </w:rPr>
        <w:t>F</w:t>
      </w:r>
      <w:r w:rsidRPr="00A8783E">
        <w:rPr>
          <w:rFonts w:ascii="Times New Roman" w:hAnsi="Times New Roman"/>
          <w:sz w:val="24"/>
          <w:szCs w:val="24"/>
        </w:rPr>
        <w:t>0, 91</w:t>
      </w:r>
      <w:r w:rsidRPr="00A8783E">
        <w:rPr>
          <w:rFonts w:ascii="Times New Roman" w:hAnsi="Times New Roman"/>
          <w:sz w:val="24"/>
          <w:szCs w:val="24"/>
          <w:lang w:val="en-US"/>
        </w:rPr>
        <w:t>E</w:t>
      </w:r>
      <w:r w:rsidRPr="00A8783E">
        <w:rPr>
          <w:rFonts w:ascii="Times New Roman" w:hAnsi="Times New Roman"/>
          <w:sz w:val="24"/>
          <w:szCs w:val="24"/>
        </w:rPr>
        <w:t>0, 92</w:t>
      </w:r>
      <w:r w:rsidRPr="00A8783E">
        <w:rPr>
          <w:rFonts w:ascii="Times New Roman" w:hAnsi="Times New Roman"/>
          <w:sz w:val="24"/>
          <w:szCs w:val="24"/>
          <w:lang w:val="en-US"/>
        </w:rPr>
        <w:t>A</w:t>
      </w:r>
      <w:r w:rsidRPr="00A8783E">
        <w:rPr>
          <w:rFonts w:ascii="Times New Roman" w:hAnsi="Times New Roman"/>
          <w:sz w:val="24"/>
          <w:szCs w:val="24"/>
        </w:rPr>
        <w:t>0, 3140, 3150, 3260 и 3270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Сивата патица се храни с  растителна храна – водорасли, зелени части и корени на различни видове висши водни растения, а понякога и трева, поници на пшеница и други култури, които намира покрай водоемите. Понякога отнема храна на други видове - лиски, червеноклюни потапници, звънарки. Животинска храна (водни безгръбначни) ядат само в някои случаи малките до 3 седмична възраст (</w:t>
      </w:r>
      <w:r w:rsidRPr="00A8783E">
        <w:rPr>
          <w:rFonts w:ascii="Times New Roman" w:hAnsi="Times New Roman"/>
          <w:sz w:val="24"/>
          <w:szCs w:val="24"/>
          <w:lang w:val="en-US"/>
        </w:rPr>
        <w:t>Cramp</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Simmons</w:t>
      </w:r>
      <w:r w:rsidRPr="00A8783E">
        <w:rPr>
          <w:rFonts w:ascii="Times New Roman" w:hAnsi="Times New Roman"/>
          <w:sz w:val="24"/>
          <w:szCs w:val="24"/>
        </w:rPr>
        <w:t xml:space="preserve"> </w:t>
      </w:r>
      <w:r w:rsidRPr="00A8783E">
        <w:rPr>
          <w:rFonts w:ascii="Times New Roman" w:hAnsi="Times New Roman"/>
          <w:sz w:val="24"/>
          <w:szCs w:val="24"/>
          <w:lang w:val="en-US"/>
        </w:rPr>
        <w:t>eds</w:t>
      </w:r>
      <w:r w:rsidRPr="00A8783E">
        <w:rPr>
          <w:rFonts w:ascii="Times New Roman" w:hAnsi="Times New Roman"/>
          <w:sz w:val="24"/>
          <w:szCs w:val="24"/>
        </w:rPr>
        <w:t xml:space="preserve">., 1977).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 xml:space="preserve"> </w:t>
      </w:r>
      <w:r w:rsidRPr="00A8783E">
        <w:rPr>
          <w:rFonts w:ascii="Times New Roman" w:hAnsi="Times New Roman"/>
          <w:sz w:val="24"/>
          <w:szCs w:val="24"/>
        </w:rPr>
        <w:t xml:space="preserve">Като гнездящ вид е малочислен, разпространен у нас само в крайдунавските влажни зони, по дунавските острови, в някои крайморски езера, в Драгоманското блато и в редица язовири в Горнотракийската низина (Янков ред., 2007; Петков, 2015а;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2019). По-рядко, отделни двойки гнездят нередовно и в някои язовири в Дунавската равнина. В крайдунавските влажни зони за периода 2006 – 2014 г. числеността е определена на 30-51 двойки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2019). В източната част на Горнотракийската низина (без крайморските водоеми) са установени да гнездят 15-30 двойки (Даскалова и др, .2020). Според Червената книга на България у нас гнездят 30-50 двойки с тенденция за намаление (Петков, 2015а). Тази численост както се вижда от представените по-нови данни вече не е актуална и е силно занижена. Според докладването по чл.12 от 2019 г. гнездовата популация се оценява на 80 - 120 двойки без ясно изразена тенденция и със стабилно разпространение. Тази численост според </w:t>
      </w:r>
      <w:r w:rsidRPr="00A8783E">
        <w:rPr>
          <w:rFonts w:ascii="Times New Roman" w:hAnsi="Times New Roman"/>
          <w:sz w:val="24"/>
          <w:szCs w:val="24"/>
        </w:rPr>
        <w:lastRenderedPageBreak/>
        <w:t xml:space="preserve">нас правилно отразява размера на популацията у нас. Наличните данни обаче показват, че числеността и разпространението, поне в краткосрочен план (2000-2018 г.) имат позитивна тенденция.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Сивата патица зимува в цялата страна. Зимните концентрации дори в големите езера рядко надхвърлят 100 екз. Зимува редовно в Бургаските езера, Варненското и Белославското езеро, езерата Шабленско и Дуранкулашко,  в много от язовирите във вътрешността на страната. Числеността на зимуващите у нас сиви патици според Докладването по чл.12 е между 160 и 660 екз. Няма ясна тенденция, числеността е флуктуираща.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време на миграция сивите патици преминават над цялата страна, като най-висока численост имат по Черноморието и по р. Дунав. Според докладването по чл.12 понастоящем миграционната численост на вида е в рамките на 40-800 </w:t>
      </w:r>
      <w:r w:rsidRPr="00A8783E">
        <w:rPr>
          <w:rFonts w:ascii="Times New Roman" w:hAnsi="Times New Roman"/>
          <w:sz w:val="24"/>
          <w:szCs w:val="24"/>
          <w:lang w:val="en-US"/>
        </w:rPr>
        <w:t>e</w:t>
      </w:r>
      <w:r w:rsidRPr="00A8783E">
        <w:rPr>
          <w:rFonts w:ascii="Times New Roman" w:hAnsi="Times New Roman"/>
          <w:sz w:val="24"/>
          <w:szCs w:val="24"/>
        </w:rPr>
        <w:t xml:space="preserve">кз. Специални проучвания по този въпрос не са публикувани. През лятото концентрациите на линеещите сиви патици в крайдунавски влажни зони достигат няколкостотин екземпляра.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Червената книга (Петков, 2015а) като заплахи за сивата патица са посочени  унищожаването на местообитания и безпокойството по време на гнездовия сезон.  Действително много от ценните местообитания на вида покрай Дунав понастоящем са унищожени или са в твърде незадоволително състояние  - рибарници Мечка, рибарници Орсоя и др. Там осушаването на водоемите, липсата на връзка с р. Дунав и постоянните палежи на тръстиката са довели до пълна деградация на местообитанията за вида. Друг негативен фактор е незаконния отстрел. Сечта на дървета по дунавските острови и покрай затоните също въздейства негативно върху гнездовата популация на сивата патица. При докладването по чл. 12 единствената посочена заплаха за гнездовата популация на вида е модификацията на водния режим на влажните зони. За зимуващата популация са посочени замърсяването на водите, добива на нефт и газ и промяната предназначението на земите.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Гнездящата популация</w:t>
      </w:r>
      <w:r w:rsidRPr="00A8783E">
        <w:rPr>
          <w:rFonts w:ascii="Times New Roman" w:hAnsi="Times New Roman"/>
          <w:sz w:val="24"/>
          <w:szCs w:val="24"/>
        </w:rPr>
        <w:t xml:space="preserve"> се оценява на </w:t>
      </w:r>
      <w:r w:rsidRPr="00A8783E">
        <w:rPr>
          <w:rFonts w:ascii="Times New Roman" w:hAnsi="Times New Roman"/>
          <w:b/>
          <w:bCs/>
          <w:sz w:val="24"/>
          <w:szCs w:val="24"/>
        </w:rPr>
        <w:t>3-16 двойки</w:t>
      </w:r>
      <w:r w:rsidRPr="00A8783E">
        <w:rPr>
          <w:rFonts w:ascii="Times New Roman" w:hAnsi="Times New Roman"/>
          <w:sz w:val="24"/>
          <w:szCs w:val="24"/>
        </w:rPr>
        <w:t>, което представлява 3,75-13,33 %</w:t>
      </w:r>
      <w:r w:rsidRPr="00A8783E">
        <w:rPr>
          <w:rFonts w:ascii="Times New Roman" w:hAnsi="Times New Roman"/>
          <w:b/>
          <w:bCs/>
          <w:sz w:val="24"/>
          <w:szCs w:val="24"/>
        </w:rPr>
        <w:t xml:space="preserve"> </w:t>
      </w:r>
      <w:r w:rsidRPr="00A8783E">
        <w:rPr>
          <w:rFonts w:ascii="Times New Roman" w:hAnsi="Times New Roman"/>
          <w:sz w:val="24"/>
          <w:szCs w:val="24"/>
        </w:rPr>
        <w:t>от националната популация (оценка „</w:t>
      </w:r>
      <w:r w:rsidRPr="00A8783E">
        <w:rPr>
          <w:rFonts w:ascii="Times New Roman" w:hAnsi="Times New Roman"/>
          <w:color w:val="000000"/>
          <w:sz w:val="24"/>
          <w:szCs w:val="24"/>
        </w:rPr>
        <w:t>А</w:t>
      </w:r>
      <w:r w:rsidRPr="00A8783E">
        <w:rPr>
          <w:rFonts w:ascii="Times New Roman" w:hAnsi="Times New Roman"/>
          <w:sz w:val="24"/>
          <w:szCs w:val="24"/>
        </w:rPr>
        <w:t>“).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20-250 индивида</w:t>
      </w:r>
      <w:r w:rsidRPr="00A8783E">
        <w:rPr>
          <w:rFonts w:ascii="Times New Roman" w:hAnsi="Times New Roman"/>
          <w:sz w:val="24"/>
          <w:szCs w:val="24"/>
          <w:lang w:eastAsia="bg-BG"/>
        </w:rPr>
        <w:t xml:space="preserve">, което е </w:t>
      </w:r>
      <w:r w:rsidRPr="00A8783E">
        <w:rPr>
          <w:rFonts w:ascii="Times New Roman" w:hAnsi="Times New Roman"/>
          <w:color w:val="000000"/>
          <w:sz w:val="24"/>
          <w:szCs w:val="24"/>
          <w:lang w:eastAsia="bg-BG"/>
        </w:rPr>
        <w:t>31-50 %</w:t>
      </w:r>
      <w:r w:rsidRPr="00A8783E">
        <w:rPr>
          <w:rFonts w:ascii="Times New Roman" w:hAnsi="Times New Roman"/>
          <w:sz w:val="24"/>
          <w:szCs w:val="24"/>
          <w:lang w:eastAsia="bg-BG"/>
        </w:rPr>
        <w:t xml:space="preserve"> от националната популация (оценка „</w:t>
      </w:r>
      <w:r w:rsidRPr="00A8783E">
        <w:rPr>
          <w:rFonts w:ascii="Times New Roman" w:hAnsi="Times New Roman"/>
          <w:sz w:val="24"/>
          <w:szCs w:val="24"/>
          <w:lang w:val="en-US" w:eastAsia="bg-BG"/>
        </w:rPr>
        <w:t>A</w:t>
      </w:r>
      <w:r w:rsidRPr="00A8783E">
        <w:rPr>
          <w:rFonts w:ascii="Times New Roman" w:hAnsi="Times New Roman"/>
          <w:sz w:val="24"/>
          <w:szCs w:val="24"/>
          <w:lang w:eastAsia="bg-BG"/>
        </w:rPr>
        <w:t>“). Опазването на вида е отлично (оценка „</w:t>
      </w:r>
      <w:r w:rsidRPr="00A8783E">
        <w:rPr>
          <w:rFonts w:ascii="Times New Roman" w:hAnsi="Times New Roman"/>
          <w:sz w:val="24"/>
          <w:szCs w:val="24"/>
          <w:lang w:val="en-US" w:eastAsia="bg-BG"/>
        </w:rPr>
        <w:t>A</w:t>
      </w:r>
      <w:r w:rsidRPr="00A8783E">
        <w:rPr>
          <w:rFonts w:ascii="Times New Roman" w:hAnsi="Times New Roman"/>
          <w:sz w:val="24"/>
          <w:szCs w:val="24"/>
          <w:lang w:eastAsia="bg-BG"/>
        </w:rPr>
        <w:t>“),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СФ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на вида се оценява на до </w:t>
      </w:r>
      <w:r w:rsidRPr="00A8783E">
        <w:rPr>
          <w:rFonts w:ascii="Times New Roman" w:hAnsi="Times New Roman"/>
          <w:b/>
          <w:bCs/>
          <w:sz w:val="24"/>
          <w:szCs w:val="24"/>
          <w:lang w:eastAsia="bg-BG"/>
        </w:rPr>
        <w:t>2 индивида</w:t>
      </w:r>
      <w:r w:rsidRPr="00A8783E">
        <w:rPr>
          <w:rFonts w:ascii="Times New Roman" w:hAnsi="Times New Roman"/>
          <w:sz w:val="24"/>
          <w:szCs w:val="24"/>
          <w:lang w:eastAsia="bg-BG"/>
        </w:rPr>
        <w:t xml:space="preserve">, което е </w:t>
      </w:r>
      <w:r w:rsidRPr="00A8783E">
        <w:rPr>
          <w:rFonts w:ascii="Times New Roman" w:hAnsi="Times New Roman"/>
          <w:color w:val="000000"/>
          <w:sz w:val="24"/>
          <w:szCs w:val="24"/>
          <w:lang w:eastAsia="bg-BG"/>
        </w:rPr>
        <w:t xml:space="preserve">0,1-0,4 % </w:t>
      </w:r>
      <w:r w:rsidRPr="00A8783E">
        <w:rPr>
          <w:rFonts w:ascii="Times New Roman" w:hAnsi="Times New Roman"/>
          <w:sz w:val="24"/>
          <w:szCs w:val="24"/>
          <w:lang w:eastAsia="bg-BG"/>
        </w:rPr>
        <w:t xml:space="preserve">от националната зимуваща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4. Анализ на наличната информация</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Гнездяща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Проучване на орнитофауната в резерват „Сребърна“ показва, че през периода 2001-2003 г. е имало 15-20 дв. сиви патици, а през 2004-2006 г. – 10-16 двойки (</w:t>
      </w:r>
      <w:r w:rsidRPr="00A8783E">
        <w:rPr>
          <w:rFonts w:ascii="Times New Roman" w:hAnsi="Times New Roman"/>
          <w:sz w:val="24"/>
          <w:szCs w:val="24"/>
          <w:lang w:val="en-US"/>
        </w:rPr>
        <w:t>Kambourova</w:t>
      </w:r>
      <w:r w:rsidRPr="00A8783E">
        <w:rPr>
          <w:rFonts w:ascii="Times New Roman" w:hAnsi="Times New Roman"/>
          <w:sz w:val="24"/>
          <w:szCs w:val="24"/>
        </w:rPr>
        <w:t xml:space="preserve">, 2012). Резултати от мониторинг на водолюбивите птици в на защитена зона „Сребърна” </w:t>
      </w:r>
      <w:r w:rsidRPr="00A8783E">
        <w:rPr>
          <w:rFonts w:ascii="Times New Roman" w:hAnsi="Times New Roman"/>
          <w:sz w:val="24"/>
          <w:szCs w:val="24"/>
        </w:rPr>
        <w:lastRenderedPageBreak/>
        <w:t>за периода 2010-2012 г. показват 5-8 двойки (Матеева и др., 2013 г.). През 2014 г. е отчетена гнездова численост от 10-20 двойки (Актуализиран план за управление на ПР „Сребърна“, 2015). По време на нашите теренни проучвания в СЗЗ „Сребърна“ през гнездовия период на 2021 г. бяха установени  около 8 двойки.</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A8783E">
        <w:t xml:space="preserve">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Зимуваща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w:t>
      </w:r>
      <w:r w:rsidRPr="00A8783E">
        <w:rPr>
          <w:rFonts w:ascii="Times New Roman" w:hAnsi="Times New Roman"/>
          <w:sz w:val="24"/>
          <w:szCs w:val="24"/>
          <w:lang w:val="en-US"/>
        </w:rPr>
        <w:t>Michev</w:t>
      </w:r>
      <w:r w:rsidRPr="00A8783E">
        <w:rPr>
          <w:rFonts w:ascii="Times New Roman" w:hAnsi="Times New Roman"/>
          <w:sz w:val="24"/>
          <w:szCs w:val="24"/>
        </w:rPr>
        <w:t xml:space="preserve"> &amp; </w:t>
      </w:r>
      <w:r w:rsidRPr="00A8783E">
        <w:rPr>
          <w:rFonts w:ascii="Times New Roman" w:hAnsi="Times New Roman"/>
          <w:sz w:val="24"/>
          <w:szCs w:val="24"/>
          <w:lang w:val="en-US"/>
        </w:rPr>
        <w:t>Profirov</w:t>
      </w:r>
      <w:r w:rsidRPr="00A8783E">
        <w:rPr>
          <w:rFonts w:ascii="Times New Roman" w:hAnsi="Times New Roman"/>
          <w:sz w:val="24"/>
          <w:szCs w:val="24"/>
        </w:rPr>
        <w:t xml:space="preserve"> (2003) за периода 1977-2001 г. в езерото Сребърна е отчетена средно-зимна численост на вида между 15-30 индивида. Според плана за управление на ПР „Сребърна“ общият брой на зимуващите птици за периода 1977-2001 г. е 105 индивида, а за периода 2008-2013 г. – 169 инд. През януари 2019 г. по целия български участък на р. Дунав са установени само 6 сиви патици, а през януари 2020 г. са преброени 29 птици в 3 локалитета, на територията на защитената зона не са наблюдавани. На 14.02.2020 г. в района на зоната са отбелязани 200 инд. (</w:t>
      </w:r>
      <w:r w:rsidRPr="00A8783E">
        <w:rPr>
          <w:rFonts w:ascii="Times New Roman" w:hAnsi="Times New Roman"/>
          <w:sz w:val="24"/>
          <w:szCs w:val="24"/>
          <w:lang w:val="en-US"/>
        </w:rPr>
        <w:t>ebird</w:t>
      </w:r>
      <w:r w:rsidRPr="00A8783E">
        <w:rPr>
          <w:rFonts w:ascii="Times New Roman" w:hAnsi="Times New Roman"/>
          <w:sz w:val="24"/>
          <w:szCs w:val="24"/>
        </w:rPr>
        <w:t>.</w:t>
      </w:r>
      <w:r w:rsidRPr="00A8783E">
        <w:rPr>
          <w:rFonts w:ascii="Times New Roman" w:hAnsi="Times New Roman"/>
          <w:sz w:val="24"/>
          <w:szCs w:val="24"/>
          <w:lang w:val="en-US"/>
        </w:rPr>
        <w:t>org</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За гнездящата популация са посочени следните заплахи и влияния (Докладване 2019 г.): </w:t>
      </w:r>
      <w:r w:rsidRPr="00A8783E">
        <w:rPr>
          <w:rFonts w:ascii="Times New Roman" w:hAnsi="Times New Roman"/>
          <w:sz w:val="24"/>
          <w:szCs w:val="24"/>
          <w:lang w:val="en-US"/>
        </w:rPr>
        <w:t>K</w:t>
      </w:r>
      <w:r w:rsidRPr="00A8783E">
        <w:rPr>
          <w:rFonts w:ascii="Times New Roman" w:hAnsi="Times New Roman"/>
          <w:sz w:val="24"/>
          <w:szCs w:val="24"/>
        </w:rPr>
        <w:t xml:space="preserve">04. От тях няма потенциално валидни за СЗЗ „Сребърна”. За мигриращата и зимуващата популация са посочени следните заплахи: </w:t>
      </w:r>
      <w:r w:rsidRPr="00A8783E">
        <w:rPr>
          <w:rFonts w:ascii="Times New Roman" w:hAnsi="Times New Roman"/>
          <w:sz w:val="24"/>
          <w:szCs w:val="24"/>
          <w:lang w:val="en-US"/>
        </w:rPr>
        <w:t>C</w:t>
      </w:r>
      <w:r w:rsidRPr="00A8783E">
        <w:rPr>
          <w:rFonts w:ascii="Times New Roman" w:hAnsi="Times New Roman"/>
          <w:sz w:val="24"/>
          <w:szCs w:val="24"/>
        </w:rPr>
        <w:t xml:space="preserve">03, </w:t>
      </w:r>
      <w:r w:rsidRPr="00A8783E">
        <w:rPr>
          <w:rFonts w:ascii="Times New Roman" w:hAnsi="Times New Roman"/>
          <w:sz w:val="24"/>
          <w:szCs w:val="24"/>
          <w:lang w:val="en-US"/>
        </w:rPr>
        <w:t>J</w:t>
      </w:r>
      <w:r w:rsidRPr="00A8783E">
        <w:rPr>
          <w:rFonts w:ascii="Times New Roman" w:hAnsi="Times New Roman"/>
          <w:sz w:val="24"/>
          <w:szCs w:val="24"/>
        </w:rPr>
        <w:t xml:space="preserve">02, </w:t>
      </w:r>
      <w:r w:rsidRPr="00A8783E">
        <w:rPr>
          <w:rFonts w:ascii="Times New Roman" w:hAnsi="Times New Roman"/>
          <w:sz w:val="24"/>
          <w:szCs w:val="24"/>
          <w:lang w:val="en-US"/>
        </w:rPr>
        <w:t>F</w:t>
      </w:r>
      <w:r w:rsidRPr="00A8783E">
        <w:rPr>
          <w:rFonts w:ascii="Times New Roman" w:hAnsi="Times New Roman"/>
          <w:sz w:val="24"/>
          <w:szCs w:val="24"/>
        </w:rPr>
        <w:t xml:space="preserve">03, </w:t>
      </w:r>
      <w:r w:rsidRPr="00A8783E">
        <w:rPr>
          <w:rFonts w:ascii="Times New Roman" w:hAnsi="Times New Roman"/>
          <w:sz w:val="24"/>
          <w:szCs w:val="24"/>
          <w:lang w:val="en-US"/>
        </w:rPr>
        <w:t>F</w:t>
      </w:r>
      <w:r w:rsidRPr="00A8783E">
        <w:rPr>
          <w:rFonts w:ascii="Times New Roman" w:hAnsi="Times New Roman"/>
          <w:sz w:val="24"/>
          <w:szCs w:val="24"/>
        </w:rPr>
        <w:t>26. От тях също няма валидни за зоната. Заплахи за вида в зоната са риболов с мрежени уреди (</w:t>
      </w:r>
      <w:r w:rsidRPr="00A8783E">
        <w:rPr>
          <w:rFonts w:ascii="Times New Roman" w:hAnsi="Times New Roman"/>
          <w:sz w:val="24"/>
          <w:szCs w:val="24"/>
          <w:lang w:val="en-US"/>
        </w:rPr>
        <w:t>G</w:t>
      </w:r>
      <w:r w:rsidRPr="00A8783E">
        <w:rPr>
          <w:rFonts w:ascii="Times New Roman" w:hAnsi="Times New Roman"/>
          <w:sz w:val="24"/>
          <w:szCs w:val="24"/>
        </w:rPr>
        <w:t>12- Прилов и инцидентно убиване (при риболовни дейности),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8"/>
        <w:gridCol w:w="1262"/>
        <w:gridCol w:w="1148"/>
        <w:gridCol w:w="2835"/>
        <w:gridCol w:w="2559"/>
      </w:tblGrid>
      <w:tr w:rsidR="00A8783E" w:rsidRPr="00A8783E" w:rsidTr="005B5318">
        <w:trPr>
          <w:tblHeader/>
          <w:jc w:val="center"/>
        </w:trPr>
        <w:tc>
          <w:tcPr>
            <w:tcW w:w="156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262"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14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83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559"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568"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гнездовата популацията</w:t>
            </w:r>
          </w:p>
        </w:tc>
        <w:tc>
          <w:tcPr>
            <w:tcW w:w="1262"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гнездящи двойки</w:t>
            </w:r>
          </w:p>
        </w:tc>
        <w:tc>
          <w:tcPr>
            <w:tcW w:w="114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8 дв.</w:t>
            </w:r>
          </w:p>
        </w:tc>
        <w:tc>
          <w:tcPr>
            <w:tcW w:w="283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 настоящия СФ (актуализиран през 2018 г.) са посочени 3-16 гнездящи двойки. По време на извършения мониторинг през гнездовия период на 2021 г. бяха отчетени около 8 двойки.</w:t>
            </w:r>
          </w:p>
        </w:tc>
        <w:tc>
          <w:tcPr>
            <w:tcW w:w="2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8 гнездящи двойки чрез поддържане на гнездовите местообитания в зоната.</w:t>
            </w:r>
          </w:p>
        </w:tc>
      </w:tr>
      <w:tr w:rsidR="00A8783E" w:rsidRPr="00A8783E" w:rsidTr="005B5318">
        <w:trPr>
          <w:trHeight w:val="606"/>
          <w:jc w:val="center"/>
        </w:trPr>
        <w:tc>
          <w:tcPr>
            <w:tcW w:w="156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намигриращата популация</w:t>
            </w:r>
          </w:p>
        </w:tc>
        <w:tc>
          <w:tcPr>
            <w:tcW w:w="126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14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20 инд.</w:t>
            </w:r>
          </w:p>
        </w:tc>
        <w:tc>
          <w:tcPr>
            <w:tcW w:w="283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 СФ за концентрацията на вида по време на миграция в зоната е посочена минимална стойност 20 инд. и максимална - 250 инд. Липсват публикувани данни за концентрацията на вида в зоната.</w:t>
            </w:r>
          </w:p>
        </w:tc>
        <w:tc>
          <w:tcPr>
            <w:tcW w:w="2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trHeight w:val="606"/>
          <w:jc w:val="center"/>
        </w:trPr>
        <w:tc>
          <w:tcPr>
            <w:tcW w:w="156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зимуващата популацията</w:t>
            </w:r>
          </w:p>
        </w:tc>
        <w:tc>
          <w:tcPr>
            <w:tcW w:w="126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14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30 инд.</w:t>
            </w:r>
          </w:p>
        </w:tc>
        <w:tc>
          <w:tcPr>
            <w:tcW w:w="283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Според СФ на зоната минимална стойност на зимуващите индивиди не се посочва. Като максимална численост на зимуващата популация се посочва 2 инд. Според </w:t>
            </w:r>
            <w:r w:rsidRPr="00A8783E">
              <w:rPr>
                <w:rFonts w:ascii="Times New Roman" w:hAnsi="Times New Roman"/>
              </w:rPr>
              <w:lastRenderedPageBreak/>
              <w:t>плана за управление на ПР „Сребърна“ зимната численост на сивата патица за периода 1977-2001 г. е 105 индивида, а за периода 2008-2013 г. – 169 инд.</w:t>
            </w:r>
          </w:p>
        </w:tc>
        <w:tc>
          <w:tcPr>
            <w:tcW w:w="2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Да се извършва мониторинг на зимуващата численост на вида в зоната всяка година.</w:t>
            </w:r>
          </w:p>
        </w:tc>
      </w:tr>
      <w:tr w:rsidR="00A8783E" w:rsidRPr="00A8783E" w:rsidTr="005B5318">
        <w:trPr>
          <w:trHeight w:val="748"/>
          <w:jc w:val="center"/>
        </w:trPr>
        <w:tc>
          <w:tcPr>
            <w:tcW w:w="156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lastRenderedPageBreak/>
              <w:t xml:space="preserve">Местообитание на вида: </w:t>
            </w:r>
            <w:r w:rsidRPr="00A8783E">
              <w:rPr>
                <w:rFonts w:ascii="Times New Roman" w:hAnsi="Times New Roman"/>
              </w:rPr>
              <w:t>Площ на подходящите гнездови местообитания на вида</w:t>
            </w:r>
          </w:p>
        </w:tc>
        <w:tc>
          <w:tcPr>
            <w:tcW w:w="1262"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14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w:t>
            </w:r>
          </w:p>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rPr>
              <w:t>565</w:t>
            </w:r>
          </w:p>
        </w:tc>
        <w:tc>
          <w:tcPr>
            <w:tcW w:w="283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Включва влажни зони обрасли с водна растителност.</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Данните са взети от СФ като % на местообитание N07 – мочурища и блата.</w:t>
            </w:r>
          </w:p>
        </w:tc>
        <w:tc>
          <w:tcPr>
            <w:tcW w:w="2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площта на подходящите гнездови местообитания на вида в защитената зона, в размер на най-малкo 565 </w:t>
            </w:r>
            <w:r w:rsidRPr="00A8783E">
              <w:rPr>
                <w:rFonts w:ascii="Times New Roman" w:hAnsi="Times New Roman"/>
                <w:lang w:val="en-US"/>
              </w:rPr>
              <w:t>ha</w:t>
            </w:r>
            <w:r w:rsidRPr="00A8783E">
              <w:rPr>
                <w:rFonts w:ascii="Times New Roman" w:hAnsi="Times New Roman"/>
              </w:rPr>
              <w:t xml:space="preserve"> чрез поддържане на оптимално ниво на водата в езерото.</w:t>
            </w:r>
          </w:p>
        </w:tc>
      </w:tr>
      <w:tr w:rsidR="00A8783E" w:rsidRPr="00A8783E" w:rsidTr="005B5318">
        <w:trPr>
          <w:trHeight w:val="748"/>
          <w:jc w:val="center"/>
        </w:trPr>
        <w:tc>
          <w:tcPr>
            <w:tcW w:w="156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 xml:space="preserve">Площ на подходящите хранителни местообитания на вида </w:t>
            </w:r>
          </w:p>
        </w:tc>
        <w:tc>
          <w:tcPr>
            <w:tcW w:w="1262"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14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840</w:t>
            </w:r>
          </w:p>
        </w:tc>
        <w:tc>
          <w:tcPr>
            <w:tcW w:w="283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Включва гнездовото местообитание и откритите водни площи. Данните са взети от СФ като % на местообитание N07 – мочурища и блата и N06 - вътрешни водни тела.</w:t>
            </w:r>
          </w:p>
        </w:tc>
        <w:tc>
          <w:tcPr>
            <w:tcW w:w="2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от най-малко  840 ha чрез поддържане на оптимално ниво на водата в езерото.</w:t>
            </w:r>
          </w:p>
        </w:tc>
      </w:tr>
      <w:tr w:rsidR="00A8783E" w:rsidRPr="00A8783E" w:rsidTr="005B5318">
        <w:trPr>
          <w:trHeight w:val="4197"/>
          <w:jc w:val="center"/>
        </w:trPr>
        <w:tc>
          <w:tcPr>
            <w:tcW w:w="156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Екологично състояние на водните тела с местообитания на вида – по биологичен елемент водни безгръбначни (JDS4-Aquatic Macroinvertebrates)</w:t>
            </w:r>
          </w:p>
        </w:tc>
        <w:tc>
          <w:tcPr>
            <w:tcW w:w="126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 степенна скала за екологично състояние</w:t>
            </w:r>
          </w:p>
        </w:tc>
        <w:tc>
          <w:tcPr>
            <w:tcW w:w="114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1-Отлично/2-Добро</w:t>
            </w:r>
          </w:p>
        </w:tc>
        <w:tc>
          <w:tcPr>
            <w:tcW w:w="2835" w:type="dxa"/>
          </w:tcPr>
          <w:tbl>
            <w:tblPr>
              <w:tblW w:w="3127" w:type="dxa"/>
              <w:jc w:val="center"/>
              <w:tblLayout w:type="fixed"/>
              <w:tblCellMar>
                <w:left w:w="70" w:type="dxa"/>
                <w:right w:w="70" w:type="dxa"/>
              </w:tblCellMar>
              <w:tblLook w:val="00A0" w:firstRow="1" w:lastRow="0" w:firstColumn="1" w:lastColumn="0" w:noHBand="0" w:noVBand="0"/>
            </w:tblPr>
            <w:tblGrid>
              <w:gridCol w:w="3127"/>
            </w:tblGrid>
            <w:tr w:rsidR="00A8783E" w:rsidRPr="00A8783E" w:rsidTr="005B5318">
              <w:trPr>
                <w:trHeight w:val="59"/>
                <w:jc w:val="center"/>
              </w:trPr>
              <w:tc>
                <w:tcPr>
                  <w:tcW w:w="3127"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288"/>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75"/>
                <w:jc w:val="center"/>
              </w:trPr>
              <w:tc>
                <w:tcPr>
                  <w:tcW w:w="3127"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288"/>
                    <w:rPr>
                      <w:rFonts w:ascii="Times New Roman" w:hAnsi="Times New Roman"/>
                    </w:rPr>
                  </w:pPr>
                  <w:r w:rsidRPr="00A8783E">
                    <w:rPr>
                      <w:rFonts w:ascii="Times New Roman" w:hAnsi="Times New Roman"/>
                    </w:rPr>
                    <w:t>1-Отлично - High</w:t>
                  </w:r>
                </w:p>
              </w:tc>
            </w:tr>
            <w:tr w:rsidR="00A8783E" w:rsidRPr="00A8783E" w:rsidTr="005B5318">
              <w:trPr>
                <w:trHeight w:val="275"/>
                <w:jc w:val="center"/>
              </w:trPr>
              <w:tc>
                <w:tcPr>
                  <w:tcW w:w="3127"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288"/>
                    <w:rPr>
                      <w:rFonts w:ascii="Times New Roman" w:hAnsi="Times New Roman"/>
                    </w:rPr>
                  </w:pPr>
                  <w:r w:rsidRPr="00A8783E">
                    <w:rPr>
                      <w:rFonts w:ascii="Times New Roman" w:hAnsi="Times New Roman"/>
                    </w:rPr>
                    <w:t>2-Добро - Good</w:t>
                  </w:r>
                </w:p>
              </w:tc>
            </w:tr>
            <w:tr w:rsidR="00A8783E" w:rsidRPr="00A8783E" w:rsidTr="005B5318">
              <w:trPr>
                <w:trHeight w:val="275"/>
                <w:jc w:val="center"/>
              </w:trPr>
              <w:tc>
                <w:tcPr>
                  <w:tcW w:w="3127"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288"/>
                    <w:rPr>
                      <w:rFonts w:ascii="Times New Roman" w:hAnsi="Times New Roman"/>
                    </w:rPr>
                  </w:pPr>
                  <w:r w:rsidRPr="00A8783E">
                    <w:rPr>
                      <w:rFonts w:ascii="Times New Roman" w:hAnsi="Times New Roman"/>
                    </w:rPr>
                    <w:t>3-Умерено - Moderate</w:t>
                  </w:r>
                </w:p>
              </w:tc>
            </w:tr>
            <w:tr w:rsidR="00A8783E" w:rsidRPr="00A8783E" w:rsidTr="005B5318">
              <w:trPr>
                <w:trHeight w:val="275"/>
                <w:jc w:val="center"/>
              </w:trPr>
              <w:tc>
                <w:tcPr>
                  <w:tcW w:w="3127"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288"/>
                    <w:rPr>
                      <w:rFonts w:ascii="Times New Roman" w:hAnsi="Times New Roman"/>
                    </w:rPr>
                  </w:pPr>
                  <w:r w:rsidRPr="00A8783E">
                    <w:rPr>
                      <w:rFonts w:ascii="Times New Roman" w:hAnsi="Times New Roman"/>
                    </w:rPr>
                    <w:t>4-Лошо - Poor</w:t>
                  </w:r>
                </w:p>
              </w:tc>
            </w:tr>
            <w:tr w:rsidR="00A8783E" w:rsidRPr="00A8783E" w:rsidTr="005B5318">
              <w:trPr>
                <w:trHeight w:val="275"/>
                <w:jc w:val="center"/>
              </w:trPr>
              <w:tc>
                <w:tcPr>
                  <w:tcW w:w="312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288"/>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на р. Дунав в пункт „Силистра“ е оценено на </w:t>
            </w:r>
            <w:r w:rsidRPr="00A8783E">
              <w:rPr>
                <w:rFonts w:ascii="Times New Roman" w:hAnsi="Times New Roman"/>
                <w:b/>
                <w:bCs/>
              </w:rPr>
              <w:t>умерено (3)</w:t>
            </w:r>
            <w:r w:rsidRPr="00A8783E">
              <w:rPr>
                <w:rFonts w:ascii="Times New Roman" w:hAnsi="Times New Roman"/>
              </w:rPr>
              <w:t xml:space="preserve"> според доклада на JDS4 (2019-2020, табл. 1, стр. 62).</w:t>
            </w:r>
            <w:r w:rsidRPr="00A8783E">
              <w:rPr>
                <w:rFonts w:cs="Calibri"/>
              </w:rPr>
              <w:t xml:space="preserve"> </w:t>
            </w:r>
            <w:r w:rsidRPr="00A8783E">
              <w:rPr>
                <w:rFonts w:ascii="Times New Roman" w:hAnsi="Times New Roman"/>
              </w:rPr>
              <w:t xml:space="preserve">Според данните от биологичния мониторинг на повърхностните води през 2020 г. ЕС на ез. Сребърна е определено като </w:t>
            </w:r>
            <w:r w:rsidRPr="00A8783E">
              <w:rPr>
                <w:rFonts w:ascii="Times New Roman" w:hAnsi="Times New Roman"/>
                <w:b/>
                <w:bCs/>
              </w:rPr>
              <w:t>Отлично</w:t>
            </w:r>
            <w:r w:rsidRPr="00A8783E">
              <w:rPr>
                <w:rFonts w:ascii="Times New Roman" w:hAnsi="Times New Roman"/>
              </w:rPr>
              <w:t xml:space="preserve"> по БЕК Макрозообентос.</w:t>
            </w:r>
          </w:p>
        </w:tc>
        <w:tc>
          <w:tcPr>
            <w:tcW w:w="2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20" w:line="259" w:lineRule="auto"/>
        <w:rPr>
          <w:rFonts w:ascii="Times New Roman" w:hAnsi="Times New Roman"/>
          <w:b/>
          <w:bCs/>
          <w:sz w:val="24"/>
          <w:szCs w:val="24"/>
        </w:rPr>
      </w:pPr>
    </w:p>
    <w:p w:rsidR="00A8783E" w:rsidRPr="00A8783E" w:rsidRDefault="00A8783E" w:rsidP="00A8783E">
      <w:pPr>
        <w:spacing w:after="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„Сребърна“</w:t>
      </w:r>
    </w:p>
    <w:p w:rsidR="00A8783E" w:rsidRPr="00A8783E" w:rsidRDefault="00A8783E" w:rsidP="00A8783E">
      <w:pPr>
        <w:numPr>
          <w:ilvl w:val="0"/>
          <w:numId w:val="25"/>
        </w:numPr>
        <w:spacing w:after="0" w:line="240" w:lineRule="auto"/>
        <w:ind w:hanging="294"/>
        <w:jc w:val="both"/>
        <w:rPr>
          <w:rFonts w:ascii="Times New Roman" w:hAnsi="Times New Roman"/>
          <w:sz w:val="24"/>
          <w:szCs w:val="24"/>
        </w:rPr>
      </w:pPr>
      <w:r w:rsidRPr="00A8783E">
        <w:rPr>
          <w:rFonts w:ascii="Times New Roman" w:hAnsi="Times New Roman"/>
          <w:sz w:val="24"/>
          <w:szCs w:val="24"/>
        </w:rPr>
        <w:t>Актуализиране на кода (</w:t>
      </w:r>
      <w:r w:rsidRPr="00A8783E">
        <w:rPr>
          <w:rFonts w:ascii="Times New Roman" w:hAnsi="Times New Roman"/>
          <w:sz w:val="24"/>
          <w:szCs w:val="24"/>
          <w:lang w:val="en-GB"/>
        </w:rPr>
        <w:t>code</w:t>
      </w:r>
      <w:r w:rsidRPr="00A8783E">
        <w:rPr>
          <w:rFonts w:ascii="Times New Roman" w:hAnsi="Times New Roman"/>
          <w:sz w:val="24"/>
          <w:szCs w:val="24"/>
        </w:rPr>
        <w:t>) и научното наименование (Scientific Name), съобразно Докладването от 2019 г.;</w:t>
      </w:r>
    </w:p>
    <w:p w:rsidR="00A8783E" w:rsidRPr="00A8783E" w:rsidRDefault="00A8783E" w:rsidP="00A8783E">
      <w:pPr>
        <w:numPr>
          <w:ilvl w:val="0"/>
          <w:numId w:val="24"/>
        </w:numPr>
        <w:spacing w:after="0" w:line="240" w:lineRule="auto"/>
        <w:ind w:left="360" w:firstLine="66"/>
        <w:jc w:val="both"/>
        <w:rPr>
          <w:rFonts w:ascii="Times New Roman" w:hAnsi="Times New Roman"/>
          <w:sz w:val="24"/>
          <w:szCs w:val="24"/>
        </w:rPr>
      </w:pPr>
      <w:r w:rsidRPr="00A8783E">
        <w:rPr>
          <w:rFonts w:ascii="Times New Roman" w:hAnsi="Times New Roman"/>
          <w:sz w:val="24"/>
          <w:szCs w:val="24"/>
        </w:rPr>
        <w:t>По отношение на гнездящата популация предлагаме промяна в числеността на 8-20 двойки на база на изнесените по-горе данни за гнезденето на вида в зоната; по отношение на оценката на популацията и общата оценка – да се коригират от „</w:t>
      </w:r>
      <w:r w:rsidRPr="00A8783E">
        <w:rPr>
          <w:rFonts w:ascii="Times New Roman" w:hAnsi="Times New Roman"/>
          <w:sz w:val="24"/>
          <w:szCs w:val="24"/>
          <w:lang w:val="en-US"/>
        </w:rPr>
        <w:t>A</w:t>
      </w:r>
      <w:r w:rsidRPr="00A8783E">
        <w:rPr>
          <w:rFonts w:ascii="Times New Roman" w:hAnsi="Times New Roman"/>
          <w:sz w:val="24"/>
          <w:szCs w:val="24"/>
        </w:rPr>
        <w:t>“ на „В“ (в зоната се опазват 2-15% от националната популация);</w:t>
      </w:r>
    </w:p>
    <w:p w:rsidR="00A8783E" w:rsidRPr="00A8783E" w:rsidRDefault="00A8783E" w:rsidP="00A8783E">
      <w:pPr>
        <w:numPr>
          <w:ilvl w:val="0"/>
          <w:numId w:val="24"/>
        </w:numPr>
        <w:spacing w:after="0" w:line="240" w:lineRule="auto"/>
        <w:ind w:hanging="294"/>
        <w:jc w:val="both"/>
        <w:rPr>
          <w:rFonts w:ascii="Times New Roman" w:hAnsi="Times New Roman"/>
          <w:sz w:val="24"/>
          <w:szCs w:val="24"/>
        </w:rPr>
      </w:pPr>
      <w:r w:rsidRPr="00A8783E">
        <w:rPr>
          <w:rFonts w:ascii="Times New Roman" w:hAnsi="Times New Roman"/>
          <w:sz w:val="24"/>
          <w:szCs w:val="24"/>
        </w:rPr>
        <w:lastRenderedPageBreak/>
        <w:t xml:space="preserve">По отношение на зимуващата популация предлагаме промяна на числеността – </w:t>
      </w:r>
    </w:p>
    <w:p w:rsidR="00A8783E" w:rsidRPr="00A8783E" w:rsidRDefault="00A8783E" w:rsidP="00A8783E">
      <w:pPr>
        <w:spacing w:after="0" w:line="240" w:lineRule="auto"/>
        <w:ind w:left="720"/>
        <w:jc w:val="both"/>
        <w:rPr>
          <w:rFonts w:ascii="Times New Roman" w:hAnsi="Times New Roman"/>
          <w:sz w:val="24"/>
          <w:szCs w:val="24"/>
        </w:rPr>
      </w:pPr>
      <w:r w:rsidRPr="00A8783E">
        <w:rPr>
          <w:rFonts w:ascii="Times New Roman" w:hAnsi="Times New Roman"/>
          <w:sz w:val="24"/>
          <w:szCs w:val="24"/>
        </w:rPr>
        <w:t>30-169 инд. на база на това, че през периода 2008-2013 г. в зоната са отчетени 169 инд., а през 2020 г. са наблюдавани 200 инд. през февруари.</w:t>
      </w:r>
    </w:p>
    <w:p w:rsidR="00A8783E" w:rsidRPr="00A8783E" w:rsidRDefault="00A8783E" w:rsidP="00A8783E">
      <w:pPr>
        <w:spacing w:after="160" w:line="259" w:lineRule="auto"/>
        <w:ind w:left="720"/>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23"/>
        <w:gridCol w:w="328"/>
        <w:gridCol w:w="483"/>
        <w:gridCol w:w="18"/>
        <w:gridCol w:w="343"/>
        <w:gridCol w:w="572"/>
        <w:gridCol w:w="605"/>
        <w:gridCol w:w="594"/>
        <w:gridCol w:w="578"/>
        <w:gridCol w:w="839"/>
        <w:gridCol w:w="15"/>
        <w:gridCol w:w="935"/>
        <w:gridCol w:w="622"/>
        <w:gridCol w:w="522"/>
        <w:gridCol w:w="578"/>
      </w:tblGrid>
      <w:tr w:rsidR="00A8783E" w:rsidRPr="00A8783E" w:rsidTr="005B5318">
        <w:trPr>
          <w:jc w:val="center"/>
        </w:trPr>
        <w:tc>
          <w:tcPr>
            <w:tcW w:w="1666" w:type="pct"/>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Species</w:t>
            </w:r>
          </w:p>
        </w:tc>
        <w:tc>
          <w:tcPr>
            <w:tcW w:w="1904" w:type="pct"/>
            <w:gridSpan w:val="7"/>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Population in the site</w:t>
            </w:r>
          </w:p>
        </w:tc>
        <w:tc>
          <w:tcPr>
            <w:tcW w:w="1430" w:type="pct"/>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Site assessment</w:t>
            </w:r>
          </w:p>
        </w:tc>
      </w:tr>
      <w:tr w:rsidR="00A8783E" w:rsidRPr="00A8783E" w:rsidTr="005B5318">
        <w:trPr>
          <w:jc w:val="center"/>
        </w:trPr>
        <w:tc>
          <w:tcPr>
            <w:tcW w:w="200" w:type="pct"/>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G</w:t>
            </w:r>
          </w:p>
        </w:tc>
        <w:tc>
          <w:tcPr>
            <w:tcW w:w="356" w:type="pct"/>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Code</w:t>
            </w:r>
          </w:p>
        </w:tc>
        <w:tc>
          <w:tcPr>
            <w:tcW w:w="664"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Scientific Name</w:t>
            </w:r>
          </w:p>
        </w:tc>
        <w:tc>
          <w:tcPr>
            <w:tcW w:w="177"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w:t>
            </w:r>
          </w:p>
        </w:tc>
        <w:tc>
          <w:tcPr>
            <w:tcW w:w="260"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NP</w:t>
            </w:r>
          </w:p>
        </w:tc>
        <w:tc>
          <w:tcPr>
            <w:tcW w:w="188" w:type="pct"/>
            <w:gridSpan w:val="2"/>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T</w:t>
            </w:r>
          </w:p>
        </w:tc>
        <w:tc>
          <w:tcPr>
            <w:tcW w:w="634"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Size</w:t>
            </w:r>
          </w:p>
        </w:tc>
        <w:tc>
          <w:tcPr>
            <w:tcW w:w="320"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Unit</w:t>
            </w:r>
          </w:p>
        </w:tc>
        <w:tc>
          <w:tcPr>
            <w:tcW w:w="311"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Cat.</w:t>
            </w:r>
          </w:p>
        </w:tc>
        <w:tc>
          <w:tcPr>
            <w:tcW w:w="452"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D.qual.</w:t>
            </w:r>
          </w:p>
        </w:tc>
        <w:tc>
          <w:tcPr>
            <w:tcW w:w="511"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A/B/C/D</w:t>
            </w:r>
          </w:p>
        </w:tc>
        <w:tc>
          <w:tcPr>
            <w:tcW w:w="927" w:type="pct"/>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A/B/C</w:t>
            </w:r>
          </w:p>
        </w:tc>
      </w:tr>
      <w:tr w:rsidR="00A8783E" w:rsidRPr="00A8783E" w:rsidTr="005B5318">
        <w:trPr>
          <w:jc w:val="center"/>
        </w:trPr>
        <w:tc>
          <w:tcPr>
            <w:tcW w:w="200" w:type="pct"/>
            <w:vMerge/>
            <w:shd w:val="clear" w:color="auto" w:fill="D9D9D9"/>
            <w:vAlign w:val="center"/>
          </w:tcPr>
          <w:p w:rsidR="00A8783E" w:rsidRPr="00A8783E" w:rsidRDefault="00A8783E" w:rsidP="00A8783E">
            <w:pPr>
              <w:spacing w:after="120" w:line="259" w:lineRule="auto"/>
              <w:rPr>
                <w:rFonts w:ascii="Times New Roman" w:hAnsi="Times New Roman"/>
                <w:sz w:val="20"/>
                <w:szCs w:val="20"/>
              </w:rPr>
            </w:pPr>
          </w:p>
        </w:tc>
        <w:tc>
          <w:tcPr>
            <w:tcW w:w="356" w:type="pct"/>
            <w:vMerge/>
            <w:shd w:val="clear" w:color="auto" w:fill="D9D9D9"/>
            <w:vAlign w:val="center"/>
          </w:tcPr>
          <w:p w:rsidR="00A8783E" w:rsidRPr="00A8783E" w:rsidRDefault="00A8783E" w:rsidP="00A8783E">
            <w:pPr>
              <w:spacing w:after="120" w:line="259" w:lineRule="auto"/>
              <w:rPr>
                <w:rFonts w:ascii="Times New Roman" w:hAnsi="Times New Roman"/>
                <w:sz w:val="20"/>
                <w:szCs w:val="20"/>
              </w:rPr>
            </w:pPr>
          </w:p>
        </w:tc>
        <w:tc>
          <w:tcPr>
            <w:tcW w:w="664"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rPr>
            </w:pPr>
          </w:p>
        </w:tc>
        <w:tc>
          <w:tcPr>
            <w:tcW w:w="177"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rPr>
            </w:pPr>
          </w:p>
        </w:tc>
        <w:tc>
          <w:tcPr>
            <w:tcW w:w="260"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188" w:type="pct"/>
            <w:gridSpan w:val="2"/>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308"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Min</w:t>
            </w:r>
          </w:p>
        </w:tc>
        <w:tc>
          <w:tcPr>
            <w:tcW w:w="326"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Max</w:t>
            </w:r>
          </w:p>
        </w:tc>
        <w:tc>
          <w:tcPr>
            <w:tcW w:w="320"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311"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452"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511"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Pop.</w:t>
            </w:r>
          </w:p>
        </w:tc>
        <w:tc>
          <w:tcPr>
            <w:tcW w:w="335"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Con.</w:t>
            </w:r>
          </w:p>
        </w:tc>
        <w:tc>
          <w:tcPr>
            <w:tcW w:w="281"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Iso.</w:t>
            </w:r>
          </w:p>
        </w:tc>
        <w:tc>
          <w:tcPr>
            <w:tcW w:w="311"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Glo.</w:t>
            </w:r>
          </w:p>
        </w:tc>
      </w:tr>
      <w:tr w:rsidR="00A8783E" w:rsidRPr="00A8783E" w:rsidTr="005B5318">
        <w:trPr>
          <w:jc w:val="center"/>
        </w:trPr>
        <w:tc>
          <w:tcPr>
            <w:tcW w:w="200" w:type="pct"/>
            <w:vAlign w:val="center"/>
          </w:tcPr>
          <w:p w:rsidR="00A8783E" w:rsidRPr="00A8783E" w:rsidRDefault="00A8783E" w:rsidP="00A8783E">
            <w:pPr>
              <w:spacing w:after="120" w:line="259" w:lineRule="auto"/>
              <w:rPr>
                <w:rFonts w:ascii="Times New Roman" w:hAnsi="Times New Roman"/>
                <w:sz w:val="20"/>
                <w:szCs w:val="20"/>
              </w:rPr>
            </w:pPr>
            <w:r w:rsidRPr="00A8783E">
              <w:rPr>
                <w:rFonts w:ascii="Times New Roman" w:hAnsi="Times New Roman"/>
                <w:sz w:val="20"/>
                <w:szCs w:val="20"/>
              </w:rPr>
              <w:t>В</w:t>
            </w:r>
          </w:p>
        </w:tc>
        <w:tc>
          <w:tcPr>
            <w:tcW w:w="356" w:type="pct"/>
            <w:vAlign w:val="center"/>
          </w:tcPr>
          <w:p w:rsidR="00A8783E" w:rsidRPr="00A8783E" w:rsidRDefault="00A8783E" w:rsidP="00A8783E">
            <w:pPr>
              <w:spacing w:after="120" w:line="259" w:lineRule="auto"/>
              <w:rPr>
                <w:rFonts w:ascii="Times New Roman" w:hAnsi="Times New Roman"/>
                <w:b/>
                <w:bCs/>
                <w:color w:val="FF0000"/>
                <w:sz w:val="20"/>
                <w:szCs w:val="20"/>
                <w:lang w:val="en-US"/>
              </w:rPr>
            </w:pPr>
            <w:r w:rsidRPr="00A8783E">
              <w:rPr>
                <w:rFonts w:ascii="Times New Roman" w:hAnsi="Times New Roman"/>
                <w:b/>
                <w:bCs/>
                <w:color w:val="FF0000"/>
                <w:sz w:val="20"/>
                <w:szCs w:val="20"/>
              </w:rPr>
              <w:t>A8</w:t>
            </w:r>
            <w:r w:rsidRPr="00A8783E">
              <w:rPr>
                <w:rFonts w:ascii="Times New Roman" w:hAnsi="Times New Roman"/>
                <w:b/>
                <w:bCs/>
                <w:color w:val="FF0000"/>
                <w:sz w:val="20"/>
                <w:szCs w:val="20"/>
                <w:lang w:val="en-US"/>
              </w:rPr>
              <w:t>89</w:t>
            </w:r>
          </w:p>
        </w:tc>
        <w:tc>
          <w:tcPr>
            <w:tcW w:w="664" w:type="pct"/>
            <w:vAlign w:val="center"/>
          </w:tcPr>
          <w:p w:rsidR="00A8783E" w:rsidRPr="00A8783E" w:rsidRDefault="00A8783E" w:rsidP="00A8783E">
            <w:pPr>
              <w:spacing w:after="0" w:line="240" w:lineRule="auto"/>
              <w:rPr>
                <w:rFonts w:ascii="Times New Roman" w:hAnsi="Times New Roman"/>
                <w:i/>
                <w:iCs/>
                <w:color w:val="FF0000"/>
                <w:sz w:val="20"/>
                <w:szCs w:val="20"/>
                <w:lang w:val="en-US"/>
              </w:rPr>
            </w:pPr>
            <w:r w:rsidRPr="00A8783E">
              <w:rPr>
                <w:rFonts w:ascii="Times New Roman" w:hAnsi="Times New Roman"/>
                <w:b/>
                <w:bCs/>
                <w:i/>
                <w:iCs/>
                <w:color w:val="FF0000"/>
                <w:sz w:val="20"/>
                <w:szCs w:val="20"/>
                <w:lang w:val="en-GB"/>
              </w:rPr>
              <w:t>Mareca</w:t>
            </w:r>
            <w:r w:rsidRPr="00A8783E">
              <w:rPr>
                <w:rFonts w:ascii="Times New Roman" w:hAnsi="Times New Roman"/>
                <w:i/>
                <w:iCs/>
                <w:color w:val="FF0000"/>
                <w:sz w:val="20"/>
                <w:szCs w:val="20"/>
              </w:rPr>
              <w:t xml:space="preserve"> </w:t>
            </w:r>
            <w:r w:rsidRPr="00A8783E">
              <w:rPr>
                <w:rFonts w:ascii="Times New Roman" w:hAnsi="Times New Roman"/>
                <w:i/>
                <w:iCs/>
                <w:color w:val="000000"/>
                <w:sz w:val="20"/>
                <w:szCs w:val="20"/>
                <w:lang w:val="en-US"/>
              </w:rPr>
              <w:t>strepera</w:t>
            </w:r>
          </w:p>
        </w:tc>
        <w:tc>
          <w:tcPr>
            <w:tcW w:w="177" w:type="pct"/>
            <w:vAlign w:val="center"/>
          </w:tcPr>
          <w:p w:rsidR="00A8783E" w:rsidRPr="00A8783E" w:rsidRDefault="00A8783E" w:rsidP="00A8783E">
            <w:pPr>
              <w:spacing w:after="0" w:line="240" w:lineRule="auto"/>
              <w:rPr>
                <w:rFonts w:ascii="Times New Roman" w:hAnsi="Times New Roman"/>
                <w:sz w:val="20"/>
                <w:szCs w:val="20"/>
              </w:rPr>
            </w:pPr>
          </w:p>
        </w:tc>
        <w:tc>
          <w:tcPr>
            <w:tcW w:w="260" w:type="pct"/>
            <w:vAlign w:val="center"/>
          </w:tcPr>
          <w:p w:rsidR="00A8783E" w:rsidRPr="00A8783E" w:rsidRDefault="00A8783E" w:rsidP="00A8783E">
            <w:pPr>
              <w:spacing w:after="0" w:line="240" w:lineRule="auto"/>
              <w:rPr>
                <w:rFonts w:ascii="Times New Roman" w:hAnsi="Times New Roman"/>
                <w:b/>
                <w:bCs/>
                <w:sz w:val="20"/>
                <w:szCs w:val="20"/>
              </w:rPr>
            </w:pPr>
          </w:p>
        </w:tc>
        <w:tc>
          <w:tcPr>
            <w:tcW w:w="188" w:type="pct"/>
            <w:gridSpan w:val="2"/>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sz w:val="20"/>
                <w:szCs w:val="20"/>
                <w:lang w:val="en-US"/>
              </w:rPr>
              <w:t>r</w:t>
            </w:r>
          </w:p>
        </w:tc>
        <w:tc>
          <w:tcPr>
            <w:tcW w:w="308" w:type="pct"/>
            <w:vAlign w:val="center"/>
          </w:tcPr>
          <w:p w:rsidR="00A8783E" w:rsidRPr="00A8783E" w:rsidRDefault="00A8783E" w:rsidP="00A8783E">
            <w:pPr>
              <w:spacing w:after="0" w:line="240" w:lineRule="auto"/>
              <w:rPr>
                <w:rFonts w:ascii="Times New Roman" w:hAnsi="Times New Roman"/>
                <w:b/>
                <w:bCs/>
                <w:color w:val="FF0000"/>
                <w:sz w:val="20"/>
                <w:szCs w:val="20"/>
              </w:rPr>
            </w:pPr>
            <w:r w:rsidRPr="00A8783E">
              <w:rPr>
                <w:rFonts w:ascii="Times New Roman" w:hAnsi="Times New Roman"/>
                <w:b/>
                <w:bCs/>
                <w:color w:val="FF0000"/>
                <w:sz w:val="20"/>
                <w:szCs w:val="20"/>
              </w:rPr>
              <w:t>8</w:t>
            </w:r>
          </w:p>
        </w:tc>
        <w:tc>
          <w:tcPr>
            <w:tcW w:w="326" w:type="pct"/>
            <w:vAlign w:val="center"/>
          </w:tcPr>
          <w:p w:rsidR="00A8783E" w:rsidRPr="00A8783E" w:rsidRDefault="00A8783E" w:rsidP="00A8783E">
            <w:pPr>
              <w:spacing w:after="0" w:line="240" w:lineRule="auto"/>
              <w:rPr>
                <w:rFonts w:ascii="Times New Roman" w:hAnsi="Times New Roman"/>
                <w:b/>
                <w:bCs/>
                <w:color w:val="FF0000"/>
                <w:sz w:val="20"/>
                <w:szCs w:val="20"/>
              </w:rPr>
            </w:pPr>
            <w:r w:rsidRPr="00A8783E">
              <w:rPr>
                <w:rFonts w:ascii="Times New Roman" w:hAnsi="Times New Roman"/>
                <w:b/>
                <w:bCs/>
                <w:color w:val="FF0000"/>
                <w:sz w:val="20"/>
                <w:szCs w:val="20"/>
              </w:rPr>
              <w:t>20</w:t>
            </w:r>
          </w:p>
        </w:tc>
        <w:tc>
          <w:tcPr>
            <w:tcW w:w="320" w:type="pct"/>
            <w:vAlign w:val="center"/>
          </w:tcPr>
          <w:p w:rsidR="00A8783E" w:rsidRPr="00A8783E" w:rsidRDefault="00A8783E" w:rsidP="00A8783E">
            <w:pPr>
              <w:spacing w:after="0" w:line="240" w:lineRule="auto"/>
              <w:rPr>
                <w:rFonts w:ascii="Times New Roman" w:hAnsi="Times New Roman"/>
                <w:sz w:val="20"/>
                <w:szCs w:val="20"/>
                <w:lang w:val="en-GB"/>
              </w:rPr>
            </w:pPr>
            <w:r w:rsidRPr="00A8783E">
              <w:rPr>
                <w:rFonts w:ascii="Times New Roman" w:hAnsi="Times New Roman"/>
                <w:sz w:val="20"/>
                <w:szCs w:val="20"/>
                <w:lang w:val="en-GB"/>
              </w:rPr>
              <w:t>p</w:t>
            </w:r>
          </w:p>
        </w:tc>
        <w:tc>
          <w:tcPr>
            <w:tcW w:w="311" w:type="pct"/>
            <w:vAlign w:val="center"/>
          </w:tcPr>
          <w:p w:rsidR="00A8783E" w:rsidRPr="00A8783E" w:rsidRDefault="00A8783E" w:rsidP="00A8783E">
            <w:pPr>
              <w:spacing w:after="0" w:line="240" w:lineRule="auto"/>
              <w:rPr>
                <w:rFonts w:ascii="Times New Roman" w:hAnsi="Times New Roman"/>
                <w:b/>
                <w:bCs/>
                <w:sz w:val="20"/>
                <w:szCs w:val="20"/>
              </w:rPr>
            </w:pPr>
          </w:p>
        </w:tc>
        <w:tc>
          <w:tcPr>
            <w:tcW w:w="452" w:type="pct"/>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sz w:val="20"/>
                <w:szCs w:val="20"/>
              </w:rPr>
              <w:t>G</w:t>
            </w:r>
          </w:p>
        </w:tc>
        <w:tc>
          <w:tcPr>
            <w:tcW w:w="511" w:type="pct"/>
            <w:gridSpan w:val="2"/>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color w:val="FF0000"/>
                <w:sz w:val="20"/>
                <w:szCs w:val="20"/>
              </w:rPr>
              <w:t>В</w:t>
            </w:r>
          </w:p>
        </w:tc>
        <w:tc>
          <w:tcPr>
            <w:tcW w:w="335" w:type="pct"/>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sz w:val="20"/>
                <w:szCs w:val="20"/>
                <w:lang w:val="en-US"/>
              </w:rPr>
              <w:t>A</w:t>
            </w:r>
          </w:p>
        </w:tc>
        <w:tc>
          <w:tcPr>
            <w:tcW w:w="281" w:type="pct"/>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sz w:val="20"/>
                <w:szCs w:val="20"/>
              </w:rPr>
              <w:t>C</w:t>
            </w:r>
          </w:p>
        </w:tc>
        <w:tc>
          <w:tcPr>
            <w:tcW w:w="311" w:type="pct"/>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b/>
                <w:bCs/>
                <w:color w:val="FF0000"/>
                <w:sz w:val="20"/>
                <w:szCs w:val="20"/>
                <w:lang w:val="en-US"/>
              </w:rPr>
              <w:t>B</w:t>
            </w:r>
          </w:p>
        </w:tc>
      </w:tr>
      <w:tr w:rsidR="00A8783E" w:rsidRPr="00A8783E" w:rsidTr="005B5318">
        <w:trPr>
          <w:jc w:val="center"/>
        </w:trPr>
        <w:tc>
          <w:tcPr>
            <w:tcW w:w="200" w:type="pct"/>
            <w:vAlign w:val="center"/>
          </w:tcPr>
          <w:p w:rsidR="00A8783E" w:rsidRPr="00A8783E" w:rsidRDefault="00A8783E" w:rsidP="00A8783E">
            <w:pPr>
              <w:spacing w:after="120" w:line="259" w:lineRule="auto"/>
              <w:rPr>
                <w:rFonts w:ascii="Times New Roman" w:hAnsi="Times New Roman"/>
                <w:sz w:val="20"/>
                <w:szCs w:val="20"/>
              </w:rPr>
            </w:pPr>
            <w:r w:rsidRPr="00A8783E">
              <w:rPr>
                <w:rFonts w:ascii="Times New Roman" w:hAnsi="Times New Roman"/>
                <w:sz w:val="20"/>
                <w:szCs w:val="20"/>
              </w:rPr>
              <w:t>В</w:t>
            </w:r>
          </w:p>
        </w:tc>
        <w:tc>
          <w:tcPr>
            <w:tcW w:w="356" w:type="pct"/>
            <w:vAlign w:val="center"/>
          </w:tcPr>
          <w:p w:rsidR="00A8783E" w:rsidRPr="00A8783E" w:rsidRDefault="00A8783E" w:rsidP="00A8783E">
            <w:pPr>
              <w:spacing w:after="120" w:line="259" w:lineRule="auto"/>
              <w:rPr>
                <w:rFonts w:ascii="Times New Roman" w:hAnsi="Times New Roman"/>
                <w:b/>
                <w:bCs/>
                <w:color w:val="FF0000"/>
                <w:sz w:val="20"/>
                <w:szCs w:val="20"/>
                <w:lang w:val="en-US"/>
              </w:rPr>
            </w:pPr>
            <w:r w:rsidRPr="00A8783E">
              <w:rPr>
                <w:rFonts w:ascii="Times New Roman" w:hAnsi="Times New Roman"/>
                <w:b/>
                <w:bCs/>
                <w:color w:val="FF0000"/>
                <w:sz w:val="20"/>
                <w:szCs w:val="20"/>
              </w:rPr>
              <w:t>A8</w:t>
            </w:r>
            <w:r w:rsidRPr="00A8783E">
              <w:rPr>
                <w:rFonts w:ascii="Times New Roman" w:hAnsi="Times New Roman"/>
                <w:b/>
                <w:bCs/>
                <w:color w:val="FF0000"/>
                <w:sz w:val="20"/>
                <w:szCs w:val="20"/>
                <w:lang w:val="en-US"/>
              </w:rPr>
              <w:t>89</w:t>
            </w:r>
          </w:p>
        </w:tc>
        <w:tc>
          <w:tcPr>
            <w:tcW w:w="664" w:type="pct"/>
            <w:vAlign w:val="center"/>
          </w:tcPr>
          <w:p w:rsidR="00A8783E" w:rsidRPr="00A8783E" w:rsidRDefault="00A8783E" w:rsidP="00A8783E">
            <w:pPr>
              <w:spacing w:after="0" w:line="240" w:lineRule="auto"/>
              <w:rPr>
                <w:rFonts w:ascii="Times New Roman" w:hAnsi="Times New Roman"/>
                <w:i/>
                <w:iCs/>
                <w:color w:val="FF0000"/>
                <w:sz w:val="20"/>
                <w:szCs w:val="20"/>
                <w:lang w:val="en-US"/>
              </w:rPr>
            </w:pPr>
            <w:r w:rsidRPr="00A8783E">
              <w:rPr>
                <w:rFonts w:ascii="Times New Roman" w:hAnsi="Times New Roman"/>
                <w:b/>
                <w:bCs/>
                <w:i/>
                <w:iCs/>
                <w:color w:val="FF0000"/>
                <w:sz w:val="20"/>
                <w:szCs w:val="20"/>
                <w:lang w:val="en-GB"/>
              </w:rPr>
              <w:t>Mareca</w:t>
            </w:r>
            <w:r w:rsidRPr="00A8783E">
              <w:rPr>
                <w:rFonts w:ascii="Times New Roman" w:hAnsi="Times New Roman"/>
                <w:b/>
                <w:bCs/>
                <w:i/>
                <w:iCs/>
                <w:color w:val="FF0000"/>
                <w:sz w:val="20"/>
                <w:szCs w:val="20"/>
              </w:rPr>
              <w:t xml:space="preserve"> </w:t>
            </w:r>
            <w:r w:rsidRPr="00A8783E">
              <w:rPr>
                <w:rFonts w:ascii="Times New Roman" w:hAnsi="Times New Roman"/>
                <w:i/>
                <w:iCs/>
                <w:color w:val="000000"/>
                <w:sz w:val="20"/>
                <w:szCs w:val="20"/>
                <w:lang w:val="en-US"/>
              </w:rPr>
              <w:t>strepera</w:t>
            </w:r>
          </w:p>
        </w:tc>
        <w:tc>
          <w:tcPr>
            <w:tcW w:w="177" w:type="pct"/>
            <w:vAlign w:val="center"/>
          </w:tcPr>
          <w:p w:rsidR="00A8783E" w:rsidRPr="00A8783E" w:rsidRDefault="00A8783E" w:rsidP="00A8783E">
            <w:pPr>
              <w:spacing w:after="0" w:line="240" w:lineRule="auto"/>
              <w:rPr>
                <w:rFonts w:ascii="Times New Roman" w:hAnsi="Times New Roman"/>
                <w:sz w:val="20"/>
                <w:szCs w:val="20"/>
              </w:rPr>
            </w:pPr>
          </w:p>
        </w:tc>
        <w:tc>
          <w:tcPr>
            <w:tcW w:w="260" w:type="pct"/>
            <w:vAlign w:val="center"/>
          </w:tcPr>
          <w:p w:rsidR="00A8783E" w:rsidRPr="00A8783E" w:rsidRDefault="00A8783E" w:rsidP="00A8783E">
            <w:pPr>
              <w:spacing w:after="0" w:line="240" w:lineRule="auto"/>
              <w:rPr>
                <w:rFonts w:ascii="Times New Roman" w:hAnsi="Times New Roman"/>
                <w:b/>
                <w:bCs/>
                <w:sz w:val="20"/>
                <w:szCs w:val="20"/>
              </w:rPr>
            </w:pPr>
          </w:p>
        </w:tc>
        <w:tc>
          <w:tcPr>
            <w:tcW w:w="188" w:type="pct"/>
            <w:gridSpan w:val="2"/>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sz w:val="20"/>
                <w:szCs w:val="20"/>
                <w:lang w:val="en-US"/>
              </w:rPr>
              <w:t>w</w:t>
            </w:r>
          </w:p>
        </w:tc>
        <w:tc>
          <w:tcPr>
            <w:tcW w:w="308" w:type="pct"/>
            <w:vAlign w:val="center"/>
          </w:tcPr>
          <w:p w:rsidR="00A8783E" w:rsidRPr="00A8783E" w:rsidRDefault="00A8783E" w:rsidP="00A8783E">
            <w:pPr>
              <w:spacing w:after="0" w:line="240"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30</w:t>
            </w:r>
          </w:p>
        </w:tc>
        <w:tc>
          <w:tcPr>
            <w:tcW w:w="326" w:type="pct"/>
            <w:vAlign w:val="center"/>
          </w:tcPr>
          <w:p w:rsidR="00A8783E" w:rsidRPr="00A8783E" w:rsidRDefault="00A8783E" w:rsidP="00A8783E">
            <w:pPr>
              <w:spacing w:after="0" w:line="240"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169</w:t>
            </w:r>
          </w:p>
        </w:tc>
        <w:tc>
          <w:tcPr>
            <w:tcW w:w="320" w:type="pct"/>
            <w:vAlign w:val="center"/>
          </w:tcPr>
          <w:p w:rsidR="00A8783E" w:rsidRPr="00A8783E" w:rsidRDefault="00A8783E" w:rsidP="00A8783E">
            <w:pPr>
              <w:spacing w:after="0" w:line="240" w:lineRule="auto"/>
              <w:rPr>
                <w:rFonts w:ascii="Times New Roman" w:hAnsi="Times New Roman"/>
                <w:sz w:val="20"/>
                <w:szCs w:val="20"/>
                <w:lang w:val="en-GB"/>
              </w:rPr>
            </w:pPr>
            <w:r w:rsidRPr="00A8783E">
              <w:rPr>
                <w:rFonts w:ascii="Times New Roman" w:hAnsi="Times New Roman"/>
                <w:sz w:val="20"/>
                <w:szCs w:val="20"/>
                <w:lang w:val="en-GB"/>
              </w:rPr>
              <w:t>i</w:t>
            </w:r>
          </w:p>
        </w:tc>
        <w:tc>
          <w:tcPr>
            <w:tcW w:w="311" w:type="pct"/>
            <w:vAlign w:val="center"/>
          </w:tcPr>
          <w:p w:rsidR="00A8783E" w:rsidRPr="00A8783E" w:rsidRDefault="00A8783E" w:rsidP="00A8783E">
            <w:pPr>
              <w:spacing w:after="0" w:line="240" w:lineRule="auto"/>
              <w:rPr>
                <w:rFonts w:ascii="Times New Roman" w:hAnsi="Times New Roman"/>
                <w:b/>
                <w:bCs/>
                <w:sz w:val="20"/>
                <w:szCs w:val="20"/>
              </w:rPr>
            </w:pPr>
          </w:p>
        </w:tc>
        <w:tc>
          <w:tcPr>
            <w:tcW w:w="452" w:type="pct"/>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sz w:val="20"/>
                <w:szCs w:val="20"/>
              </w:rPr>
              <w:t>G</w:t>
            </w:r>
          </w:p>
        </w:tc>
        <w:tc>
          <w:tcPr>
            <w:tcW w:w="511" w:type="pct"/>
            <w:gridSpan w:val="2"/>
            <w:vAlign w:val="center"/>
          </w:tcPr>
          <w:p w:rsidR="00A8783E" w:rsidRPr="00A8783E" w:rsidRDefault="00A8783E" w:rsidP="00A8783E">
            <w:pPr>
              <w:spacing w:after="0" w:line="240" w:lineRule="auto"/>
              <w:rPr>
                <w:rFonts w:ascii="Times New Roman" w:hAnsi="Times New Roman"/>
                <w:b/>
                <w:bCs/>
                <w:color w:val="000000"/>
                <w:sz w:val="20"/>
                <w:szCs w:val="20"/>
                <w:lang w:val="en-US"/>
              </w:rPr>
            </w:pPr>
            <w:r w:rsidRPr="00A8783E">
              <w:rPr>
                <w:rFonts w:ascii="Times New Roman" w:hAnsi="Times New Roman"/>
                <w:color w:val="000000"/>
                <w:sz w:val="20"/>
                <w:szCs w:val="20"/>
                <w:lang w:val="en-US"/>
              </w:rPr>
              <w:t>A</w:t>
            </w:r>
          </w:p>
        </w:tc>
        <w:tc>
          <w:tcPr>
            <w:tcW w:w="335" w:type="pct"/>
            <w:vAlign w:val="center"/>
          </w:tcPr>
          <w:p w:rsidR="00A8783E" w:rsidRPr="00A8783E" w:rsidRDefault="00A8783E" w:rsidP="00A8783E">
            <w:pPr>
              <w:spacing w:after="0" w:line="240" w:lineRule="auto"/>
              <w:rPr>
                <w:rFonts w:ascii="Times New Roman" w:hAnsi="Times New Roman"/>
                <w:b/>
                <w:bCs/>
                <w:color w:val="000000"/>
                <w:sz w:val="20"/>
                <w:szCs w:val="20"/>
                <w:lang w:val="en-US"/>
              </w:rPr>
            </w:pPr>
            <w:r w:rsidRPr="00A8783E">
              <w:rPr>
                <w:rFonts w:ascii="Times New Roman" w:hAnsi="Times New Roman"/>
                <w:color w:val="000000"/>
                <w:sz w:val="20"/>
                <w:szCs w:val="20"/>
                <w:lang w:val="en-US"/>
              </w:rPr>
              <w:t>A</w:t>
            </w:r>
          </w:p>
        </w:tc>
        <w:tc>
          <w:tcPr>
            <w:tcW w:w="281" w:type="pct"/>
            <w:vAlign w:val="center"/>
          </w:tcPr>
          <w:p w:rsidR="00A8783E" w:rsidRPr="00A8783E" w:rsidRDefault="00A8783E" w:rsidP="00A8783E">
            <w:pPr>
              <w:spacing w:after="0" w:line="240" w:lineRule="auto"/>
              <w:rPr>
                <w:rFonts w:ascii="Times New Roman" w:hAnsi="Times New Roman"/>
                <w:b/>
                <w:bCs/>
                <w:color w:val="000000"/>
                <w:sz w:val="20"/>
                <w:szCs w:val="20"/>
              </w:rPr>
            </w:pPr>
            <w:r w:rsidRPr="00A8783E">
              <w:rPr>
                <w:rFonts w:ascii="Times New Roman" w:hAnsi="Times New Roman"/>
                <w:color w:val="000000"/>
                <w:sz w:val="20"/>
                <w:szCs w:val="20"/>
              </w:rPr>
              <w:t>C</w:t>
            </w:r>
          </w:p>
        </w:tc>
        <w:tc>
          <w:tcPr>
            <w:tcW w:w="311" w:type="pct"/>
            <w:vAlign w:val="center"/>
          </w:tcPr>
          <w:p w:rsidR="00A8783E" w:rsidRPr="00A8783E" w:rsidRDefault="00A8783E" w:rsidP="00A8783E">
            <w:pPr>
              <w:spacing w:after="0" w:line="240" w:lineRule="auto"/>
              <w:rPr>
                <w:rFonts w:ascii="Times New Roman" w:hAnsi="Times New Roman"/>
                <w:b/>
                <w:bCs/>
                <w:color w:val="000000"/>
                <w:sz w:val="20"/>
                <w:szCs w:val="20"/>
                <w:lang w:val="en-US"/>
              </w:rPr>
            </w:pPr>
            <w:r w:rsidRPr="00A8783E">
              <w:rPr>
                <w:rFonts w:ascii="Times New Roman" w:hAnsi="Times New Roman"/>
                <w:color w:val="000000"/>
                <w:sz w:val="20"/>
                <w:szCs w:val="20"/>
                <w:lang w:val="en-US"/>
              </w:rPr>
              <w:t>A</w:t>
            </w:r>
          </w:p>
        </w:tc>
      </w:tr>
    </w:tbl>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193" w:name="_Toc89106082"/>
      <w:bookmarkStart w:id="194" w:name="_Toc98741921"/>
      <w:bookmarkStart w:id="195" w:name="_Toc98838596"/>
      <w:r w:rsidRPr="00A8783E">
        <w:rPr>
          <w:rFonts w:ascii="Times New Roman" w:hAnsi="Times New Roman"/>
          <w:color w:val="1F497D"/>
          <w:sz w:val="28"/>
          <w:szCs w:val="28"/>
        </w:rPr>
        <w:t xml:space="preserve">Специфични цели за А052 </w:t>
      </w:r>
      <w:r w:rsidRPr="00A8783E">
        <w:rPr>
          <w:rFonts w:ascii="Times New Roman" w:hAnsi="Times New Roman"/>
          <w:i/>
          <w:iCs/>
          <w:color w:val="1F497D"/>
          <w:sz w:val="28"/>
          <w:szCs w:val="28"/>
        </w:rPr>
        <w:t>А</w:t>
      </w:r>
      <w:r w:rsidRPr="00A8783E">
        <w:rPr>
          <w:rFonts w:ascii="Times New Roman" w:hAnsi="Times New Roman"/>
          <w:i/>
          <w:iCs/>
          <w:color w:val="1F497D"/>
          <w:sz w:val="28"/>
          <w:szCs w:val="28"/>
          <w:lang w:val="en-US"/>
        </w:rPr>
        <w:t>nas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crecca</w:t>
      </w:r>
      <w:r w:rsidRPr="00A8783E">
        <w:rPr>
          <w:rFonts w:ascii="Times New Roman" w:hAnsi="Times New Roman"/>
          <w:color w:val="1F497D"/>
          <w:sz w:val="28"/>
          <w:szCs w:val="28"/>
        </w:rPr>
        <w:t xml:space="preserve"> (зимно бърне)</w:t>
      </w:r>
      <w:bookmarkEnd w:id="193"/>
      <w:bookmarkEnd w:id="194"/>
      <w:bookmarkEnd w:id="195"/>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34-38 cm, а размахът на крилата </w:t>
      </w:r>
      <w:r w:rsidRPr="00A8783E">
        <w:rPr>
          <w:rFonts w:ascii="Times New Roman" w:hAnsi="Times New Roman"/>
          <w:sz w:val="24"/>
          <w:szCs w:val="24"/>
          <w:lang w:val="en-US"/>
        </w:rPr>
        <w:t>e</w:t>
      </w:r>
      <w:r w:rsidRPr="00A8783E">
        <w:rPr>
          <w:rFonts w:ascii="Times New Roman" w:hAnsi="Times New Roman"/>
          <w:sz w:val="24"/>
          <w:szCs w:val="24"/>
        </w:rPr>
        <w:t xml:space="preserve"> 53-64 </w:t>
      </w:r>
      <w:r w:rsidRPr="00A8783E">
        <w:rPr>
          <w:rFonts w:ascii="Times New Roman" w:hAnsi="Times New Roman"/>
          <w:sz w:val="24"/>
          <w:szCs w:val="24"/>
          <w:lang w:val="en-US"/>
        </w:rPr>
        <w:t>cm</w:t>
      </w:r>
      <w:r w:rsidRPr="00A8783E">
        <w:rPr>
          <w:rFonts w:ascii="Times New Roman" w:hAnsi="Times New Roman"/>
          <w:sz w:val="24"/>
          <w:szCs w:val="24"/>
        </w:rPr>
        <w:t xml:space="preserve"> (</w:t>
      </w:r>
      <w:r w:rsidRPr="00A8783E">
        <w:rPr>
          <w:rFonts w:ascii="Times New Roman" w:hAnsi="Times New Roman"/>
          <w:sz w:val="24"/>
          <w:szCs w:val="24"/>
          <w:lang w:val="en-US"/>
        </w:rPr>
        <w:t>Cramp</w:t>
      </w:r>
      <w:r w:rsidRPr="00A8783E">
        <w:rPr>
          <w:rFonts w:ascii="Times New Roman" w:hAnsi="Times New Roman"/>
          <w:sz w:val="24"/>
          <w:szCs w:val="24"/>
        </w:rPr>
        <w:t xml:space="preserve"> a</w:t>
      </w:r>
      <w:r w:rsidRPr="00A8783E">
        <w:rPr>
          <w:rFonts w:ascii="Times New Roman" w:hAnsi="Times New Roman"/>
          <w:sz w:val="24"/>
          <w:szCs w:val="24"/>
          <w:lang w:val="en-US"/>
        </w:rPr>
        <w:t>nd</w:t>
      </w:r>
      <w:r w:rsidRPr="00A8783E">
        <w:rPr>
          <w:rFonts w:ascii="Times New Roman" w:hAnsi="Times New Roman"/>
          <w:sz w:val="24"/>
          <w:szCs w:val="24"/>
        </w:rPr>
        <w:t xml:space="preserve"> </w:t>
      </w:r>
      <w:r w:rsidRPr="00A8783E">
        <w:rPr>
          <w:rFonts w:ascii="Times New Roman" w:hAnsi="Times New Roman"/>
          <w:sz w:val="24"/>
          <w:szCs w:val="24"/>
          <w:lang w:val="en-US"/>
        </w:rPr>
        <w:t>Simmons</w:t>
      </w:r>
      <w:r w:rsidRPr="00A8783E">
        <w:rPr>
          <w:rFonts w:ascii="Times New Roman" w:hAnsi="Times New Roman"/>
          <w:sz w:val="24"/>
          <w:szCs w:val="24"/>
        </w:rPr>
        <w:t xml:space="preserve"> </w:t>
      </w:r>
      <w:r w:rsidRPr="00A8783E">
        <w:rPr>
          <w:rFonts w:ascii="Times New Roman" w:hAnsi="Times New Roman"/>
          <w:sz w:val="24"/>
          <w:szCs w:val="24"/>
          <w:lang w:val="en-US"/>
        </w:rPr>
        <w:t>eds</w:t>
      </w:r>
      <w:r w:rsidRPr="00A8783E">
        <w:rPr>
          <w:rFonts w:ascii="Times New Roman" w:hAnsi="Times New Roman"/>
          <w:sz w:val="24"/>
          <w:szCs w:val="24"/>
        </w:rPr>
        <w:t xml:space="preserve">., 1977; </w:t>
      </w:r>
      <w:r w:rsidRPr="00A8783E">
        <w:rPr>
          <w:rFonts w:ascii="Times New Roman" w:hAnsi="Times New Roman"/>
          <w:sz w:val="24"/>
          <w:szCs w:val="24"/>
          <w:lang w:val="en-US"/>
        </w:rPr>
        <w:t>Svensson</w:t>
      </w:r>
      <w:r w:rsidRPr="00A8783E">
        <w:rPr>
          <w:rFonts w:ascii="Times New Roman" w:hAnsi="Times New Roman"/>
          <w:sz w:val="24"/>
          <w:szCs w:val="24"/>
        </w:rPr>
        <w:t>, 2013). Оперението е с изразен полов диморфизъм. При мъжките главата е ръждивокафява със зелена ивица отстрани. Маховите пера и гърбът са светлосиви, коремът-бял. Гърдите са светли с тъмнокафяви петънца. Подопашието е жълтеникаво. Крилното огледало е зелено. Женската е със защитно ръждивокафяво оперение. Гласовит, често издава характерен позив, който представлява късо подсвиркване.  Видът е ловен обект.</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 У нас зимното бърне е зимуващ и мигриращ вид. Отделни двойки остават и през гнездовия период и вероятно гнездят у нас, но през последните две десетилетия няма наблюдения доказващи със сигурност гнездене. През зимата е многочислен вид. Големи ята долитат от северните части на Европа като зимуват по р. Дунав, по Черноморските езера и блата, в големи и малки вътрешни водоеми, а значителна част /особено при по-студено време/ и във вътрешните реки. Пролетната миграция е от средата на февруари до края на април. Есенната миграция е от края на август до ноември.  Обикновено мигрира и зимува на големи ята. Ятата често са смесени с други видове патици–най-често зеленоглавки и фишове.</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 време на миграция и зимуване се среща в солени, бракични и сладководни стоящи водоеми от всякакъв характер, в средни течения на реки, в плитководни участъци на р. Дунав /пясъчни коси, устия на реки/. Предпочита по-плитки водоеми или по-плитките части на язовирите, като много често се храни в тинята. През гнездовия период обитава сладководни и полусолени блата и езера. Подходящи гнездови местообитания са 3140, 3150 и 3270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Храни се както с растителна храна –главно семена, така и с животинска. Животинският компонент на храната преобладава през лятото. От водната растителност предпочита семена на водни растения, а по-рядко яде и самите водорасли. Яде също миди, ларви на двукрили – например хирономиди, водни бръмбари и дървеници, ракообразни и прешленести червеи (</w:t>
      </w:r>
      <w:r w:rsidRPr="00A8783E">
        <w:rPr>
          <w:rFonts w:ascii="Times New Roman" w:hAnsi="Times New Roman"/>
          <w:sz w:val="24"/>
          <w:szCs w:val="24"/>
          <w:lang w:val="en-US"/>
        </w:rPr>
        <w:t>Cramp</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Simmons</w:t>
      </w:r>
      <w:r w:rsidRPr="00A8783E">
        <w:rPr>
          <w:rFonts w:ascii="Times New Roman" w:hAnsi="Times New Roman"/>
          <w:sz w:val="24"/>
          <w:szCs w:val="24"/>
        </w:rPr>
        <w:t xml:space="preserve"> </w:t>
      </w:r>
      <w:r w:rsidRPr="00A8783E">
        <w:rPr>
          <w:rFonts w:ascii="Times New Roman" w:hAnsi="Times New Roman"/>
          <w:sz w:val="24"/>
          <w:szCs w:val="24"/>
          <w:lang w:val="en-US"/>
        </w:rPr>
        <w:t>eds</w:t>
      </w:r>
      <w:r w:rsidRPr="00A8783E">
        <w:rPr>
          <w:rFonts w:ascii="Times New Roman" w:hAnsi="Times New Roman"/>
          <w:sz w:val="24"/>
          <w:szCs w:val="24"/>
        </w:rPr>
        <w:t>., 1977).</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Случаите на гнездене на вида в по-далечно минало са били главно на Атанасовското езеро край Бургас, покрай р. Дунав, в Драгоманското блато и бившето Стралджанско блато (Нанкинов и др., 1997; </w:t>
      </w:r>
      <w:r w:rsidRPr="00A8783E">
        <w:rPr>
          <w:rFonts w:ascii="Times New Roman" w:hAnsi="Times New Roman"/>
          <w:sz w:val="24"/>
          <w:szCs w:val="24"/>
          <w:lang w:val="en-US"/>
        </w:rPr>
        <w:t>Michev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2004; Янков ред., 2007). В последните 20 години двойки или малки групички от възрастни птици са наблюдавани през лятото също в крайдунавските влажни зони, на места в Дунавската равнина, в Драгоманското блато (Янков ред., 2007;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2007;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Tsonev</w:t>
      </w:r>
      <w:r w:rsidRPr="00A8783E">
        <w:rPr>
          <w:rFonts w:ascii="Times New Roman" w:hAnsi="Times New Roman"/>
          <w:sz w:val="24"/>
          <w:szCs w:val="24"/>
        </w:rPr>
        <w:t xml:space="preserve">, 2009;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2013;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2019). При докладването по чл.12 е съобщена численост на гнездовата популация у нас от 10-25 дв., с флуктуации, макар реално да няма доказано гнездене напоследък.</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Зимното бърне зимува в цялата страна, във всякакъв тип водоеми. Най-значителните зимни концентрации са в крайморските езера и големите вътрешни язовири в Южна България /Пясъчник, Копринка, Батак и др./. В тези водоеми зимуващите концентрации често надхвърлят 1000-1500 екз. Числеността на зимуващите у нас зимни бърнета според Докладването по чл.12 е 1500-7300 екз. Тази цифра е в известна степен занижена поради недоброто отчитане на реките при средно-зимните преброявания, а там често зимуват немалко зимни бърнета. Тенденциите – както краткосрочна така и дългосрочна са неизвестни, отбелязани „с флуктуации“.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време на миграция зимните бърнета са също така многочислени. Образуват концентрации от стотици индивиди дори в микроязовири. Според докладването по чл.12 понастоящем миграционната численост на вида е в рамките на 3000 до 10000 индивида. Тази численост е занижена. За да се оцени по-правилно миграционната численост на вида са необходими синхронни преброявания в основните места за концентрация през месеците на миграция.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При докладването по чл.12 като заплахи за гнездовата популация на зимното бърне е посочена модификацията на хидрологичния режим на водоемите. Тук може да се включи строителството на малки ВЕЦ по реките, корекциите, дигирането, изправянето на речните корита. За вида през зимата са посочени като заплахи екстракцията на петрол и природен газ, замърсяването на водите и промяната на предназначението на земите. Добивът на петрол и газ у нас няма никакво значение, тъй като такъв на практика няма. Заплахите за вида през зимата са прекомерният отстрел, включително с незаконни средства, в защитени територии и в забранени периоди за лов, безпокойството през прелета и зимата от ловци, рибари, туристи и рибовъди, използването на пестициди и други химикали в селското стопанство, осушаването на влажни зони и паленето на масивите с висша водна растителност.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вида е преминаващ и зимуващ.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52 индивида</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0,5-1,7 %</w:t>
      </w:r>
      <w:r w:rsidRPr="00A8783E">
        <w:rPr>
          <w:rFonts w:ascii="Times New Roman" w:hAnsi="Times New Roman"/>
          <w:sz w:val="24"/>
          <w:szCs w:val="24"/>
          <w:lang w:eastAsia="bg-BG"/>
        </w:rPr>
        <w:t xml:space="preserve"> от националната популация (оценка „</w:t>
      </w:r>
      <w:r w:rsidRPr="00A8783E">
        <w:rPr>
          <w:rFonts w:ascii="Times New Roman" w:hAnsi="Times New Roman"/>
          <w:sz w:val="24"/>
          <w:szCs w:val="24"/>
          <w:lang w:val="en-US" w:eastAsia="bg-BG"/>
        </w:rPr>
        <w:t>C</w:t>
      </w:r>
      <w:r w:rsidRPr="00A8783E">
        <w:rPr>
          <w:rFonts w:ascii="Times New Roman" w:hAnsi="Times New Roman"/>
          <w:sz w:val="24"/>
          <w:szCs w:val="24"/>
          <w:lang w:eastAsia="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СФ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на вида се оценява на до </w:t>
      </w:r>
      <w:r w:rsidRPr="00A8783E">
        <w:rPr>
          <w:rFonts w:ascii="Times New Roman" w:hAnsi="Times New Roman"/>
          <w:b/>
          <w:bCs/>
          <w:sz w:val="24"/>
          <w:szCs w:val="24"/>
          <w:lang w:eastAsia="bg-BG"/>
        </w:rPr>
        <w:t>55 индивида</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0,8-3,7 %</w:t>
      </w:r>
      <w:r w:rsidRPr="00A8783E">
        <w:rPr>
          <w:rFonts w:ascii="Times New Roman" w:hAnsi="Times New Roman"/>
          <w:color w:val="000000"/>
          <w:sz w:val="24"/>
          <w:szCs w:val="24"/>
          <w:lang w:eastAsia="bg-BG"/>
        </w:rPr>
        <w:t xml:space="preserve"> </w:t>
      </w:r>
      <w:r w:rsidRPr="00A8783E">
        <w:rPr>
          <w:rFonts w:ascii="Times New Roman" w:hAnsi="Times New Roman"/>
          <w:sz w:val="24"/>
          <w:szCs w:val="24"/>
          <w:lang w:eastAsia="bg-BG"/>
        </w:rPr>
        <w:t>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Зимуваща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 xml:space="preserve">Според </w:t>
      </w:r>
      <w:r w:rsidRPr="00A8783E">
        <w:rPr>
          <w:rFonts w:ascii="Times New Roman" w:hAnsi="Times New Roman"/>
          <w:sz w:val="24"/>
          <w:szCs w:val="24"/>
          <w:lang w:val="en-US" w:eastAsia="bg-BG"/>
        </w:rPr>
        <w:t>Michev</w:t>
      </w:r>
      <w:r w:rsidRPr="00A8783E">
        <w:rPr>
          <w:rFonts w:ascii="Times New Roman" w:hAnsi="Times New Roman"/>
          <w:sz w:val="24"/>
          <w:szCs w:val="24"/>
          <w:lang w:eastAsia="bg-BG"/>
        </w:rPr>
        <w:t xml:space="preserve"> &amp; </w:t>
      </w:r>
      <w:r w:rsidRPr="00A8783E">
        <w:rPr>
          <w:rFonts w:ascii="Times New Roman" w:hAnsi="Times New Roman"/>
          <w:sz w:val="24"/>
          <w:szCs w:val="24"/>
          <w:lang w:val="en-US" w:eastAsia="bg-BG"/>
        </w:rPr>
        <w:t>Profirov</w:t>
      </w:r>
      <w:r w:rsidRPr="00A8783E">
        <w:rPr>
          <w:rFonts w:ascii="Times New Roman" w:hAnsi="Times New Roman"/>
          <w:sz w:val="24"/>
          <w:szCs w:val="24"/>
          <w:lang w:eastAsia="bg-BG"/>
        </w:rPr>
        <w:t xml:space="preserve"> (2003) през периода 1977-2001 г. средно-зимната численост на вида в езерото Сребърна е между 1 и 50 индивида (общо 148 инд.). За периода 2008-2013 г. в зоната са отчетени между 0 и </w:t>
      </w:r>
      <w:r w:rsidRPr="00A8783E">
        <w:rPr>
          <w:rFonts w:ascii="Times New Roman" w:hAnsi="Times New Roman"/>
          <w:b/>
          <w:bCs/>
          <w:sz w:val="24"/>
          <w:szCs w:val="24"/>
          <w:lang w:eastAsia="bg-BG"/>
        </w:rPr>
        <w:t>638 инд</w:t>
      </w:r>
      <w:r w:rsidRPr="00A8783E">
        <w:rPr>
          <w:rFonts w:ascii="Times New Roman" w:hAnsi="Times New Roman"/>
          <w:sz w:val="24"/>
          <w:szCs w:val="24"/>
          <w:lang w:eastAsia="bg-BG"/>
        </w:rPr>
        <w:t>. (Актуализиран план на ПР Сребърна, данни на ИАОС). През януари 2019 г. по целия български участък на р. Дунав са преброени общо 448 зимни бърнета в 21 локалитета, а през 2020 г. – 617 екз. в 15 места, като най-близо до зоната са наблюдавани 16 индивида до гр. Силистра. На 22.12.2020 г. са отчетени 1760 инд. в СЗЗ „Сребърна“ (</w:t>
      </w:r>
      <w:r w:rsidRPr="00A8783E">
        <w:rPr>
          <w:rFonts w:ascii="Times New Roman" w:hAnsi="Times New Roman"/>
          <w:sz w:val="24"/>
          <w:szCs w:val="24"/>
          <w:lang w:val="en-US" w:eastAsia="bg-BG"/>
        </w:rPr>
        <w:t>M</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Iliev</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ebird</w:t>
      </w:r>
      <w:r w:rsidRPr="00A8783E">
        <w:rPr>
          <w:rFonts w:ascii="Times New Roman" w:hAnsi="Times New Roman"/>
          <w:sz w:val="24"/>
          <w:szCs w:val="24"/>
          <w:lang w:eastAsia="bg-BG"/>
        </w:rPr>
        <w:t>.</w:t>
      </w:r>
      <w:r w:rsidRPr="00A8783E">
        <w:rPr>
          <w:rFonts w:ascii="Times New Roman" w:hAnsi="Times New Roman"/>
          <w:sz w:val="24"/>
          <w:szCs w:val="24"/>
          <w:lang w:val="en-US" w:eastAsia="bg-BG"/>
        </w:rPr>
        <w:t>org</w:t>
      </w:r>
      <w:r w:rsidRPr="00A8783E">
        <w:rPr>
          <w:rFonts w:ascii="Times New Roman" w:hAnsi="Times New Roman"/>
          <w:sz w:val="24"/>
          <w:szCs w:val="24"/>
          <w:lang w:eastAsia="bg-BG"/>
        </w:rPr>
        <w:t>).</w:t>
      </w:r>
      <w:r w:rsidRPr="00A8783E">
        <w:rPr>
          <w:rFonts w:cs="Calibri"/>
        </w:rPr>
        <w:t xml:space="preserve"> </w:t>
      </w:r>
      <w:r w:rsidRPr="00A8783E">
        <w:rPr>
          <w:rFonts w:ascii="Times New Roman" w:hAnsi="Times New Roman"/>
          <w:sz w:val="24"/>
          <w:szCs w:val="24"/>
          <w:lang w:eastAsia="bg-BG"/>
        </w:rPr>
        <w:t>Поради по-топлите зими през последните години броят на зимуващите патици през зимата в резервата се увеличава.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Видът е наблюдаван в езерото Сребърна през гнездовия сезон, но без доказателства за гнездене (Shurulinkov et al., 2019). Видът не беше отчетен при нашите теренни проучвания през гнездовия период на 2021 г.</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Мигрираща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За мигриращата и зимуващата популация при Докладването от 2019 г. са посочени следните заплахи: </w:t>
      </w:r>
      <w:r w:rsidRPr="00A8783E">
        <w:rPr>
          <w:rFonts w:ascii="Times New Roman" w:hAnsi="Times New Roman"/>
          <w:sz w:val="24"/>
          <w:szCs w:val="24"/>
          <w:lang w:val="en-US" w:eastAsia="bg-BG"/>
        </w:rPr>
        <w:t>C</w:t>
      </w:r>
      <w:r w:rsidRPr="00A8783E">
        <w:rPr>
          <w:rFonts w:ascii="Times New Roman" w:hAnsi="Times New Roman"/>
          <w:sz w:val="24"/>
          <w:szCs w:val="24"/>
          <w:lang w:eastAsia="bg-BG"/>
        </w:rPr>
        <w:t xml:space="preserve">03, J02, </w:t>
      </w:r>
      <w:r w:rsidRPr="00A8783E">
        <w:rPr>
          <w:rFonts w:ascii="Times New Roman" w:hAnsi="Times New Roman"/>
          <w:sz w:val="24"/>
          <w:szCs w:val="24"/>
          <w:lang w:val="en-US" w:eastAsia="bg-BG"/>
        </w:rPr>
        <w:t>F</w:t>
      </w:r>
      <w:r w:rsidRPr="00A8783E">
        <w:rPr>
          <w:rFonts w:ascii="Times New Roman" w:hAnsi="Times New Roman"/>
          <w:sz w:val="24"/>
          <w:szCs w:val="24"/>
          <w:lang w:eastAsia="bg-BG"/>
        </w:rPr>
        <w:t>03. От тях няма валидни за зоната. Заплахи за вида в зоната са риболов с мрежени уреди (G12-Прилов и инцидентно убиване (при риболовни дейности), пожари в тръстиковите масиви.</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8"/>
        <w:gridCol w:w="1262"/>
        <w:gridCol w:w="1276"/>
        <w:gridCol w:w="2990"/>
        <w:gridCol w:w="2276"/>
      </w:tblGrid>
      <w:tr w:rsidR="00A8783E" w:rsidRPr="00A8783E" w:rsidTr="005B5318">
        <w:trPr>
          <w:tblHeader/>
          <w:jc w:val="center"/>
        </w:trPr>
        <w:tc>
          <w:tcPr>
            <w:tcW w:w="156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262"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99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56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мигриращата популация</w:t>
            </w:r>
          </w:p>
        </w:tc>
        <w:tc>
          <w:tcPr>
            <w:tcW w:w="126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w:t>
            </w:r>
            <w:r w:rsidRPr="00A8783E">
              <w:rPr>
                <w:rFonts w:ascii="Times New Roman" w:hAnsi="Times New Roman"/>
                <w:lang w:val="en-US"/>
              </w:rPr>
              <w:t xml:space="preserve">52 </w:t>
            </w:r>
            <w:r w:rsidRPr="00A8783E">
              <w:rPr>
                <w:rFonts w:ascii="Times New Roman" w:hAnsi="Times New Roman"/>
              </w:rPr>
              <w:t>инд.</w:t>
            </w:r>
          </w:p>
        </w:tc>
        <w:tc>
          <w:tcPr>
            <w:tcW w:w="299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 настоящия СФ (актуализиран през 2018 г.) за мигриращата популация е посочена численост от 52 инд. Липсват публикувани данни за концентрацията на вида в зоната по време на миграция.</w:t>
            </w:r>
          </w:p>
        </w:tc>
        <w:tc>
          <w:tcPr>
            <w:tcW w:w="2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trHeight w:val="606"/>
          <w:jc w:val="center"/>
        </w:trPr>
        <w:tc>
          <w:tcPr>
            <w:tcW w:w="156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зимуващата популацията</w:t>
            </w:r>
          </w:p>
        </w:tc>
        <w:tc>
          <w:tcPr>
            <w:tcW w:w="126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 инд.</w:t>
            </w:r>
          </w:p>
        </w:tc>
        <w:tc>
          <w:tcPr>
            <w:tcW w:w="299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 настоящия СФ е посоччена зимуваща численост от от до 55 инд. Предвид данните от плана за управление на резервата, както и данните от зимата на 2020 г., смятаме че тази численост е по-ниска от реалната. Количеството на спиращите по време на зимуване зимни бърнета силно зависи от метеорологичните условия. </w:t>
            </w:r>
          </w:p>
        </w:tc>
        <w:tc>
          <w:tcPr>
            <w:tcW w:w="2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Ежегодно преброяване на зимуващите зеленоглави патици в зоната в периода ноември-февруари, поне по един път месечно.</w:t>
            </w:r>
          </w:p>
        </w:tc>
      </w:tr>
      <w:tr w:rsidR="00A8783E" w:rsidRPr="00A8783E" w:rsidTr="005B5318">
        <w:trPr>
          <w:trHeight w:val="748"/>
          <w:jc w:val="center"/>
        </w:trPr>
        <w:tc>
          <w:tcPr>
            <w:tcW w:w="156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 xml:space="preserve">Площ на подходящите хранителни </w:t>
            </w:r>
            <w:r w:rsidRPr="00A8783E">
              <w:rPr>
                <w:rFonts w:ascii="Times New Roman" w:hAnsi="Times New Roman"/>
              </w:rPr>
              <w:lastRenderedPageBreak/>
              <w:t xml:space="preserve">местообитания на вида </w:t>
            </w:r>
          </w:p>
        </w:tc>
        <w:tc>
          <w:tcPr>
            <w:tcW w:w="1262"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rPr>
              <w:lastRenderedPageBreak/>
              <w:t>ha</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840 </w:t>
            </w:r>
          </w:p>
        </w:tc>
        <w:tc>
          <w:tcPr>
            <w:tcW w:w="299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През зимата се хранят основно със семена по брега на водоема или в плитките части.  Данните са взети от СФ като % на местообитание </w:t>
            </w:r>
            <w:r w:rsidRPr="00A8783E">
              <w:rPr>
                <w:rFonts w:ascii="Times New Roman" w:hAnsi="Times New Roman"/>
              </w:rPr>
              <w:lastRenderedPageBreak/>
              <w:t>N07 – мочурища и блата и N06 - вътрешни водни тела.</w:t>
            </w:r>
          </w:p>
        </w:tc>
        <w:tc>
          <w:tcPr>
            <w:tcW w:w="2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Поддържане на площта на подходящите хранителни местообитания на </w:t>
            </w:r>
            <w:r w:rsidRPr="00A8783E">
              <w:rPr>
                <w:rFonts w:ascii="Times New Roman" w:hAnsi="Times New Roman"/>
              </w:rPr>
              <w:lastRenderedPageBreak/>
              <w:t>вида в размер най-малко  840 ha. чрез поддържане на оптимално ниво на водата в езерото.</w:t>
            </w:r>
          </w:p>
        </w:tc>
      </w:tr>
      <w:tr w:rsidR="00A8783E" w:rsidRPr="00A8783E" w:rsidTr="005B5318">
        <w:trPr>
          <w:trHeight w:val="4197"/>
          <w:jc w:val="center"/>
        </w:trPr>
        <w:tc>
          <w:tcPr>
            <w:tcW w:w="156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lastRenderedPageBreak/>
              <w:t xml:space="preserve">Местообитание на вида: </w:t>
            </w:r>
            <w:r w:rsidRPr="00A8783E">
              <w:rPr>
                <w:rFonts w:ascii="Times New Roman" w:hAnsi="Times New Roman"/>
              </w:rPr>
              <w:t>Екологично състояние на водните тела с местообитания на вида – по биологичен елемент водни безгръбначни (JDS4-Aquatic Macroinvertebrates)</w:t>
            </w:r>
          </w:p>
        </w:tc>
        <w:tc>
          <w:tcPr>
            <w:tcW w:w="126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 степенна скала за екологично състояние</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1-Отлично/2-Добро</w:t>
            </w:r>
          </w:p>
        </w:tc>
        <w:tc>
          <w:tcPr>
            <w:tcW w:w="2990" w:type="dxa"/>
          </w:tcPr>
          <w:tbl>
            <w:tblPr>
              <w:tblW w:w="3081" w:type="dxa"/>
              <w:jc w:val="center"/>
              <w:tblLayout w:type="fixed"/>
              <w:tblCellMar>
                <w:left w:w="70" w:type="dxa"/>
                <w:right w:w="70" w:type="dxa"/>
              </w:tblCellMar>
              <w:tblLook w:val="00A0" w:firstRow="1" w:lastRow="0" w:firstColumn="1" w:lastColumn="0" w:noHBand="0" w:noVBand="0"/>
            </w:tblPr>
            <w:tblGrid>
              <w:gridCol w:w="3081"/>
            </w:tblGrid>
            <w:tr w:rsidR="00A8783E" w:rsidRPr="00A8783E" w:rsidTr="005B5318">
              <w:trPr>
                <w:trHeight w:val="58"/>
                <w:jc w:val="center"/>
              </w:trPr>
              <w:tc>
                <w:tcPr>
                  <w:tcW w:w="3081"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142"/>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70"/>
                <w:jc w:val="center"/>
              </w:trPr>
              <w:tc>
                <w:tcPr>
                  <w:tcW w:w="3081"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142"/>
                    <w:rPr>
                      <w:rFonts w:ascii="Times New Roman" w:hAnsi="Times New Roman"/>
                    </w:rPr>
                  </w:pPr>
                  <w:r w:rsidRPr="00A8783E">
                    <w:rPr>
                      <w:rFonts w:ascii="Times New Roman" w:hAnsi="Times New Roman"/>
                    </w:rPr>
                    <w:t>1-Отлично</w:t>
                  </w:r>
                </w:p>
              </w:tc>
            </w:tr>
            <w:tr w:rsidR="00A8783E" w:rsidRPr="00A8783E" w:rsidTr="005B5318">
              <w:trPr>
                <w:trHeight w:val="270"/>
                <w:jc w:val="center"/>
              </w:trPr>
              <w:tc>
                <w:tcPr>
                  <w:tcW w:w="3081"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142"/>
                    <w:rPr>
                      <w:rFonts w:ascii="Times New Roman" w:hAnsi="Times New Roman"/>
                    </w:rPr>
                  </w:pPr>
                  <w:r w:rsidRPr="00A8783E">
                    <w:rPr>
                      <w:rFonts w:ascii="Times New Roman" w:hAnsi="Times New Roman"/>
                    </w:rPr>
                    <w:t>2-Добро</w:t>
                  </w:r>
                </w:p>
              </w:tc>
            </w:tr>
            <w:tr w:rsidR="00A8783E" w:rsidRPr="00A8783E" w:rsidTr="005B5318">
              <w:trPr>
                <w:trHeight w:val="270"/>
                <w:jc w:val="center"/>
              </w:trPr>
              <w:tc>
                <w:tcPr>
                  <w:tcW w:w="3081"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142"/>
                    <w:rPr>
                      <w:rFonts w:ascii="Times New Roman" w:hAnsi="Times New Roman"/>
                    </w:rPr>
                  </w:pPr>
                  <w:r w:rsidRPr="00A8783E">
                    <w:rPr>
                      <w:rFonts w:ascii="Times New Roman" w:hAnsi="Times New Roman"/>
                    </w:rPr>
                    <w:t>3-Умерено</w:t>
                  </w:r>
                </w:p>
              </w:tc>
            </w:tr>
            <w:tr w:rsidR="00A8783E" w:rsidRPr="00A8783E" w:rsidTr="005B5318">
              <w:trPr>
                <w:trHeight w:val="270"/>
                <w:jc w:val="center"/>
              </w:trPr>
              <w:tc>
                <w:tcPr>
                  <w:tcW w:w="3081"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142"/>
                    <w:rPr>
                      <w:rFonts w:ascii="Times New Roman" w:hAnsi="Times New Roman"/>
                    </w:rPr>
                  </w:pPr>
                  <w:r w:rsidRPr="00A8783E">
                    <w:rPr>
                      <w:rFonts w:ascii="Times New Roman" w:hAnsi="Times New Roman"/>
                    </w:rPr>
                    <w:t>4-Лошо</w:t>
                  </w:r>
                </w:p>
              </w:tc>
            </w:tr>
            <w:tr w:rsidR="00A8783E" w:rsidRPr="00A8783E" w:rsidTr="005B5318">
              <w:trPr>
                <w:trHeight w:val="270"/>
                <w:jc w:val="center"/>
              </w:trPr>
              <w:tc>
                <w:tcPr>
                  <w:tcW w:w="3081"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142"/>
                    <w:rPr>
                      <w:rFonts w:ascii="Times New Roman" w:hAnsi="Times New Roman"/>
                    </w:rPr>
                  </w:pPr>
                  <w:r w:rsidRPr="00A8783E">
                    <w:rPr>
                      <w:rFonts w:ascii="Times New Roman" w:hAnsi="Times New Roman"/>
                    </w:rPr>
                    <w:t>5-Много лошо</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на р. Дунав в пункт „Силистра“ е оценено на </w:t>
            </w:r>
            <w:r w:rsidRPr="00A8783E">
              <w:rPr>
                <w:rFonts w:ascii="Times New Roman" w:hAnsi="Times New Roman"/>
                <w:b/>
                <w:bCs/>
              </w:rPr>
              <w:t xml:space="preserve">умерено (3) </w:t>
            </w:r>
            <w:r w:rsidRPr="00A8783E">
              <w:rPr>
                <w:rFonts w:ascii="Times New Roman" w:hAnsi="Times New Roman"/>
              </w:rPr>
              <w:t>според доклада на JDS4 (2019-2020, табл. 1, стр. 62).</w:t>
            </w:r>
            <w:r w:rsidRPr="00A8783E">
              <w:rPr>
                <w:rFonts w:cs="Calibri"/>
              </w:rPr>
              <w:t xml:space="preserve"> </w:t>
            </w:r>
            <w:r w:rsidRPr="00A8783E">
              <w:rPr>
                <w:rFonts w:ascii="Times New Roman" w:hAnsi="Times New Roman"/>
              </w:rPr>
              <w:t xml:space="preserve">поред данните от биологичния мониторинг на повърхностните води през 2020 г. ЕС на ез. Сребърна е определено като </w:t>
            </w:r>
            <w:r w:rsidRPr="00A8783E">
              <w:rPr>
                <w:rFonts w:ascii="Times New Roman" w:hAnsi="Times New Roman"/>
                <w:b/>
                <w:bCs/>
              </w:rPr>
              <w:t>Отлично</w:t>
            </w:r>
            <w:r w:rsidRPr="00A8783E">
              <w:rPr>
                <w:rFonts w:ascii="Times New Roman" w:hAnsi="Times New Roman"/>
              </w:rPr>
              <w:t xml:space="preserve"> по БЕК Макрозообентос.</w:t>
            </w:r>
          </w:p>
        </w:tc>
        <w:tc>
          <w:tcPr>
            <w:tcW w:w="2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60" w:line="259" w:lineRule="auto"/>
      </w:pPr>
    </w:p>
    <w:p w:rsidR="00A8783E" w:rsidRPr="00A8783E" w:rsidRDefault="00A8783E" w:rsidP="00A8783E">
      <w:pPr>
        <w:spacing w:after="0" w:line="259" w:lineRule="auto"/>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numPr>
          <w:ilvl w:val="0"/>
          <w:numId w:val="26"/>
        </w:numPr>
        <w:spacing w:after="0" w:line="259" w:lineRule="auto"/>
        <w:rPr>
          <w:rFonts w:ascii="Times New Roman" w:hAnsi="Times New Roman"/>
          <w:sz w:val="24"/>
          <w:szCs w:val="24"/>
        </w:rPr>
      </w:pPr>
      <w:r w:rsidRPr="00A8783E">
        <w:rPr>
          <w:rFonts w:ascii="Times New Roman" w:hAnsi="Times New Roman"/>
          <w:sz w:val="24"/>
          <w:szCs w:val="24"/>
        </w:rPr>
        <w:t xml:space="preserve">По отношение на зимуващата популация предлагаме промяна на числеността – </w:t>
      </w:r>
    </w:p>
    <w:p w:rsidR="00A8783E" w:rsidRPr="00A8783E" w:rsidRDefault="00A8783E" w:rsidP="00A8783E">
      <w:pPr>
        <w:spacing w:after="0" w:line="259" w:lineRule="auto"/>
        <w:ind w:left="720"/>
        <w:jc w:val="both"/>
        <w:rPr>
          <w:rFonts w:ascii="Times New Roman" w:hAnsi="Times New Roman"/>
          <w:sz w:val="24"/>
          <w:szCs w:val="24"/>
        </w:rPr>
      </w:pPr>
      <w:r w:rsidRPr="00A8783E">
        <w:rPr>
          <w:rFonts w:ascii="Times New Roman" w:hAnsi="Times New Roman"/>
          <w:sz w:val="24"/>
          <w:szCs w:val="24"/>
        </w:rPr>
        <w:t xml:space="preserve">1-638 инд., на база на това, че през 2012 г. са отчетени 638 инд. Поради по-топлите зими през последните години броят на зимуващите патици през зимата в резервата се увеличава; </w:t>
      </w:r>
    </w:p>
    <w:p w:rsidR="00A8783E" w:rsidRPr="00A8783E" w:rsidRDefault="00A8783E" w:rsidP="00A8783E">
      <w:pPr>
        <w:numPr>
          <w:ilvl w:val="0"/>
          <w:numId w:val="26"/>
        </w:numPr>
        <w:spacing w:after="160" w:line="259" w:lineRule="auto"/>
        <w:rPr>
          <w:rFonts w:ascii="Times New Roman" w:hAnsi="Times New Roman"/>
          <w:sz w:val="24"/>
          <w:szCs w:val="24"/>
        </w:rPr>
      </w:pPr>
      <w:r w:rsidRPr="00A8783E">
        <w:rPr>
          <w:rFonts w:ascii="Times New Roman" w:hAnsi="Times New Roman"/>
          <w:sz w:val="24"/>
          <w:szCs w:val="24"/>
        </w:rPr>
        <w:t>По отношение на оценката на популацията и общата оценка – да се коригират от „С“ на „В“ (в зоната се опазват 2-15% от националната популация).</w:t>
      </w:r>
    </w:p>
    <w:p w:rsidR="00A8783E" w:rsidRPr="00A8783E" w:rsidRDefault="00A8783E" w:rsidP="00A8783E">
      <w:pPr>
        <w:spacing w:after="160" w:line="259" w:lineRule="auto"/>
        <w:ind w:left="720"/>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
        <w:gridCol w:w="670"/>
        <w:gridCol w:w="1023"/>
        <w:gridCol w:w="329"/>
        <w:gridCol w:w="488"/>
        <w:gridCol w:w="215"/>
        <w:gridCol w:w="213"/>
        <w:gridCol w:w="572"/>
        <w:gridCol w:w="615"/>
        <w:gridCol w:w="604"/>
        <w:gridCol w:w="585"/>
        <w:gridCol w:w="853"/>
        <w:gridCol w:w="501"/>
        <w:gridCol w:w="499"/>
        <w:gridCol w:w="632"/>
        <w:gridCol w:w="528"/>
        <w:gridCol w:w="586"/>
      </w:tblGrid>
      <w:tr w:rsidR="00A8783E" w:rsidRPr="00A8783E" w:rsidTr="005B5318">
        <w:trPr>
          <w:jc w:val="center"/>
        </w:trPr>
        <w:tc>
          <w:tcPr>
            <w:tcW w:w="1676" w:type="pct"/>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Species</w:t>
            </w:r>
          </w:p>
        </w:tc>
        <w:tc>
          <w:tcPr>
            <w:tcW w:w="2113" w:type="pct"/>
            <w:gridSpan w:val="7"/>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Population in the site</w:t>
            </w:r>
          </w:p>
        </w:tc>
        <w:tc>
          <w:tcPr>
            <w:tcW w:w="1211" w:type="pct"/>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Site assessment</w:t>
            </w:r>
          </w:p>
        </w:tc>
      </w:tr>
      <w:tr w:rsidR="00A8783E" w:rsidRPr="00A8783E" w:rsidTr="005B5318">
        <w:trPr>
          <w:jc w:val="center"/>
        </w:trPr>
        <w:tc>
          <w:tcPr>
            <w:tcW w:w="203"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G</w:t>
            </w:r>
          </w:p>
        </w:tc>
        <w:tc>
          <w:tcPr>
            <w:tcW w:w="362"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Code</w:t>
            </w:r>
          </w:p>
        </w:tc>
        <w:tc>
          <w:tcPr>
            <w:tcW w:w="552"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Scientific Name</w:t>
            </w:r>
          </w:p>
        </w:tc>
        <w:tc>
          <w:tcPr>
            <w:tcW w:w="178"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w:t>
            </w:r>
          </w:p>
        </w:tc>
        <w:tc>
          <w:tcPr>
            <w:tcW w:w="264"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NP</w:t>
            </w:r>
          </w:p>
        </w:tc>
        <w:tc>
          <w:tcPr>
            <w:tcW w:w="233" w:type="pct"/>
            <w:gridSpan w:val="2"/>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T</w:t>
            </w:r>
          </w:p>
        </w:tc>
        <w:tc>
          <w:tcPr>
            <w:tcW w:w="625"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Size</w:t>
            </w:r>
          </w:p>
        </w:tc>
        <w:tc>
          <w:tcPr>
            <w:tcW w:w="326"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Unit</w:t>
            </w:r>
          </w:p>
        </w:tc>
        <w:tc>
          <w:tcPr>
            <w:tcW w:w="316"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Cat.</w:t>
            </w:r>
          </w:p>
        </w:tc>
        <w:tc>
          <w:tcPr>
            <w:tcW w:w="460"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D.qual.</w:t>
            </w:r>
          </w:p>
        </w:tc>
        <w:tc>
          <w:tcPr>
            <w:tcW w:w="539"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A/B/C/D</w:t>
            </w:r>
          </w:p>
        </w:tc>
        <w:tc>
          <w:tcPr>
            <w:tcW w:w="942" w:type="pct"/>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A/B/C</w:t>
            </w:r>
          </w:p>
        </w:tc>
      </w:tr>
      <w:tr w:rsidR="00A8783E" w:rsidRPr="00A8783E" w:rsidTr="005B5318">
        <w:trPr>
          <w:jc w:val="center"/>
        </w:trPr>
        <w:tc>
          <w:tcPr>
            <w:tcW w:w="203"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en-GB"/>
              </w:rPr>
            </w:pPr>
          </w:p>
        </w:tc>
        <w:tc>
          <w:tcPr>
            <w:tcW w:w="362"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en-GB"/>
              </w:rPr>
            </w:pPr>
          </w:p>
        </w:tc>
        <w:tc>
          <w:tcPr>
            <w:tcW w:w="552"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en-GB"/>
              </w:rPr>
            </w:pPr>
          </w:p>
        </w:tc>
        <w:tc>
          <w:tcPr>
            <w:tcW w:w="178"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en-GB"/>
              </w:rPr>
            </w:pPr>
          </w:p>
        </w:tc>
        <w:tc>
          <w:tcPr>
            <w:tcW w:w="264"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233" w:type="pct"/>
            <w:gridSpan w:val="2"/>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293"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Min</w:t>
            </w:r>
          </w:p>
        </w:tc>
        <w:tc>
          <w:tcPr>
            <w:tcW w:w="332"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Max</w:t>
            </w:r>
          </w:p>
        </w:tc>
        <w:tc>
          <w:tcPr>
            <w:tcW w:w="326"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316"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460"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539"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Pop.</w:t>
            </w:r>
          </w:p>
        </w:tc>
        <w:tc>
          <w:tcPr>
            <w:tcW w:w="341"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Con.</w:t>
            </w:r>
          </w:p>
        </w:tc>
        <w:tc>
          <w:tcPr>
            <w:tcW w:w="285"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Iso.</w:t>
            </w:r>
          </w:p>
        </w:tc>
        <w:tc>
          <w:tcPr>
            <w:tcW w:w="316"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Glo.</w:t>
            </w:r>
          </w:p>
        </w:tc>
      </w:tr>
      <w:tr w:rsidR="00A8783E" w:rsidRPr="00A8783E" w:rsidTr="005B5318">
        <w:trPr>
          <w:jc w:val="center"/>
        </w:trPr>
        <w:tc>
          <w:tcPr>
            <w:tcW w:w="203" w:type="pct"/>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sz w:val="20"/>
                <w:szCs w:val="20"/>
                <w:lang w:val="en-US" w:eastAsia="en-GB"/>
              </w:rPr>
              <w:t>B</w:t>
            </w:r>
          </w:p>
        </w:tc>
        <w:tc>
          <w:tcPr>
            <w:tcW w:w="362"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A052</w:t>
            </w:r>
          </w:p>
        </w:tc>
        <w:tc>
          <w:tcPr>
            <w:tcW w:w="552" w:type="pct"/>
            <w:vAlign w:val="center"/>
          </w:tcPr>
          <w:p w:rsidR="00A8783E" w:rsidRPr="00A8783E" w:rsidRDefault="00A8783E" w:rsidP="00A8783E">
            <w:pPr>
              <w:spacing w:after="0" w:line="240" w:lineRule="auto"/>
              <w:rPr>
                <w:rFonts w:ascii="Times New Roman" w:hAnsi="Times New Roman"/>
                <w:i/>
                <w:iCs/>
                <w:sz w:val="20"/>
                <w:szCs w:val="20"/>
                <w:lang w:val="en-US" w:eastAsia="en-GB"/>
              </w:rPr>
            </w:pPr>
            <w:r w:rsidRPr="00A8783E">
              <w:rPr>
                <w:rFonts w:ascii="Times New Roman" w:hAnsi="Times New Roman"/>
                <w:i/>
                <w:iCs/>
                <w:sz w:val="20"/>
                <w:szCs w:val="20"/>
                <w:lang w:val="en-US" w:eastAsia="en-GB"/>
              </w:rPr>
              <w:t>Anas crecca</w:t>
            </w:r>
          </w:p>
        </w:tc>
        <w:tc>
          <w:tcPr>
            <w:tcW w:w="178" w:type="pct"/>
            <w:vAlign w:val="center"/>
          </w:tcPr>
          <w:p w:rsidR="00A8783E" w:rsidRPr="00A8783E" w:rsidRDefault="00A8783E" w:rsidP="00A8783E">
            <w:pPr>
              <w:spacing w:after="0" w:line="240" w:lineRule="auto"/>
              <w:rPr>
                <w:rFonts w:ascii="Times New Roman" w:hAnsi="Times New Roman"/>
                <w:sz w:val="20"/>
                <w:szCs w:val="20"/>
                <w:lang w:eastAsia="en-GB"/>
              </w:rPr>
            </w:pPr>
          </w:p>
        </w:tc>
        <w:tc>
          <w:tcPr>
            <w:tcW w:w="264" w:type="pct"/>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233" w:type="pct"/>
            <w:gridSpan w:val="2"/>
            <w:vAlign w:val="center"/>
          </w:tcPr>
          <w:p w:rsidR="00A8783E" w:rsidRPr="00A8783E" w:rsidRDefault="00A8783E" w:rsidP="00A8783E">
            <w:pPr>
              <w:spacing w:after="0" w:line="240"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w</w:t>
            </w:r>
          </w:p>
        </w:tc>
        <w:tc>
          <w:tcPr>
            <w:tcW w:w="293" w:type="pct"/>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eastAsia="en-GB"/>
              </w:rPr>
              <w:t>1</w:t>
            </w:r>
          </w:p>
        </w:tc>
        <w:tc>
          <w:tcPr>
            <w:tcW w:w="332" w:type="pct"/>
            <w:vAlign w:val="center"/>
          </w:tcPr>
          <w:p w:rsidR="00A8783E" w:rsidRPr="00A8783E" w:rsidRDefault="00A8783E" w:rsidP="00A8783E">
            <w:pPr>
              <w:spacing w:after="0" w:line="240" w:lineRule="auto"/>
              <w:rPr>
                <w:rFonts w:ascii="Times New Roman" w:hAnsi="Times New Roman"/>
                <w:b/>
                <w:bCs/>
                <w:color w:val="FF0000"/>
                <w:sz w:val="20"/>
                <w:szCs w:val="20"/>
              </w:rPr>
            </w:pPr>
            <w:r w:rsidRPr="00A8783E">
              <w:rPr>
                <w:rFonts w:ascii="Times New Roman" w:hAnsi="Times New Roman"/>
                <w:b/>
                <w:bCs/>
                <w:color w:val="FF0000"/>
                <w:sz w:val="20"/>
                <w:szCs w:val="20"/>
              </w:rPr>
              <w:t>638</w:t>
            </w:r>
          </w:p>
        </w:tc>
        <w:tc>
          <w:tcPr>
            <w:tcW w:w="326" w:type="pct"/>
            <w:vAlign w:val="center"/>
          </w:tcPr>
          <w:p w:rsidR="00A8783E" w:rsidRPr="00A8783E" w:rsidRDefault="00A8783E" w:rsidP="00A8783E">
            <w:pPr>
              <w:spacing w:after="0" w:line="240"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i</w:t>
            </w:r>
          </w:p>
        </w:tc>
        <w:tc>
          <w:tcPr>
            <w:tcW w:w="316" w:type="pct"/>
            <w:vAlign w:val="center"/>
          </w:tcPr>
          <w:p w:rsidR="00A8783E" w:rsidRPr="00A8783E" w:rsidRDefault="00A8783E" w:rsidP="00A8783E">
            <w:pPr>
              <w:spacing w:after="0" w:line="240" w:lineRule="auto"/>
              <w:rPr>
                <w:rFonts w:ascii="Times New Roman" w:hAnsi="Times New Roman"/>
                <w:b/>
                <w:bCs/>
                <w:color w:val="000000"/>
                <w:sz w:val="20"/>
                <w:szCs w:val="20"/>
                <w:lang w:eastAsia="en-GB"/>
              </w:rPr>
            </w:pPr>
          </w:p>
        </w:tc>
        <w:tc>
          <w:tcPr>
            <w:tcW w:w="460" w:type="pct"/>
            <w:vAlign w:val="center"/>
          </w:tcPr>
          <w:p w:rsidR="00A8783E" w:rsidRPr="00A8783E" w:rsidRDefault="00A8783E" w:rsidP="00A8783E">
            <w:pPr>
              <w:spacing w:after="0" w:line="240"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G</w:t>
            </w:r>
          </w:p>
        </w:tc>
        <w:tc>
          <w:tcPr>
            <w:tcW w:w="539" w:type="pct"/>
            <w:gridSpan w:val="2"/>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b/>
                <w:bCs/>
                <w:color w:val="FF0000"/>
                <w:sz w:val="20"/>
                <w:szCs w:val="20"/>
                <w:lang w:val="en-US"/>
              </w:rPr>
              <w:t>B</w:t>
            </w:r>
          </w:p>
        </w:tc>
        <w:tc>
          <w:tcPr>
            <w:tcW w:w="341"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B</w:t>
            </w:r>
          </w:p>
        </w:tc>
        <w:tc>
          <w:tcPr>
            <w:tcW w:w="285"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C</w:t>
            </w:r>
          </w:p>
        </w:tc>
        <w:tc>
          <w:tcPr>
            <w:tcW w:w="316" w:type="pct"/>
            <w:vAlign w:val="center"/>
          </w:tcPr>
          <w:p w:rsidR="00A8783E" w:rsidRPr="00A8783E" w:rsidRDefault="00A8783E" w:rsidP="00A8783E">
            <w:pPr>
              <w:spacing w:after="0" w:line="240"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B</w:t>
            </w:r>
          </w:p>
        </w:tc>
      </w:tr>
    </w:tbl>
    <w:p w:rsidR="00A8783E" w:rsidRPr="00A8783E" w:rsidRDefault="00A8783E" w:rsidP="00A8783E">
      <w:pPr>
        <w:spacing w:after="160" w:line="259" w:lineRule="auto"/>
        <w:ind w:left="720"/>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196" w:name="_Toc89106083"/>
      <w:bookmarkStart w:id="197" w:name="_Toc98741922"/>
      <w:bookmarkStart w:id="198" w:name="_Toc98838597"/>
      <w:r w:rsidRPr="00A8783E">
        <w:rPr>
          <w:rFonts w:ascii="Times New Roman" w:hAnsi="Times New Roman"/>
          <w:color w:val="1F497D"/>
          <w:sz w:val="28"/>
          <w:szCs w:val="28"/>
        </w:rPr>
        <w:t xml:space="preserve">Специфични цели за А053 </w:t>
      </w:r>
      <w:r w:rsidRPr="00A8783E">
        <w:rPr>
          <w:rFonts w:ascii="Times New Roman" w:hAnsi="Times New Roman"/>
          <w:i/>
          <w:iCs/>
          <w:color w:val="1F497D"/>
          <w:sz w:val="28"/>
          <w:szCs w:val="28"/>
        </w:rPr>
        <w:t>А</w:t>
      </w:r>
      <w:r w:rsidRPr="00A8783E">
        <w:rPr>
          <w:rFonts w:ascii="Times New Roman" w:hAnsi="Times New Roman"/>
          <w:i/>
          <w:iCs/>
          <w:color w:val="1F497D"/>
          <w:sz w:val="28"/>
          <w:szCs w:val="28"/>
          <w:lang w:val="en-US"/>
        </w:rPr>
        <w:t>nas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platyrhynchos</w:t>
      </w:r>
      <w:r w:rsidRPr="00A8783E">
        <w:rPr>
          <w:rFonts w:ascii="Times New Roman" w:hAnsi="Times New Roman"/>
          <w:color w:val="1F497D"/>
          <w:sz w:val="28"/>
          <w:szCs w:val="28"/>
        </w:rPr>
        <w:t xml:space="preserve"> (зеленоглава патица)</w:t>
      </w:r>
      <w:bookmarkEnd w:id="196"/>
      <w:bookmarkEnd w:id="197"/>
      <w:bookmarkEnd w:id="198"/>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Дължината на тялото: 50-65 cm, размах на крилата: 81-98 cm. (</w:t>
      </w:r>
      <w:r w:rsidRPr="00A8783E">
        <w:rPr>
          <w:rFonts w:ascii="Times New Roman" w:hAnsi="Times New Roman"/>
          <w:sz w:val="24"/>
          <w:szCs w:val="24"/>
          <w:lang w:val="en-US"/>
        </w:rPr>
        <w:t>Cramp</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Simmons</w:t>
      </w:r>
      <w:r w:rsidRPr="00A8783E">
        <w:rPr>
          <w:rFonts w:ascii="Times New Roman" w:hAnsi="Times New Roman"/>
          <w:sz w:val="24"/>
          <w:szCs w:val="24"/>
        </w:rPr>
        <w:t xml:space="preserve">, 1977; </w:t>
      </w:r>
      <w:r w:rsidRPr="00A8783E">
        <w:rPr>
          <w:rFonts w:ascii="Times New Roman" w:hAnsi="Times New Roman"/>
          <w:sz w:val="24"/>
          <w:szCs w:val="24"/>
          <w:lang w:val="en-US"/>
        </w:rPr>
        <w:t>Svensson</w:t>
      </w:r>
      <w:r w:rsidRPr="00A8783E">
        <w:rPr>
          <w:rFonts w:ascii="Times New Roman" w:hAnsi="Times New Roman"/>
          <w:sz w:val="24"/>
          <w:szCs w:val="24"/>
        </w:rPr>
        <w:t xml:space="preserve">, 2013). Налице е ясен полов диморфизъм. При мъжкия оперението е сиво, с черен гръб, тъмнозелена глава и тъмнокафяви гърди. Крилното огледало е синьо-виолетово с чернобели кантове.  Клюнът е жълт, краката оранжеви. Женската е със защитно кафеникаво оперение. Ловен обект.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Зеленоглавата патица у нас е гнездящ, постоянен вид, а също преминаващ по време на миграция и зимуващ. След гнездовия период местните птици формират големи ята и се концентрират на недостъпни места за линеене.</w:t>
      </w:r>
      <w:r w:rsidRPr="00A8783E">
        <w:rPr>
          <w:rFonts w:cs="Calibri"/>
        </w:rPr>
        <w:t xml:space="preserve"> </w:t>
      </w:r>
      <w:r w:rsidRPr="00A8783E">
        <w:rPr>
          <w:rFonts w:ascii="Times New Roman" w:hAnsi="Times New Roman"/>
          <w:sz w:val="24"/>
          <w:szCs w:val="24"/>
        </w:rPr>
        <w:t xml:space="preserve">През есента и зимата големи, хилядни ята от този вид, често смесени с други видове патици, долитат от по-северни популации. Пролетната миграция е от началото на февруари до края на април. Есенната миграция е от началото на септември до ноември. През зимата въпреки замръзването на водоемите голяма част от зеленоглавите патици остават у нас и прекарват тук до пролетта.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Зеленоглавата патица е много пластичен вид по отношение на гнездовото си местообитание. Гнезди в и около всякакъв тип водоеми, често и доста далеч от тях –на няколкостотин метра. Най-често гнезди всред водната растителност (тръстика, папур, камъш) в и по периферията на блата, езера, реки, обрасли с водна растителност язовири и рибарници. Често гнезди и в наводнени върбалаци и равнинни дъбови, ясенови или брястови гори покрай реките. Обича и стари речни корита обрасли с тръстика или папур. Среща се дори около напоителни канали. По време на миграция и зимуване се среща във всякакви типове влажни зони, но главно в сладководни езера, блата, мочурища, всякакви по размер язовири, реки, в бракични и солени езера. Подходящи гнездови местообитания за вида са 91</w:t>
      </w:r>
      <w:r w:rsidRPr="00A8783E">
        <w:rPr>
          <w:rFonts w:ascii="Times New Roman" w:hAnsi="Times New Roman"/>
          <w:sz w:val="24"/>
          <w:szCs w:val="24"/>
          <w:lang w:val="en-US"/>
        </w:rPr>
        <w:t>F</w:t>
      </w:r>
      <w:r w:rsidRPr="00A8783E">
        <w:rPr>
          <w:rFonts w:ascii="Times New Roman" w:hAnsi="Times New Roman"/>
          <w:sz w:val="24"/>
          <w:szCs w:val="24"/>
        </w:rPr>
        <w:t>0, 91</w:t>
      </w:r>
      <w:r w:rsidRPr="00A8783E">
        <w:rPr>
          <w:rFonts w:ascii="Times New Roman" w:hAnsi="Times New Roman"/>
          <w:sz w:val="24"/>
          <w:szCs w:val="24"/>
          <w:lang w:val="en-US"/>
        </w:rPr>
        <w:t>E</w:t>
      </w:r>
      <w:r w:rsidRPr="00A8783E">
        <w:rPr>
          <w:rFonts w:ascii="Times New Roman" w:hAnsi="Times New Roman"/>
          <w:sz w:val="24"/>
          <w:szCs w:val="24"/>
        </w:rPr>
        <w:t>0, 92</w:t>
      </w:r>
      <w:r w:rsidRPr="00A8783E">
        <w:rPr>
          <w:rFonts w:ascii="Times New Roman" w:hAnsi="Times New Roman"/>
          <w:sz w:val="24"/>
          <w:szCs w:val="24"/>
          <w:lang w:val="en-US"/>
        </w:rPr>
        <w:t>A</w:t>
      </w:r>
      <w:r w:rsidRPr="00A8783E">
        <w:rPr>
          <w:rFonts w:ascii="Times New Roman" w:hAnsi="Times New Roman"/>
          <w:sz w:val="24"/>
          <w:szCs w:val="24"/>
        </w:rPr>
        <w:t>0, 3140, 3150 , 3260 и 3270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Зеленоглавата патица има твърде широк хранителен спектър включващ голямо разнообразие от растителни и животински храни. Семена и зелени части на околоводни и сухоземни растения яде главно в есенно-зимния период и ранна пролет. Яде и различни видове висши водни растения. Понякога се храни и в житните и други /рапица, ориз/ посеви, особено нощем. Животински храни яде повече през пролетта и лятото. Животинската храна включва двукрили /главно хирономиди/ и техните ларви, еднодневки, ракообразни, бръмбари, водни кончета, ручейници, правокрили, миди (</w:t>
      </w:r>
      <w:r w:rsidRPr="00A8783E">
        <w:rPr>
          <w:rFonts w:ascii="Times New Roman" w:hAnsi="Times New Roman"/>
          <w:sz w:val="24"/>
          <w:szCs w:val="24"/>
          <w:lang w:val="en-US"/>
        </w:rPr>
        <w:t>Cramp</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Simmons</w:t>
      </w:r>
      <w:r w:rsidRPr="00A8783E">
        <w:rPr>
          <w:rFonts w:ascii="Times New Roman" w:hAnsi="Times New Roman"/>
          <w:sz w:val="24"/>
          <w:szCs w:val="24"/>
        </w:rPr>
        <w:t xml:space="preserve"> </w:t>
      </w:r>
      <w:r w:rsidRPr="00A8783E">
        <w:rPr>
          <w:rFonts w:ascii="Times New Roman" w:hAnsi="Times New Roman"/>
          <w:sz w:val="24"/>
          <w:szCs w:val="24"/>
          <w:lang w:val="en-US"/>
        </w:rPr>
        <w:t>eds</w:t>
      </w:r>
      <w:r w:rsidRPr="00A8783E">
        <w:rPr>
          <w:rFonts w:ascii="Times New Roman" w:hAnsi="Times New Roman"/>
          <w:sz w:val="24"/>
          <w:szCs w:val="24"/>
        </w:rPr>
        <w:t xml:space="preserve">., 1977).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Гнезди в цялата страна, докъм 1500 </w:t>
      </w:r>
      <w:r w:rsidRPr="00A8783E">
        <w:rPr>
          <w:rFonts w:ascii="Times New Roman" w:hAnsi="Times New Roman"/>
          <w:sz w:val="24"/>
          <w:szCs w:val="24"/>
          <w:lang w:val="en-US"/>
        </w:rPr>
        <w:t>m</w:t>
      </w:r>
      <w:r w:rsidRPr="00A8783E">
        <w:rPr>
          <w:rFonts w:ascii="Times New Roman" w:hAnsi="Times New Roman"/>
          <w:sz w:val="24"/>
          <w:szCs w:val="24"/>
        </w:rPr>
        <w:t xml:space="preserve"> н. в.</w:t>
      </w:r>
      <w:r w:rsidRPr="00A8783E">
        <w:rPr>
          <w:rFonts w:ascii="Times New Roman" w:hAnsi="Times New Roman"/>
          <w:b/>
          <w:bCs/>
          <w:sz w:val="24"/>
          <w:szCs w:val="24"/>
        </w:rPr>
        <w:t xml:space="preserve"> </w:t>
      </w:r>
      <w:r w:rsidRPr="00A8783E">
        <w:rPr>
          <w:rFonts w:ascii="Times New Roman" w:hAnsi="Times New Roman"/>
          <w:sz w:val="24"/>
          <w:szCs w:val="24"/>
        </w:rPr>
        <w:t>Като гнездящ вид е многочислен и повсеместно разпространен из влажните зони (Янков ред., 2007). В крайдунавските влажни зони за периода 2006 – 2014 г. числеността е определена на около 84-148 двойки, като това не включва гнездящите двойки в крайречните гори и в затоните по островите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2019). Посочена е положителна тенденция в числеността. Според докладването по чл.12 от 2019 г. гнездовата популация в страната се оценява на   2500-4500 двойки без ясно изразена тенденция и със стабилна численост и разпространение.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Зеленоглавата патица зимува в цялата страна. Зимните концентрации често надхвърлят 2000-3000 екз. във водоеми като Атанасовското езеро, Шабленското езеро, ез. Дуранкулак, яз. Жребчево, яз. Огоста, яз. Горни Дъбник, ез. Сребърна, яз. Овчарица, яз. Розов кладенец и др. Числеността на зимуващите у нас зеленоглави патици според Докладването по чл.12 е между 30 000 и 80 000 екз. Няма ясна тенденция, числеността е стабилна, а в дългосрочен план -  флуктуираща.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време на миграция зеленоглавите патици преминават над цялата страна, като най-висока численост имат по Черноморието и по р. Дунав. Според докладването по чл. 12 </w:t>
      </w:r>
      <w:r w:rsidRPr="00A8783E">
        <w:rPr>
          <w:rFonts w:ascii="Times New Roman" w:hAnsi="Times New Roman"/>
          <w:sz w:val="24"/>
          <w:szCs w:val="24"/>
        </w:rPr>
        <w:lastRenderedPageBreak/>
        <w:t xml:space="preserve">понастоящем миграционната численост на вида е в рамките на 5000 – 10 000 </w:t>
      </w:r>
      <w:r w:rsidRPr="00A8783E">
        <w:rPr>
          <w:rFonts w:ascii="Times New Roman" w:hAnsi="Times New Roman"/>
          <w:sz w:val="24"/>
          <w:szCs w:val="24"/>
          <w:lang w:val="en-US"/>
        </w:rPr>
        <w:t>e</w:t>
      </w:r>
      <w:r w:rsidRPr="00A8783E">
        <w:rPr>
          <w:rFonts w:ascii="Times New Roman" w:hAnsi="Times New Roman"/>
          <w:sz w:val="24"/>
          <w:szCs w:val="24"/>
        </w:rPr>
        <w:t xml:space="preserve">кз. Тази численост е твърде занижена, особено на фона на зимната численост, която нерядко не е максималната сезонна численост за страната. Специални проучвания по този въпроса за броя на мигриращите зеленоглави патици у нас не са провеждани.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При докладването по чл.12 не са посочени заплахи за вида по време на гнездовия период. Всъщност за вида отрицателно действащи фактори са отводняването на влажни зони, черпенето на водни ресурси за напояване, речните корекции и дигирането на реките, резките промени в нивото на язовири, вътрешни реки и р. Дунав в резултат на работата на хидротехнически съоръжения, безпокойството в местата за гнездене и бракониерския отстрел. Хабитатите на вида са застрашени и от палене на пожари. Крайречните гори са подложени на поголовна сеч.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Според докладването по чл.12 от 2019 г. единствените посочени заплахи за вида по време на миграция и зимуване са екстракцията на нефт и газ и промяната предназначението на земите. Първата от тези заплахи не съществува на наша територия. Втората е свързана със загубата на разливи, рибарници и някои земи на Черноморието като хабитати на вида. Освен това следва да се отбележат прекомерният отстрел, бракониерството, безпокойството в местата за хранене и почивка от страна на ловците, тежките зимни условия.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rPr>
        <w:t>Гнездящата популация</w:t>
      </w:r>
      <w:r w:rsidRPr="00A8783E">
        <w:rPr>
          <w:rFonts w:ascii="Times New Roman" w:hAnsi="Times New Roman"/>
          <w:sz w:val="24"/>
          <w:szCs w:val="24"/>
        </w:rPr>
        <w:t xml:space="preserve"> се оценява на </w:t>
      </w:r>
      <w:r w:rsidRPr="00A8783E">
        <w:rPr>
          <w:rFonts w:ascii="Times New Roman" w:hAnsi="Times New Roman"/>
          <w:b/>
          <w:bCs/>
          <w:sz w:val="24"/>
          <w:szCs w:val="24"/>
        </w:rPr>
        <w:t>10-30 двойки</w:t>
      </w:r>
      <w:r w:rsidRPr="00A8783E">
        <w:rPr>
          <w:rFonts w:ascii="Times New Roman" w:hAnsi="Times New Roman"/>
          <w:sz w:val="24"/>
          <w:szCs w:val="24"/>
        </w:rPr>
        <w:t xml:space="preserve">, което представлява </w:t>
      </w:r>
      <w:r w:rsidRPr="00A8783E">
        <w:rPr>
          <w:rFonts w:ascii="Times New Roman" w:hAnsi="Times New Roman"/>
          <w:b/>
          <w:bCs/>
          <w:sz w:val="24"/>
          <w:szCs w:val="24"/>
        </w:rPr>
        <w:t xml:space="preserve">0,4-0,67 % </w:t>
      </w:r>
      <w:r w:rsidRPr="00A8783E">
        <w:rPr>
          <w:rFonts w:ascii="Times New Roman" w:hAnsi="Times New Roman"/>
          <w:sz w:val="24"/>
          <w:szCs w:val="24"/>
        </w:rPr>
        <w:t>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300 индивида</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3-6 %</w:t>
      </w:r>
      <w:r w:rsidRPr="00A8783E">
        <w:rPr>
          <w:rFonts w:ascii="Times New Roman" w:hAnsi="Times New Roman"/>
          <w:sz w:val="24"/>
          <w:szCs w:val="24"/>
          <w:lang w:eastAsia="bg-BG"/>
        </w:rPr>
        <w:t xml:space="preserve"> от националната популация (оценка „</w:t>
      </w:r>
      <w:r w:rsidRPr="00A8783E">
        <w:rPr>
          <w:rFonts w:ascii="Times New Roman" w:hAnsi="Times New Roman"/>
          <w:sz w:val="24"/>
          <w:szCs w:val="24"/>
          <w:lang w:val="en-US" w:eastAsia="bg-BG"/>
        </w:rPr>
        <w:t>C</w:t>
      </w:r>
      <w:r w:rsidRPr="00A8783E">
        <w:rPr>
          <w:rFonts w:ascii="Times New Roman" w:hAnsi="Times New Roman"/>
          <w:sz w:val="24"/>
          <w:szCs w:val="24"/>
          <w:lang w:eastAsia="bg-BG"/>
        </w:rPr>
        <w:t>“).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lang w:eastAsia="bg-BG"/>
        </w:rPr>
        <w:t xml:space="preserve">Според СФ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на вида се оценява на </w:t>
      </w:r>
      <w:r w:rsidRPr="00A8783E">
        <w:rPr>
          <w:rFonts w:ascii="Times New Roman" w:hAnsi="Times New Roman"/>
          <w:b/>
          <w:bCs/>
          <w:sz w:val="24"/>
          <w:szCs w:val="24"/>
          <w:lang w:eastAsia="bg-BG"/>
        </w:rPr>
        <w:t>5-1100 индивида</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0,02-1,38 %</w:t>
      </w:r>
      <w:r w:rsidRPr="00A8783E">
        <w:rPr>
          <w:rFonts w:ascii="Times New Roman" w:hAnsi="Times New Roman"/>
          <w:color w:val="000000"/>
          <w:sz w:val="24"/>
          <w:szCs w:val="24"/>
          <w:lang w:eastAsia="bg-BG"/>
        </w:rPr>
        <w:t xml:space="preserve"> </w:t>
      </w:r>
      <w:r w:rsidRPr="00A8783E">
        <w:rPr>
          <w:rFonts w:ascii="Times New Roman" w:hAnsi="Times New Roman"/>
          <w:sz w:val="24"/>
          <w:szCs w:val="24"/>
          <w:lang w:eastAsia="bg-BG"/>
        </w:rPr>
        <w:t xml:space="preserve">от националната зимуваща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4. Анализ на наличната информация</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Гнездяща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Според проучване на орнитофауната в резерват „Сребърна“ за периода 2001-2003 г. са отчетени 20-30 дв. (</w:t>
      </w:r>
      <w:r w:rsidRPr="00A8783E">
        <w:rPr>
          <w:rFonts w:ascii="Times New Roman" w:hAnsi="Times New Roman"/>
          <w:sz w:val="24"/>
          <w:szCs w:val="24"/>
          <w:lang w:val="en-US"/>
        </w:rPr>
        <w:t>Kambourova</w:t>
      </w:r>
      <w:r w:rsidRPr="00A8783E">
        <w:rPr>
          <w:rFonts w:ascii="Times New Roman" w:hAnsi="Times New Roman"/>
          <w:sz w:val="24"/>
          <w:szCs w:val="24"/>
        </w:rPr>
        <w:t>, 2012). Около 12-22 дв. гнездят в езерото Сребърна през 2006-2013 г. (Shurulinkov et al., 2019). Резултати от мониторинг на водолюбивите птици в защитената зона показват 25-30 гнездящи двойки през 2012 г. (Матеева и др., 2013). Според Актуализирания план за управление на ПР „Сребърна“ (2015) гнездовата численост е 22-35 двойки. По време на извършения мониторинг през гнездовия период на 2021 г. бяха установени около 30 двойки.</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Зимуваща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w:t>
      </w:r>
      <w:r w:rsidRPr="00A8783E">
        <w:rPr>
          <w:rFonts w:ascii="Times New Roman" w:hAnsi="Times New Roman"/>
          <w:sz w:val="24"/>
          <w:szCs w:val="24"/>
          <w:lang w:val="en-US"/>
        </w:rPr>
        <w:t>Michev</w:t>
      </w:r>
      <w:r w:rsidRPr="00A8783E">
        <w:rPr>
          <w:rFonts w:ascii="Times New Roman" w:hAnsi="Times New Roman"/>
          <w:sz w:val="24"/>
          <w:szCs w:val="24"/>
        </w:rPr>
        <w:t xml:space="preserve"> &amp; </w:t>
      </w:r>
      <w:r w:rsidRPr="00A8783E">
        <w:rPr>
          <w:rFonts w:ascii="Times New Roman" w:hAnsi="Times New Roman"/>
          <w:sz w:val="24"/>
          <w:szCs w:val="24"/>
          <w:lang w:val="en-US"/>
        </w:rPr>
        <w:t>Profirov</w:t>
      </w:r>
      <w:r w:rsidRPr="00A8783E">
        <w:rPr>
          <w:rFonts w:ascii="Times New Roman" w:hAnsi="Times New Roman"/>
          <w:sz w:val="24"/>
          <w:szCs w:val="24"/>
        </w:rPr>
        <w:t xml:space="preserve"> (2003) за периода 1977-2001 г. средно-зимната численост на вида в езерото Сребърна е между 18-15 000 инд. По време на средно-зимно преброяване на 12.01.2019 г. най-близо до зоната са наблюдавани 5810 инд. до гр. Силистра и 100 </w:t>
      </w:r>
      <w:r w:rsidRPr="00A8783E">
        <w:rPr>
          <w:rFonts w:ascii="Times New Roman" w:hAnsi="Times New Roman"/>
          <w:sz w:val="24"/>
          <w:szCs w:val="24"/>
        </w:rPr>
        <w:lastRenderedPageBreak/>
        <w:t xml:space="preserve">инд. до с. Ветрен. На 11.01.2020 г. са отчетени 60 индивида в границите на зоната и 180 инд. до гр. Силистра. Според плана за управление на ПР „Сребърна“ (2015, по данни на ИАОС) общата численост на зимуващите птици за периода 1977-2001 г . е 38 089 инд., а за 2008-2013 г. – 2 781 инд. (0-1666 инд.).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По време на есенния прелет в зоната са отчетени 50 инд. на 02.09.2021 г., а на 01.10.2021 г. – 150 инд. (</w:t>
      </w:r>
      <w:r w:rsidRPr="00A8783E">
        <w:rPr>
          <w:rFonts w:ascii="Times New Roman" w:hAnsi="Times New Roman"/>
          <w:sz w:val="24"/>
          <w:szCs w:val="24"/>
          <w:lang w:val="en-US"/>
        </w:rPr>
        <w:t>ebird</w:t>
      </w:r>
      <w:r w:rsidRPr="00A8783E">
        <w:rPr>
          <w:rFonts w:ascii="Times New Roman" w:hAnsi="Times New Roman"/>
          <w:sz w:val="24"/>
          <w:szCs w:val="24"/>
        </w:rPr>
        <w:t>.</w:t>
      </w:r>
      <w:r w:rsidRPr="00A8783E">
        <w:rPr>
          <w:rFonts w:ascii="Times New Roman" w:hAnsi="Times New Roman"/>
          <w:sz w:val="24"/>
          <w:szCs w:val="24"/>
          <w:lang w:val="en-US"/>
        </w:rPr>
        <w:t>org</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За гнездящата популация не са посочени заплахи и влияния  при Докладването от 2019 г. За мигриращата и зимуващата популация са посочени следните заплахи: </w:t>
      </w:r>
      <w:r w:rsidRPr="00A8783E">
        <w:rPr>
          <w:rFonts w:ascii="Times New Roman" w:hAnsi="Times New Roman"/>
          <w:sz w:val="24"/>
          <w:szCs w:val="24"/>
          <w:lang w:val="en-US"/>
        </w:rPr>
        <w:t>C</w:t>
      </w:r>
      <w:r w:rsidRPr="00A8783E">
        <w:rPr>
          <w:rFonts w:ascii="Times New Roman" w:hAnsi="Times New Roman"/>
          <w:sz w:val="24"/>
          <w:szCs w:val="24"/>
        </w:rPr>
        <w:t xml:space="preserve">03, </w:t>
      </w:r>
      <w:r w:rsidRPr="00A8783E">
        <w:rPr>
          <w:rFonts w:ascii="Times New Roman" w:hAnsi="Times New Roman"/>
          <w:sz w:val="24"/>
          <w:szCs w:val="24"/>
          <w:lang w:val="en-US"/>
        </w:rPr>
        <w:t>F</w:t>
      </w:r>
      <w:r w:rsidRPr="00A8783E">
        <w:rPr>
          <w:rFonts w:ascii="Times New Roman" w:hAnsi="Times New Roman"/>
          <w:sz w:val="24"/>
          <w:szCs w:val="24"/>
        </w:rPr>
        <w:t>03. От тях няма валидни за зоната. Заплахи за вида в зоната са риболов с мрежени уреди (G12- Прилов и инцидентно убиване (при риболовни дейности),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8"/>
        <w:gridCol w:w="1262"/>
        <w:gridCol w:w="1276"/>
        <w:gridCol w:w="2707"/>
        <w:gridCol w:w="2559"/>
      </w:tblGrid>
      <w:tr w:rsidR="00A8783E" w:rsidRPr="00A8783E" w:rsidTr="005B5318">
        <w:trPr>
          <w:tblHeader/>
          <w:jc w:val="center"/>
        </w:trPr>
        <w:tc>
          <w:tcPr>
            <w:tcW w:w="156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262"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707"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559"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56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гнездящата популация</w:t>
            </w:r>
          </w:p>
        </w:tc>
        <w:tc>
          <w:tcPr>
            <w:tcW w:w="126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двойки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w:t>
            </w:r>
            <w:r w:rsidRPr="00A8783E">
              <w:rPr>
                <w:rFonts w:ascii="Times New Roman" w:hAnsi="Times New Roman"/>
                <w:lang w:val="en-US"/>
              </w:rPr>
              <w:t>10</w:t>
            </w:r>
            <w:r w:rsidRPr="00A8783E">
              <w:rPr>
                <w:rFonts w:ascii="Times New Roman" w:hAnsi="Times New Roman"/>
              </w:rPr>
              <w:t xml:space="preserve"> дв.</w:t>
            </w:r>
          </w:p>
        </w:tc>
        <w:tc>
          <w:tcPr>
            <w:tcW w:w="270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 настоящия СФ (актуализиран през 2018 г.) са посочени 10-30 гнездящи двойки. По време на теренните проучвания бяха наблюдавани около 30 двойки.</w:t>
            </w:r>
          </w:p>
        </w:tc>
        <w:tc>
          <w:tcPr>
            <w:tcW w:w="2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10 гнездящи двойки чрез поддържане на местообитанията.</w:t>
            </w:r>
          </w:p>
        </w:tc>
      </w:tr>
      <w:tr w:rsidR="00A8783E" w:rsidRPr="00A8783E" w:rsidTr="005B5318">
        <w:trPr>
          <w:trHeight w:val="606"/>
          <w:jc w:val="center"/>
        </w:trPr>
        <w:tc>
          <w:tcPr>
            <w:tcW w:w="156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мигриращата популация</w:t>
            </w:r>
          </w:p>
        </w:tc>
        <w:tc>
          <w:tcPr>
            <w:tcW w:w="126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300 инд.</w:t>
            </w:r>
          </w:p>
        </w:tc>
        <w:tc>
          <w:tcPr>
            <w:tcW w:w="270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 СФ за концентрацията на вида по време на миграция в зоната е посочена минимална и максимална стойност от 300 инд. Липсват публикувани данни за концентрацията на вида в зоната по време на миграция.</w:t>
            </w:r>
          </w:p>
        </w:tc>
        <w:tc>
          <w:tcPr>
            <w:tcW w:w="2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trHeight w:val="606"/>
          <w:jc w:val="center"/>
        </w:trPr>
        <w:tc>
          <w:tcPr>
            <w:tcW w:w="156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зимуващата популацията</w:t>
            </w:r>
          </w:p>
        </w:tc>
        <w:tc>
          <w:tcPr>
            <w:tcW w:w="126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w:t>
            </w:r>
            <w:r w:rsidRPr="00A8783E">
              <w:rPr>
                <w:rFonts w:ascii="Times New Roman" w:hAnsi="Times New Roman"/>
                <w:lang w:val="en-US"/>
              </w:rPr>
              <w:t xml:space="preserve">5 </w:t>
            </w:r>
            <w:r w:rsidRPr="00A8783E">
              <w:rPr>
                <w:rFonts w:ascii="Times New Roman" w:hAnsi="Times New Roman"/>
              </w:rPr>
              <w:t>инд.</w:t>
            </w:r>
          </w:p>
        </w:tc>
        <w:tc>
          <w:tcPr>
            <w:tcW w:w="270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Според СФ на зоната минимална стойност на зимуващите индивиди е 5. Като максимална численост на зимуващата популация се посочва 1100 инд. Количеството на зимуващите птици силно зависи от метеорологичните условия.</w:t>
            </w:r>
          </w:p>
        </w:tc>
        <w:tc>
          <w:tcPr>
            <w:tcW w:w="2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Ежегодно преброяване на зимуващите зеленоглави патици в зоната в периода ноември-февруари, поне по един път месечно.</w:t>
            </w:r>
          </w:p>
        </w:tc>
      </w:tr>
      <w:tr w:rsidR="00A8783E" w:rsidRPr="00A8783E" w:rsidTr="005B5318">
        <w:trPr>
          <w:trHeight w:val="748"/>
          <w:jc w:val="center"/>
        </w:trPr>
        <w:tc>
          <w:tcPr>
            <w:tcW w:w="156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 xml:space="preserve">Площ на подходящите </w:t>
            </w:r>
            <w:r w:rsidRPr="00A8783E">
              <w:rPr>
                <w:rFonts w:ascii="Times New Roman" w:hAnsi="Times New Roman"/>
              </w:rPr>
              <w:lastRenderedPageBreak/>
              <w:t>гнездови местообитания на вида</w:t>
            </w:r>
          </w:p>
        </w:tc>
        <w:tc>
          <w:tcPr>
            <w:tcW w:w="1262"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lastRenderedPageBreak/>
              <w:t>ha</w:t>
            </w:r>
          </w:p>
        </w:tc>
        <w:tc>
          <w:tcPr>
            <w:tcW w:w="1276"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rPr>
              <w:t>най-малко 565</w:t>
            </w:r>
          </w:p>
        </w:tc>
        <w:tc>
          <w:tcPr>
            <w:tcW w:w="270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Данните са взети от СФ като % на местообитание N07 – мочурища и блата.</w:t>
            </w:r>
          </w:p>
        </w:tc>
        <w:tc>
          <w:tcPr>
            <w:tcW w:w="2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площта на подходящите гнездови местообитания на вида в защитената </w:t>
            </w:r>
            <w:r w:rsidRPr="00A8783E">
              <w:rPr>
                <w:rFonts w:ascii="Times New Roman" w:hAnsi="Times New Roman"/>
              </w:rPr>
              <w:lastRenderedPageBreak/>
              <w:t xml:space="preserve">зона, в размер на най-малко 565 </w:t>
            </w:r>
            <w:r w:rsidRPr="00A8783E">
              <w:rPr>
                <w:rFonts w:ascii="Times New Roman" w:hAnsi="Times New Roman"/>
                <w:lang w:val="en-US"/>
              </w:rPr>
              <w:t>ha</w:t>
            </w:r>
            <w:r w:rsidRPr="00A8783E">
              <w:rPr>
                <w:rFonts w:ascii="Times New Roman" w:hAnsi="Times New Roman"/>
              </w:rPr>
              <w:t>. чрез поддържане на оптимално ниво на водата в езерото.</w:t>
            </w:r>
          </w:p>
        </w:tc>
      </w:tr>
      <w:tr w:rsidR="00A8783E" w:rsidRPr="00A8783E" w:rsidTr="005B5318">
        <w:trPr>
          <w:trHeight w:val="748"/>
          <w:jc w:val="center"/>
        </w:trPr>
        <w:tc>
          <w:tcPr>
            <w:tcW w:w="156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lastRenderedPageBreak/>
              <w:t xml:space="preserve">Местообитание на вида: </w:t>
            </w:r>
            <w:r w:rsidRPr="00A8783E">
              <w:rPr>
                <w:rFonts w:ascii="Times New Roman" w:hAnsi="Times New Roman"/>
              </w:rPr>
              <w:t xml:space="preserve">Площ на подходящите хранителни местообитания на вида </w:t>
            </w:r>
          </w:p>
        </w:tc>
        <w:tc>
          <w:tcPr>
            <w:tcW w:w="1262"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276"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rPr>
              <w:t xml:space="preserve">Най-малко </w:t>
            </w:r>
            <w:r w:rsidRPr="00A8783E">
              <w:rPr>
                <w:rFonts w:ascii="Times New Roman" w:hAnsi="Times New Roman"/>
                <w:lang w:val="en-US"/>
              </w:rPr>
              <w:t>912</w:t>
            </w:r>
          </w:p>
        </w:tc>
        <w:tc>
          <w:tcPr>
            <w:tcW w:w="2707" w:type="dxa"/>
          </w:tcPr>
          <w:p w:rsidR="00A8783E" w:rsidRPr="00A8783E" w:rsidRDefault="00A8783E" w:rsidP="00A8783E">
            <w:pPr>
              <w:spacing w:after="0" w:line="240" w:lineRule="auto"/>
              <w:jc w:val="both"/>
              <w:rPr>
                <w:rFonts w:ascii="Times New Roman" w:hAnsi="Times New Roman"/>
                <w:lang w:val="ru-RU"/>
              </w:rPr>
            </w:pPr>
            <w:r w:rsidRPr="00A8783E">
              <w:rPr>
                <w:rFonts w:ascii="Times New Roman" w:hAnsi="Times New Roman"/>
              </w:rPr>
              <w:t>Включва и гнездовото местообитание.</w:t>
            </w:r>
            <w:r w:rsidRPr="00A8783E">
              <w:rPr>
                <w:rFonts w:ascii="Times New Roman" w:hAnsi="Times New Roman"/>
                <w:lang w:val="ru-RU"/>
              </w:rPr>
              <w:t xml:space="preserve"> </w:t>
            </w:r>
            <w:r w:rsidRPr="00A8783E">
              <w:rPr>
                <w:rFonts w:ascii="Times New Roman" w:hAnsi="Times New Roman"/>
              </w:rPr>
              <w:t>През зимата заедно с фиша често се хранят в царевични стърнища.</w:t>
            </w:r>
          </w:p>
          <w:p w:rsidR="00A8783E" w:rsidRPr="00A8783E" w:rsidRDefault="00A8783E" w:rsidP="00A8783E">
            <w:pPr>
              <w:spacing w:after="0" w:line="240" w:lineRule="auto"/>
              <w:jc w:val="both"/>
              <w:rPr>
                <w:rFonts w:ascii="Times New Roman" w:hAnsi="Times New Roman"/>
                <w:lang w:val="ru-RU"/>
              </w:rPr>
            </w:pPr>
            <w:r w:rsidRPr="00A8783E">
              <w:rPr>
                <w:rFonts w:ascii="Times New Roman" w:hAnsi="Times New Roman"/>
              </w:rPr>
              <w:t>Данните са взети от СФ като % на местообитание N07-мочурища и блата, N06-вътрешни водни тела и N15-други обработваеми земи.</w:t>
            </w:r>
          </w:p>
        </w:tc>
        <w:tc>
          <w:tcPr>
            <w:tcW w:w="2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най-малко 912 ha.</w:t>
            </w:r>
            <w:r w:rsidRPr="00A8783E">
              <w:rPr>
                <w:rFonts w:cs="Calibri"/>
              </w:rPr>
              <w:t xml:space="preserve"> </w:t>
            </w:r>
            <w:r w:rsidRPr="00A8783E">
              <w:rPr>
                <w:rFonts w:ascii="Times New Roman" w:hAnsi="Times New Roman"/>
              </w:rPr>
              <w:t>чрез поддържане на оптимално ниво на водата в езерото.</w:t>
            </w:r>
          </w:p>
        </w:tc>
      </w:tr>
      <w:tr w:rsidR="00A8783E" w:rsidRPr="00A8783E" w:rsidTr="005B5318">
        <w:trPr>
          <w:trHeight w:val="4197"/>
          <w:jc w:val="center"/>
        </w:trPr>
        <w:tc>
          <w:tcPr>
            <w:tcW w:w="156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Екологично състояние на водните тела с местообитания на вида – по биологичен елемент водни безгръбначни (JDS4-Aquatic Macroinvertebrates)</w:t>
            </w:r>
          </w:p>
        </w:tc>
        <w:tc>
          <w:tcPr>
            <w:tcW w:w="126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 степенна скала за екологично състояние</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1-Отлично/2-Добро</w:t>
            </w:r>
          </w:p>
        </w:tc>
        <w:tc>
          <w:tcPr>
            <w:tcW w:w="2707" w:type="dxa"/>
          </w:tcPr>
          <w:tbl>
            <w:tblPr>
              <w:tblW w:w="3097" w:type="dxa"/>
              <w:jc w:val="center"/>
              <w:tblLayout w:type="fixed"/>
              <w:tblCellMar>
                <w:left w:w="70" w:type="dxa"/>
                <w:right w:w="70" w:type="dxa"/>
              </w:tblCellMar>
              <w:tblLook w:val="00A0" w:firstRow="1" w:lastRow="0" w:firstColumn="1" w:lastColumn="0" w:noHBand="0" w:noVBand="0"/>
            </w:tblPr>
            <w:tblGrid>
              <w:gridCol w:w="3097"/>
            </w:tblGrid>
            <w:tr w:rsidR="00A8783E" w:rsidRPr="00A8783E" w:rsidTr="005B5318">
              <w:trPr>
                <w:trHeight w:val="60"/>
                <w:jc w:val="center"/>
              </w:trPr>
              <w:tc>
                <w:tcPr>
                  <w:tcW w:w="3097"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151"/>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81"/>
                <w:jc w:val="center"/>
              </w:trPr>
              <w:tc>
                <w:tcPr>
                  <w:tcW w:w="3097"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151"/>
                    <w:rPr>
                      <w:rFonts w:ascii="Times New Roman" w:hAnsi="Times New Roman"/>
                    </w:rPr>
                  </w:pPr>
                  <w:r w:rsidRPr="00A8783E">
                    <w:rPr>
                      <w:rFonts w:ascii="Times New Roman" w:hAnsi="Times New Roman"/>
                    </w:rPr>
                    <w:t>1-Отлично - High</w:t>
                  </w:r>
                </w:p>
              </w:tc>
            </w:tr>
            <w:tr w:rsidR="00A8783E" w:rsidRPr="00A8783E" w:rsidTr="005B5318">
              <w:trPr>
                <w:trHeight w:val="281"/>
                <w:jc w:val="center"/>
              </w:trPr>
              <w:tc>
                <w:tcPr>
                  <w:tcW w:w="3097"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151"/>
                    <w:rPr>
                      <w:rFonts w:ascii="Times New Roman" w:hAnsi="Times New Roman"/>
                    </w:rPr>
                  </w:pPr>
                  <w:r w:rsidRPr="00A8783E">
                    <w:rPr>
                      <w:rFonts w:ascii="Times New Roman" w:hAnsi="Times New Roman"/>
                    </w:rPr>
                    <w:t>2-Добро - Good</w:t>
                  </w:r>
                </w:p>
              </w:tc>
            </w:tr>
            <w:tr w:rsidR="00A8783E" w:rsidRPr="00A8783E" w:rsidTr="005B5318">
              <w:trPr>
                <w:trHeight w:val="281"/>
                <w:jc w:val="center"/>
              </w:trPr>
              <w:tc>
                <w:tcPr>
                  <w:tcW w:w="3097"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151"/>
                    <w:rPr>
                      <w:rFonts w:ascii="Times New Roman" w:hAnsi="Times New Roman"/>
                    </w:rPr>
                  </w:pPr>
                  <w:r w:rsidRPr="00A8783E">
                    <w:rPr>
                      <w:rFonts w:ascii="Times New Roman" w:hAnsi="Times New Roman"/>
                    </w:rPr>
                    <w:t>3-Умерено - Moderate</w:t>
                  </w:r>
                </w:p>
              </w:tc>
            </w:tr>
            <w:tr w:rsidR="00A8783E" w:rsidRPr="00A8783E" w:rsidTr="005B5318">
              <w:trPr>
                <w:trHeight w:val="281"/>
                <w:jc w:val="center"/>
              </w:trPr>
              <w:tc>
                <w:tcPr>
                  <w:tcW w:w="3097"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151"/>
                    <w:rPr>
                      <w:rFonts w:ascii="Times New Roman" w:hAnsi="Times New Roman"/>
                    </w:rPr>
                  </w:pPr>
                  <w:r w:rsidRPr="00A8783E">
                    <w:rPr>
                      <w:rFonts w:ascii="Times New Roman" w:hAnsi="Times New Roman"/>
                    </w:rPr>
                    <w:t>4-Лошо - Poor</w:t>
                  </w:r>
                </w:p>
              </w:tc>
            </w:tr>
            <w:tr w:rsidR="00A8783E" w:rsidRPr="00A8783E" w:rsidTr="005B5318">
              <w:trPr>
                <w:trHeight w:val="281"/>
                <w:jc w:val="center"/>
              </w:trPr>
              <w:tc>
                <w:tcPr>
                  <w:tcW w:w="309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151"/>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на р. Дунав в пункт „Силистра“ е оценено на </w:t>
            </w:r>
            <w:r w:rsidRPr="00A8783E">
              <w:rPr>
                <w:rFonts w:ascii="Times New Roman" w:hAnsi="Times New Roman"/>
                <w:b/>
                <w:bCs/>
              </w:rPr>
              <w:t>умерено (3)</w:t>
            </w:r>
            <w:r w:rsidRPr="00A8783E">
              <w:rPr>
                <w:rFonts w:ascii="Times New Roman" w:hAnsi="Times New Roman"/>
              </w:rPr>
              <w:t xml:space="preserve"> според доклада на JDS4 (2019-2020, табл. 1, стр. 62).</w:t>
            </w:r>
            <w:r w:rsidRPr="00A8783E">
              <w:rPr>
                <w:rFonts w:cs="Calibri"/>
              </w:rPr>
              <w:t xml:space="preserve"> </w:t>
            </w:r>
            <w:r w:rsidRPr="00A8783E">
              <w:rPr>
                <w:rFonts w:ascii="Times New Roman" w:hAnsi="Times New Roman"/>
              </w:rPr>
              <w:t>Според данните от биологичния мониторинг на повърхностните води през 2020 г. ЕС на ез. Сребърна е определено като Отлично по БЕК Макрозообентос.</w:t>
            </w:r>
          </w:p>
        </w:tc>
        <w:tc>
          <w:tcPr>
            <w:tcW w:w="2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60" w:line="259" w:lineRule="auto"/>
        <w:jc w:val="both"/>
        <w:rPr>
          <w:rFonts w:ascii="Times New Roman" w:hAnsi="Times New Roman"/>
          <w:b/>
          <w:bCs/>
          <w:sz w:val="24"/>
          <w:szCs w:val="24"/>
        </w:rPr>
      </w:pPr>
    </w:p>
    <w:p w:rsidR="00A8783E" w:rsidRPr="00A8783E" w:rsidRDefault="00A8783E" w:rsidP="00A8783E">
      <w:pPr>
        <w:spacing w:after="160" w:line="259" w:lineRule="auto"/>
        <w:jc w:val="both"/>
        <w:rPr>
          <w:rFonts w:ascii="Times New Roman" w:hAnsi="Times New Roman"/>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after="160" w:line="259" w:lineRule="auto"/>
        <w:jc w:val="both"/>
        <w:rPr>
          <w:rFonts w:ascii="Times New Roman" w:hAnsi="Times New Roman"/>
          <w:sz w:val="24"/>
          <w:szCs w:val="24"/>
        </w:rPr>
      </w:pPr>
      <w:r w:rsidRPr="00A8783E">
        <w:rPr>
          <w:rFonts w:ascii="Times New Roman" w:hAnsi="Times New Roman"/>
          <w:sz w:val="24"/>
          <w:szCs w:val="24"/>
        </w:rPr>
        <w:t>Предвид наличната информация за мигриращата численост на вида в защитената зона е необходима актуализация на СФД: по отношение на мигриращата популация предлагаме промяна в значението на зоната за мигриращата популация на вида от категория „С“ в категория „В“, тъй като числеността е до 3-6 % от националната популация на вида.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
        <w:gridCol w:w="661"/>
        <w:gridCol w:w="1350"/>
        <w:gridCol w:w="322"/>
        <w:gridCol w:w="474"/>
        <w:gridCol w:w="181"/>
        <w:gridCol w:w="175"/>
        <w:gridCol w:w="562"/>
        <w:gridCol w:w="594"/>
        <w:gridCol w:w="583"/>
        <w:gridCol w:w="568"/>
        <w:gridCol w:w="823"/>
        <w:gridCol w:w="470"/>
        <w:gridCol w:w="464"/>
        <w:gridCol w:w="611"/>
        <w:gridCol w:w="513"/>
        <w:gridCol w:w="570"/>
      </w:tblGrid>
      <w:tr w:rsidR="00A8783E" w:rsidRPr="00A8783E" w:rsidTr="005B5318">
        <w:trPr>
          <w:jc w:val="center"/>
        </w:trPr>
        <w:tc>
          <w:tcPr>
            <w:tcW w:w="1793" w:type="pct"/>
            <w:gridSpan w:val="6"/>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bookmarkStart w:id="199" w:name="_Toc89106084"/>
            <w:r w:rsidRPr="00A8783E">
              <w:rPr>
                <w:rFonts w:ascii="Times New Roman" w:hAnsi="Times New Roman"/>
                <w:b/>
                <w:bCs/>
                <w:sz w:val="18"/>
                <w:szCs w:val="18"/>
                <w:lang w:eastAsia="bg-BG"/>
              </w:rPr>
              <w:t>Species</w:t>
            </w:r>
          </w:p>
        </w:tc>
        <w:tc>
          <w:tcPr>
            <w:tcW w:w="2041" w:type="pct"/>
            <w:gridSpan w:val="7"/>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Population in the site</w:t>
            </w:r>
          </w:p>
        </w:tc>
        <w:tc>
          <w:tcPr>
            <w:tcW w:w="1166" w:type="pct"/>
            <w:gridSpan w:val="4"/>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Site assessment</w:t>
            </w:r>
          </w:p>
        </w:tc>
      </w:tr>
      <w:tr w:rsidR="00A8783E" w:rsidRPr="00A8783E" w:rsidTr="005B5318">
        <w:trPr>
          <w:jc w:val="center"/>
        </w:trPr>
        <w:tc>
          <w:tcPr>
            <w:tcW w:w="199"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G</w:t>
            </w:r>
          </w:p>
        </w:tc>
        <w:tc>
          <w:tcPr>
            <w:tcW w:w="350"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Code</w:t>
            </w:r>
          </w:p>
        </w:tc>
        <w:tc>
          <w:tcPr>
            <w:tcW w:w="713"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Scientific Name</w:t>
            </w:r>
          </w:p>
        </w:tc>
        <w:tc>
          <w:tcPr>
            <w:tcW w:w="175"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S</w:t>
            </w:r>
          </w:p>
        </w:tc>
        <w:tc>
          <w:tcPr>
            <w:tcW w:w="257"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NP</w:t>
            </w:r>
          </w:p>
        </w:tc>
        <w:tc>
          <w:tcPr>
            <w:tcW w:w="195" w:type="pct"/>
            <w:gridSpan w:val="2"/>
            <w:vMerge w:val="restart"/>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T</w:t>
            </w:r>
          </w:p>
        </w:tc>
        <w:tc>
          <w:tcPr>
            <w:tcW w:w="624" w:type="pct"/>
            <w:gridSpan w:val="2"/>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Size</w:t>
            </w:r>
          </w:p>
        </w:tc>
        <w:tc>
          <w:tcPr>
            <w:tcW w:w="315"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Unit</w:t>
            </w:r>
          </w:p>
        </w:tc>
        <w:tc>
          <w:tcPr>
            <w:tcW w:w="307"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Cat.</w:t>
            </w:r>
          </w:p>
        </w:tc>
        <w:tc>
          <w:tcPr>
            <w:tcW w:w="444"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D.qual.</w:t>
            </w:r>
          </w:p>
        </w:tc>
        <w:tc>
          <w:tcPr>
            <w:tcW w:w="505" w:type="pct"/>
            <w:gridSpan w:val="2"/>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A/B/C/D</w:t>
            </w:r>
          </w:p>
        </w:tc>
        <w:tc>
          <w:tcPr>
            <w:tcW w:w="914" w:type="pct"/>
            <w:gridSpan w:val="3"/>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A/B/C</w:t>
            </w:r>
          </w:p>
        </w:tc>
      </w:tr>
      <w:tr w:rsidR="00A8783E" w:rsidRPr="00A8783E" w:rsidTr="005B5318">
        <w:trPr>
          <w:jc w:val="center"/>
        </w:trPr>
        <w:tc>
          <w:tcPr>
            <w:tcW w:w="199" w:type="pct"/>
            <w:vMerge/>
            <w:shd w:val="clear" w:color="auto" w:fill="D9D9D9"/>
            <w:vAlign w:val="center"/>
          </w:tcPr>
          <w:p w:rsidR="00A8783E" w:rsidRPr="00A8783E" w:rsidRDefault="00A8783E" w:rsidP="00A8783E">
            <w:pPr>
              <w:spacing w:after="0" w:line="240" w:lineRule="auto"/>
              <w:rPr>
                <w:rFonts w:ascii="Times New Roman" w:hAnsi="Times New Roman"/>
                <w:sz w:val="18"/>
                <w:szCs w:val="18"/>
                <w:lang w:eastAsia="bg-BG"/>
              </w:rPr>
            </w:pPr>
          </w:p>
        </w:tc>
        <w:tc>
          <w:tcPr>
            <w:tcW w:w="350" w:type="pct"/>
            <w:vMerge/>
            <w:shd w:val="clear" w:color="auto" w:fill="D9D9D9"/>
            <w:vAlign w:val="center"/>
          </w:tcPr>
          <w:p w:rsidR="00A8783E" w:rsidRPr="00A8783E" w:rsidRDefault="00A8783E" w:rsidP="00A8783E">
            <w:pPr>
              <w:spacing w:after="0" w:line="240" w:lineRule="auto"/>
              <w:rPr>
                <w:rFonts w:ascii="Times New Roman" w:hAnsi="Times New Roman"/>
                <w:sz w:val="18"/>
                <w:szCs w:val="18"/>
                <w:lang w:eastAsia="bg-BG"/>
              </w:rPr>
            </w:pPr>
          </w:p>
        </w:tc>
        <w:tc>
          <w:tcPr>
            <w:tcW w:w="713" w:type="pct"/>
            <w:vMerge/>
            <w:shd w:val="clear" w:color="auto" w:fill="D9D9D9"/>
            <w:vAlign w:val="center"/>
          </w:tcPr>
          <w:p w:rsidR="00A8783E" w:rsidRPr="00A8783E" w:rsidRDefault="00A8783E" w:rsidP="00A8783E">
            <w:pPr>
              <w:spacing w:after="0" w:line="240" w:lineRule="auto"/>
              <w:rPr>
                <w:rFonts w:ascii="Times New Roman" w:hAnsi="Times New Roman"/>
                <w:sz w:val="18"/>
                <w:szCs w:val="18"/>
                <w:lang w:eastAsia="bg-BG"/>
              </w:rPr>
            </w:pPr>
          </w:p>
        </w:tc>
        <w:tc>
          <w:tcPr>
            <w:tcW w:w="175" w:type="pct"/>
            <w:vMerge/>
            <w:shd w:val="clear" w:color="auto" w:fill="D9D9D9"/>
            <w:vAlign w:val="center"/>
          </w:tcPr>
          <w:p w:rsidR="00A8783E" w:rsidRPr="00A8783E" w:rsidRDefault="00A8783E" w:rsidP="00A8783E">
            <w:pPr>
              <w:spacing w:after="0" w:line="240" w:lineRule="auto"/>
              <w:rPr>
                <w:rFonts w:ascii="Times New Roman" w:hAnsi="Times New Roman"/>
                <w:sz w:val="18"/>
                <w:szCs w:val="18"/>
                <w:lang w:eastAsia="bg-BG"/>
              </w:rPr>
            </w:pPr>
          </w:p>
        </w:tc>
        <w:tc>
          <w:tcPr>
            <w:tcW w:w="257" w:type="pct"/>
            <w:vMerge/>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p>
        </w:tc>
        <w:tc>
          <w:tcPr>
            <w:tcW w:w="195" w:type="pct"/>
            <w:gridSpan w:val="2"/>
            <w:vMerge/>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p>
        </w:tc>
        <w:tc>
          <w:tcPr>
            <w:tcW w:w="304" w:type="pct"/>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Min</w:t>
            </w:r>
          </w:p>
        </w:tc>
        <w:tc>
          <w:tcPr>
            <w:tcW w:w="321" w:type="pct"/>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Max</w:t>
            </w:r>
          </w:p>
        </w:tc>
        <w:tc>
          <w:tcPr>
            <w:tcW w:w="315" w:type="pct"/>
            <w:vMerge/>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p>
        </w:tc>
        <w:tc>
          <w:tcPr>
            <w:tcW w:w="307" w:type="pct"/>
            <w:vMerge/>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p>
        </w:tc>
        <w:tc>
          <w:tcPr>
            <w:tcW w:w="444" w:type="pct"/>
            <w:vMerge/>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p>
        </w:tc>
        <w:tc>
          <w:tcPr>
            <w:tcW w:w="505" w:type="pct"/>
            <w:gridSpan w:val="2"/>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Pop.</w:t>
            </w:r>
          </w:p>
        </w:tc>
        <w:tc>
          <w:tcPr>
            <w:tcW w:w="330" w:type="pct"/>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Con.</w:t>
            </w:r>
          </w:p>
        </w:tc>
        <w:tc>
          <w:tcPr>
            <w:tcW w:w="277" w:type="pct"/>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Iso.</w:t>
            </w:r>
          </w:p>
        </w:tc>
        <w:tc>
          <w:tcPr>
            <w:tcW w:w="307" w:type="pct"/>
            <w:shd w:val="clear" w:color="auto" w:fill="D9D9D9"/>
            <w:vAlign w:val="center"/>
          </w:tcPr>
          <w:p w:rsidR="00A8783E" w:rsidRPr="00A8783E" w:rsidRDefault="00A8783E" w:rsidP="00A8783E">
            <w:pPr>
              <w:spacing w:after="0" w:line="240" w:lineRule="auto"/>
              <w:rPr>
                <w:rFonts w:ascii="Times New Roman" w:hAnsi="Times New Roman"/>
                <w:b/>
                <w:bCs/>
                <w:sz w:val="18"/>
                <w:szCs w:val="18"/>
                <w:lang w:eastAsia="bg-BG"/>
              </w:rPr>
            </w:pPr>
            <w:r w:rsidRPr="00A8783E">
              <w:rPr>
                <w:rFonts w:ascii="Times New Roman" w:hAnsi="Times New Roman"/>
                <w:b/>
                <w:bCs/>
                <w:sz w:val="18"/>
                <w:szCs w:val="18"/>
                <w:lang w:eastAsia="bg-BG"/>
              </w:rPr>
              <w:t>Glo.</w:t>
            </w:r>
          </w:p>
        </w:tc>
      </w:tr>
      <w:tr w:rsidR="00A8783E" w:rsidRPr="00A8783E" w:rsidTr="005B5318">
        <w:trPr>
          <w:jc w:val="center"/>
        </w:trPr>
        <w:tc>
          <w:tcPr>
            <w:tcW w:w="199" w:type="pct"/>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B</w:t>
            </w:r>
          </w:p>
        </w:tc>
        <w:tc>
          <w:tcPr>
            <w:tcW w:w="350" w:type="pct"/>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А053</w:t>
            </w:r>
          </w:p>
        </w:tc>
        <w:tc>
          <w:tcPr>
            <w:tcW w:w="713" w:type="pct"/>
            <w:vAlign w:val="center"/>
          </w:tcPr>
          <w:p w:rsidR="00A8783E" w:rsidRPr="00A8783E" w:rsidRDefault="00A8783E" w:rsidP="00A8783E">
            <w:pPr>
              <w:spacing w:after="0" w:line="240" w:lineRule="auto"/>
              <w:rPr>
                <w:rFonts w:ascii="Times New Roman" w:hAnsi="Times New Roman"/>
                <w:i/>
                <w:iCs/>
                <w:sz w:val="20"/>
                <w:szCs w:val="20"/>
                <w:lang w:val="en-US" w:eastAsia="bg-BG"/>
              </w:rPr>
            </w:pPr>
            <w:r w:rsidRPr="00A8783E">
              <w:rPr>
                <w:rFonts w:ascii="Times New Roman" w:hAnsi="Times New Roman"/>
                <w:i/>
                <w:iCs/>
                <w:sz w:val="20"/>
                <w:szCs w:val="20"/>
                <w:lang w:val="en-US" w:eastAsia="bg-BG"/>
              </w:rPr>
              <w:t>Аnas platyrhynchos</w:t>
            </w:r>
          </w:p>
        </w:tc>
        <w:tc>
          <w:tcPr>
            <w:tcW w:w="175" w:type="pct"/>
            <w:vAlign w:val="center"/>
          </w:tcPr>
          <w:p w:rsidR="00A8783E" w:rsidRPr="00A8783E" w:rsidRDefault="00A8783E" w:rsidP="00A8783E">
            <w:pPr>
              <w:spacing w:after="0" w:line="240" w:lineRule="auto"/>
              <w:rPr>
                <w:rFonts w:ascii="Times New Roman" w:hAnsi="Times New Roman"/>
                <w:sz w:val="20"/>
                <w:szCs w:val="20"/>
                <w:lang w:eastAsia="bg-BG"/>
              </w:rPr>
            </w:pPr>
          </w:p>
        </w:tc>
        <w:tc>
          <w:tcPr>
            <w:tcW w:w="257" w:type="pct"/>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195" w:type="pct"/>
            <w:gridSpan w:val="2"/>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c</w:t>
            </w:r>
          </w:p>
        </w:tc>
        <w:tc>
          <w:tcPr>
            <w:tcW w:w="304" w:type="pct"/>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300</w:t>
            </w:r>
          </w:p>
        </w:tc>
        <w:tc>
          <w:tcPr>
            <w:tcW w:w="321" w:type="pct"/>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300</w:t>
            </w:r>
          </w:p>
        </w:tc>
        <w:tc>
          <w:tcPr>
            <w:tcW w:w="315" w:type="pct"/>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i</w:t>
            </w:r>
          </w:p>
        </w:tc>
        <w:tc>
          <w:tcPr>
            <w:tcW w:w="307" w:type="pct"/>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444" w:type="pct"/>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G</w:t>
            </w:r>
          </w:p>
        </w:tc>
        <w:tc>
          <w:tcPr>
            <w:tcW w:w="505" w:type="pct"/>
            <w:gridSpan w:val="2"/>
            <w:vAlign w:val="center"/>
          </w:tcPr>
          <w:p w:rsidR="00A8783E" w:rsidRPr="00A8783E" w:rsidRDefault="00A8783E" w:rsidP="00A8783E">
            <w:pPr>
              <w:spacing w:after="0" w:line="240" w:lineRule="auto"/>
              <w:rPr>
                <w:rFonts w:ascii="Times New Roman" w:hAnsi="Times New Roman"/>
                <w:b/>
                <w:bCs/>
                <w:sz w:val="20"/>
                <w:szCs w:val="20"/>
                <w:lang w:val="en-US" w:eastAsia="bg-BG"/>
              </w:rPr>
            </w:pPr>
            <w:r w:rsidRPr="00A8783E">
              <w:rPr>
                <w:rFonts w:ascii="Times New Roman" w:hAnsi="Times New Roman"/>
                <w:b/>
                <w:bCs/>
                <w:color w:val="FF0000"/>
                <w:sz w:val="20"/>
                <w:szCs w:val="20"/>
                <w:lang w:val="en-US" w:eastAsia="bg-BG"/>
              </w:rPr>
              <w:t>B</w:t>
            </w:r>
          </w:p>
        </w:tc>
        <w:tc>
          <w:tcPr>
            <w:tcW w:w="330" w:type="pct"/>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A</w:t>
            </w:r>
          </w:p>
        </w:tc>
        <w:tc>
          <w:tcPr>
            <w:tcW w:w="277" w:type="pct"/>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C</w:t>
            </w:r>
          </w:p>
        </w:tc>
        <w:tc>
          <w:tcPr>
            <w:tcW w:w="307" w:type="pct"/>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B</w:t>
            </w:r>
          </w:p>
        </w:tc>
      </w:tr>
    </w:tbl>
    <w:p w:rsidR="00A8783E" w:rsidRPr="00A8783E" w:rsidRDefault="00A8783E" w:rsidP="00A8783E">
      <w:pPr>
        <w:keepNext/>
        <w:keepLines/>
        <w:spacing w:before="40" w:after="0" w:line="259" w:lineRule="auto"/>
        <w:outlineLvl w:val="1"/>
        <w:rPr>
          <w:rFonts w:ascii="Times New Roman" w:hAnsi="Times New Roman"/>
          <w:color w:val="1F497D"/>
          <w:sz w:val="28"/>
          <w:szCs w:val="28"/>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200" w:name="_Toc98741923"/>
      <w:bookmarkStart w:id="201" w:name="_Toc98838598"/>
      <w:r w:rsidRPr="00A8783E">
        <w:rPr>
          <w:rFonts w:ascii="Times New Roman" w:hAnsi="Times New Roman"/>
          <w:color w:val="1F497D"/>
          <w:sz w:val="28"/>
          <w:szCs w:val="28"/>
        </w:rPr>
        <w:t xml:space="preserve">Специфични цели за А856 </w:t>
      </w:r>
      <w:r w:rsidRPr="00A8783E">
        <w:rPr>
          <w:rFonts w:ascii="Times New Roman" w:hAnsi="Times New Roman"/>
          <w:i/>
          <w:iCs/>
          <w:color w:val="1F497D"/>
          <w:sz w:val="28"/>
          <w:szCs w:val="28"/>
          <w:lang w:val="en-US"/>
        </w:rPr>
        <w:t>Spatula</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querquedula</w:t>
      </w:r>
      <w:r w:rsidRPr="00A8783E">
        <w:rPr>
          <w:rFonts w:ascii="Times New Roman" w:hAnsi="Times New Roman"/>
          <w:color w:val="1F497D"/>
          <w:sz w:val="28"/>
          <w:szCs w:val="28"/>
        </w:rPr>
        <w:t xml:space="preserve"> (лятно бърне)</w:t>
      </w:r>
      <w:bookmarkEnd w:id="199"/>
      <w:bookmarkEnd w:id="200"/>
      <w:bookmarkEnd w:id="201"/>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Дължината на тялото:  37-41 cm, размах на крилата: 59-67 cm. (</w:t>
      </w:r>
      <w:r w:rsidRPr="00A8783E">
        <w:rPr>
          <w:rFonts w:ascii="Times New Roman" w:hAnsi="Times New Roman"/>
          <w:sz w:val="24"/>
          <w:szCs w:val="24"/>
          <w:lang w:val="en-US"/>
        </w:rPr>
        <w:t>Cramp</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Simmons eds.</w:t>
      </w:r>
      <w:r w:rsidRPr="00A8783E">
        <w:rPr>
          <w:rFonts w:ascii="Times New Roman" w:hAnsi="Times New Roman"/>
          <w:sz w:val="24"/>
          <w:szCs w:val="24"/>
        </w:rPr>
        <w:t xml:space="preserve">, 1977; </w:t>
      </w:r>
      <w:r w:rsidRPr="00A8783E">
        <w:rPr>
          <w:rFonts w:ascii="Times New Roman" w:hAnsi="Times New Roman"/>
          <w:sz w:val="24"/>
          <w:szCs w:val="24"/>
          <w:lang w:val="en-US"/>
        </w:rPr>
        <w:t>Svensson</w:t>
      </w:r>
      <w:r w:rsidRPr="00A8783E">
        <w:rPr>
          <w:rFonts w:ascii="Times New Roman" w:hAnsi="Times New Roman"/>
          <w:sz w:val="24"/>
          <w:szCs w:val="24"/>
        </w:rPr>
        <w:t>, 2013). Налице е ясен полов диморфизъм. При мъжкия главата е кафява с ясно изразена бяла ивица през окото. Гърдите са светло-кафяви, коремът бял, маховите пера отгоре светлосиви. Гърбът е кафяв с пъстрини. Крилното огледало е зелено. Клюнът е светлосив, а краката тъмносиви. Женската е със защитно кафеникаво оперение. Ловен обект. Включен в Червената книга на България (Големански ред., 2015).</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Лятното бърне у нас е гнездещ, прелетен вид, а също преминаващ по време на миграция. След гнездовия период местните птици формират ята и се концентрират на недостъпни места за линеене. Пролетната миграция е от края на февруари до средата на май. Есенната миграция е от началото на август до първите дни на октомври.  Пролетната миграция е много по-силно изразена във вътрешността на страната в сравнение с есенната.</w:t>
      </w:r>
      <w:r w:rsidRPr="00A8783E">
        <w:rPr>
          <w:rFonts w:cs="Calibri"/>
        </w:rPr>
        <w:t xml:space="preserve"> </w:t>
      </w:r>
      <w:r w:rsidRPr="00A8783E">
        <w:rPr>
          <w:rFonts w:ascii="Times New Roman" w:hAnsi="Times New Roman"/>
          <w:sz w:val="24"/>
          <w:szCs w:val="24"/>
        </w:rPr>
        <w:t>Формира многобройни ята през прелета и при линеене.</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Гнездовото местообитание на лятното бърне са масивите от висша водната растителност - тръстика, папур, камъш в и по периферията на блата, езера, обрасли с водна растителност язовири, стари речни корита и рибарници. Понякога гнезди и в наводнени върбалаци покрай реките и в затони по дунавските острови. По време на миграция и зимуване се среща във всякакви типове влажни зони, но главно в езера, блата, малки и големи язовири, реки, плитководни участъци на р. Дунав, в крайморски лагуни, бракични и солени езера. Подходящи гнездови местообитания са 3140, 3150 и 3270 според Директивата за хабитатите (Кавръкова и др., 2009). В същите местообитания се концентрират и много от мигриращите летни бърнета, но някои ята кацат и в реки, язовири и рибарници без тръстикови масиви.</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Лятното бърне се храни с  растителна и животинска храна – водорасли, семена, зелени части и корени на различни видове висши водни растения /вкл. тръстика, водна леща, острица, дзука, водни лилии, лютичета и др./. Животинската храна е разнообразна и включва различни водни безгръбначни – водни дървеници, водни бръмбари, ларви и възрастни на водни кончета, ручейници, хирономиди, мекотели, ракообразни, прешленести червеи, яйца и ларви на жаби, малки рибки. Малките патенца ядат около 90% животинска храна (</w:t>
      </w:r>
      <w:r w:rsidRPr="00A8783E">
        <w:rPr>
          <w:rFonts w:ascii="Times New Roman" w:hAnsi="Times New Roman"/>
          <w:sz w:val="24"/>
          <w:szCs w:val="24"/>
          <w:lang w:val="en-US"/>
        </w:rPr>
        <w:t>Cramp</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Simmons</w:t>
      </w:r>
      <w:r w:rsidRPr="00A8783E">
        <w:rPr>
          <w:rFonts w:ascii="Times New Roman" w:hAnsi="Times New Roman"/>
          <w:sz w:val="24"/>
          <w:szCs w:val="24"/>
        </w:rPr>
        <w:t xml:space="preserve"> </w:t>
      </w:r>
      <w:r w:rsidRPr="00A8783E">
        <w:rPr>
          <w:rFonts w:ascii="Times New Roman" w:hAnsi="Times New Roman"/>
          <w:sz w:val="24"/>
          <w:szCs w:val="24"/>
          <w:lang w:val="en-US"/>
        </w:rPr>
        <w:t>eds</w:t>
      </w:r>
      <w:r w:rsidRPr="00A8783E">
        <w:rPr>
          <w:rFonts w:ascii="Times New Roman" w:hAnsi="Times New Roman"/>
          <w:sz w:val="24"/>
          <w:szCs w:val="24"/>
        </w:rPr>
        <w:t xml:space="preserve">., 1977).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 xml:space="preserve"> </w:t>
      </w:r>
      <w:r w:rsidRPr="00A8783E">
        <w:rPr>
          <w:rFonts w:ascii="Times New Roman" w:hAnsi="Times New Roman"/>
          <w:sz w:val="24"/>
          <w:szCs w:val="24"/>
        </w:rPr>
        <w:t xml:space="preserve">Като гнездящ вид у нас се среща в цялата страна, но е малочислен и с редица нередовни находища (Янков ред., 2007; Петков, 2015б;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2019; Даскалова и др., 2020). Повече находища и с по-висока численост видът има в крайдунавските влажни зони, в Бургаските езера и на места в Горнотракийската низина. В Дунавската равнина и Софийско гнезди рядко и с ниска численост (Нанкинов и др., 2004;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2007;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2013). В крайдунавските влажни зони за периода 2006 – 2014 г. числеността е определена на 38-81 двойки като силно </w:t>
      </w:r>
      <w:r w:rsidRPr="00A8783E">
        <w:rPr>
          <w:rFonts w:ascii="Times New Roman" w:hAnsi="Times New Roman"/>
          <w:sz w:val="24"/>
          <w:szCs w:val="24"/>
        </w:rPr>
        <w:lastRenderedPageBreak/>
        <w:t>зависи от нивата на р. Дунав през пролетта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2019). В източната част на Горнотракийската низина (без крайморските водоеми) е определена гнездова численост от 14-16 двойки (Даскалова и др., 2020). Според Атласа на гнездещите птицив в България (Янков ред., 2007) у нас гнездят 100-350 двойки летни бърнета. Според докладването по чл. 12 от 2019 г. гнездовата популация се оценява на 340-530 двойки без ясно изразена тенденция, със стабилна численост и разпространение. На ез. Сребърна е установена тенденция на намаление на гнездовата численост през последните 20 години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2019).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време на миграция летните бърнета преминават над цялата страна. Ятата са многочислени и често надхвърлят 200-300 екз. Според докладването по чл.12 понастоящем миграционната численост на вида е в рамките на 100-500 </w:t>
      </w:r>
      <w:r w:rsidRPr="00A8783E">
        <w:rPr>
          <w:rFonts w:ascii="Times New Roman" w:hAnsi="Times New Roman"/>
          <w:sz w:val="24"/>
          <w:szCs w:val="24"/>
          <w:lang w:val="en-US"/>
        </w:rPr>
        <w:t>e</w:t>
      </w:r>
      <w:r w:rsidRPr="00A8783E">
        <w:rPr>
          <w:rFonts w:ascii="Times New Roman" w:hAnsi="Times New Roman"/>
          <w:sz w:val="24"/>
          <w:szCs w:val="24"/>
        </w:rPr>
        <w:t xml:space="preserve">кз., без да е посочена тенденцията. Тази оценка няма нищо общо с действителността. Само през пролетният прелет над България прелитат и спират за почивка хиляди летни бърнета. За по-точното установяване на миграционната им численост са нужни специализирани проучвания. За периода 1970-2005 г. е налице явно намаление в миграционната численост на този вид в Софийско (Нанкинов и др., 2004), а по наши наблюдения този процес продължава и след това и обхваща и други части на страната.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Червената книга (Петков, 2015б) като заплахи за лятното бърне са посочени унищожаването и увреждането на местообитания и безпокойството по време на гнездовия сезон. Много от ценните местообитания на вида покрай Дунав понастоящм са унищожени или са в твърде незадоволително състояние - рибарници Мечка, рибарници Орсоя и др. Друг негативен фактор е прекомерния, а често и незаконен лов на вида. Установени са много случаи на бракониерски лов на летни бърнета през пролетта. Сечта на дървета по дунавските острови и покрай затоните, а и по теченията на вътрешните реки, също въздейства негативно върху гнездовата популация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докладването по чл.12 заплахи за вида са промяната на предназначението на земите, пресушаването на водоеми и превръщането им в туристически и рекреационни зони и провеждането на спортно-туристически дейности в нерегулирани имоти.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Гнездящата популация</w:t>
      </w:r>
      <w:r w:rsidRPr="00A8783E">
        <w:rPr>
          <w:rFonts w:ascii="Times New Roman" w:hAnsi="Times New Roman"/>
          <w:sz w:val="24"/>
          <w:szCs w:val="24"/>
        </w:rPr>
        <w:t xml:space="preserve"> се оценява на </w:t>
      </w:r>
      <w:r w:rsidRPr="00A8783E">
        <w:rPr>
          <w:rFonts w:ascii="Times New Roman" w:hAnsi="Times New Roman"/>
          <w:b/>
          <w:bCs/>
          <w:sz w:val="24"/>
          <w:szCs w:val="24"/>
        </w:rPr>
        <w:t>2-12 двойки</w:t>
      </w:r>
      <w:r w:rsidRPr="00A8783E">
        <w:rPr>
          <w:rFonts w:ascii="Times New Roman" w:hAnsi="Times New Roman"/>
          <w:sz w:val="24"/>
          <w:szCs w:val="24"/>
        </w:rPr>
        <w:t xml:space="preserve">, което представлява </w:t>
      </w:r>
      <w:r w:rsidRPr="00A8783E">
        <w:rPr>
          <w:rFonts w:ascii="Times New Roman" w:hAnsi="Times New Roman"/>
          <w:b/>
          <w:bCs/>
          <w:sz w:val="24"/>
          <w:szCs w:val="24"/>
        </w:rPr>
        <w:t xml:space="preserve">0,59-2,26 % </w:t>
      </w:r>
      <w:r w:rsidRPr="00A8783E">
        <w:rPr>
          <w:rFonts w:ascii="Times New Roman" w:hAnsi="Times New Roman"/>
          <w:sz w:val="24"/>
          <w:szCs w:val="24"/>
        </w:rPr>
        <w:t>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25 индивида</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5-25 %</w:t>
      </w:r>
      <w:r w:rsidRPr="00A8783E">
        <w:rPr>
          <w:rFonts w:ascii="Times New Roman" w:hAnsi="Times New Roman"/>
          <w:sz w:val="24"/>
          <w:szCs w:val="24"/>
          <w:lang w:eastAsia="bg-BG"/>
        </w:rPr>
        <w:t xml:space="preserve"> от националната популация (оценка „</w:t>
      </w:r>
      <w:r w:rsidRPr="00A8783E">
        <w:rPr>
          <w:rFonts w:ascii="Times New Roman" w:hAnsi="Times New Roman"/>
          <w:sz w:val="24"/>
          <w:szCs w:val="24"/>
          <w:lang w:val="en-US" w:eastAsia="bg-BG"/>
        </w:rPr>
        <w:t>C</w:t>
      </w:r>
      <w:r w:rsidRPr="00A8783E">
        <w:rPr>
          <w:rFonts w:ascii="Times New Roman" w:hAnsi="Times New Roman"/>
          <w:sz w:val="24"/>
          <w:szCs w:val="24"/>
          <w:lang w:eastAsia="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4. Анализ на наличната информация</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Гнездяща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Проучване на орнитофауната на резерват „Сребърна“ показва, че през периода 2001-2003 г. са били отчетени 10-20 двойки, а през 2004-2006 г. – 15-23 дв. (</w:t>
      </w:r>
      <w:r w:rsidRPr="00A8783E">
        <w:rPr>
          <w:rFonts w:ascii="Times New Roman" w:hAnsi="Times New Roman"/>
          <w:sz w:val="24"/>
          <w:szCs w:val="24"/>
          <w:lang w:val="en-US"/>
        </w:rPr>
        <w:t>Kambourova</w:t>
      </w:r>
      <w:r w:rsidRPr="00A8783E">
        <w:rPr>
          <w:rFonts w:ascii="Times New Roman" w:hAnsi="Times New Roman"/>
          <w:sz w:val="24"/>
          <w:szCs w:val="24"/>
        </w:rPr>
        <w:t xml:space="preserve">, 2012). Резултати от мониторинг на водолюбивите птици в защитената зона показват, че през 2012 г. са гнездили минимум 12 дв. (Матеева и др., 2013). Според Актуализиран план за управление на ПР „Сребърна“ (2015) гнездовата численост е 7-10 двойки. Според Shurulinkov et al. (2019) има спад на популацията в ез. Сребърна през </w:t>
      </w:r>
      <w:r w:rsidRPr="00A8783E">
        <w:rPr>
          <w:rFonts w:ascii="Times New Roman" w:hAnsi="Times New Roman"/>
          <w:sz w:val="24"/>
          <w:szCs w:val="24"/>
        </w:rPr>
        <w:lastRenderedPageBreak/>
        <w:t>последните 20 год., наблюдавани са 1-12 двойки. По време на извършения мониторинг през гнездовия период на 2021 г. бяха установени 6 индивида.</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Според данни от eBird в района на зоната са отчетени 10 индивида на 02.09.2021 г. </w:t>
      </w:r>
    </w:p>
    <w:p w:rsidR="00A8783E" w:rsidRPr="00A8783E" w:rsidRDefault="00A8783E" w:rsidP="00A8783E">
      <w:pPr>
        <w:spacing w:after="0" w:line="240" w:lineRule="auto"/>
        <w:jc w:val="both"/>
        <w:rPr>
          <w:rFonts w:ascii="Times New Roman" w:hAnsi="Times New Roman"/>
          <w:sz w:val="24"/>
          <w:szCs w:val="24"/>
        </w:rPr>
      </w:pPr>
      <w:r w:rsidRPr="00A8783E">
        <w:rPr>
          <w:rFonts w:ascii="Times New Roman" w:hAnsi="Times New Roman"/>
          <w:sz w:val="24"/>
          <w:szCs w:val="24"/>
        </w:rPr>
        <w:t xml:space="preserve">За гнездящата популация са посочени следните заплахи и влияния от Докладването през 2019 г.: </w:t>
      </w:r>
      <w:r w:rsidRPr="00A8783E">
        <w:rPr>
          <w:rFonts w:ascii="Times New Roman" w:hAnsi="Times New Roman"/>
          <w:sz w:val="24"/>
          <w:szCs w:val="24"/>
          <w:lang w:val="en-US"/>
        </w:rPr>
        <w:t>K</w:t>
      </w:r>
      <w:r w:rsidRPr="00A8783E">
        <w:rPr>
          <w:rFonts w:ascii="Times New Roman" w:hAnsi="Times New Roman"/>
          <w:sz w:val="24"/>
          <w:szCs w:val="24"/>
        </w:rPr>
        <w:t xml:space="preserve">04-Изменение на хидродинамичните характеристики. Тази заплаха може да се окаже валидна за всички видове ако водното ниво в езерото не се поддържа в оптимални стойности (справка Актуализиран план за управление на ПР Сребърна, 2015). От тях няма потенциално валидни за СЗЗ „Сребърна”. За мигриращата и зимуващата популация са посочени следните 4 заплахи: </w:t>
      </w:r>
      <w:r w:rsidRPr="00A8783E">
        <w:rPr>
          <w:rFonts w:ascii="Times New Roman" w:hAnsi="Times New Roman"/>
          <w:sz w:val="24"/>
          <w:szCs w:val="24"/>
          <w:lang w:val="en-US"/>
        </w:rPr>
        <w:t>F</w:t>
      </w:r>
      <w:r w:rsidRPr="00A8783E">
        <w:rPr>
          <w:rFonts w:ascii="Times New Roman" w:hAnsi="Times New Roman"/>
          <w:sz w:val="24"/>
          <w:szCs w:val="24"/>
        </w:rPr>
        <w:t xml:space="preserve">03, </w:t>
      </w:r>
      <w:r w:rsidRPr="00A8783E">
        <w:rPr>
          <w:rFonts w:ascii="Times New Roman" w:hAnsi="Times New Roman"/>
          <w:sz w:val="24"/>
          <w:szCs w:val="24"/>
          <w:lang w:val="en-US"/>
        </w:rPr>
        <w:t>F</w:t>
      </w:r>
      <w:r w:rsidRPr="00A8783E">
        <w:rPr>
          <w:rFonts w:ascii="Times New Roman" w:hAnsi="Times New Roman"/>
          <w:sz w:val="24"/>
          <w:szCs w:val="24"/>
        </w:rPr>
        <w:t xml:space="preserve">26, </w:t>
      </w:r>
      <w:r w:rsidRPr="00A8783E">
        <w:rPr>
          <w:rFonts w:ascii="Times New Roman" w:hAnsi="Times New Roman"/>
          <w:sz w:val="24"/>
          <w:szCs w:val="24"/>
          <w:lang w:val="en-US"/>
        </w:rPr>
        <w:t>F</w:t>
      </w:r>
      <w:r w:rsidRPr="00A8783E">
        <w:rPr>
          <w:rFonts w:ascii="Times New Roman" w:hAnsi="Times New Roman"/>
          <w:sz w:val="24"/>
          <w:szCs w:val="24"/>
        </w:rPr>
        <w:t>05. От тях няма валидни за зоната. Заплахи за вида в зоната могат да бъдат риболов с мрежени уреди (G12- Прилов и инцидентно убиване (при риболовни дейности),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134"/>
        <w:gridCol w:w="1275"/>
        <w:gridCol w:w="2769"/>
        <w:gridCol w:w="2484"/>
      </w:tblGrid>
      <w:tr w:rsidR="00A8783E" w:rsidRPr="00A8783E" w:rsidTr="005B5318">
        <w:trPr>
          <w:tblHeader/>
          <w:jc w:val="center"/>
        </w:trPr>
        <w:tc>
          <w:tcPr>
            <w:tcW w:w="156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7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769"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48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560"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мигриращата популация</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w:t>
            </w:r>
            <w:r w:rsidRPr="00A8783E">
              <w:rPr>
                <w:rFonts w:ascii="Times New Roman" w:hAnsi="Times New Roman"/>
                <w:lang w:val="en-US"/>
              </w:rPr>
              <w:t xml:space="preserve">25 </w:t>
            </w:r>
            <w:r w:rsidRPr="00A8783E">
              <w:rPr>
                <w:rFonts w:ascii="Times New Roman" w:hAnsi="Times New Roman"/>
              </w:rPr>
              <w:t>инд.</w:t>
            </w:r>
          </w:p>
        </w:tc>
        <w:tc>
          <w:tcPr>
            <w:tcW w:w="276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 СФ за концентрацията на вида по време на миграция в зоната са посочени 25 инда. Липсват други публикувани данни. Необходимо е да се заложи междинна цел.</w:t>
            </w:r>
          </w:p>
        </w:tc>
        <w:tc>
          <w:tcPr>
            <w:tcW w:w="248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trHeight w:val="606"/>
          <w:jc w:val="center"/>
        </w:trPr>
        <w:tc>
          <w:tcPr>
            <w:tcW w:w="1560"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гнездящата популацията</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двойки</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2 дв.</w:t>
            </w:r>
          </w:p>
        </w:tc>
        <w:tc>
          <w:tcPr>
            <w:tcW w:w="276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Според СФ на зоната гнездящата популация е 2-12 дв. Установената от нас численост през гнездовия период на 2021 г. – 6 инд. е в рамките на тази в СФ.</w:t>
            </w:r>
          </w:p>
        </w:tc>
        <w:tc>
          <w:tcPr>
            <w:tcW w:w="248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2 гн.  дв. чрез поддържане на местообитанията на вида в зоната.</w:t>
            </w:r>
          </w:p>
        </w:tc>
      </w:tr>
      <w:tr w:rsidR="00A8783E" w:rsidRPr="00A8783E" w:rsidTr="005B5318">
        <w:trPr>
          <w:trHeight w:val="606"/>
          <w:jc w:val="center"/>
        </w:trPr>
        <w:tc>
          <w:tcPr>
            <w:tcW w:w="1560"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гнездови местообитания на вида</w:t>
            </w:r>
          </w:p>
        </w:tc>
        <w:tc>
          <w:tcPr>
            <w:tcW w:w="1134"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275"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rPr>
              <w:t>Най-малко 565</w:t>
            </w:r>
          </w:p>
        </w:tc>
        <w:tc>
          <w:tcPr>
            <w:tcW w:w="276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 време на размножителния период предпочита плитки езера и блата обрасли с водна растителност. Площта е изчислена на база данните от СФ като % на местообитание N07 - мочурища и блата.</w:t>
            </w:r>
          </w:p>
        </w:tc>
        <w:tc>
          <w:tcPr>
            <w:tcW w:w="248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площта на гнездовите местообитания  на вида в зоната в размер на най-малко 565 </w:t>
            </w:r>
            <w:r w:rsidRPr="00A8783E">
              <w:rPr>
                <w:rFonts w:ascii="Times New Roman" w:hAnsi="Times New Roman"/>
                <w:lang w:val="en-US"/>
              </w:rPr>
              <w:t>ha</w:t>
            </w:r>
            <w:r w:rsidRPr="00A8783E">
              <w:rPr>
                <w:rFonts w:ascii="Times New Roman" w:hAnsi="Times New Roman"/>
              </w:rPr>
              <w:t xml:space="preserve"> чрез поддържане на оптимално ниво на водата в езерото.</w:t>
            </w:r>
          </w:p>
        </w:tc>
      </w:tr>
      <w:tr w:rsidR="00A8783E" w:rsidRPr="00A8783E" w:rsidTr="005B5318">
        <w:trPr>
          <w:trHeight w:val="748"/>
          <w:jc w:val="center"/>
        </w:trPr>
        <w:tc>
          <w:tcPr>
            <w:tcW w:w="1560"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 xml:space="preserve">Площ на подходящите хранителни местообитания на вида </w:t>
            </w:r>
          </w:p>
        </w:tc>
        <w:tc>
          <w:tcPr>
            <w:tcW w:w="1134"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275"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rPr>
              <w:t>Най-малко 840</w:t>
            </w:r>
          </w:p>
        </w:tc>
        <w:tc>
          <w:tcPr>
            <w:tcW w:w="276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Включва гнездовото местообитание, откритите водни площи и плитководни участъци на р. Дунав. Площта е изчислена на база данните от СФ като % на местообитание N07- </w:t>
            </w:r>
            <w:r w:rsidRPr="00A8783E">
              <w:rPr>
                <w:rFonts w:ascii="Times New Roman" w:hAnsi="Times New Roman"/>
              </w:rPr>
              <w:lastRenderedPageBreak/>
              <w:t>мочурища и блата; N06- вътрешни водни тела.</w:t>
            </w:r>
          </w:p>
        </w:tc>
        <w:tc>
          <w:tcPr>
            <w:tcW w:w="248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Поддържане на площта на подходящите хранителни местообитания на вида в размер най-малко 840 </w:t>
            </w:r>
            <w:r w:rsidRPr="00A8783E">
              <w:rPr>
                <w:rFonts w:ascii="Times New Roman" w:hAnsi="Times New Roman"/>
                <w:lang w:val="en-US"/>
              </w:rPr>
              <w:t>ha</w:t>
            </w:r>
            <w:r w:rsidRPr="00A8783E">
              <w:rPr>
                <w:rFonts w:ascii="Times New Roman" w:hAnsi="Times New Roman"/>
              </w:rPr>
              <w:t>. чрез поддържане на оптимално ниво на водата в езерото.</w:t>
            </w:r>
          </w:p>
        </w:tc>
      </w:tr>
      <w:tr w:rsidR="00A8783E" w:rsidRPr="00A8783E" w:rsidTr="005B5318">
        <w:trPr>
          <w:trHeight w:val="4197"/>
          <w:jc w:val="center"/>
        </w:trPr>
        <w:tc>
          <w:tcPr>
            <w:tcW w:w="156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lastRenderedPageBreak/>
              <w:t xml:space="preserve">Местообитание на вида: </w:t>
            </w:r>
            <w:r w:rsidRPr="00A8783E">
              <w:rPr>
                <w:rFonts w:ascii="Times New Roman" w:hAnsi="Times New Roman"/>
              </w:rPr>
              <w:t>Екологично състояние на водните тела с местообитания на вида – по биологичен елемент водни безгръбначни (JDS4-Aquatic Macroinvertebrates)</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 степенна скала за екологично състояние</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1-Отлично/2-Добро</w:t>
            </w:r>
          </w:p>
        </w:tc>
        <w:tc>
          <w:tcPr>
            <w:tcW w:w="2769" w:type="dxa"/>
          </w:tcPr>
          <w:tbl>
            <w:tblPr>
              <w:tblW w:w="3156" w:type="dxa"/>
              <w:jc w:val="center"/>
              <w:tblLayout w:type="fixed"/>
              <w:tblCellMar>
                <w:left w:w="70" w:type="dxa"/>
                <w:right w:w="70" w:type="dxa"/>
              </w:tblCellMar>
              <w:tblLook w:val="00A0" w:firstRow="1" w:lastRow="0" w:firstColumn="1" w:lastColumn="0" w:noHBand="0" w:noVBand="0"/>
            </w:tblPr>
            <w:tblGrid>
              <w:gridCol w:w="3156"/>
            </w:tblGrid>
            <w:tr w:rsidR="00A8783E" w:rsidRPr="00A8783E" w:rsidTr="005B5318">
              <w:trPr>
                <w:trHeight w:val="63"/>
                <w:jc w:val="center"/>
              </w:trPr>
              <w:tc>
                <w:tcPr>
                  <w:tcW w:w="3156"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355"/>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98"/>
                <w:jc w:val="center"/>
              </w:trPr>
              <w:tc>
                <w:tcPr>
                  <w:tcW w:w="3156"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355"/>
                    <w:rPr>
                      <w:rFonts w:ascii="Times New Roman" w:hAnsi="Times New Roman"/>
                    </w:rPr>
                  </w:pPr>
                  <w:r w:rsidRPr="00A8783E">
                    <w:rPr>
                      <w:rFonts w:ascii="Times New Roman" w:hAnsi="Times New Roman"/>
                    </w:rPr>
                    <w:t>1-Отлично</w:t>
                  </w:r>
                </w:p>
              </w:tc>
            </w:tr>
            <w:tr w:rsidR="00A8783E" w:rsidRPr="00A8783E" w:rsidTr="005B5318">
              <w:trPr>
                <w:trHeight w:val="298"/>
                <w:jc w:val="center"/>
              </w:trPr>
              <w:tc>
                <w:tcPr>
                  <w:tcW w:w="3156"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355"/>
                    <w:rPr>
                      <w:rFonts w:ascii="Times New Roman" w:hAnsi="Times New Roman"/>
                    </w:rPr>
                  </w:pPr>
                  <w:r w:rsidRPr="00A8783E">
                    <w:rPr>
                      <w:rFonts w:ascii="Times New Roman" w:hAnsi="Times New Roman"/>
                    </w:rPr>
                    <w:t>2-Добро</w:t>
                  </w:r>
                </w:p>
              </w:tc>
            </w:tr>
            <w:tr w:rsidR="00A8783E" w:rsidRPr="00A8783E" w:rsidTr="005B5318">
              <w:trPr>
                <w:trHeight w:val="298"/>
                <w:jc w:val="center"/>
              </w:trPr>
              <w:tc>
                <w:tcPr>
                  <w:tcW w:w="3156"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355"/>
                    <w:rPr>
                      <w:rFonts w:ascii="Times New Roman" w:hAnsi="Times New Roman"/>
                    </w:rPr>
                  </w:pPr>
                  <w:r w:rsidRPr="00A8783E">
                    <w:rPr>
                      <w:rFonts w:ascii="Times New Roman" w:hAnsi="Times New Roman"/>
                    </w:rPr>
                    <w:t>3-Умерено</w:t>
                  </w:r>
                </w:p>
              </w:tc>
            </w:tr>
            <w:tr w:rsidR="00A8783E" w:rsidRPr="00A8783E" w:rsidTr="005B5318">
              <w:trPr>
                <w:trHeight w:val="298"/>
                <w:jc w:val="center"/>
              </w:trPr>
              <w:tc>
                <w:tcPr>
                  <w:tcW w:w="3156"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355"/>
                    <w:rPr>
                      <w:rFonts w:ascii="Times New Roman" w:hAnsi="Times New Roman"/>
                    </w:rPr>
                  </w:pPr>
                  <w:r w:rsidRPr="00A8783E">
                    <w:rPr>
                      <w:rFonts w:ascii="Times New Roman" w:hAnsi="Times New Roman"/>
                    </w:rPr>
                    <w:t>4-Лошо</w:t>
                  </w:r>
                </w:p>
              </w:tc>
            </w:tr>
            <w:tr w:rsidR="00A8783E" w:rsidRPr="00A8783E" w:rsidTr="005B5318">
              <w:trPr>
                <w:trHeight w:val="298"/>
                <w:jc w:val="center"/>
              </w:trPr>
              <w:tc>
                <w:tcPr>
                  <w:tcW w:w="3156"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355"/>
                    <w:rPr>
                      <w:rFonts w:ascii="Times New Roman" w:hAnsi="Times New Roman"/>
                    </w:rPr>
                  </w:pPr>
                  <w:r w:rsidRPr="00A8783E">
                    <w:rPr>
                      <w:rFonts w:ascii="Times New Roman" w:hAnsi="Times New Roman"/>
                    </w:rPr>
                    <w:t>5-Много лошо</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на р. Дунав в пункт „Силистра“ е оценено на </w:t>
            </w:r>
            <w:r w:rsidRPr="00A8783E">
              <w:rPr>
                <w:rFonts w:ascii="Times New Roman" w:hAnsi="Times New Roman"/>
                <w:b/>
                <w:bCs/>
              </w:rPr>
              <w:t>умерено (3)</w:t>
            </w:r>
            <w:r w:rsidRPr="00A8783E">
              <w:rPr>
                <w:rFonts w:ascii="Times New Roman" w:hAnsi="Times New Roman"/>
              </w:rPr>
              <w:t xml:space="preserve"> според доклада на JDS4 (2019-2020, табл. 1, стр. 62).</w:t>
            </w:r>
            <w:r w:rsidRPr="00A8783E">
              <w:rPr>
                <w:rFonts w:cs="Calibri"/>
              </w:rPr>
              <w:t xml:space="preserve"> </w:t>
            </w:r>
            <w:r w:rsidRPr="00A8783E">
              <w:rPr>
                <w:rFonts w:ascii="Times New Roman" w:hAnsi="Times New Roman"/>
              </w:rPr>
              <w:t xml:space="preserve">Според данните от биологичния мониторинг на повърхностните води през 2020 г. ЕС на ез. Сребърна е определено като </w:t>
            </w:r>
            <w:r w:rsidRPr="00A8783E">
              <w:rPr>
                <w:rFonts w:ascii="Times New Roman" w:hAnsi="Times New Roman"/>
                <w:b/>
                <w:bCs/>
              </w:rPr>
              <w:t>Отлично</w:t>
            </w:r>
            <w:r w:rsidRPr="00A8783E">
              <w:rPr>
                <w:rFonts w:ascii="Times New Roman" w:hAnsi="Times New Roman"/>
              </w:rPr>
              <w:t xml:space="preserve"> по БЕК Макрозообентос.</w:t>
            </w:r>
          </w:p>
        </w:tc>
        <w:tc>
          <w:tcPr>
            <w:tcW w:w="248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60" w:line="259" w:lineRule="auto"/>
        <w:jc w:val="both"/>
        <w:rPr>
          <w:rFonts w:ascii="Times New Roman" w:hAnsi="Times New Roman"/>
          <w:sz w:val="24"/>
          <w:szCs w:val="24"/>
        </w:rPr>
      </w:pPr>
    </w:p>
    <w:p w:rsidR="00A8783E" w:rsidRPr="00A8783E" w:rsidRDefault="00A8783E" w:rsidP="00A8783E">
      <w:pPr>
        <w:spacing w:after="0" w:line="240"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w:t>
      </w:r>
      <w:r w:rsidRPr="00A8783E">
        <w:t xml:space="preserve">  </w:t>
      </w:r>
      <w:r w:rsidRPr="00A8783E">
        <w:rPr>
          <w:rFonts w:ascii="Times New Roman" w:hAnsi="Times New Roman"/>
          <w:b/>
          <w:bCs/>
          <w:sz w:val="24"/>
          <w:szCs w:val="24"/>
        </w:rPr>
        <w:t>BG0000241 „Сребърна“</w:t>
      </w:r>
    </w:p>
    <w:p w:rsidR="00A8783E" w:rsidRPr="00A8783E" w:rsidRDefault="00A8783E" w:rsidP="00A8783E">
      <w:pPr>
        <w:numPr>
          <w:ilvl w:val="0"/>
          <w:numId w:val="27"/>
        </w:numPr>
        <w:spacing w:after="0" w:line="240" w:lineRule="auto"/>
        <w:jc w:val="both"/>
        <w:rPr>
          <w:rFonts w:ascii="Times New Roman" w:hAnsi="Times New Roman"/>
          <w:b/>
          <w:bCs/>
          <w:sz w:val="24"/>
          <w:szCs w:val="24"/>
        </w:rPr>
      </w:pPr>
      <w:r w:rsidRPr="00A8783E">
        <w:rPr>
          <w:rFonts w:ascii="Times New Roman" w:hAnsi="Times New Roman"/>
          <w:sz w:val="24"/>
          <w:szCs w:val="24"/>
        </w:rPr>
        <w:t>Актуализация на кода и научното наименование на вида, съобразно Докладването по чл. 12 от 2019 г.;</w:t>
      </w:r>
    </w:p>
    <w:p w:rsidR="00A8783E" w:rsidRPr="00A8783E" w:rsidRDefault="00A8783E" w:rsidP="00A8783E">
      <w:pPr>
        <w:numPr>
          <w:ilvl w:val="0"/>
          <w:numId w:val="27"/>
        </w:numPr>
        <w:spacing w:after="120" w:line="259" w:lineRule="auto"/>
        <w:jc w:val="both"/>
        <w:rPr>
          <w:rFonts w:ascii="Times New Roman" w:hAnsi="Times New Roman"/>
          <w:sz w:val="24"/>
          <w:szCs w:val="24"/>
        </w:rPr>
      </w:pPr>
      <w:r w:rsidRPr="00A8783E">
        <w:rPr>
          <w:rFonts w:ascii="Times New Roman" w:hAnsi="Times New Roman"/>
          <w:sz w:val="24"/>
          <w:szCs w:val="24"/>
        </w:rPr>
        <w:t>Промяна на оценката на концентриращата се популация и общата оценка – от „С” на „В”, поради по-значителната част от националната популация на вида, която се опазва в зоната; Поради липсата на достатъчно данни за мигриращата поулация в зоната промяна на качеството на данните от „</w:t>
      </w:r>
      <w:r w:rsidRPr="00A8783E">
        <w:rPr>
          <w:rFonts w:ascii="Times New Roman" w:hAnsi="Times New Roman"/>
          <w:sz w:val="24"/>
          <w:szCs w:val="24"/>
          <w:lang w:val="en-US"/>
        </w:rPr>
        <w:t>G</w:t>
      </w:r>
      <w:r w:rsidRPr="00A8783E">
        <w:rPr>
          <w:rFonts w:ascii="Times New Roman" w:hAnsi="Times New Roman"/>
          <w:sz w:val="24"/>
          <w:szCs w:val="24"/>
        </w:rPr>
        <w:t>“ на „</w:t>
      </w:r>
      <w:r w:rsidRPr="00A8783E">
        <w:rPr>
          <w:rFonts w:ascii="Times New Roman" w:hAnsi="Times New Roman"/>
          <w:sz w:val="24"/>
          <w:szCs w:val="24"/>
          <w:lang w:val="en-US"/>
        </w:rPr>
        <w:t>DD</w:t>
      </w:r>
      <w:r w:rsidRPr="00A8783E">
        <w:rPr>
          <w:rFonts w:ascii="Times New Roman" w:hAnsi="Times New Roman"/>
          <w:sz w:val="24"/>
          <w:szCs w:val="24"/>
        </w:rPr>
        <w:t>“.</w:t>
      </w:r>
    </w:p>
    <w:p w:rsidR="00A8783E" w:rsidRPr="00A8783E" w:rsidRDefault="00A8783E" w:rsidP="00A8783E">
      <w:pPr>
        <w:spacing w:after="120" w:line="259" w:lineRule="auto"/>
        <w:ind w:left="720"/>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27"/>
        <w:gridCol w:w="328"/>
        <w:gridCol w:w="483"/>
        <w:gridCol w:w="182"/>
        <w:gridCol w:w="174"/>
        <w:gridCol w:w="572"/>
        <w:gridCol w:w="605"/>
        <w:gridCol w:w="594"/>
        <w:gridCol w:w="578"/>
        <w:gridCol w:w="839"/>
        <w:gridCol w:w="231"/>
        <w:gridCol w:w="720"/>
        <w:gridCol w:w="622"/>
        <w:gridCol w:w="522"/>
        <w:gridCol w:w="578"/>
      </w:tblGrid>
      <w:tr w:rsidR="00A8783E" w:rsidRPr="00A8783E" w:rsidTr="005B5318">
        <w:trPr>
          <w:jc w:val="center"/>
        </w:trPr>
        <w:tc>
          <w:tcPr>
            <w:tcW w:w="1746" w:type="pct"/>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Species</w:t>
            </w:r>
          </w:p>
        </w:tc>
        <w:tc>
          <w:tcPr>
            <w:tcW w:w="1934" w:type="pct"/>
            <w:gridSpan w:val="7"/>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Population in the site</w:t>
            </w:r>
          </w:p>
        </w:tc>
        <w:tc>
          <w:tcPr>
            <w:tcW w:w="1320" w:type="pct"/>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Site assessment</w:t>
            </w:r>
          </w:p>
        </w:tc>
      </w:tr>
      <w:tr w:rsidR="00A8783E" w:rsidRPr="00A8783E" w:rsidTr="005B5318">
        <w:trPr>
          <w:jc w:val="center"/>
        </w:trPr>
        <w:tc>
          <w:tcPr>
            <w:tcW w:w="199"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G</w:t>
            </w:r>
          </w:p>
        </w:tc>
        <w:tc>
          <w:tcPr>
            <w:tcW w:w="353"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Code</w:t>
            </w:r>
          </w:p>
        </w:tc>
        <w:tc>
          <w:tcPr>
            <w:tcW w:w="655"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Scientific Name</w:t>
            </w:r>
          </w:p>
        </w:tc>
        <w:tc>
          <w:tcPr>
            <w:tcW w:w="175"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w:t>
            </w:r>
          </w:p>
        </w:tc>
        <w:tc>
          <w:tcPr>
            <w:tcW w:w="258"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NP</w:t>
            </w:r>
          </w:p>
        </w:tc>
        <w:tc>
          <w:tcPr>
            <w:tcW w:w="208" w:type="pct"/>
            <w:gridSpan w:val="2"/>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T</w:t>
            </w:r>
          </w:p>
        </w:tc>
        <w:tc>
          <w:tcPr>
            <w:tcW w:w="629"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Size</w:t>
            </w:r>
          </w:p>
        </w:tc>
        <w:tc>
          <w:tcPr>
            <w:tcW w:w="318"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Unit</w:t>
            </w:r>
          </w:p>
        </w:tc>
        <w:tc>
          <w:tcPr>
            <w:tcW w:w="309"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Cat.</w:t>
            </w:r>
          </w:p>
        </w:tc>
        <w:tc>
          <w:tcPr>
            <w:tcW w:w="447"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D.qual.</w:t>
            </w:r>
          </w:p>
        </w:tc>
        <w:tc>
          <w:tcPr>
            <w:tcW w:w="528"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A/B/C/D</w:t>
            </w:r>
          </w:p>
        </w:tc>
        <w:tc>
          <w:tcPr>
            <w:tcW w:w="920" w:type="pct"/>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A/B/C</w:t>
            </w:r>
          </w:p>
        </w:tc>
      </w:tr>
      <w:tr w:rsidR="00A8783E" w:rsidRPr="00A8783E" w:rsidTr="005B5318">
        <w:trPr>
          <w:jc w:val="center"/>
        </w:trPr>
        <w:tc>
          <w:tcPr>
            <w:tcW w:w="199"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rPr>
            </w:pPr>
          </w:p>
        </w:tc>
        <w:tc>
          <w:tcPr>
            <w:tcW w:w="353"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rPr>
            </w:pPr>
          </w:p>
        </w:tc>
        <w:tc>
          <w:tcPr>
            <w:tcW w:w="655"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rPr>
            </w:pPr>
          </w:p>
        </w:tc>
        <w:tc>
          <w:tcPr>
            <w:tcW w:w="175"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rPr>
            </w:pPr>
          </w:p>
        </w:tc>
        <w:tc>
          <w:tcPr>
            <w:tcW w:w="258"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208" w:type="pct"/>
            <w:gridSpan w:val="2"/>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306"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Min</w:t>
            </w:r>
          </w:p>
        </w:tc>
        <w:tc>
          <w:tcPr>
            <w:tcW w:w="324"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Max</w:t>
            </w:r>
          </w:p>
        </w:tc>
        <w:tc>
          <w:tcPr>
            <w:tcW w:w="318"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309"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447"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528"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Pop.</w:t>
            </w:r>
          </w:p>
        </w:tc>
        <w:tc>
          <w:tcPr>
            <w:tcW w:w="332"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Con.</w:t>
            </w:r>
          </w:p>
        </w:tc>
        <w:tc>
          <w:tcPr>
            <w:tcW w:w="279"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Iso.</w:t>
            </w:r>
          </w:p>
        </w:tc>
        <w:tc>
          <w:tcPr>
            <w:tcW w:w="309"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Glo.</w:t>
            </w:r>
          </w:p>
        </w:tc>
      </w:tr>
      <w:tr w:rsidR="00A8783E" w:rsidRPr="00A8783E" w:rsidTr="005B5318">
        <w:trPr>
          <w:jc w:val="center"/>
        </w:trPr>
        <w:tc>
          <w:tcPr>
            <w:tcW w:w="199" w:type="pct"/>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В</w:t>
            </w:r>
          </w:p>
        </w:tc>
        <w:tc>
          <w:tcPr>
            <w:tcW w:w="353" w:type="pct"/>
            <w:vAlign w:val="center"/>
          </w:tcPr>
          <w:p w:rsidR="00A8783E" w:rsidRPr="00A8783E" w:rsidRDefault="00A8783E" w:rsidP="00A8783E">
            <w:pPr>
              <w:spacing w:after="0" w:line="240" w:lineRule="auto"/>
              <w:rPr>
                <w:rFonts w:ascii="Times New Roman" w:hAnsi="Times New Roman"/>
                <w:b/>
                <w:bCs/>
                <w:color w:val="FF0000"/>
                <w:sz w:val="20"/>
                <w:szCs w:val="20"/>
              </w:rPr>
            </w:pPr>
            <w:r w:rsidRPr="00A8783E">
              <w:rPr>
                <w:rFonts w:ascii="Times New Roman" w:hAnsi="Times New Roman"/>
                <w:b/>
                <w:bCs/>
                <w:color w:val="FF0000"/>
                <w:sz w:val="20"/>
                <w:szCs w:val="20"/>
              </w:rPr>
              <w:t>A856</w:t>
            </w:r>
          </w:p>
        </w:tc>
        <w:tc>
          <w:tcPr>
            <w:tcW w:w="655" w:type="pct"/>
            <w:vAlign w:val="center"/>
          </w:tcPr>
          <w:p w:rsidR="00A8783E" w:rsidRPr="00A8783E" w:rsidRDefault="00A8783E" w:rsidP="00A8783E">
            <w:pPr>
              <w:spacing w:after="0" w:line="240" w:lineRule="auto"/>
              <w:rPr>
                <w:rFonts w:ascii="Times New Roman" w:hAnsi="Times New Roman"/>
                <w:i/>
                <w:iCs/>
                <w:color w:val="FF0000"/>
                <w:sz w:val="20"/>
                <w:szCs w:val="20"/>
              </w:rPr>
            </w:pPr>
            <w:r w:rsidRPr="00A8783E">
              <w:rPr>
                <w:rFonts w:ascii="Times New Roman" w:hAnsi="Times New Roman"/>
                <w:b/>
                <w:bCs/>
                <w:i/>
                <w:iCs/>
                <w:color w:val="FF0000"/>
                <w:sz w:val="20"/>
                <w:szCs w:val="20"/>
              </w:rPr>
              <w:t xml:space="preserve">Spatula </w:t>
            </w:r>
            <w:r w:rsidRPr="00A8783E">
              <w:rPr>
                <w:rFonts w:ascii="Times New Roman" w:hAnsi="Times New Roman"/>
                <w:i/>
                <w:iCs/>
                <w:color w:val="000000"/>
                <w:sz w:val="20"/>
                <w:szCs w:val="20"/>
              </w:rPr>
              <w:t>querquedula</w:t>
            </w:r>
          </w:p>
        </w:tc>
        <w:tc>
          <w:tcPr>
            <w:tcW w:w="175" w:type="pct"/>
            <w:vAlign w:val="center"/>
          </w:tcPr>
          <w:p w:rsidR="00A8783E" w:rsidRPr="00A8783E" w:rsidRDefault="00A8783E" w:rsidP="00A8783E">
            <w:pPr>
              <w:spacing w:after="0" w:line="240" w:lineRule="auto"/>
              <w:rPr>
                <w:rFonts w:ascii="Times New Roman" w:hAnsi="Times New Roman"/>
                <w:sz w:val="20"/>
                <w:szCs w:val="20"/>
              </w:rPr>
            </w:pPr>
          </w:p>
        </w:tc>
        <w:tc>
          <w:tcPr>
            <w:tcW w:w="258" w:type="pct"/>
            <w:vAlign w:val="center"/>
          </w:tcPr>
          <w:p w:rsidR="00A8783E" w:rsidRPr="00A8783E" w:rsidRDefault="00A8783E" w:rsidP="00A8783E">
            <w:pPr>
              <w:spacing w:after="0" w:line="240" w:lineRule="auto"/>
              <w:rPr>
                <w:rFonts w:ascii="Times New Roman" w:hAnsi="Times New Roman"/>
                <w:b/>
                <w:bCs/>
                <w:sz w:val="20"/>
                <w:szCs w:val="20"/>
              </w:rPr>
            </w:pPr>
          </w:p>
        </w:tc>
        <w:tc>
          <w:tcPr>
            <w:tcW w:w="208" w:type="pct"/>
            <w:gridSpan w:val="2"/>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sz w:val="20"/>
                <w:szCs w:val="20"/>
                <w:lang w:val="en-US"/>
              </w:rPr>
              <w:t>c</w:t>
            </w:r>
          </w:p>
        </w:tc>
        <w:tc>
          <w:tcPr>
            <w:tcW w:w="306" w:type="pct"/>
            <w:vAlign w:val="center"/>
          </w:tcPr>
          <w:p w:rsidR="00A8783E" w:rsidRPr="00A8783E" w:rsidRDefault="00A8783E" w:rsidP="00A8783E">
            <w:pPr>
              <w:spacing w:after="0" w:line="240" w:lineRule="auto"/>
              <w:rPr>
                <w:rFonts w:ascii="Times New Roman" w:hAnsi="Times New Roman"/>
                <w:color w:val="000000"/>
                <w:sz w:val="20"/>
                <w:szCs w:val="20"/>
              </w:rPr>
            </w:pPr>
            <w:r w:rsidRPr="00A8783E">
              <w:rPr>
                <w:rFonts w:ascii="Times New Roman" w:hAnsi="Times New Roman"/>
                <w:color w:val="000000"/>
                <w:sz w:val="20"/>
                <w:szCs w:val="20"/>
              </w:rPr>
              <w:t>25</w:t>
            </w:r>
          </w:p>
        </w:tc>
        <w:tc>
          <w:tcPr>
            <w:tcW w:w="324" w:type="pct"/>
            <w:vAlign w:val="center"/>
          </w:tcPr>
          <w:p w:rsidR="00A8783E" w:rsidRPr="00A8783E" w:rsidRDefault="00A8783E" w:rsidP="00A8783E">
            <w:pPr>
              <w:spacing w:after="0" w:line="240" w:lineRule="auto"/>
              <w:rPr>
                <w:rFonts w:ascii="Times New Roman" w:hAnsi="Times New Roman"/>
                <w:color w:val="000000"/>
                <w:sz w:val="20"/>
                <w:szCs w:val="20"/>
              </w:rPr>
            </w:pPr>
            <w:r w:rsidRPr="00A8783E">
              <w:rPr>
                <w:rFonts w:ascii="Times New Roman" w:hAnsi="Times New Roman"/>
                <w:color w:val="000000"/>
                <w:sz w:val="20"/>
                <w:szCs w:val="20"/>
              </w:rPr>
              <w:t>25</w:t>
            </w:r>
          </w:p>
        </w:tc>
        <w:tc>
          <w:tcPr>
            <w:tcW w:w="318"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i</w:t>
            </w:r>
          </w:p>
        </w:tc>
        <w:tc>
          <w:tcPr>
            <w:tcW w:w="309" w:type="pct"/>
            <w:vAlign w:val="center"/>
          </w:tcPr>
          <w:p w:rsidR="00A8783E" w:rsidRPr="00A8783E" w:rsidRDefault="00A8783E" w:rsidP="00A8783E">
            <w:pPr>
              <w:spacing w:after="0" w:line="240" w:lineRule="auto"/>
              <w:rPr>
                <w:rFonts w:ascii="Times New Roman" w:hAnsi="Times New Roman"/>
                <w:b/>
                <w:bCs/>
                <w:sz w:val="20"/>
                <w:szCs w:val="20"/>
              </w:rPr>
            </w:pPr>
          </w:p>
        </w:tc>
        <w:tc>
          <w:tcPr>
            <w:tcW w:w="447" w:type="pct"/>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b/>
                <w:bCs/>
                <w:color w:val="FF0000"/>
                <w:sz w:val="20"/>
                <w:szCs w:val="20"/>
                <w:lang w:val="en-US"/>
              </w:rPr>
              <w:t>DD</w:t>
            </w:r>
          </w:p>
        </w:tc>
        <w:tc>
          <w:tcPr>
            <w:tcW w:w="528" w:type="pct"/>
            <w:gridSpan w:val="2"/>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b/>
                <w:bCs/>
                <w:color w:val="FF0000"/>
                <w:sz w:val="20"/>
                <w:szCs w:val="20"/>
                <w:lang w:val="en-US"/>
              </w:rPr>
              <w:t>B</w:t>
            </w:r>
          </w:p>
        </w:tc>
        <w:tc>
          <w:tcPr>
            <w:tcW w:w="332" w:type="pct"/>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sz w:val="20"/>
                <w:szCs w:val="20"/>
              </w:rPr>
              <w:t>B</w:t>
            </w:r>
          </w:p>
        </w:tc>
        <w:tc>
          <w:tcPr>
            <w:tcW w:w="279" w:type="pct"/>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sz w:val="20"/>
                <w:szCs w:val="20"/>
              </w:rPr>
              <w:t>C</w:t>
            </w:r>
          </w:p>
        </w:tc>
        <w:tc>
          <w:tcPr>
            <w:tcW w:w="309" w:type="pct"/>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b/>
                <w:bCs/>
                <w:color w:val="FF0000"/>
                <w:sz w:val="20"/>
                <w:szCs w:val="20"/>
                <w:lang w:val="en-US"/>
              </w:rPr>
              <w:t>B</w:t>
            </w:r>
          </w:p>
        </w:tc>
      </w:tr>
      <w:tr w:rsidR="00A8783E" w:rsidRPr="00A8783E" w:rsidTr="005B5318">
        <w:trPr>
          <w:jc w:val="center"/>
        </w:trPr>
        <w:tc>
          <w:tcPr>
            <w:tcW w:w="199"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В</w:t>
            </w:r>
          </w:p>
        </w:tc>
        <w:tc>
          <w:tcPr>
            <w:tcW w:w="353" w:type="pct"/>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b/>
                <w:bCs/>
                <w:color w:val="FF0000"/>
                <w:sz w:val="20"/>
                <w:szCs w:val="20"/>
                <w:lang w:val="en-US"/>
              </w:rPr>
              <w:t>A856</w:t>
            </w:r>
          </w:p>
        </w:tc>
        <w:tc>
          <w:tcPr>
            <w:tcW w:w="655" w:type="pct"/>
            <w:vAlign w:val="center"/>
          </w:tcPr>
          <w:p w:rsidR="00A8783E" w:rsidRPr="00A8783E" w:rsidRDefault="00A8783E" w:rsidP="00A8783E">
            <w:pPr>
              <w:spacing w:after="0" w:line="240" w:lineRule="auto"/>
              <w:rPr>
                <w:rFonts w:ascii="Times New Roman" w:hAnsi="Times New Roman"/>
                <w:i/>
                <w:iCs/>
                <w:sz w:val="20"/>
                <w:szCs w:val="20"/>
                <w:lang w:val="en-US"/>
              </w:rPr>
            </w:pPr>
            <w:r w:rsidRPr="00A8783E">
              <w:rPr>
                <w:rFonts w:ascii="Times New Roman" w:hAnsi="Times New Roman"/>
                <w:b/>
                <w:bCs/>
                <w:i/>
                <w:iCs/>
                <w:color w:val="FF0000"/>
                <w:sz w:val="20"/>
                <w:szCs w:val="20"/>
                <w:lang w:val="en-US"/>
              </w:rPr>
              <w:t xml:space="preserve">Spatula </w:t>
            </w:r>
            <w:r w:rsidRPr="00A8783E">
              <w:rPr>
                <w:rFonts w:ascii="Times New Roman" w:hAnsi="Times New Roman"/>
                <w:i/>
                <w:iCs/>
                <w:sz w:val="20"/>
                <w:szCs w:val="20"/>
                <w:lang w:val="en-US"/>
              </w:rPr>
              <w:t>querquedula</w:t>
            </w:r>
          </w:p>
        </w:tc>
        <w:tc>
          <w:tcPr>
            <w:tcW w:w="175" w:type="pct"/>
            <w:vAlign w:val="center"/>
          </w:tcPr>
          <w:p w:rsidR="00A8783E" w:rsidRPr="00A8783E" w:rsidRDefault="00A8783E" w:rsidP="00A8783E">
            <w:pPr>
              <w:spacing w:after="0" w:line="240" w:lineRule="auto"/>
              <w:rPr>
                <w:rFonts w:ascii="Times New Roman" w:hAnsi="Times New Roman"/>
                <w:sz w:val="20"/>
                <w:szCs w:val="20"/>
                <w:lang w:val="en-US"/>
              </w:rPr>
            </w:pPr>
          </w:p>
        </w:tc>
        <w:tc>
          <w:tcPr>
            <w:tcW w:w="258" w:type="pct"/>
            <w:vAlign w:val="center"/>
          </w:tcPr>
          <w:p w:rsidR="00A8783E" w:rsidRPr="00A8783E" w:rsidRDefault="00A8783E" w:rsidP="00A8783E">
            <w:pPr>
              <w:spacing w:after="0" w:line="240" w:lineRule="auto"/>
              <w:rPr>
                <w:rFonts w:ascii="Times New Roman" w:hAnsi="Times New Roman"/>
                <w:sz w:val="20"/>
                <w:szCs w:val="20"/>
                <w:lang w:val="en-US"/>
              </w:rPr>
            </w:pPr>
          </w:p>
        </w:tc>
        <w:tc>
          <w:tcPr>
            <w:tcW w:w="208" w:type="pct"/>
            <w:gridSpan w:val="2"/>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r</w:t>
            </w:r>
          </w:p>
        </w:tc>
        <w:tc>
          <w:tcPr>
            <w:tcW w:w="306"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2</w:t>
            </w:r>
          </w:p>
        </w:tc>
        <w:tc>
          <w:tcPr>
            <w:tcW w:w="324"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12</w:t>
            </w:r>
          </w:p>
        </w:tc>
        <w:tc>
          <w:tcPr>
            <w:tcW w:w="318"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p</w:t>
            </w:r>
          </w:p>
        </w:tc>
        <w:tc>
          <w:tcPr>
            <w:tcW w:w="309" w:type="pct"/>
            <w:vAlign w:val="center"/>
          </w:tcPr>
          <w:p w:rsidR="00A8783E" w:rsidRPr="00A8783E" w:rsidRDefault="00A8783E" w:rsidP="00A8783E">
            <w:pPr>
              <w:spacing w:after="0" w:line="240" w:lineRule="auto"/>
              <w:rPr>
                <w:rFonts w:ascii="Times New Roman" w:hAnsi="Times New Roman"/>
                <w:sz w:val="20"/>
                <w:szCs w:val="20"/>
                <w:lang w:val="en-US"/>
              </w:rPr>
            </w:pPr>
          </w:p>
        </w:tc>
        <w:tc>
          <w:tcPr>
            <w:tcW w:w="447"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G</w:t>
            </w:r>
          </w:p>
        </w:tc>
        <w:tc>
          <w:tcPr>
            <w:tcW w:w="528" w:type="pct"/>
            <w:gridSpan w:val="2"/>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C</w:t>
            </w:r>
          </w:p>
        </w:tc>
        <w:tc>
          <w:tcPr>
            <w:tcW w:w="332"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c>
          <w:tcPr>
            <w:tcW w:w="279"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C</w:t>
            </w:r>
          </w:p>
        </w:tc>
        <w:tc>
          <w:tcPr>
            <w:tcW w:w="309"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B</w:t>
            </w:r>
          </w:p>
        </w:tc>
      </w:tr>
    </w:tbl>
    <w:p w:rsidR="00A8783E" w:rsidRPr="00A8783E" w:rsidRDefault="00A8783E" w:rsidP="00A8783E">
      <w:pPr>
        <w:spacing w:after="160" w:line="259" w:lineRule="auto"/>
        <w:jc w:val="both"/>
        <w:rPr>
          <w:rFonts w:ascii="Times New Roman" w:hAnsi="Times New Roman"/>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202" w:name="_Toc89106085"/>
      <w:bookmarkStart w:id="203" w:name="_Toc98741924"/>
      <w:bookmarkStart w:id="204" w:name="_Toc98838599"/>
      <w:r w:rsidRPr="00A8783E">
        <w:rPr>
          <w:rFonts w:ascii="Times New Roman" w:hAnsi="Times New Roman"/>
          <w:color w:val="1F497D"/>
          <w:sz w:val="28"/>
          <w:szCs w:val="28"/>
        </w:rPr>
        <w:t xml:space="preserve">Специфични цели за А857 </w:t>
      </w:r>
      <w:r w:rsidRPr="00A8783E">
        <w:rPr>
          <w:rFonts w:ascii="Times New Roman" w:hAnsi="Times New Roman"/>
          <w:i/>
          <w:iCs/>
          <w:color w:val="1F497D"/>
          <w:sz w:val="28"/>
          <w:szCs w:val="28"/>
          <w:lang w:val="en-US"/>
        </w:rPr>
        <w:t>Spatula</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clypeata</w:t>
      </w:r>
      <w:r w:rsidRPr="00A8783E">
        <w:rPr>
          <w:rFonts w:ascii="Times New Roman" w:hAnsi="Times New Roman"/>
          <w:color w:val="1F497D"/>
          <w:sz w:val="28"/>
          <w:szCs w:val="28"/>
        </w:rPr>
        <w:t xml:space="preserve"> (клопач)</w:t>
      </w:r>
      <w:bookmarkEnd w:id="202"/>
      <w:bookmarkEnd w:id="203"/>
      <w:bookmarkEnd w:id="204"/>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42-52 cm, а размах на крилата: 70-84 </w:t>
      </w:r>
      <w:r w:rsidRPr="00A8783E">
        <w:rPr>
          <w:rFonts w:ascii="Times New Roman" w:hAnsi="Times New Roman"/>
          <w:sz w:val="24"/>
          <w:szCs w:val="24"/>
          <w:lang w:val="en-US"/>
        </w:rPr>
        <w:t>cm</w:t>
      </w:r>
      <w:r w:rsidRPr="00A8783E">
        <w:rPr>
          <w:rFonts w:ascii="Times New Roman" w:hAnsi="Times New Roman"/>
          <w:sz w:val="24"/>
          <w:szCs w:val="24"/>
        </w:rPr>
        <w:t xml:space="preserve"> (</w:t>
      </w:r>
      <w:r w:rsidRPr="00A8783E">
        <w:rPr>
          <w:rFonts w:ascii="Times New Roman" w:hAnsi="Times New Roman"/>
          <w:sz w:val="24"/>
          <w:szCs w:val="24"/>
          <w:lang w:val="en-US"/>
        </w:rPr>
        <w:t>Cramp</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Simmons</w:t>
      </w:r>
      <w:r w:rsidRPr="00A8783E">
        <w:rPr>
          <w:rFonts w:ascii="Times New Roman" w:hAnsi="Times New Roman"/>
          <w:sz w:val="24"/>
          <w:szCs w:val="24"/>
        </w:rPr>
        <w:t xml:space="preserve"> </w:t>
      </w:r>
      <w:r w:rsidRPr="00A8783E">
        <w:rPr>
          <w:rFonts w:ascii="Times New Roman" w:hAnsi="Times New Roman"/>
          <w:sz w:val="24"/>
          <w:szCs w:val="24"/>
          <w:lang w:val="en-US"/>
        </w:rPr>
        <w:t>eds</w:t>
      </w:r>
      <w:r w:rsidRPr="00A8783E">
        <w:rPr>
          <w:rFonts w:ascii="Times New Roman" w:hAnsi="Times New Roman"/>
          <w:sz w:val="24"/>
          <w:szCs w:val="24"/>
        </w:rPr>
        <w:t xml:space="preserve">., 1977; </w:t>
      </w:r>
      <w:r w:rsidRPr="00A8783E">
        <w:rPr>
          <w:rFonts w:ascii="Times New Roman" w:hAnsi="Times New Roman"/>
          <w:sz w:val="24"/>
          <w:szCs w:val="24"/>
          <w:lang w:val="en-US"/>
        </w:rPr>
        <w:t>Svensson</w:t>
      </w:r>
      <w:r w:rsidRPr="00A8783E">
        <w:rPr>
          <w:rFonts w:ascii="Times New Roman" w:hAnsi="Times New Roman"/>
          <w:sz w:val="24"/>
          <w:szCs w:val="24"/>
        </w:rPr>
        <w:t xml:space="preserve">, 2013). Оперението е с изразен полов диморфизъм. При мъжките главата е тъмнозелена, гърдите–бели. Шията е доста къса. Страните на тялото и корема са ръждивокафяви, гърбът–черен. Предната част на крилата отгоре е светлосиня. </w:t>
      </w:r>
      <w:r w:rsidRPr="00A8783E">
        <w:rPr>
          <w:rFonts w:ascii="Times New Roman" w:hAnsi="Times New Roman"/>
          <w:sz w:val="24"/>
          <w:szCs w:val="24"/>
        </w:rPr>
        <w:lastRenderedPageBreak/>
        <w:t>Крилното огледало е зелено-бяло. Женската е със защитно светлосиво кафяво оперение. Клюнът е лопатовидно разширен и при двата пола. Видът е ловен обект.</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highlight w:val="yellow"/>
        </w:rPr>
      </w:pPr>
      <w:r w:rsidRPr="00A8783E">
        <w:rPr>
          <w:rFonts w:ascii="Times New Roman" w:hAnsi="Times New Roman"/>
          <w:sz w:val="24"/>
          <w:szCs w:val="24"/>
        </w:rPr>
        <w:t xml:space="preserve"> У нас клопачът е малочислен и нередовно гнездящ вид, а също така зимуващ и мигриращ. Местните двойки не остават да зимуват в гнездовищата. Случаите на доказано гнездене както в миналото така и в по-ново време са единични. Вероятно част от наблюдаваните през лятото индивиди не се размножават. През прелета е сравнително чест и локално многочислен вид. Пролетната миграция е от втората половина на март до средата на май. Есенната миграция е от началото на август до ноември. Във вътрешността на страната пролетната миграция е много по-добре изразена от есенната. През зимата е малоброен, остава да зимува в по-големи ята само в Бургаските езера.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През гнездовия период обитава сладководни блата и езера, рибарници, малки обрасли с растителност язовири. По време на миграция и зимуване се среща в солени, бракични и сладководни стоящи водоеми от всякакъв характер, в плитководни участъци на р. Дунав, по-рядко и във вътрешните реки и в микроязовири. Предпочита по-плитките части на язовирите, около устията на реките. Подходящи местообитания са 3140, 3150 и 3270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Храни се и с растителна и с животинска храна.Предпочита планктонни ракообразни, малки мекотели, насекоми и техните ларви, семена и растителни части. Обича ларви на ручейници, водни дървеници, водни кончета, двукрили насекоми, бръмбари, семена на водни растения, особено камъш и острица, потамогетон и др. По-рядко яде прешленести червеи, паяци, яйца и попови лъжички на жаби, малки рибки и вегетативни части на водни растения (</w:t>
      </w:r>
      <w:r w:rsidRPr="00A8783E">
        <w:rPr>
          <w:rFonts w:ascii="Times New Roman" w:hAnsi="Times New Roman"/>
          <w:sz w:val="24"/>
          <w:szCs w:val="24"/>
          <w:lang w:val="en-US"/>
        </w:rPr>
        <w:t>Cramp</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Simmons</w:t>
      </w:r>
      <w:r w:rsidRPr="00A8783E">
        <w:rPr>
          <w:rFonts w:ascii="Times New Roman" w:hAnsi="Times New Roman"/>
          <w:sz w:val="24"/>
          <w:szCs w:val="24"/>
        </w:rPr>
        <w:t xml:space="preserve"> </w:t>
      </w:r>
      <w:r w:rsidRPr="00A8783E">
        <w:rPr>
          <w:rFonts w:ascii="Times New Roman" w:hAnsi="Times New Roman"/>
          <w:sz w:val="24"/>
          <w:szCs w:val="24"/>
          <w:lang w:val="en-US"/>
        </w:rPr>
        <w:t>eds</w:t>
      </w:r>
      <w:r w:rsidRPr="00A8783E">
        <w:rPr>
          <w:rFonts w:ascii="Times New Roman" w:hAnsi="Times New Roman"/>
          <w:sz w:val="24"/>
          <w:szCs w:val="24"/>
        </w:rPr>
        <w:t xml:space="preserve">., 1977; </w:t>
      </w:r>
      <w:r w:rsidRPr="00A8783E">
        <w:rPr>
          <w:rFonts w:ascii="Times New Roman" w:hAnsi="Times New Roman"/>
          <w:sz w:val="24"/>
          <w:szCs w:val="24"/>
          <w:lang w:val="en-US"/>
        </w:rPr>
        <w:t>Stastny</w:t>
      </w:r>
      <w:r w:rsidRPr="00A8783E">
        <w:rPr>
          <w:rFonts w:ascii="Times New Roman" w:hAnsi="Times New Roman"/>
          <w:sz w:val="24"/>
          <w:szCs w:val="24"/>
        </w:rPr>
        <w:t xml:space="preserve">, </w:t>
      </w:r>
      <w:r w:rsidRPr="00A8783E">
        <w:rPr>
          <w:rFonts w:ascii="Times New Roman" w:hAnsi="Times New Roman"/>
          <w:sz w:val="24"/>
          <w:szCs w:val="24"/>
          <w:lang w:val="en-US"/>
        </w:rPr>
        <w:t>Hudec</w:t>
      </w:r>
      <w:r w:rsidRPr="00A8783E">
        <w:rPr>
          <w:rFonts w:ascii="Times New Roman" w:hAnsi="Times New Roman"/>
          <w:sz w:val="24"/>
          <w:szCs w:val="24"/>
        </w:rPr>
        <w:t xml:space="preserve">, 2016).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Случаите на гнездене на вида след 1990 г. са предимно по р. Дунав – на о. Персин, ез. Сребърна, рибарници Хаджидимитрово и др., в Драгоманското блато, където сигурно гнездене е доказано през 2003 г., и потвърдено през 2005 г., в Атанасовското езеро, ез. Вая и м. Пода край Бургас (Нанкинов и др., 1997; Янков ред., 2007; </w:t>
      </w:r>
      <w:r w:rsidRPr="00A8783E">
        <w:rPr>
          <w:rFonts w:ascii="Times New Roman" w:hAnsi="Times New Roman"/>
          <w:sz w:val="24"/>
          <w:szCs w:val="24"/>
          <w:lang w:val="en-US"/>
        </w:rPr>
        <w:t>Nikolov</w:t>
      </w:r>
      <w:r w:rsidRPr="00A8783E">
        <w:rPr>
          <w:rFonts w:ascii="Times New Roman" w:hAnsi="Times New Roman"/>
          <w:sz w:val="24"/>
          <w:szCs w:val="24"/>
        </w:rPr>
        <w:t xml:space="preserve">, 2004;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2007;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2019). Според Атласа на гнездещите птици в България у нас гнездят 12-25 двойки клопачи (Янков ред., 2007). Според докладването по чл. 12 гнездовата популация на вида у нас е в рамките на 20-50 дв., без изразена тенденция. Много от гнездилищата на вида нямат постоянен характер и зависят силно от водните нива.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Клопачът зимува в цялата страна, но най-много в езерата по Южното Черноморско крайбрежие, където се събират стотици птици от този вид. Най-значителните зимни концентрации са в Атанасовското и Поморийското езеро, ез. Вая, м. Пода. Далеч по-малки ята, рядко надхвърлящи 10 екз., зимуват и във вътрешността на страната – главно в Южна България–язовирите Пясъчник, Розов кладенец, Ц. Церковски, Овчарица, както и в езерата по Северното Черноморие. Числеността на зимуващите у нас клопачи според Докладването по чл.12 е 700-3000 екз. Тенденциите – както краткосрочна така и дългосрочна са на намаление.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По време на миграция клопачите достигат значително по-високи числености у нас, особено във вътрешността на страната, отколкото през зимата. Образуват се концентрации от стотици индивиди в плитководни пролетни разливи и в редица язовири и рибарници. Според докладването по чл.12 понастоящем числеността на вида по време на миграция е в рамките на 2000 до 7000 индивида.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докладването по чл.12 от 2019 г. заплахи за зимуващата популация на клопача са екстракцията на петрол и природен газ и развитието на туризма и рекреацията в крайбрежните зони около водоемите. Добивът на петрол и газ у нас няма никакво значение, тъй като такъв на практика няма. Заплахите за вида през зимата са прекомерният отстрел, включително с незаконни средства и в защитени територии и, безпокойството от ловци, рибари и рибовъди, използването на пестициди и други химикали в селското стопанство, осушаването на влажни зони и паленето на масивите с висша водна растителност. Същите заплахи са валидни и за периодите на пролетна и есенна миграция на вида. За гнездовата популация при докладването по чл.12 е посочена само една заплаха–промяна на предназначението на земите–превръщането им в земи за застрояване.  Всъщност заплахи за вида са също осушаването на влажни зони, главно рибарници и малки язовири през гнездовия период, подпалването на масивите от тръстика и папур, незаконния отстрел, сечта на крайречна дървесна растителност, замърсяването на водите опасни химически вещества.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Гнездящата популация</w:t>
      </w:r>
      <w:r w:rsidRPr="00A8783E">
        <w:rPr>
          <w:rFonts w:ascii="Times New Roman" w:hAnsi="Times New Roman"/>
          <w:sz w:val="24"/>
          <w:szCs w:val="24"/>
        </w:rPr>
        <w:t xml:space="preserve"> се оценява на 0-</w:t>
      </w:r>
      <w:r w:rsidRPr="00A8783E">
        <w:rPr>
          <w:rFonts w:ascii="Times New Roman" w:hAnsi="Times New Roman"/>
          <w:b/>
          <w:bCs/>
          <w:sz w:val="24"/>
          <w:szCs w:val="24"/>
        </w:rPr>
        <w:t>2 двойки</w:t>
      </w:r>
      <w:r w:rsidRPr="00A8783E">
        <w:rPr>
          <w:rFonts w:ascii="Times New Roman" w:hAnsi="Times New Roman"/>
          <w:sz w:val="24"/>
          <w:szCs w:val="24"/>
        </w:rPr>
        <w:t xml:space="preserve">, което представлява </w:t>
      </w:r>
      <w:r w:rsidRPr="00A8783E">
        <w:rPr>
          <w:rFonts w:ascii="Times New Roman" w:hAnsi="Times New Roman"/>
          <w:b/>
          <w:bCs/>
          <w:sz w:val="24"/>
          <w:szCs w:val="24"/>
        </w:rPr>
        <w:t xml:space="preserve">4-10 % </w:t>
      </w:r>
      <w:r w:rsidRPr="00A8783E">
        <w:rPr>
          <w:rFonts w:ascii="Times New Roman" w:hAnsi="Times New Roman"/>
          <w:sz w:val="24"/>
          <w:szCs w:val="24"/>
        </w:rPr>
        <w:t>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1-3 индивида</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0,04-0,05 %</w:t>
      </w:r>
      <w:r w:rsidRPr="00A8783E">
        <w:rPr>
          <w:rFonts w:ascii="Times New Roman" w:hAnsi="Times New Roman"/>
          <w:sz w:val="24"/>
          <w:szCs w:val="24"/>
          <w:lang w:eastAsia="bg-BG"/>
        </w:rPr>
        <w:t xml:space="preserve"> от националната популация (оценка „</w:t>
      </w:r>
      <w:r w:rsidRPr="00A8783E">
        <w:rPr>
          <w:rFonts w:ascii="Times New Roman" w:hAnsi="Times New Roman"/>
          <w:sz w:val="24"/>
          <w:szCs w:val="24"/>
          <w:lang w:val="en-US" w:eastAsia="bg-BG"/>
        </w:rPr>
        <w:t>C</w:t>
      </w:r>
      <w:r w:rsidRPr="00A8783E">
        <w:rPr>
          <w:rFonts w:ascii="Times New Roman" w:hAnsi="Times New Roman"/>
          <w:sz w:val="24"/>
          <w:szCs w:val="24"/>
          <w:lang w:eastAsia="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СФ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на вида се оценява на до </w:t>
      </w:r>
      <w:r w:rsidRPr="00A8783E">
        <w:rPr>
          <w:rFonts w:ascii="Times New Roman" w:hAnsi="Times New Roman"/>
          <w:b/>
          <w:bCs/>
          <w:sz w:val="24"/>
          <w:szCs w:val="24"/>
          <w:lang w:eastAsia="bg-BG"/>
        </w:rPr>
        <w:t>3 индивида</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0,1-0,4 %</w:t>
      </w:r>
      <w:r w:rsidRPr="00A8783E">
        <w:rPr>
          <w:rFonts w:ascii="Times New Roman" w:hAnsi="Times New Roman"/>
          <w:color w:val="000000"/>
          <w:sz w:val="24"/>
          <w:szCs w:val="24"/>
          <w:lang w:eastAsia="bg-BG"/>
        </w:rPr>
        <w:t xml:space="preserve"> </w:t>
      </w:r>
      <w:r w:rsidRPr="00A8783E">
        <w:rPr>
          <w:rFonts w:ascii="Times New Roman" w:hAnsi="Times New Roman"/>
          <w:sz w:val="24"/>
          <w:szCs w:val="24"/>
          <w:lang w:eastAsia="bg-BG"/>
        </w:rPr>
        <w:t xml:space="preserve">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4. Анализ на наличната информация</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Гнездяща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Проучване на орнитофауната в резервата „Сребърна“ показва, че за периода 2001-2003 г. са били отчетени 3-10 двойки (Kamburova, 2012). Резултати от мониторинг на водолюбивите птици в защитената зона през 2012 г. показват между 2-4 гнездящи двойки (Матеева и др., 2013 г.). Според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(2019) в езерото Сребърна е имало вероятно гнездящи през 2012 г. – 3 двойки и през 2013 г. – 2 двойки. По време на извършения мониторинг през гнездовия период на 2021 г. видът не беше установен.</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Зимуваща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 периода 1977-2001 г. среднозимната численост на вида в ез. Сребърна е между 6-33 индивида (</w:t>
      </w:r>
      <w:r w:rsidRPr="00A8783E">
        <w:rPr>
          <w:rFonts w:ascii="Times New Roman" w:hAnsi="Times New Roman"/>
          <w:sz w:val="24"/>
          <w:szCs w:val="24"/>
          <w:lang w:val="en-US"/>
        </w:rPr>
        <w:t>Michev</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Profirov</w:t>
      </w:r>
      <w:r w:rsidRPr="00A8783E">
        <w:rPr>
          <w:rFonts w:ascii="Times New Roman" w:hAnsi="Times New Roman"/>
          <w:sz w:val="24"/>
          <w:szCs w:val="24"/>
        </w:rPr>
        <w:t xml:space="preserve">, 2003). Според Актуализирания план за управление на ПР „Сребърна“ (2015, данни на ИАОС) общата численост на зимуващите клопачи за периода 1977-2001 г. е 39 инд., а за 2008-2013 г. – 356 инд. като са наблюдавани през </w:t>
      </w:r>
      <w:r w:rsidRPr="00A8783E">
        <w:rPr>
          <w:rFonts w:ascii="Times New Roman" w:hAnsi="Times New Roman"/>
          <w:sz w:val="24"/>
          <w:szCs w:val="24"/>
        </w:rPr>
        <w:lastRenderedPageBreak/>
        <w:t xml:space="preserve">2012 г. По време на среднозимни преброявания по р. Дунав през 2019 г. и 2020 г. са установени само 4 индивида на 12.01.2019 г. в един локалитет, а на 11.01.2020 г. - общо 22 индивида в 3 локалитета, като видът не е бил наблюдаван в границите на зоната или близо до нея. По данни от </w:t>
      </w:r>
      <w:r w:rsidRPr="00A8783E">
        <w:rPr>
          <w:rFonts w:ascii="Times New Roman" w:hAnsi="Times New Roman"/>
          <w:sz w:val="24"/>
          <w:szCs w:val="24"/>
          <w:lang w:val="en-US"/>
        </w:rPr>
        <w:t>eBird</w:t>
      </w:r>
      <w:r w:rsidRPr="00A8783E">
        <w:rPr>
          <w:rFonts w:ascii="Times New Roman" w:hAnsi="Times New Roman"/>
          <w:sz w:val="24"/>
          <w:szCs w:val="24"/>
        </w:rPr>
        <w:t xml:space="preserve"> на 14.02.2020 г. са отчетени 30 индивида.</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За гнездящата популация са посочени следните заплахи и влияния (Докладване 2019 г.): </w:t>
      </w:r>
      <w:r w:rsidRPr="00A8783E">
        <w:rPr>
          <w:rFonts w:ascii="Times New Roman" w:hAnsi="Times New Roman"/>
          <w:sz w:val="24"/>
          <w:szCs w:val="24"/>
          <w:lang w:val="en-US"/>
        </w:rPr>
        <w:t>F</w:t>
      </w:r>
      <w:r w:rsidRPr="00A8783E">
        <w:rPr>
          <w:rFonts w:ascii="Times New Roman" w:hAnsi="Times New Roman"/>
          <w:sz w:val="24"/>
          <w:szCs w:val="24"/>
        </w:rPr>
        <w:t xml:space="preserve">03. От тях няма потенциално валидни за СЗЗ „Сребърна”. За мигриращата и зимуващата популация са посочени следните заплахи: </w:t>
      </w:r>
      <w:r w:rsidRPr="00A8783E">
        <w:rPr>
          <w:rFonts w:ascii="Times New Roman" w:hAnsi="Times New Roman"/>
          <w:sz w:val="24"/>
          <w:szCs w:val="24"/>
          <w:lang w:val="en-US"/>
        </w:rPr>
        <w:t>C</w:t>
      </w:r>
      <w:r w:rsidRPr="00A8783E">
        <w:rPr>
          <w:rFonts w:ascii="Times New Roman" w:hAnsi="Times New Roman"/>
          <w:sz w:val="24"/>
          <w:szCs w:val="24"/>
        </w:rPr>
        <w:t xml:space="preserve">03, </w:t>
      </w:r>
      <w:r w:rsidRPr="00A8783E">
        <w:rPr>
          <w:rFonts w:ascii="Times New Roman" w:hAnsi="Times New Roman"/>
          <w:sz w:val="24"/>
          <w:szCs w:val="24"/>
          <w:lang w:val="en-US"/>
        </w:rPr>
        <w:t>F</w:t>
      </w:r>
      <w:r w:rsidRPr="00A8783E">
        <w:rPr>
          <w:rFonts w:ascii="Times New Roman" w:hAnsi="Times New Roman"/>
          <w:sz w:val="24"/>
          <w:szCs w:val="24"/>
        </w:rPr>
        <w:t xml:space="preserve">03, </w:t>
      </w:r>
      <w:r w:rsidRPr="00A8783E">
        <w:rPr>
          <w:rFonts w:ascii="Times New Roman" w:hAnsi="Times New Roman"/>
          <w:sz w:val="24"/>
          <w:szCs w:val="24"/>
          <w:lang w:val="en-US"/>
        </w:rPr>
        <w:t>F</w:t>
      </w:r>
      <w:r w:rsidRPr="00A8783E">
        <w:rPr>
          <w:rFonts w:ascii="Times New Roman" w:hAnsi="Times New Roman"/>
          <w:sz w:val="24"/>
          <w:szCs w:val="24"/>
        </w:rPr>
        <w:t xml:space="preserve">06, </w:t>
      </w:r>
      <w:r w:rsidRPr="00A8783E">
        <w:rPr>
          <w:rFonts w:ascii="Times New Roman" w:hAnsi="Times New Roman"/>
          <w:sz w:val="24"/>
          <w:szCs w:val="24"/>
          <w:lang w:val="en-US"/>
        </w:rPr>
        <w:t>F</w:t>
      </w:r>
      <w:r w:rsidRPr="00A8783E">
        <w:rPr>
          <w:rFonts w:ascii="Times New Roman" w:hAnsi="Times New Roman"/>
          <w:sz w:val="24"/>
          <w:szCs w:val="24"/>
        </w:rPr>
        <w:t xml:space="preserve">05, </w:t>
      </w:r>
      <w:r w:rsidRPr="00A8783E">
        <w:rPr>
          <w:rFonts w:ascii="Times New Roman" w:hAnsi="Times New Roman"/>
          <w:sz w:val="24"/>
          <w:szCs w:val="24"/>
          <w:lang w:val="en-US"/>
        </w:rPr>
        <w:t>F</w:t>
      </w:r>
      <w:r w:rsidRPr="00A8783E">
        <w:rPr>
          <w:rFonts w:ascii="Times New Roman" w:hAnsi="Times New Roman"/>
          <w:sz w:val="24"/>
          <w:szCs w:val="24"/>
        </w:rPr>
        <w:t>26. От тях също няма валидни за зоната. Заплахи за вида в зоната са риболов с мрежени уреди (G12- Прилов и инцидентно убиване (при риболовни дейности),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84"/>
        <w:gridCol w:w="1275"/>
        <w:gridCol w:w="1276"/>
        <w:gridCol w:w="2693"/>
        <w:gridCol w:w="2391"/>
      </w:tblGrid>
      <w:tr w:rsidR="00A8783E" w:rsidRPr="00A8783E" w:rsidTr="005B5318">
        <w:trPr>
          <w:trHeight w:val="137"/>
          <w:tblHeader/>
          <w:jc w:val="center"/>
        </w:trPr>
        <w:tc>
          <w:tcPr>
            <w:tcW w:w="168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27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Мерна единица</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Целева стойност</w:t>
            </w:r>
          </w:p>
        </w:tc>
        <w:tc>
          <w:tcPr>
            <w:tcW w:w="2693"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Допълнителна информация</w:t>
            </w:r>
          </w:p>
        </w:tc>
        <w:tc>
          <w:tcPr>
            <w:tcW w:w="2391"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trHeight w:val="137"/>
          <w:jc w:val="center"/>
        </w:trPr>
        <w:tc>
          <w:tcPr>
            <w:tcW w:w="1684"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гнездовата популацията</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гнездящи двойки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2 дв. </w:t>
            </w:r>
          </w:p>
        </w:tc>
        <w:tc>
          <w:tcPr>
            <w:tcW w:w="269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 настоящия СФ (актуализиран през 2015 г.) са посочени 2 гнездящи двойки. В резултат на извършения мониторинг в защитената зона през гнездовия период на 2021 г. видът не беше установен.</w:t>
            </w:r>
          </w:p>
        </w:tc>
        <w:tc>
          <w:tcPr>
            <w:tcW w:w="239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2 гн. двойки чрез поддържане на местообитанията на вида.</w:t>
            </w:r>
          </w:p>
        </w:tc>
      </w:tr>
      <w:tr w:rsidR="00A8783E" w:rsidRPr="00A8783E" w:rsidTr="005B5318">
        <w:trPr>
          <w:trHeight w:val="137"/>
          <w:jc w:val="center"/>
        </w:trPr>
        <w:tc>
          <w:tcPr>
            <w:tcW w:w="1684"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мигриращата популация</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 инд.</w:t>
            </w:r>
          </w:p>
        </w:tc>
        <w:tc>
          <w:tcPr>
            <w:tcW w:w="269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 СФ за концентрацията на вида по време на миграция в зоната е посочена минимална и максимална стойност от 1-3 инд. Липсват публикувани данни за концентрацията на вида в зоната по време на миграция.</w:t>
            </w:r>
          </w:p>
        </w:tc>
        <w:tc>
          <w:tcPr>
            <w:tcW w:w="239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Да се извърши целенасочен мониторинг за установяване на размера на мигриращата популация до 2025 г.</w:t>
            </w:r>
          </w:p>
          <w:p w:rsidR="00A8783E" w:rsidRPr="00A8783E" w:rsidRDefault="00A8783E" w:rsidP="00A8783E">
            <w:pPr>
              <w:spacing w:after="0" w:line="240" w:lineRule="auto"/>
              <w:jc w:val="both"/>
              <w:rPr>
                <w:rFonts w:ascii="Times New Roman" w:hAnsi="Times New Roman"/>
              </w:rPr>
            </w:pPr>
          </w:p>
        </w:tc>
      </w:tr>
      <w:tr w:rsidR="00A8783E" w:rsidRPr="00A8783E" w:rsidTr="005B5318">
        <w:trPr>
          <w:trHeight w:val="137"/>
          <w:jc w:val="center"/>
        </w:trPr>
        <w:tc>
          <w:tcPr>
            <w:tcW w:w="1684"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зимуващата популация</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3 инд.</w:t>
            </w:r>
          </w:p>
        </w:tc>
        <w:tc>
          <w:tcPr>
            <w:tcW w:w="269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Според СФ числеността на зимуващата популация е 3 инд. Според плана за управление на ПР „Сребърна“ през 2012 г. са били отчетени 356 зимуващи птици.</w:t>
            </w:r>
          </w:p>
        </w:tc>
        <w:tc>
          <w:tcPr>
            <w:tcW w:w="239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Ежегодно преброяване на зимуващите клопачи през месеците ноември-февруари, поне по един път месечно.</w:t>
            </w:r>
          </w:p>
        </w:tc>
      </w:tr>
      <w:tr w:rsidR="00A8783E" w:rsidRPr="00A8783E" w:rsidTr="005B5318">
        <w:trPr>
          <w:trHeight w:val="137"/>
          <w:jc w:val="center"/>
        </w:trPr>
        <w:tc>
          <w:tcPr>
            <w:tcW w:w="1684"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гнездови местообитания на вида</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ha</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565</w:t>
            </w:r>
          </w:p>
        </w:tc>
        <w:tc>
          <w:tcPr>
            <w:tcW w:w="269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Включва влажните зони, обрасли с водолюбива растителност. Площта е изчислена на база данните от СФ като % на местообитание N07 - мочурища и блата.</w:t>
            </w:r>
          </w:p>
        </w:tc>
        <w:tc>
          <w:tcPr>
            <w:tcW w:w="239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площта на гнездовите местообитания  на вида в зоната в размер на най-малко 565 ha чрез поддържане на оптимално ниво на </w:t>
            </w:r>
            <w:r w:rsidRPr="00A8783E">
              <w:rPr>
                <w:rFonts w:ascii="Times New Roman" w:hAnsi="Times New Roman"/>
              </w:rPr>
              <w:lastRenderedPageBreak/>
              <w:t>водата в езерото.</w:t>
            </w:r>
          </w:p>
        </w:tc>
      </w:tr>
      <w:tr w:rsidR="00A8783E" w:rsidRPr="00A8783E" w:rsidTr="005B5318">
        <w:trPr>
          <w:trHeight w:val="137"/>
          <w:jc w:val="center"/>
        </w:trPr>
        <w:tc>
          <w:tcPr>
            <w:tcW w:w="1684"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lastRenderedPageBreak/>
              <w:t xml:space="preserve">Местообитание на вида: </w:t>
            </w:r>
            <w:r w:rsidRPr="00A8783E">
              <w:rPr>
                <w:rFonts w:ascii="Times New Roman" w:hAnsi="Times New Roman"/>
              </w:rPr>
              <w:t>Площ на подходящите хранителни местообитания на вида</w:t>
            </w:r>
            <w:r w:rsidRPr="00A8783E">
              <w:rPr>
                <w:rFonts w:ascii="Times New Roman" w:hAnsi="Times New Roman"/>
                <w:b/>
                <w:bCs/>
              </w:rPr>
              <w:t xml:space="preserve"> </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ha</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840</w:t>
            </w:r>
          </w:p>
        </w:tc>
        <w:tc>
          <w:tcPr>
            <w:tcW w:w="269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Включва гнездовото местообитание, откритите водни площи и плитководни участъци на р. Дунав. Площта е изчислена на база данните от СФ като % на местообитание N07- мочурища и блата; N06- вътрешни водни тела.</w:t>
            </w:r>
          </w:p>
        </w:tc>
        <w:tc>
          <w:tcPr>
            <w:tcW w:w="239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най-малко 840 ha чрез поддържане на оптимално ниво на водата в езерото.</w:t>
            </w:r>
          </w:p>
        </w:tc>
      </w:tr>
      <w:tr w:rsidR="00A8783E" w:rsidRPr="00A8783E" w:rsidTr="005B5318">
        <w:trPr>
          <w:trHeight w:val="137"/>
          <w:jc w:val="center"/>
        </w:trPr>
        <w:tc>
          <w:tcPr>
            <w:tcW w:w="168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Екологично състояние на водните тела с местообитания на вида – по биологичен елемент водни безгръбначни (JDS4-Aquatic Macroinvertebrates)</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 степенна скала за екологично състояние</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1-Отлично/2-Добро</w:t>
            </w:r>
          </w:p>
        </w:tc>
        <w:tc>
          <w:tcPr>
            <w:tcW w:w="2693" w:type="dxa"/>
          </w:tcPr>
          <w:tbl>
            <w:tblPr>
              <w:tblW w:w="2796" w:type="dxa"/>
              <w:jc w:val="center"/>
              <w:tblLayout w:type="fixed"/>
              <w:tblCellMar>
                <w:left w:w="70" w:type="dxa"/>
                <w:right w:w="70" w:type="dxa"/>
              </w:tblCellMar>
              <w:tblLook w:val="00A0" w:firstRow="1" w:lastRow="0" w:firstColumn="1" w:lastColumn="0" w:noHBand="0" w:noVBand="0"/>
            </w:tblPr>
            <w:tblGrid>
              <w:gridCol w:w="2796"/>
            </w:tblGrid>
            <w:tr w:rsidR="00A8783E" w:rsidRPr="00A8783E" w:rsidTr="005B5318">
              <w:trPr>
                <w:trHeight w:val="59"/>
                <w:jc w:val="center"/>
              </w:trPr>
              <w:tc>
                <w:tcPr>
                  <w:tcW w:w="2796"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130"/>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78"/>
                <w:jc w:val="center"/>
              </w:trPr>
              <w:tc>
                <w:tcPr>
                  <w:tcW w:w="2796"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130"/>
                    <w:rPr>
                      <w:rFonts w:ascii="Times New Roman" w:hAnsi="Times New Roman"/>
                    </w:rPr>
                  </w:pPr>
                  <w:r w:rsidRPr="00A8783E">
                    <w:rPr>
                      <w:rFonts w:ascii="Times New Roman" w:hAnsi="Times New Roman"/>
                    </w:rPr>
                    <w:t>1-Отлично - High</w:t>
                  </w:r>
                </w:p>
              </w:tc>
            </w:tr>
            <w:tr w:rsidR="00A8783E" w:rsidRPr="00A8783E" w:rsidTr="005B5318">
              <w:trPr>
                <w:trHeight w:val="278"/>
                <w:jc w:val="center"/>
              </w:trPr>
              <w:tc>
                <w:tcPr>
                  <w:tcW w:w="2796"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130"/>
                    <w:rPr>
                      <w:rFonts w:ascii="Times New Roman" w:hAnsi="Times New Roman"/>
                    </w:rPr>
                  </w:pPr>
                  <w:r w:rsidRPr="00A8783E">
                    <w:rPr>
                      <w:rFonts w:ascii="Times New Roman" w:hAnsi="Times New Roman"/>
                    </w:rPr>
                    <w:t>2-Добро - Good</w:t>
                  </w:r>
                </w:p>
              </w:tc>
            </w:tr>
            <w:tr w:rsidR="00A8783E" w:rsidRPr="00A8783E" w:rsidTr="005B5318">
              <w:trPr>
                <w:trHeight w:val="278"/>
                <w:jc w:val="center"/>
              </w:trPr>
              <w:tc>
                <w:tcPr>
                  <w:tcW w:w="2796"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130"/>
                    <w:rPr>
                      <w:rFonts w:ascii="Times New Roman" w:hAnsi="Times New Roman"/>
                    </w:rPr>
                  </w:pPr>
                  <w:r w:rsidRPr="00A8783E">
                    <w:rPr>
                      <w:rFonts w:ascii="Times New Roman" w:hAnsi="Times New Roman"/>
                    </w:rPr>
                    <w:t>3-Умерено - Moderate</w:t>
                  </w:r>
                </w:p>
              </w:tc>
            </w:tr>
            <w:tr w:rsidR="00A8783E" w:rsidRPr="00A8783E" w:rsidTr="005B5318">
              <w:trPr>
                <w:trHeight w:val="278"/>
                <w:jc w:val="center"/>
              </w:trPr>
              <w:tc>
                <w:tcPr>
                  <w:tcW w:w="2796"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130"/>
                    <w:rPr>
                      <w:rFonts w:ascii="Times New Roman" w:hAnsi="Times New Roman"/>
                    </w:rPr>
                  </w:pPr>
                  <w:r w:rsidRPr="00A8783E">
                    <w:rPr>
                      <w:rFonts w:ascii="Times New Roman" w:hAnsi="Times New Roman"/>
                    </w:rPr>
                    <w:t>4-Лошо - Poor</w:t>
                  </w:r>
                </w:p>
              </w:tc>
            </w:tr>
            <w:tr w:rsidR="00A8783E" w:rsidRPr="00A8783E" w:rsidTr="005B5318">
              <w:trPr>
                <w:trHeight w:val="278"/>
                <w:jc w:val="center"/>
              </w:trPr>
              <w:tc>
                <w:tcPr>
                  <w:tcW w:w="2796"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130"/>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на р. Дунав в пункт „Силистра“ е оценено на </w:t>
            </w:r>
            <w:r w:rsidRPr="00A8783E">
              <w:rPr>
                <w:rFonts w:ascii="Times New Roman" w:hAnsi="Times New Roman"/>
                <w:b/>
                <w:bCs/>
              </w:rPr>
              <w:t>умерено (3)</w:t>
            </w:r>
            <w:r w:rsidRPr="00A8783E">
              <w:rPr>
                <w:rFonts w:ascii="Times New Roman" w:hAnsi="Times New Roman"/>
              </w:rPr>
              <w:t xml:space="preserve"> според доклада на JDS4 (2019-2020, табл. 1, стр. 62).</w:t>
            </w:r>
            <w:r w:rsidRPr="00A8783E">
              <w:rPr>
                <w:rFonts w:cs="Calibri"/>
              </w:rPr>
              <w:t xml:space="preserve"> </w:t>
            </w:r>
            <w:r w:rsidRPr="00A8783E">
              <w:rPr>
                <w:rFonts w:ascii="Times New Roman" w:hAnsi="Times New Roman"/>
              </w:rPr>
              <w:t>Според данните от биологичния мониторинг на повърхностните води през 2020 г. ЕС на ез. Сребърна е определено като Отлично по БЕК Макрозообентос.</w:t>
            </w:r>
          </w:p>
        </w:tc>
        <w:tc>
          <w:tcPr>
            <w:tcW w:w="239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0" w:line="259" w:lineRule="auto"/>
        <w:jc w:val="both"/>
        <w:rPr>
          <w:rFonts w:ascii="Times New Roman" w:hAnsi="Times New Roman"/>
          <w:sz w:val="24"/>
          <w:szCs w:val="24"/>
        </w:rPr>
      </w:pPr>
    </w:p>
    <w:p w:rsidR="00A8783E" w:rsidRPr="00A8783E" w:rsidRDefault="00A8783E" w:rsidP="00A8783E">
      <w:pPr>
        <w:spacing w:after="0" w:line="259" w:lineRule="auto"/>
        <w:rPr>
          <w:rFonts w:ascii="Times New Roman" w:hAnsi="Times New Roman"/>
          <w:b/>
          <w:bCs/>
          <w:sz w:val="24"/>
          <w:szCs w:val="24"/>
        </w:rPr>
      </w:pPr>
      <w:r w:rsidRPr="00A8783E">
        <w:rPr>
          <w:rFonts w:ascii="Times New Roman" w:hAnsi="Times New Roman"/>
          <w:b/>
          <w:bCs/>
          <w:sz w:val="24"/>
          <w:szCs w:val="24"/>
        </w:rPr>
        <w:t>Необходимост от промени в СФ за СЗЗ</w:t>
      </w:r>
      <w:r w:rsidRPr="00A8783E">
        <w:t xml:space="preserve">  </w:t>
      </w:r>
      <w:r w:rsidRPr="00A8783E">
        <w:rPr>
          <w:rFonts w:ascii="Times New Roman" w:hAnsi="Times New Roman"/>
          <w:b/>
          <w:bCs/>
          <w:sz w:val="24"/>
          <w:szCs w:val="24"/>
        </w:rPr>
        <w:t>BG0000241 „Сребърна“</w:t>
      </w:r>
    </w:p>
    <w:p w:rsidR="00A8783E" w:rsidRPr="00A8783E" w:rsidRDefault="00A8783E" w:rsidP="00A8783E">
      <w:pPr>
        <w:numPr>
          <w:ilvl w:val="0"/>
          <w:numId w:val="27"/>
        </w:numPr>
        <w:spacing w:after="0" w:line="240" w:lineRule="auto"/>
        <w:jc w:val="both"/>
        <w:rPr>
          <w:rFonts w:ascii="Times New Roman" w:hAnsi="Times New Roman"/>
          <w:b/>
          <w:bCs/>
          <w:sz w:val="24"/>
          <w:szCs w:val="24"/>
        </w:rPr>
      </w:pPr>
      <w:r w:rsidRPr="00A8783E">
        <w:rPr>
          <w:rFonts w:ascii="Times New Roman" w:hAnsi="Times New Roman"/>
          <w:sz w:val="24"/>
          <w:szCs w:val="24"/>
        </w:rPr>
        <w:t>Актуализация на кода и научното наименование на вида, съобразно Докладването по чл. 12 от 2019 г.;</w:t>
      </w:r>
    </w:p>
    <w:p w:rsidR="00A8783E" w:rsidRPr="00A8783E" w:rsidRDefault="00A8783E" w:rsidP="00A8783E">
      <w:pPr>
        <w:numPr>
          <w:ilvl w:val="0"/>
          <w:numId w:val="27"/>
        </w:numPr>
        <w:spacing w:after="0" w:line="240" w:lineRule="auto"/>
        <w:jc w:val="both"/>
        <w:rPr>
          <w:rFonts w:ascii="Times New Roman" w:hAnsi="Times New Roman"/>
          <w:sz w:val="24"/>
          <w:szCs w:val="24"/>
        </w:rPr>
      </w:pPr>
      <w:r w:rsidRPr="00A8783E">
        <w:rPr>
          <w:rFonts w:ascii="Times New Roman" w:hAnsi="Times New Roman"/>
          <w:sz w:val="24"/>
          <w:szCs w:val="24"/>
        </w:rPr>
        <w:t>По отношение на гнездящата популация предлагаме промяна на 2-4 двойки на базата на наличните данни за популацията на вида през годините.</w:t>
      </w:r>
    </w:p>
    <w:p w:rsidR="00A8783E" w:rsidRPr="00A8783E" w:rsidRDefault="00A8783E" w:rsidP="00A8783E">
      <w:pPr>
        <w:numPr>
          <w:ilvl w:val="0"/>
          <w:numId w:val="27"/>
        </w:numPr>
        <w:spacing w:after="0" w:line="240" w:lineRule="auto"/>
        <w:jc w:val="both"/>
        <w:rPr>
          <w:rFonts w:ascii="Times New Roman" w:hAnsi="Times New Roman"/>
          <w:b/>
          <w:bCs/>
          <w:sz w:val="24"/>
          <w:szCs w:val="24"/>
        </w:rPr>
      </w:pPr>
      <w:r w:rsidRPr="00A8783E">
        <w:rPr>
          <w:rFonts w:ascii="Times New Roman" w:hAnsi="Times New Roman"/>
          <w:sz w:val="24"/>
          <w:szCs w:val="24"/>
        </w:rPr>
        <w:t xml:space="preserve">По отношение на оценката на гнездящата популация – категорията </w:t>
      </w:r>
      <w:r w:rsidRPr="00A8783E">
        <w:rPr>
          <w:rFonts w:ascii="Times New Roman" w:hAnsi="Times New Roman"/>
          <w:sz w:val="24"/>
          <w:szCs w:val="24"/>
          <w:lang w:val="en-US"/>
        </w:rPr>
        <w:t>Pop</w:t>
      </w:r>
      <w:r w:rsidRPr="00A8783E">
        <w:rPr>
          <w:rFonts w:ascii="Times New Roman" w:hAnsi="Times New Roman"/>
          <w:sz w:val="24"/>
          <w:szCs w:val="24"/>
        </w:rPr>
        <w:t>. да се коригира от „С“ на „В“ (в зоната се опазват 2-15% от националната популация);</w:t>
      </w:r>
    </w:p>
    <w:p w:rsidR="00A8783E" w:rsidRPr="00A8783E" w:rsidRDefault="00A8783E" w:rsidP="00A8783E">
      <w:pPr>
        <w:numPr>
          <w:ilvl w:val="0"/>
          <w:numId w:val="27"/>
        </w:numPr>
        <w:spacing w:after="0" w:line="240" w:lineRule="auto"/>
        <w:ind w:left="714" w:hanging="357"/>
        <w:jc w:val="both"/>
        <w:rPr>
          <w:rFonts w:ascii="Times New Roman" w:hAnsi="Times New Roman"/>
          <w:b/>
          <w:bCs/>
          <w:sz w:val="24"/>
          <w:szCs w:val="24"/>
        </w:rPr>
      </w:pPr>
      <w:r w:rsidRPr="00A8783E">
        <w:rPr>
          <w:rFonts w:ascii="Times New Roman" w:hAnsi="Times New Roman"/>
          <w:sz w:val="24"/>
          <w:szCs w:val="24"/>
        </w:rPr>
        <w:t>По отношение на зимуващата популация – да се добави максимална численост от 356 индивида, тъй като през 2012 г. в резервата са регистирирани 356 инд.</w:t>
      </w:r>
    </w:p>
    <w:p w:rsidR="00A8783E" w:rsidRPr="00A8783E" w:rsidRDefault="00A8783E" w:rsidP="00A8783E">
      <w:pPr>
        <w:numPr>
          <w:ilvl w:val="0"/>
          <w:numId w:val="27"/>
        </w:numPr>
        <w:spacing w:after="0" w:line="240" w:lineRule="auto"/>
        <w:ind w:left="714" w:hanging="357"/>
        <w:jc w:val="both"/>
        <w:rPr>
          <w:rFonts w:ascii="Times New Roman" w:hAnsi="Times New Roman"/>
          <w:sz w:val="24"/>
          <w:szCs w:val="24"/>
        </w:rPr>
      </w:pPr>
      <w:r w:rsidRPr="00A8783E">
        <w:rPr>
          <w:rFonts w:ascii="Times New Roman" w:hAnsi="Times New Roman"/>
          <w:sz w:val="24"/>
          <w:szCs w:val="24"/>
        </w:rPr>
        <w:t xml:space="preserve">Промяна на оценката на зимуващата популация и общата оценка (категории </w:t>
      </w:r>
      <w:r w:rsidRPr="00A8783E">
        <w:rPr>
          <w:rFonts w:ascii="Times New Roman" w:hAnsi="Times New Roman"/>
          <w:sz w:val="24"/>
          <w:szCs w:val="24"/>
          <w:lang w:val="en-US"/>
        </w:rPr>
        <w:t>Pop</w:t>
      </w:r>
      <w:r w:rsidRPr="00A8783E">
        <w:rPr>
          <w:rFonts w:ascii="Times New Roman" w:hAnsi="Times New Roman"/>
          <w:sz w:val="24"/>
          <w:szCs w:val="24"/>
        </w:rPr>
        <w:t xml:space="preserve">. и </w:t>
      </w:r>
      <w:r w:rsidRPr="00A8783E">
        <w:rPr>
          <w:rFonts w:ascii="Times New Roman" w:hAnsi="Times New Roman"/>
          <w:sz w:val="24"/>
          <w:szCs w:val="24"/>
          <w:lang w:val="en-US"/>
        </w:rPr>
        <w:t>Glo</w:t>
      </w:r>
      <w:r w:rsidRPr="00A8783E">
        <w:rPr>
          <w:rFonts w:ascii="Times New Roman" w:hAnsi="Times New Roman"/>
          <w:sz w:val="24"/>
          <w:szCs w:val="24"/>
        </w:rPr>
        <w:t>.) – от „С” на „В”, поради по-значителната част от националната популация на вида, която се опазва в зоната.</w:t>
      </w:r>
    </w:p>
    <w:p w:rsidR="00A8783E" w:rsidRPr="00A8783E" w:rsidRDefault="00A8783E" w:rsidP="00A8783E">
      <w:pPr>
        <w:spacing w:after="0" w:line="240" w:lineRule="auto"/>
        <w:ind w:left="714"/>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22"/>
        <w:gridCol w:w="328"/>
        <w:gridCol w:w="483"/>
        <w:gridCol w:w="181"/>
        <w:gridCol w:w="181"/>
        <w:gridCol w:w="572"/>
        <w:gridCol w:w="605"/>
        <w:gridCol w:w="594"/>
        <w:gridCol w:w="578"/>
        <w:gridCol w:w="839"/>
        <w:gridCol w:w="475"/>
        <w:gridCol w:w="475"/>
        <w:gridCol w:w="622"/>
        <w:gridCol w:w="522"/>
        <w:gridCol w:w="578"/>
      </w:tblGrid>
      <w:tr w:rsidR="00A8783E" w:rsidRPr="00A8783E" w:rsidTr="005B5318">
        <w:trPr>
          <w:jc w:val="center"/>
        </w:trPr>
        <w:tc>
          <w:tcPr>
            <w:tcW w:w="0" w:type="auto"/>
            <w:gridSpan w:val="6"/>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Species</w:t>
            </w:r>
          </w:p>
        </w:tc>
        <w:tc>
          <w:tcPr>
            <w:tcW w:w="0" w:type="auto"/>
            <w:gridSpan w:val="7"/>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Population in the site</w:t>
            </w:r>
          </w:p>
        </w:tc>
        <w:tc>
          <w:tcPr>
            <w:tcW w:w="0" w:type="auto"/>
            <w:gridSpan w:val="4"/>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G</w:t>
            </w:r>
          </w:p>
        </w:tc>
        <w:tc>
          <w:tcPr>
            <w:tcW w:w="0" w:type="auto"/>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Code</w:t>
            </w:r>
          </w:p>
        </w:tc>
        <w:tc>
          <w:tcPr>
            <w:tcW w:w="0" w:type="auto"/>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Scientific Name</w:t>
            </w:r>
          </w:p>
        </w:tc>
        <w:tc>
          <w:tcPr>
            <w:tcW w:w="0" w:type="auto"/>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S</w:t>
            </w:r>
          </w:p>
        </w:tc>
        <w:tc>
          <w:tcPr>
            <w:tcW w:w="0" w:type="auto"/>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NP</w:t>
            </w:r>
          </w:p>
        </w:tc>
        <w:tc>
          <w:tcPr>
            <w:tcW w:w="0" w:type="auto"/>
            <w:gridSpan w:val="2"/>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T</w:t>
            </w:r>
          </w:p>
        </w:tc>
        <w:tc>
          <w:tcPr>
            <w:tcW w:w="0" w:type="auto"/>
            <w:gridSpan w:val="2"/>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Size</w:t>
            </w:r>
          </w:p>
        </w:tc>
        <w:tc>
          <w:tcPr>
            <w:tcW w:w="0" w:type="auto"/>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Unit</w:t>
            </w:r>
          </w:p>
        </w:tc>
        <w:tc>
          <w:tcPr>
            <w:tcW w:w="0" w:type="auto"/>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Cat.</w:t>
            </w:r>
          </w:p>
        </w:tc>
        <w:tc>
          <w:tcPr>
            <w:tcW w:w="0" w:type="auto"/>
            <w:vMerge w:val="restart"/>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D.qual.</w:t>
            </w:r>
          </w:p>
        </w:tc>
        <w:tc>
          <w:tcPr>
            <w:tcW w:w="0" w:type="auto"/>
            <w:gridSpan w:val="2"/>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A/B/C/D</w:t>
            </w:r>
          </w:p>
        </w:tc>
        <w:tc>
          <w:tcPr>
            <w:tcW w:w="0" w:type="auto"/>
            <w:gridSpan w:val="3"/>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120" w:line="259" w:lineRule="auto"/>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120" w:line="259" w:lineRule="auto"/>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120" w:line="259" w:lineRule="auto"/>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120" w:line="259" w:lineRule="auto"/>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p>
        </w:tc>
        <w:tc>
          <w:tcPr>
            <w:tcW w:w="0" w:type="auto"/>
            <w:gridSpan w:val="2"/>
            <w:vMerge/>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Min</w:t>
            </w:r>
          </w:p>
        </w:tc>
        <w:tc>
          <w:tcPr>
            <w:tcW w:w="0" w:type="auto"/>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Max</w:t>
            </w:r>
          </w:p>
        </w:tc>
        <w:tc>
          <w:tcPr>
            <w:tcW w:w="0" w:type="auto"/>
            <w:vMerge/>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p>
        </w:tc>
        <w:tc>
          <w:tcPr>
            <w:tcW w:w="0" w:type="auto"/>
            <w:gridSpan w:val="2"/>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Pop.</w:t>
            </w:r>
          </w:p>
        </w:tc>
        <w:tc>
          <w:tcPr>
            <w:tcW w:w="0" w:type="auto"/>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Con.</w:t>
            </w:r>
          </w:p>
        </w:tc>
        <w:tc>
          <w:tcPr>
            <w:tcW w:w="0" w:type="auto"/>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Iso.</w:t>
            </w:r>
          </w:p>
        </w:tc>
        <w:tc>
          <w:tcPr>
            <w:tcW w:w="0" w:type="auto"/>
            <w:shd w:val="clear" w:color="auto" w:fill="D9D9D9"/>
            <w:vAlign w:val="center"/>
          </w:tcPr>
          <w:p w:rsidR="00A8783E" w:rsidRPr="00A8783E" w:rsidRDefault="00A8783E" w:rsidP="00A8783E">
            <w:pPr>
              <w:spacing w:after="120" w:line="259" w:lineRule="auto"/>
              <w:rPr>
                <w:rFonts w:ascii="Times New Roman" w:hAnsi="Times New Roman"/>
                <w:b/>
                <w:bCs/>
                <w:sz w:val="20"/>
                <w:szCs w:val="20"/>
              </w:rPr>
            </w:pPr>
            <w:r w:rsidRPr="00A8783E">
              <w:rPr>
                <w:rFonts w:ascii="Times New Roman" w:hAnsi="Times New Roman"/>
                <w:b/>
                <w:bCs/>
                <w:sz w:val="20"/>
                <w:szCs w:val="20"/>
              </w:rPr>
              <w:t>Glo.</w:t>
            </w:r>
          </w:p>
        </w:tc>
      </w:tr>
      <w:tr w:rsidR="00A8783E" w:rsidRPr="00A8783E" w:rsidTr="005B5318">
        <w:trPr>
          <w:jc w:val="center"/>
        </w:trPr>
        <w:tc>
          <w:tcPr>
            <w:tcW w:w="0" w:type="auto"/>
            <w:vAlign w:val="center"/>
          </w:tcPr>
          <w:p w:rsidR="00A8783E" w:rsidRPr="00A8783E" w:rsidRDefault="00A8783E" w:rsidP="00A8783E">
            <w:pPr>
              <w:spacing w:after="120" w:line="259" w:lineRule="auto"/>
              <w:rPr>
                <w:rFonts w:ascii="Times New Roman" w:hAnsi="Times New Roman"/>
                <w:sz w:val="20"/>
                <w:szCs w:val="20"/>
              </w:rPr>
            </w:pPr>
            <w:r w:rsidRPr="00A8783E">
              <w:rPr>
                <w:rFonts w:ascii="Times New Roman" w:hAnsi="Times New Roman"/>
                <w:sz w:val="20"/>
                <w:szCs w:val="20"/>
              </w:rPr>
              <w:t>В</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A</w:t>
            </w:r>
            <w:r w:rsidRPr="00A8783E">
              <w:rPr>
                <w:rFonts w:ascii="Times New Roman" w:hAnsi="Times New Roman"/>
                <w:b/>
                <w:bCs/>
                <w:color w:val="FF0000"/>
                <w:sz w:val="20"/>
                <w:szCs w:val="20"/>
              </w:rPr>
              <w:t>857</w:t>
            </w:r>
          </w:p>
        </w:tc>
        <w:tc>
          <w:tcPr>
            <w:tcW w:w="0" w:type="auto"/>
            <w:vAlign w:val="center"/>
          </w:tcPr>
          <w:p w:rsidR="00A8783E" w:rsidRPr="00A8783E" w:rsidRDefault="00A8783E" w:rsidP="00A8783E">
            <w:pPr>
              <w:spacing w:after="0" w:line="240" w:lineRule="auto"/>
              <w:rPr>
                <w:rFonts w:ascii="Times New Roman" w:hAnsi="Times New Roman"/>
                <w:i/>
                <w:iCs/>
                <w:color w:val="FF0000"/>
                <w:sz w:val="20"/>
                <w:szCs w:val="20"/>
                <w:lang w:val="en-US" w:eastAsia="en-GB"/>
              </w:rPr>
            </w:pPr>
            <w:r w:rsidRPr="00A8783E">
              <w:rPr>
                <w:rFonts w:ascii="Times New Roman" w:hAnsi="Times New Roman"/>
                <w:b/>
                <w:bCs/>
                <w:i/>
                <w:iCs/>
                <w:color w:val="FF0000"/>
                <w:sz w:val="20"/>
                <w:szCs w:val="20"/>
                <w:lang w:val="en-US" w:eastAsia="en-GB"/>
              </w:rPr>
              <w:t xml:space="preserve">Spatula </w:t>
            </w:r>
            <w:r w:rsidRPr="00A8783E">
              <w:rPr>
                <w:rFonts w:ascii="Times New Roman" w:hAnsi="Times New Roman"/>
                <w:i/>
                <w:iCs/>
                <w:sz w:val="20"/>
                <w:szCs w:val="20"/>
                <w:lang w:val="en-US" w:eastAsia="en-GB"/>
              </w:rPr>
              <w:t>clypeata</w:t>
            </w:r>
          </w:p>
        </w:tc>
        <w:tc>
          <w:tcPr>
            <w:tcW w:w="0" w:type="auto"/>
            <w:vAlign w:val="center"/>
          </w:tcPr>
          <w:p w:rsidR="00A8783E" w:rsidRPr="00A8783E" w:rsidRDefault="00A8783E" w:rsidP="00A8783E">
            <w:pPr>
              <w:spacing w:after="0" w:line="259" w:lineRule="auto"/>
              <w:rPr>
                <w:rFonts w:ascii="Times New Roman" w:hAnsi="Times New Roman"/>
                <w:sz w:val="20"/>
                <w:szCs w:val="20"/>
              </w:rPr>
            </w:pPr>
          </w:p>
        </w:tc>
        <w:tc>
          <w:tcPr>
            <w:tcW w:w="0" w:type="auto"/>
            <w:vAlign w:val="center"/>
          </w:tcPr>
          <w:p w:rsidR="00A8783E" w:rsidRPr="00A8783E" w:rsidRDefault="00A8783E" w:rsidP="00A8783E">
            <w:pPr>
              <w:spacing w:after="0" w:line="259" w:lineRule="auto"/>
              <w:rPr>
                <w:rFonts w:ascii="Times New Roman" w:hAnsi="Times New Roman"/>
                <w:b/>
                <w:bCs/>
                <w:sz w:val="20"/>
                <w:szCs w:val="20"/>
              </w:rPr>
            </w:pPr>
          </w:p>
        </w:tc>
        <w:tc>
          <w:tcPr>
            <w:tcW w:w="0" w:type="auto"/>
            <w:gridSpan w:val="2"/>
            <w:vAlign w:val="center"/>
          </w:tcPr>
          <w:p w:rsidR="00A8783E" w:rsidRPr="00A8783E" w:rsidRDefault="00A8783E" w:rsidP="00A8783E">
            <w:pPr>
              <w:spacing w:after="0" w:line="259" w:lineRule="auto"/>
              <w:rPr>
                <w:rFonts w:ascii="Times New Roman" w:hAnsi="Times New Roman"/>
                <w:sz w:val="20"/>
                <w:szCs w:val="20"/>
                <w:lang w:val="en-US"/>
              </w:rPr>
            </w:pPr>
            <w:r w:rsidRPr="00A8783E">
              <w:rPr>
                <w:rFonts w:ascii="Times New Roman" w:hAnsi="Times New Roman"/>
                <w:sz w:val="20"/>
                <w:szCs w:val="20"/>
                <w:lang w:val="en-US"/>
              </w:rPr>
              <w:t>r</w:t>
            </w:r>
          </w:p>
        </w:tc>
        <w:tc>
          <w:tcPr>
            <w:tcW w:w="0" w:type="auto"/>
            <w:vAlign w:val="center"/>
          </w:tcPr>
          <w:p w:rsidR="00A8783E" w:rsidRPr="00A8783E" w:rsidRDefault="00A8783E" w:rsidP="00A8783E">
            <w:pPr>
              <w:spacing w:after="0" w:line="259"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2</w:t>
            </w:r>
          </w:p>
        </w:tc>
        <w:tc>
          <w:tcPr>
            <w:tcW w:w="0" w:type="auto"/>
            <w:vAlign w:val="center"/>
          </w:tcPr>
          <w:p w:rsidR="00A8783E" w:rsidRPr="00A8783E" w:rsidRDefault="00A8783E" w:rsidP="00A8783E">
            <w:pPr>
              <w:spacing w:after="0" w:line="259"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4</w:t>
            </w:r>
          </w:p>
        </w:tc>
        <w:tc>
          <w:tcPr>
            <w:tcW w:w="0" w:type="auto"/>
            <w:vAlign w:val="center"/>
          </w:tcPr>
          <w:p w:rsidR="00A8783E" w:rsidRPr="00A8783E" w:rsidRDefault="00A8783E" w:rsidP="00A8783E">
            <w:pPr>
              <w:spacing w:after="0" w:line="259" w:lineRule="auto"/>
              <w:rPr>
                <w:rFonts w:ascii="Times New Roman" w:hAnsi="Times New Roman"/>
                <w:sz w:val="20"/>
                <w:szCs w:val="20"/>
                <w:lang w:val="en-US"/>
              </w:rPr>
            </w:pPr>
            <w:r w:rsidRPr="00A8783E">
              <w:rPr>
                <w:rFonts w:ascii="Times New Roman" w:hAnsi="Times New Roman"/>
                <w:sz w:val="20"/>
                <w:szCs w:val="20"/>
                <w:lang w:val="en-US"/>
              </w:rPr>
              <w:t>p</w:t>
            </w:r>
          </w:p>
        </w:tc>
        <w:tc>
          <w:tcPr>
            <w:tcW w:w="0" w:type="auto"/>
            <w:vAlign w:val="center"/>
          </w:tcPr>
          <w:p w:rsidR="00A8783E" w:rsidRPr="00A8783E" w:rsidRDefault="00A8783E" w:rsidP="00A8783E">
            <w:pPr>
              <w:spacing w:after="0" w:line="259" w:lineRule="auto"/>
              <w:rPr>
                <w:rFonts w:ascii="Times New Roman" w:hAnsi="Times New Roman"/>
                <w:b/>
                <w:bCs/>
                <w:sz w:val="20"/>
                <w:szCs w:val="20"/>
              </w:rPr>
            </w:pPr>
          </w:p>
        </w:tc>
        <w:tc>
          <w:tcPr>
            <w:tcW w:w="0" w:type="auto"/>
            <w:vAlign w:val="center"/>
          </w:tcPr>
          <w:p w:rsidR="00A8783E" w:rsidRPr="00A8783E" w:rsidRDefault="00A8783E" w:rsidP="00A8783E">
            <w:pPr>
              <w:spacing w:after="0" w:line="259" w:lineRule="auto"/>
              <w:rPr>
                <w:rFonts w:ascii="Times New Roman" w:hAnsi="Times New Roman"/>
                <w:sz w:val="20"/>
                <w:szCs w:val="20"/>
                <w:lang w:val="en-US"/>
              </w:rPr>
            </w:pPr>
            <w:r w:rsidRPr="00A8783E">
              <w:rPr>
                <w:rFonts w:ascii="Times New Roman" w:hAnsi="Times New Roman"/>
                <w:sz w:val="20"/>
                <w:szCs w:val="20"/>
                <w:lang w:val="en-US"/>
              </w:rPr>
              <w:t>G</w:t>
            </w:r>
          </w:p>
        </w:tc>
        <w:tc>
          <w:tcPr>
            <w:tcW w:w="0" w:type="auto"/>
            <w:gridSpan w:val="2"/>
            <w:vAlign w:val="center"/>
          </w:tcPr>
          <w:p w:rsidR="00A8783E" w:rsidRPr="00A8783E" w:rsidRDefault="00A8783E" w:rsidP="00A8783E">
            <w:pPr>
              <w:spacing w:after="0" w:line="259" w:lineRule="auto"/>
              <w:rPr>
                <w:rFonts w:ascii="Times New Roman" w:hAnsi="Times New Roman"/>
                <w:b/>
                <w:bCs/>
                <w:sz w:val="20"/>
                <w:szCs w:val="20"/>
                <w:lang w:val="en-US"/>
              </w:rPr>
            </w:pPr>
            <w:r w:rsidRPr="00A8783E">
              <w:rPr>
                <w:rFonts w:ascii="Times New Roman" w:hAnsi="Times New Roman"/>
                <w:b/>
                <w:bCs/>
                <w:color w:val="FF0000"/>
                <w:sz w:val="20"/>
                <w:szCs w:val="20"/>
                <w:lang w:val="en-US"/>
              </w:rPr>
              <w:t>B</w:t>
            </w:r>
          </w:p>
        </w:tc>
        <w:tc>
          <w:tcPr>
            <w:tcW w:w="0" w:type="auto"/>
            <w:vAlign w:val="center"/>
          </w:tcPr>
          <w:p w:rsidR="00A8783E" w:rsidRPr="00A8783E" w:rsidRDefault="00A8783E" w:rsidP="00A8783E">
            <w:pPr>
              <w:spacing w:after="0" w:line="259" w:lineRule="auto"/>
              <w:rPr>
                <w:rFonts w:ascii="Times New Roman" w:hAnsi="Times New Roman"/>
                <w:sz w:val="20"/>
                <w:szCs w:val="20"/>
                <w:lang w:val="en-US"/>
              </w:rPr>
            </w:pPr>
            <w:r w:rsidRPr="00A8783E">
              <w:rPr>
                <w:rFonts w:ascii="Times New Roman" w:hAnsi="Times New Roman"/>
                <w:sz w:val="20"/>
                <w:szCs w:val="20"/>
                <w:lang w:val="en-US"/>
              </w:rPr>
              <w:t>A</w:t>
            </w:r>
          </w:p>
        </w:tc>
        <w:tc>
          <w:tcPr>
            <w:tcW w:w="0" w:type="auto"/>
            <w:vAlign w:val="center"/>
          </w:tcPr>
          <w:p w:rsidR="00A8783E" w:rsidRPr="00A8783E" w:rsidRDefault="00A8783E" w:rsidP="00A8783E">
            <w:pPr>
              <w:spacing w:after="0" w:line="259" w:lineRule="auto"/>
              <w:rPr>
                <w:rFonts w:ascii="Times New Roman" w:hAnsi="Times New Roman"/>
                <w:sz w:val="20"/>
                <w:szCs w:val="20"/>
                <w:lang w:val="en-US"/>
              </w:rPr>
            </w:pPr>
            <w:r w:rsidRPr="00A8783E">
              <w:rPr>
                <w:rFonts w:ascii="Times New Roman" w:hAnsi="Times New Roman"/>
                <w:sz w:val="20"/>
                <w:szCs w:val="20"/>
                <w:lang w:val="en-US"/>
              </w:rPr>
              <w:t>C</w:t>
            </w:r>
          </w:p>
        </w:tc>
        <w:tc>
          <w:tcPr>
            <w:tcW w:w="0" w:type="auto"/>
            <w:vAlign w:val="center"/>
          </w:tcPr>
          <w:p w:rsidR="00A8783E" w:rsidRPr="00A8783E" w:rsidRDefault="00A8783E" w:rsidP="00A8783E">
            <w:pPr>
              <w:spacing w:after="0" w:line="259" w:lineRule="auto"/>
              <w:rPr>
                <w:rFonts w:ascii="Times New Roman" w:hAnsi="Times New Roman"/>
                <w:sz w:val="20"/>
                <w:szCs w:val="20"/>
                <w:lang w:val="en-US"/>
              </w:rPr>
            </w:pPr>
            <w:r w:rsidRPr="00A8783E">
              <w:rPr>
                <w:rFonts w:ascii="Times New Roman" w:hAnsi="Times New Roman"/>
                <w:sz w:val="20"/>
                <w:szCs w:val="20"/>
                <w:lang w:val="en-US"/>
              </w:rPr>
              <w:t>B</w:t>
            </w:r>
          </w:p>
        </w:tc>
      </w:tr>
      <w:tr w:rsidR="00A8783E" w:rsidRPr="00A8783E" w:rsidTr="005B5318">
        <w:trPr>
          <w:jc w:val="center"/>
        </w:trPr>
        <w:tc>
          <w:tcPr>
            <w:tcW w:w="0" w:type="auto"/>
            <w:vAlign w:val="center"/>
          </w:tcPr>
          <w:p w:rsidR="00A8783E" w:rsidRPr="00A8783E" w:rsidRDefault="00A8783E" w:rsidP="00A8783E">
            <w:pPr>
              <w:spacing w:after="120" w:line="259" w:lineRule="auto"/>
              <w:rPr>
                <w:rFonts w:ascii="Times New Roman" w:hAnsi="Times New Roman"/>
                <w:sz w:val="20"/>
                <w:szCs w:val="20"/>
              </w:rPr>
            </w:pPr>
            <w:r w:rsidRPr="00A8783E">
              <w:rPr>
                <w:rFonts w:ascii="Times New Roman" w:hAnsi="Times New Roman"/>
                <w:sz w:val="20"/>
                <w:szCs w:val="20"/>
              </w:rPr>
              <w:lastRenderedPageBreak/>
              <w:t>В</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A</w:t>
            </w:r>
            <w:r w:rsidRPr="00A8783E">
              <w:rPr>
                <w:rFonts w:ascii="Times New Roman" w:hAnsi="Times New Roman"/>
                <w:b/>
                <w:bCs/>
                <w:color w:val="FF0000"/>
                <w:sz w:val="20"/>
                <w:szCs w:val="20"/>
              </w:rPr>
              <w:t>857</w:t>
            </w:r>
          </w:p>
        </w:tc>
        <w:tc>
          <w:tcPr>
            <w:tcW w:w="0" w:type="auto"/>
            <w:vAlign w:val="center"/>
          </w:tcPr>
          <w:p w:rsidR="00A8783E" w:rsidRPr="00A8783E" w:rsidRDefault="00A8783E" w:rsidP="00A8783E">
            <w:pPr>
              <w:spacing w:after="0" w:line="240" w:lineRule="auto"/>
              <w:rPr>
                <w:rFonts w:ascii="Times New Roman" w:hAnsi="Times New Roman"/>
                <w:i/>
                <w:iCs/>
                <w:color w:val="FF0000"/>
                <w:sz w:val="20"/>
                <w:szCs w:val="20"/>
                <w:lang w:val="en-US" w:eastAsia="en-GB"/>
              </w:rPr>
            </w:pPr>
            <w:r w:rsidRPr="00A8783E">
              <w:rPr>
                <w:rFonts w:ascii="Times New Roman" w:hAnsi="Times New Roman"/>
                <w:b/>
                <w:bCs/>
                <w:i/>
                <w:iCs/>
                <w:color w:val="FF0000"/>
                <w:sz w:val="20"/>
                <w:szCs w:val="20"/>
                <w:lang w:val="en-US" w:eastAsia="en-GB"/>
              </w:rPr>
              <w:t xml:space="preserve">Spatula </w:t>
            </w:r>
            <w:r w:rsidRPr="00A8783E">
              <w:rPr>
                <w:rFonts w:ascii="Times New Roman" w:hAnsi="Times New Roman"/>
                <w:i/>
                <w:iCs/>
                <w:sz w:val="20"/>
                <w:szCs w:val="20"/>
                <w:lang w:val="en-US" w:eastAsia="en-GB"/>
              </w:rPr>
              <w:t>clypeata</w:t>
            </w:r>
          </w:p>
        </w:tc>
        <w:tc>
          <w:tcPr>
            <w:tcW w:w="0" w:type="auto"/>
            <w:vAlign w:val="center"/>
          </w:tcPr>
          <w:p w:rsidR="00A8783E" w:rsidRPr="00A8783E" w:rsidRDefault="00A8783E" w:rsidP="00A8783E">
            <w:pPr>
              <w:spacing w:after="0" w:line="259" w:lineRule="auto"/>
              <w:rPr>
                <w:rFonts w:ascii="Times New Roman" w:hAnsi="Times New Roman"/>
                <w:sz w:val="20"/>
                <w:szCs w:val="20"/>
              </w:rPr>
            </w:pPr>
          </w:p>
        </w:tc>
        <w:tc>
          <w:tcPr>
            <w:tcW w:w="0" w:type="auto"/>
            <w:vAlign w:val="center"/>
          </w:tcPr>
          <w:p w:rsidR="00A8783E" w:rsidRPr="00A8783E" w:rsidRDefault="00A8783E" w:rsidP="00A8783E">
            <w:pPr>
              <w:spacing w:after="0" w:line="259" w:lineRule="auto"/>
              <w:rPr>
                <w:rFonts w:ascii="Times New Roman" w:hAnsi="Times New Roman"/>
                <w:b/>
                <w:bCs/>
                <w:sz w:val="20"/>
                <w:szCs w:val="20"/>
              </w:rPr>
            </w:pPr>
          </w:p>
        </w:tc>
        <w:tc>
          <w:tcPr>
            <w:tcW w:w="0" w:type="auto"/>
            <w:gridSpan w:val="2"/>
            <w:vAlign w:val="center"/>
          </w:tcPr>
          <w:p w:rsidR="00A8783E" w:rsidRPr="00A8783E" w:rsidRDefault="00A8783E" w:rsidP="00A8783E">
            <w:pPr>
              <w:spacing w:after="0" w:line="259" w:lineRule="auto"/>
              <w:rPr>
                <w:rFonts w:ascii="Times New Roman" w:hAnsi="Times New Roman"/>
                <w:sz w:val="20"/>
                <w:szCs w:val="20"/>
                <w:lang w:val="en-US"/>
              </w:rPr>
            </w:pPr>
            <w:r w:rsidRPr="00A8783E">
              <w:rPr>
                <w:rFonts w:ascii="Times New Roman" w:hAnsi="Times New Roman"/>
                <w:sz w:val="20"/>
                <w:szCs w:val="20"/>
                <w:lang w:val="en-US"/>
              </w:rPr>
              <w:t>w</w:t>
            </w:r>
          </w:p>
        </w:tc>
        <w:tc>
          <w:tcPr>
            <w:tcW w:w="0" w:type="auto"/>
            <w:vAlign w:val="center"/>
          </w:tcPr>
          <w:p w:rsidR="00A8783E" w:rsidRPr="00A8783E" w:rsidRDefault="00A8783E" w:rsidP="00A8783E">
            <w:pPr>
              <w:spacing w:after="0" w:line="259"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3</w:t>
            </w:r>
          </w:p>
        </w:tc>
        <w:tc>
          <w:tcPr>
            <w:tcW w:w="0" w:type="auto"/>
            <w:vAlign w:val="center"/>
          </w:tcPr>
          <w:p w:rsidR="00A8783E" w:rsidRPr="00A8783E" w:rsidRDefault="00A8783E" w:rsidP="00A8783E">
            <w:pPr>
              <w:spacing w:after="0" w:line="259"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356</w:t>
            </w:r>
          </w:p>
        </w:tc>
        <w:tc>
          <w:tcPr>
            <w:tcW w:w="0" w:type="auto"/>
            <w:vAlign w:val="center"/>
          </w:tcPr>
          <w:p w:rsidR="00A8783E" w:rsidRPr="00A8783E" w:rsidRDefault="00A8783E" w:rsidP="00A8783E">
            <w:pPr>
              <w:spacing w:after="0" w:line="259" w:lineRule="auto"/>
              <w:rPr>
                <w:rFonts w:ascii="Times New Roman" w:hAnsi="Times New Roman"/>
                <w:sz w:val="20"/>
                <w:szCs w:val="20"/>
                <w:lang w:val="en-US"/>
              </w:rPr>
            </w:pPr>
            <w:r w:rsidRPr="00A8783E">
              <w:rPr>
                <w:rFonts w:ascii="Times New Roman" w:hAnsi="Times New Roman"/>
                <w:sz w:val="20"/>
                <w:szCs w:val="20"/>
                <w:lang w:val="en-US"/>
              </w:rPr>
              <w:t>i</w:t>
            </w:r>
          </w:p>
        </w:tc>
        <w:tc>
          <w:tcPr>
            <w:tcW w:w="0" w:type="auto"/>
            <w:vAlign w:val="center"/>
          </w:tcPr>
          <w:p w:rsidR="00A8783E" w:rsidRPr="00A8783E" w:rsidRDefault="00A8783E" w:rsidP="00A8783E">
            <w:pPr>
              <w:spacing w:after="0" w:line="259" w:lineRule="auto"/>
              <w:rPr>
                <w:rFonts w:ascii="Times New Roman" w:hAnsi="Times New Roman"/>
                <w:b/>
                <w:bCs/>
                <w:sz w:val="20"/>
                <w:szCs w:val="20"/>
              </w:rPr>
            </w:pPr>
          </w:p>
        </w:tc>
        <w:tc>
          <w:tcPr>
            <w:tcW w:w="0" w:type="auto"/>
            <w:vAlign w:val="center"/>
          </w:tcPr>
          <w:p w:rsidR="00A8783E" w:rsidRPr="00A8783E" w:rsidRDefault="00A8783E" w:rsidP="00A8783E">
            <w:pPr>
              <w:spacing w:after="0" w:line="259" w:lineRule="auto"/>
              <w:rPr>
                <w:rFonts w:ascii="Times New Roman" w:hAnsi="Times New Roman"/>
                <w:sz w:val="20"/>
                <w:szCs w:val="20"/>
                <w:lang w:val="en-US"/>
              </w:rPr>
            </w:pPr>
            <w:r w:rsidRPr="00A8783E">
              <w:rPr>
                <w:rFonts w:ascii="Times New Roman" w:hAnsi="Times New Roman"/>
                <w:sz w:val="20"/>
                <w:szCs w:val="20"/>
                <w:lang w:val="en-US"/>
              </w:rPr>
              <w:t>G</w:t>
            </w:r>
          </w:p>
        </w:tc>
        <w:tc>
          <w:tcPr>
            <w:tcW w:w="0" w:type="auto"/>
            <w:gridSpan w:val="2"/>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color w:val="FF0000"/>
                <w:sz w:val="20"/>
                <w:szCs w:val="20"/>
              </w:rPr>
              <w:t>В</w:t>
            </w:r>
          </w:p>
        </w:tc>
        <w:tc>
          <w:tcPr>
            <w:tcW w:w="0" w:type="auto"/>
            <w:vAlign w:val="center"/>
          </w:tcPr>
          <w:p w:rsidR="00A8783E" w:rsidRPr="00A8783E" w:rsidRDefault="00A8783E" w:rsidP="00A8783E">
            <w:pPr>
              <w:spacing w:after="0" w:line="259" w:lineRule="auto"/>
              <w:rPr>
                <w:rFonts w:ascii="Times New Roman" w:hAnsi="Times New Roman"/>
                <w:sz w:val="20"/>
                <w:szCs w:val="20"/>
                <w:lang w:val="en-US"/>
              </w:rPr>
            </w:pPr>
            <w:r w:rsidRPr="00A8783E">
              <w:rPr>
                <w:rFonts w:ascii="Times New Roman" w:hAnsi="Times New Roman"/>
                <w:sz w:val="20"/>
                <w:szCs w:val="20"/>
                <w:lang w:val="en-US"/>
              </w:rPr>
              <w:t>B</w:t>
            </w:r>
          </w:p>
        </w:tc>
        <w:tc>
          <w:tcPr>
            <w:tcW w:w="0" w:type="auto"/>
            <w:vAlign w:val="center"/>
          </w:tcPr>
          <w:p w:rsidR="00A8783E" w:rsidRPr="00A8783E" w:rsidRDefault="00A8783E" w:rsidP="00A8783E">
            <w:pPr>
              <w:spacing w:after="0" w:line="259" w:lineRule="auto"/>
              <w:rPr>
                <w:rFonts w:ascii="Times New Roman" w:hAnsi="Times New Roman"/>
                <w:sz w:val="20"/>
                <w:szCs w:val="20"/>
                <w:lang w:val="en-US"/>
              </w:rPr>
            </w:pPr>
            <w:r w:rsidRPr="00A8783E">
              <w:rPr>
                <w:rFonts w:ascii="Times New Roman" w:hAnsi="Times New Roman"/>
                <w:sz w:val="20"/>
                <w:szCs w:val="20"/>
                <w:lang w:val="en-US"/>
              </w:rPr>
              <w:t>C</w:t>
            </w:r>
          </w:p>
        </w:tc>
        <w:tc>
          <w:tcPr>
            <w:tcW w:w="0" w:type="auto"/>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color w:val="FF0000"/>
                <w:sz w:val="20"/>
                <w:szCs w:val="20"/>
              </w:rPr>
              <w:t>В</w:t>
            </w:r>
          </w:p>
        </w:tc>
      </w:tr>
    </w:tbl>
    <w:p w:rsidR="00A8783E" w:rsidRPr="00A8783E" w:rsidRDefault="00A8783E" w:rsidP="00A8783E">
      <w:pPr>
        <w:spacing w:after="160" w:line="259" w:lineRule="auto"/>
        <w:jc w:val="both"/>
        <w:rPr>
          <w:rFonts w:ascii="Times New Roman" w:hAnsi="Times New Roman"/>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205" w:name="_Toc89106086"/>
      <w:bookmarkStart w:id="206" w:name="_Toc98741925"/>
      <w:bookmarkStart w:id="207" w:name="_Toc98838600"/>
      <w:r w:rsidRPr="00A8783E">
        <w:rPr>
          <w:rFonts w:ascii="Times New Roman" w:hAnsi="Times New Roman"/>
          <w:color w:val="1F497D"/>
          <w:sz w:val="28"/>
          <w:szCs w:val="28"/>
        </w:rPr>
        <w:t xml:space="preserve">Специфични цели за А058 </w:t>
      </w:r>
      <w:r w:rsidRPr="00A8783E">
        <w:rPr>
          <w:rFonts w:ascii="Times New Roman" w:hAnsi="Times New Roman"/>
          <w:i/>
          <w:iCs/>
          <w:color w:val="1F497D"/>
          <w:sz w:val="28"/>
          <w:szCs w:val="28"/>
          <w:lang w:val="en-US"/>
        </w:rPr>
        <w:t>Netta</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rufina</w:t>
      </w:r>
      <w:r w:rsidRPr="00A8783E">
        <w:rPr>
          <w:rFonts w:ascii="Times New Roman" w:hAnsi="Times New Roman"/>
          <w:color w:val="1F497D"/>
          <w:sz w:val="28"/>
          <w:szCs w:val="28"/>
        </w:rPr>
        <w:t xml:space="preserve"> (червеноклюна потапница)</w:t>
      </w:r>
      <w:bookmarkEnd w:id="205"/>
      <w:bookmarkEnd w:id="206"/>
      <w:bookmarkEnd w:id="207"/>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53-57 cm, а размах на крилата – 84-90 </w:t>
      </w:r>
      <w:r w:rsidRPr="00A8783E">
        <w:rPr>
          <w:rFonts w:ascii="Times New Roman" w:hAnsi="Times New Roman"/>
          <w:sz w:val="24"/>
          <w:szCs w:val="24"/>
          <w:lang w:val="en-US"/>
        </w:rPr>
        <w:t>cm</w:t>
      </w:r>
      <w:r w:rsidRPr="00A8783E">
        <w:rPr>
          <w:rFonts w:ascii="Times New Roman" w:hAnsi="Times New Roman"/>
          <w:sz w:val="24"/>
          <w:szCs w:val="24"/>
        </w:rPr>
        <w:t xml:space="preserve"> (</w:t>
      </w:r>
      <w:r w:rsidRPr="00A8783E">
        <w:rPr>
          <w:rFonts w:ascii="Times New Roman" w:hAnsi="Times New Roman"/>
          <w:sz w:val="24"/>
          <w:szCs w:val="24"/>
          <w:lang w:val="en-US"/>
        </w:rPr>
        <w:t>Cramp</w:t>
      </w:r>
      <w:r w:rsidRPr="00A8783E">
        <w:rPr>
          <w:rFonts w:ascii="Times New Roman" w:hAnsi="Times New Roman"/>
          <w:sz w:val="24"/>
          <w:szCs w:val="24"/>
        </w:rPr>
        <w:t xml:space="preserve"> a</w:t>
      </w:r>
      <w:r w:rsidRPr="00A8783E">
        <w:rPr>
          <w:rFonts w:ascii="Times New Roman" w:hAnsi="Times New Roman"/>
          <w:sz w:val="24"/>
          <w:szCs w:val="24"/>
          <w:lang w:val="en-US"/>
        </w:rPr>
        <w:t>nd</w:t>
      </w:r>
      <w:r w:rsidRPr="00A8783E">
        <w:rPr>
          <w:rFonts w:ascii="Times New Roman" w:hAnsi="Times New Roman"/>
          <w:sz w:val="24"/>
          <w:szCs w:val="24"/>
        </w:rPr>
        <w:t xml:space="preserve"> </w:t>
      </w:r>
      <w:r w:rsidRPr="00A8783E">
        <w:rPr>
          <w:rFonts w:ascii="Times New Roman" w:hAnsi="Times New Roman"/>
          <w:sz w:val="24"/>
          <w:szCs w:val="24"/>
          <w:lang w:val="en-US"/>
        </w:rPr>
        <w:t>Simmons</w:t>
      </w:r>
      <w:r w:rsidRPr="00A8783E">
        <w:rPr>
          <w:rFonts w:ascii="Times New Roman" w:hAnsi="Times New Roman"/>
          <w:sz w:val="24"/>
          <w:szCs w:val="24"/>
        </w:rPr>
        <w:t xml:space="preserve"> </w:t>
      </w:r>
      <w:r w:rsidRPr="00A8783E">
        <w:rPr>
          <w:rFonts w:ascii="Times New Roman" w:hAnsi="Times New Roman"/>
          <w:sz w:val="24"/>
          <w:szCs w:val="24"/>
          <w:lang w:val="en-US"/>
        </w:rPr>
        <w:t>eds</w:t>
      </w:r>
      <w:r w:rsidRPr="00A8783E">
        <w:rPr>
          <w:rFonts w:ascii="Times New Roman" w:hAnsi="Times New Roman"/>
          <w:sz w:val="24"/>
          <w:szCs w:val="24"/>
        </w:rPr>
        <w:t xml:space="preserve">., 1977; </w:t>
      </w:r>
      <w:r w:rsidRPr="00A8783E">
        <w:rPr>
          <w:rFonts w:ascii="Times New Roman" w:hAnsi="Times New Roman"/>
          <w:sz w:val="24"/>
          <w:szCs w:val="24"/>
          <w:lang w:val="en-US"/>
        </w:rPr>
        <w:t>Svensson</w:t>
      </w:r>
      <w:r w:rsidRPr="00A8783E">
        <w:rPr>
          <w:rFonts w:ascii="Times New Roman" w:hAnsi="Times New Roman"/>
          <w:sz w:val="24"/>
          <w:szCs w:val="24"/>
        </w:rPr>
        <w:t xml:space="preserve">, 2013). Оперението е с изразен полов диморфизъм. При мъжките главата e оранжево-кафява, клюнът е розов, гърдите черни, гърбът и маховите пера - кафяви, коремът е бял. Женските и младите са сивокафяви с по-светли бузи, гърди и корем и светлосив клюн.  Видът е защитен, включен и в Червената книга на България (Големански ред., 2015) в категория „изчезнал вид“, като се има предвид изчезнал като гнездящ.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 У нас червеноклюната потапница е зимуващ и мигриращ вид. Изчезнал като гнездещ у нас в периода 1990 -2015 г.(Янков ред., 2007; Петков, 2015в). След това отделни двойки остават и през гнездовия период и гнездят по р. Дунав, което беше доказано през 2018 г. на ез. Сребърна (Д. Митев -  - https:// www.facebook.com/groups/233403746851904/posts/853134141545525) и се предполага за блатата на о. Персин.  През зимата и прелета е сравнително рядък вид, локално по-чест и многоброен само по Черноморското крайбрежие. Пролетната миграция е от началото на февруари до началото на април. Есенната миграция е слабо застъпена у нас и е главно през октомври-ноември. Обикновено мигрира и зимува на ята, често се концентрират заедно с лиските и други видове потапници или патици от род Anas. Най-големите зимни концентрации на вида у нас са в морето.</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време на миграция и зимуване се среща в морето, в бракични и сладководни водоеми – езера, блата, язовири, в р.Дунав  и в някои от вътрешните реки /Марица, Тунджа, Струма/.  Предпочита по-плитките части на язовирите, около устията на реките в тях. През гнездовия период обитава сладководни блата и езера, по-рядко и в рибарници. Подходящи местообитания са 3140, 3150 и 3270 според Директивата за хабитатите (Кавръкова и др., 2009).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Храни се главно с растителна храна. Много обича харови водорасли и яде почти всички части от тях. Яде и доста други видове водни растения. Понякога яде и животинска храна – водни насекоми, ларви, ракообразни, мекотели, дребни рибки и жабки (</w:t>
      </w:r>
      <w:r w:rsidRPr="00A8783E">
        <w:rPr>
          <w:rFonts w:ascii="Times New Roman" w:hAnsi="Times New Roman"/>
          <w:sz w:val="24"/>
          <w:szCs w:val="24"/>
          <w:lang w:val="en-US"/>
        </w:rPr>
        <w:t>Cramp</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Simmons</w:t>
      </w:r>
      <w:r w:rsidRPr="00A8783E">
        <w:rPr>
          <w:rFonts w:ascii="Times New Roman" w:hAnsi="Times New Roman"/>
          <w:sz w:val="24"/>
          <w:szCs w:val="24"/>
        </w:rPr>
        <w:t xml:space="preserve"> </w:t>
      </w:r>
      <w:r w:rsidRPr="00A8783E">
        <w:rPr>
          <w:rFonts w:ascii="Times New Roman" w:hAnsi="Times New Roman"/>
          <w:sz w:val="24"/>
          <w:szCs w:val="24"/>
          <w:lang w:val="en-US"/>
        </w:rPr>
        <w:t>eds</w:t>
      </w:r>
      <w:r w:rsidRPr="00A8783E">
        <w:rPr>
          <w:rFonts w:ascii="Times New Roman" w:hAnsi="Times New Roman"/>
          <w:sz w:val="24"/>
          <w:szCs w:val="24"/>
        </w:rPr>
        <w:t>., 1977).</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 2.</w:t>
      </w:r>
      <w:r w:rsidRPr="00A8783E">
        <w:rPr>
          <w:rFonts w:ascii="Times New Roman" w:hAnsi="Times New Roman"/>
          <w:sz w:val="24"/>
          <w:szCs w:val="24"/>
        </w:rPr>
        <w:t xml:space="preserve"> </w:t>
      </w:r>
      <w:r w:rsidRPr="00A8783E">
        <w:rPr>
          <w:rFonts w:ascii="Times New Roman" w:hAnsi="Times New Roman"/>
          <w:b/>
          <w:bCs/>
          <w:sz w:val="24"/>
          <w:szCs w:val="24"/>
        </w:rPr>
        <w:t>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Случаите на гнездене на вида в по-далечно минало, преди 1990 г., са били в Шабленското и Дуранкулашкото езера, на рибарници Соколица, Пловдивско,  Атанасовското езеро и ез. Вая край Бургас, покрай р. Дунав – в ез. Сребърна, на о. Персин, езерото до с. Пожарево и др. ( Нанкинов и др., 1997; </w:t>
      </w:r>
      <w:r w:rsidRPr="00A8783E">
        <w:rPr>
          <w:rFonts w:ascii="Times New Roman" w:hAnsi="Times New Roman"/>
          <w:sz w:val="24"/>
          <w:szCs w:val="24"/>
          <w:lang w:val="en-US"/>
        </w:rPr>
        <w:t>Michev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2004; Янков ред., 2007). В последните 30 години двойки или възрастни птици са наблюдавани през гнездовия период на ез. Сребърна, където гнезденето е отново доказано, на о. Персин, в </w:t>
      </w:r>
      <w:r w:rsidRPr="00A8783E">
        <w:rPr>
          <w:rFonts w:ascii="Times New Roman" w:hAnsi="Times New Roman"/>
          <w:sz w:val="24"/>
          <w:szCs w:val="24"/>
        </w:rPr>
        <w:lastRenderedPageBreak/>
        <w:t xml:space="preserve">ез. Дуранкулак, в рибарници Калимок, в рибарници Звъничево, Пазарджишко (Янков ред., 2007;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2019).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Червеноклюната потапница зимува в цялата страна, но най-много в Черно море и крайморските езера – Дуранкулашко, Шабленско, Шабленска тузла, Варненско, м. Пода, яз. Мандра, ез. Вая и др. Ятата по Черноморието достигат 100-150 екз. Далеч по-малоброен е вида през зимата във вътрешността на страната - малки ята, рядко надхвърлящи 10-20 екз., зимуват в някои от язовирите и реките - по р. Дунав, в ез. Сребърна, яз. Батак, яз. Искър, яз. Монтана, яз. Розов кладенец, яз. Овчарица и др. Числеността на зимуващите у нас червеноклюни потапници според Докладването по чл.12 е 10 - 1200 екз.  Дългосрочната тенденция е отрицателна, а краткосрочната–с флуктуации.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време на миграция червеноклюните потапници също са малочислени и достигат по-голяма численост само по Черноморието. Във вътрешността на страната през пролетната миграция се наблюдават малки ята в редица язовири, реки и плитки разливи. Според докладването по чл. 12 понастоящем миграционната численост на вида е в рамките на 0 – 300 екз. За да се оцени по-правилно миграционната численост на вида са необходими синхронни преброявания в основните места за концентрация през месеците на миграция.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Според докладването по чл. 12 от 2019 г. заплаха за зимуващата популация на червеноклюната потапница е посочено създаването на спортна и туристическа инфраструктура. Не се пояснява каква по-точно се има предвид. За мигриращите червеноклюни потапници освен тази заплаха е добавена и още една – пресушаването на влажни зони. Към тези заплахи следва да се добавят също незаконният отстрел, включително в забранени периоди и местности, безпокойството от страна на ловци, рибари, туристи и рибовъди, използването на пестициди и други химикали в селското стопанство,  паленето на масивите с висша водна растителност, корекциите на рекитеа. В Червената книга на България като заплахи за вида са посочени унищожаването и деградацията на местообитанията, промишления риболов с мрежи и замърсяването на водоемите (Петков, 2015в).</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видът е преминаващ и зимуващ.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до </w:t>
      </w:r>
      <w:r w:rsidRPr="00A8783E">
        <w:rPr>
          <w:rFonts w:ascii="Times New Roman" w:hAnsi="Times New Roman"/>
          <w:b/>
          <w:bCs/>
          <w:sz w:val="24"/>
          <w:szCs w:val="24"/>
          <w:lang w:eastAsia="bg-BG"/>
        </w:rPr>
        <w:t>1 индивид</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0,33 %</w:t>
      </w:r>
      <w:r w:rsidRPr="00A8783E">
        <w:rPr>
          <w:rFonts w:ascii="Times New Roman" w:hAnsi="Times New Roman"/>
          <w:sz w:val="24"/>
          <w:szCs w:val="24"/>
          <w:lang w:eastAsia="bg-BG"/>
        </w:rPr>
        <w:t xml:space="preserve"> от националната популация (оценка „</w:t>
      </w:r>
      <w:r w:rsidRPr="00A8783E">
        <w:rPr>
          <w:rFonts w:ascii="Times New Roman" w:hAnsi="Times New Roman"/>
          <w:sz w:val="24"/>
          <w:szCs w:val="24"/>
          <w:lang w:val="en-US" w:eastAsia="bg-BG"/>
        </w:rPr>
        <w:t>C</w:t>
      </w:r>
      <w:r w:rsidRPr="00A8783E">
        <w:rPr>
          <w:rFonts w:ascii="Times New Roman" w:hAnsi="Times New Roman"/>
          <w:sz w:val="24"/>
          <w:szCs w:val="24"/>
          <w:lang w:eastAsia="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СФ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на вида се оценява на до </w:t>
      </w:r>
      <w:r w:rsidRPr="00A8783E">
        <w:rPr>
          <w:rFonts w:ascii="Times New Roman" w:hAnsi="Times New Roman"/>
          <w:b/>
          <w:bCs/>
          <w:sz w:val="24"/>
          <w:szCs w:val="24"/>
          <w:lang w:eastAsia="bg-BG"/>
        </w:rPr>
        <w:t>1 индивид</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0,08-10 %</w:t>
      </w:r>
      <w:r w:rsidRPr="00A8783E">
        <w:rPr>
          <w:rFonts w:ascii="Times New Roman" w:hAnsi="Times New Roman"/>
          <w:color w:val="000000"/>
          <w:sz w:val="24"/>
          <w:szCs w:val="24"/>
          <w:lang w:eastAsia="bg-BG"/>
        </w:rPr>
        <w:t xml:space="preserve"> </w:t>
      </w:r>
      <w:r w:rsidRPr="00A8783E">
        <w:rPr>
          <w:rFonts w:ascii="Times New Roman" w:hAnsi="Times New Roman"/>
          <w:sz w:val="24"/>
          <w:szCs w:val="24"/>
          <w:lang w:eastAsia="bg-BG"/>
        </w:rPr>
        <w:t>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4. Анализ на наличната информация</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Гнездяща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време на проучване на орнитофауната в резерват „Сребърна“ през 2001-2003 г. не са отбелязани гнездящи двойки (Kamburova, 2012). Резултати от мониторинг на водолюбивите  птици за периода 2010-2012 г. не показват гнездене на вида (Матеева и др., 2013 г.). Видът се е смятал за изчезнал като гнездящ вид в страната през </w:t>
      </w:r>
      <w:r w:rsidRPr="00A8783E">
        <w:rPr>
          <w:rFonts w:ascii="Times New Roman" w:hAnsi="Times New Roman"/>
          <w:sz w:val="24"/>
          <w:szCs w:val="24"/>
        </w:rPr>
        <w:lastRenderedPageBreak/>
        <w:t>последните 30 години. През 2012 г. са наблюдавани 2 мъжки индивида през гнездовия сезон в Персински блата и рибарници Калимок. В миналото е бил рядък, но редовно гнездящ в езерото Сребърна (Shurulinkov et al., 2019). По време на нашите теренни проучвания в защитената зона през гнездовия период на 2021 г. беше наблюдавана една двойка в подходящ гнездови хабитат. Видът е бил регистриран в зоната през гнездовия сезон през периода 2016-2020 г. (</w:t>
      </w:r>
      <w:r w:rsidRPr="00A8783E">
        <w:rPr>
          <w:rFonts w:ascii="Times New Roman" w:hAnsi="Times New Roman"/>
          <w:sz w:val="24"/>
          <w:szCs w:val="24"/>
          <w:lang w:val="en-US"/>
        </w:rPr>
        <w:t>ebird</w:t>
      </w:r>
      <w:r w:rsidRPr="00A8783E">
        <w:rPr>
          <w:rFonts w:ascii="Times New Roman" w:hAnsi="Times New Roman"/>
          <w:sz w:val="24"/>
          <w:szCs w:val="24"/>
        </w:rPr>
        <w:t>.</w:t>
      </w:r>
      <w:r w:rsidRPr="00A8783E">
        <w:rPr>
          <w:rFonts w:ascii="Times New Roman" w:hAnsi="Times New Roman"/>
          <w:sz w:val="24"/>
          <w:szCs w:val="24"/>
          <w:lang w:val="en-US"/>
        </w:rPr>
        <w:t>org</w:t>
      </w:r>
      <w:r w:rsidRPr="00A8783E">
        <w:rPr>
          <w:rFonts w:ascii="Times New Roman" w:hAnsi="Times New Roman"/>
          <w:sz w:val="24"/>
          <w:szCs w:val="24"/>
        </w:rPr>
        <w:t xml:space="preserve">, </w:t>
      </w:r>
      <w:r w:rsidRPr="00A8783E">
        <w:rPr>
          <w:rFonts w:ascii="Times New Roman" w:hAnsi="Times New Roman"/>
          <w:sz w:val="24"/>
          <w:szCs w:val="24"/>
          <w:lang w:val="en-US"/>
        </w:rPr>
        <w:t>observation</w:t>
      </w:r>
      <w:r w:rsidRPr="00A8783E">
        <w:rPr>
          <w:rFonts w:ascii="Times New Roman" w:hAnsi="Times New Roman"/>
          <w:sz w:val="24"/>
          <w:szCs w:val="24"/>
        </w:rPr>
        <w:t>.</w:t>
      </w:r>
      <w:r w:rsidRPr="00A8783E">
        <w:rPr>
          <w:rFonts w:ascii="Times New Roman" w:hAnsi="Times New Roman"/>
          <w:sz w:val="24"/>
          <w:szCs w:val="24"/>
          <w:lang w:val="en-US"/>
        </w:rPr>
        <w:t>org</w:t>
      </w:r>
      <w:r w:rsidRPr="00A8783E">
        <w:rPr>
          <w:rFonts w:ascii="Times New Roman" w:hAnsi="Times New Roman"/>
          <w:sz w:val="24"/>
          <w:szCs w:val="24"/>
        </w:rPr>
        <w:t>).</w:t>
      </w:r>
      <w:r w:rsidRPr="00A8783E">
        <w:rPr>
          <w:rFonts w:cs="Calibri"/>
        </w:rPr>
        <w:t xml:space="preserve"> </w:t>
      </w:r>
      <w:r w:rsidRPr="00A8783E">
        <w:rPr>
          <w:rFonts w:ascii="Times New Roman" w:hAnsi="Times New Roman"/>
          <w:sz w:val="24"/>
          <w:szCs w:val="24"/>
        </w:rPr>
        <w:t>Предвид данните от проведения мониторинг през гнездовия период на 2021 г. предлагаме добавяне в СФ на вида като гнездящ (r – reproducing) с численост най-малко 1 гнездяща двойка и максимум – 2 дв;</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Зимуваща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 периода 1977-2001 г. среднозимната численост на вида в ез. Сребърна се оценява на 2-3 индивида (</w:t>
      </w:r>
      <w:r w:rsidRPr="00A8783E">
        <w:rPr>
          <w:rFonts w:ascii="Times New Roman" w:hAnsi="Times New Roman"/>
          <w:sz w:val="24"/>
          <w:szCs w:val="24"/>
          <w:lang w:val="en-US"/>
        </w:rPr>
        <w:t>Michev</w:t>
      </w:r>
      <w:r w:rsidRPr="00A8783E">
        <w:rPr>
          <w:rFonts w:ascii="Times New Roman" w:hAnsi="Times New Roman"/>
          <w:sz w:val="24"/>
          <w:szCs w:val="24"/>
        </w:rPr>
        <w:t xml:space="preserve"> &amp; </w:t>
      </w:r>
      <w:r w:rsidRPr="00A8783E">
        <w:rPr>
          <w:rFonts w:ascii="Times New Roman" w:hAnsi="Times New Roman"/>
          <w:sz w:val="24"/>
          <w:szCs w:val="24"/>
          <w:lang w:val="en-US"/>
        </w:rPr>
        <w:t>Profirov</w:t>
      </w:r>
      <w:r w:rsidRPr="00A8783E">
        <w:rPr>
          <w:rFonts w:ascii="Times New Roman" w:hAnsi="Times New Roman"/>
          <w:sz w:val="24"/>
          <w:szCs w:val="24"/>
        </w:rPr>
        <w:t>, 2003). Според Актуализирания план за управление на ПР „Сребърна“ (2015) общата численост на зимуващите червеноклюни потапници за периода 1977-2001 г. е 5 индивида, а за периода 2008-2013 г. – не са отбелязвани индивиди от вида. Данните от среднозимни преброявания по р. Дунав през 2019 г. и 2020 г. показват, че през 2019 г. видът не е бил наблюдаван, а на 11.01.2020 г. са отбелязани 6 инд. на едно място. На територията на зоната или близо до нея видът не е бил отчетен. На 30.01.2018 г. са наблюдавани 2 индивида в зоната (</w:t>
      </w:r>
      <w:r w:rsidRPr="00A8783E">
        <w:rPr>
          <w:rFonts w:ascii="Times New Roman" w:hAnsi="Times New Roman"/>
          <w:sz w:val="24"/>
          <w:szCs w:val="24"/>
          <w:lang w:val="en-US"/>
        </w:rPr>
        <w:t>ebird</w:t>
      </w:r>
      <w:r w:rsidRPr="00A8783E">
        <w:rPr>
          <w:rFonts w:ascii="Times New Roman" w:hAnsi="Times New Roman"/>
          <w:sz w:val="24"/>
          <w:szCs w:val="24"/>
        </w:rPr>
        <w:t>.</w:t>
      </w:r>
      <w:r w:rsidRPr="00A8783E">
        <w:rPr>
          <w:rFonts w:ascii="Times New Roman" w:hAnsi="Times New Roman"/>
          <w:sz w:val="24"/>
          <w:szCs w:val="24"/>
          <w:lang w:val="en-US"/>
        </w:rPr>
        <w:t>org</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За мигриращата и зимуващата популация са посочени следните заплахи при Докладването по чл. 12 през 2019 г.: </w:t>
      </w:r>
      <w:r w:rsidRPr="00A8783E">
        <w:rPr>
          <w:rFonts w:ascii="Times New Roman" w:hAnsi="Times New Roman"/>
          <w:sz w:val="24"/>
          <w:szCs w:val="24"/>
          <w:lang w:val="en-US"/>
        </w:rPr>
        <w:t>F</w:t>
      </w:r>
      <w:r w:rsidRPr="00A8783E">
        <w:rPr>
          <w:rFonts w:ascii="Times New Roman" w:hAnsi="Times New Roman"/>
          <w:sz w:val="24"/>
          <w:szCs w:val="24"/>
        </w:rPr>
        <w:t xml:space="preserve">05, </w:t>
      </w:r>
      <w:r w:rsidRPr="00A8783E">
        <w:rPr>
          <w:rFonts w:ascii="Times New Roman" w:hAnsi="Times New Roman"/>
          <w:sz w:val="24"/>
          <w:szCs w:val="24"/>
          <w:lang w:val="en-US"/>
        </w:rPr>
        <w:t>F</w:t>
      </w:r>
      <w:r w:rsidRPr="00A8783E">
        <w:rPr>
          <w:rFonts w:ascii="Times New Roman" w:hAnsi="Times New Roman"/>
          <w:sz w:val="24"/>
          <w:szCs w:val="24"/>
        </w:rPr>
        <w:t>26. От тях няма валидни за зоната. Заплахи за вида в зоната могат да бъдат риболов с мрежени уреди (G12- Прилов и инцидентно убиване (при риболовни дейности),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0"/>
        <w:gridCol w:w="1328"/>
        <w:gridCol w:w="1170"/>
        <w:gridCol w:w="2642"/>
        <w:gridCol w:w="2353"/>
      </w:tblGrid>
      <w:tr w:rsidR="00A8783E" w:rsidRPr="00A8783E" w:rsidTr="005B5318">
        <w:trPr>
          <w:trHeight w:val="138"/>
          <w:tblHeader/>
          <w:jc w:val="center"/>
        </w:trPr>
        <w:tc>
          <w:tcPr>
            <w:tcW w:w="175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32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Мерна единица</w:t>
            </w:r>
          </w:p>
        </w:tc>
        <w:tc>
          <w:tcPr>
            <w:tcW w:w="117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Целева стойност</w:t>
            </w:r>
          </w:p>
        </w:tc>
        <w:tc>
          <w:tcPr>
            <w:tcW w:w="2642"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Допълнителна информация</w:t>
            </w:r>
          </w:p>
        </w:tc>
        <w:tc>
          <w:tcPr>
            <w:tcW w:w="2353"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trHeight w:val="138"/>
          <w:jc w:val="center"/>
        </w:trPr>
        <w:tc>
          <w:tcPr>
            <w:tcW w:w="1750"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гнездящата популация</w:t>
            </w:r>
          </w:p>
        </w:tc>
        <w:tc>
          <w:tcPr>
            <w:tcW w:w="132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двойки</w:t>
            </w:r>
          </w:p>
        </w:tc>
        <w:tc>
          <w:tcPr>
            <w:tcW w:w="117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 дв.</w:t>
            </w:r>
          </w:p>
        </w:tc>
        <w:tc>
          <w:tcPr>
            <w:tcW w:w="264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Предлагаме включването на вида в СФ като гнездящ на база на това, че вида е наблюдаван от нас през 2021 г. с численост 1 дв. и това, че последните години (от 2016 г. насам) видът гнезди редовно в резервата – в южните части на резервата.</w:t>
            </w:r>
          </w:p>
        </w:tc>
        <w:tc>
          <w:tcPr>
            <w:tcW w:w="235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1 гн. двойка чрез поддържане на местообитанията на вида.</w:t>
            </w:r>
          </w:p>
        </w:tc>
      </w:tr>
      <w:tr w:rsidR="00A8783E" w:rsidRPr="00A8783E" w:rsidTr="005B5318">
        <w:trPr>
          <w:trHeight w:val="138"/>
          <w:jc w:val="center"/>
        </w:trPr>
        <w:tc>
          <w:tcPr>
            <w:tcW w:w="1750"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мигриращата популация</w:t>
            </w:r>
          </w:p>
        </w:tc>
        <w:tc>
          <w:tcPr>
            <w:tcW w:w="132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17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 инд.</w:t>
            </w:r>
          </w:p>
        </w:tc>
        <w:tc>
          <w:tcPr>
            <w:tcW w:w="264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 настоящия СФ (актуализиран през 2018 г.) за мигриращата популация не е посочена минимална стойност, а като максимална  е посочен 1 инд. Липсват публикувани данни за </w:t>
            </w:r>
            <w:r w:rsidRPr="00A8783E">
              <w:rPr>
                <w:rFonts w:ascii="Times New Roman" w:hAnsi="Times New Roman"/>
              </w:rPr>
              <w:lastRenderedPageBreak/>
              <w:t>концентрацията на вида в зоната по време на миграция.</w:t>
            </w:r>
          </w:p>
        </w:tc>
        <w:tc>
          <w:tcPr>
            <w:tcW w:w="235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lastRenderedPageBreak/>
              <w:t>Междинна цел:</w:t>
            </w:r>
            <w:r w:rsidRPr="00A8783E">
              <w:rPr>
                <w:rFonts w:ascii="Times New Roman" w:hAnsi="Times New Roman"/>
              </w:rPr>
              <w:t xml:space="preserve"> Да се извърши целенасочен мониторинг за установяване на размера на мигриращата популация до 2025 г.</w:t>
            </w:r>
          </w:p>
          <w:p w:rsidR="00A8783E" w:rsidRPr="00A8783E" w:rsidRDefault="00A8783E" w:rsidP="00A8783E">
            <w:pPr>
              <w:spacing w:after="0" w:line="240" w:lineRule="auto"/>
              <w:jc w:val="both"/>
              <w:rPr>
                <w:rFonts w:ascii="Times New Roman" w:hAnsi="Times New Roman"/>
              </w:rPr>
            </w:pPr>
          </w:p>
        </w:tc>
      </w:tr>
      <w:tr w:rsidR="00A8783E" w:rsidRPr="00A8783E" w:rsidTr="005B5318">
        <w:trPr>
          <w:trHeight w:val="138"/>
          <w:jc w:val="center"/>
        </w:trPr>
        <w:tc>
          <w:tcPr>
            <w:tcW w:w="1750"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lastRenderedPageBreak/>
              <w:t xml:space="preserve">Популация: </w:t>
            </w:r>
            <w:r w:rsidRPr="00A8783E">
              <w:rPr>
                <w:rFonts w:ascii="Times New Roman" w:hAnsi="Times New Roman"/>
              </w:rPr>
              <w:t>Размер на зимуващата популация</w:t>
            </w:r>
          </w:p>
        </w:tc>
        <w:tc>
          <w:tcPr>
            <w:tcW w:w="132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17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 инд.</w:t>
            </w:r>
          </w:p>
        </w:tc>
        <w:tc>
          <w:tcPr>
            <w:tcW w:w="264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Според СФ не е посочена минимална численост на популацията, а като максимална е посочен 1 инд. </w:t>
            </w:r>
          </w:p>
        </w:tc>
        <w:tc>
          <w:tcPr>
            <w:tcW w:w="235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Ежегодно преброяване на зимуващите индивиди през месеците ноември-февруари, поне по един път месечно.</w:t>
            </w:r>
          </w:p>
        </w:tc>
      </w:tr>
      <w:tr w:rsidR="00A8783E" w:rsidRPr="00A8783E" w:rsidTr="005B5318">
        <w:trPr>
          <w:trHeight w:val="138"/>
          <w:jc w:val="center"/>
        </w:trPr>
        <w:tc>
          <w:tcPr>
            <w:tcW w:w="1750"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гнездови местообитания на вида</w:t>
            </w:r>
          </w:p>
        </w:tc>
        <w:tc>
          <w:tcPr>
            <w:tcW w:w="132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ha</w:t>
            </w:r>
          </w:p>
        </w:tc>
        <w:tc>
          <w:tcPr>
            <w:tcW w:w="117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565</w:t>
            </w:r>
          </w:p>
        </w:tc>
        <w:tc>
          <w:tcPr>
            <w:tcW w:w="264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Включва влажните зони, обрасли с водолюбива растителност. Площта е изчислена на база данните от СФ като % на местообитание N07 - мочурища и блата.</w:t>
            </w:r>
          </w:p>
        </w:tc>
        <w:tc>
          <w:tcPr>
            <w:tcW w:w="235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площта на гнездовите местообитания  на вида в зоната в размер на най-малко 565 ha чрез поддържане на оптимално ниво на водата в езерото.</w:t>
            </w:r>
          </w:p>
        </w:tc>
      </w:tr>
      <w:tr w:rsidR="00A8783E" w:rsidRPr="00A8783E" w:rsidTr="005B5318">
        <w:trPr>
          <w:trHeight w:val="138"/>
          <w:jc w:val="center"/>
        </w:trPr>
        <w:tc>
          <w:tcPr>
            <w:tcW w:w="1750"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хранителни местообитания на вида</w:t>
            </w:r>
            <w:r w:rsidRPr="00A8783E">
              <w:rPr>
                <w:rFonts w:ascii="Times New Roman" w:hAnsi="Times New Roman"/>
                <w:b/>
                <w:bCs/>
              </w:rPr>
              <w:t xml:space="preserve"> </w:t>
            </w:r>
          </w:p>
        </w:tc>
        <w:tc>
          <w:tcPr>
            <w:tcW w:w="132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ha</w:t>
            </w:r>
          </w:p>
        </w:tc>
        <w:tc>
          <w:tcPr>
            <w:tcW w:w="117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840</w:t>
            </w:r>
          </w:p>
        </w:tc>
        <w:tc>
          <w:tcPr>
            <w:tcW w:w="264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Площта е изчислена на база данните от СФ като % на местообитание N07- мочурища и блата; N06- вътрешни водни тела.</w:t>
            </w:r>
          </w:p>
        </w:tc>
        <w:tc>
          <w:tcPr>
            <w:tcW w:w="235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най-малко 840 ha чрез поддържане на оптимално ниво на водата в езерото.</w:t>
            </w:r>
          </w:p>
        </w:tc>
      </w:tr>
      <w:tr w:rsidR="00A8783E" w:rsidRPr="00A8783E" w:rsidTr="005B5318">
        <w:trPr>
          <w:trHeight w:val="138"/>
          <w:jc w:val="center"/>
        </w:trPr>
        <w:tc>
          <w:tcPr>
            <w:tcW w:w="175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Екологично състояние на водните тела с местообитания на вида – по биологичен елемент водни безгръбначни (JDS4-Aquatic Macroinvertebrates) и риби (</w:t>
            </w:r>
            <w:r w:rsidRPr="00A8783E">
              <w:rPr>
                <w:rFonts w:ascii="Times New Roman" w:hAnsi="Times New Roman"/>
                <w:lang w:val="en-US"/>
              </w:rPr>
              <w:t>JDS</w:t>
            </w:r>
            <w:r w:rsidRPr="00A8783E">
              <w:rPr>
                <w:rFonts w:ascii="Times New Roman" w:hAnsi="Times New Roman"/>
              </w:rPr>
              <w:t>4-</w:t>
            </w:r>
            <w:r w:rsidRPr="00A8783E">
              <w:rPr>
                <w:rFonts w:ascii="Times New Roman" w:hAnsi="Times New Roman"/>
                <w:lang w:val="en-US"/>
              </w:rPr>
              <w:t>Fish</w:t>
            </w:r>
            <w:r w:rsidRPr="00A8783E">
              <w:rPr>
                <w:rFonts w:ascii="Times New Roman" w:hAnsi="Times New Roman"/>
              </w:rPr>
              <w:t>)</w:t>
            </w:r>
          </w:p>
        </w:tc>
        <w:tc>
          <w:tcPr>
            <w:tcW w:w="132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 степенна скала за екологично състояние</w:t>
            </w:r>
          </w:p>
        </w:tc>
        <w:tc>
          <w:tcPr>
            <w:tcW w:w="117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1-Отлично/2-Добро</w:t>
            </w:r>
          </w:p>
        </w:tc>
        <w:tc>
          <w:tcPr>
            <w:tcW w:w="2642" w:type="dxa"/>
          </w:tcPr>
          <w:tbl>
            <w:tblPr>
              <w:tblW w:w="2773" w:type="dxa"/>
              <w:jc w:val="center"/>
              <w:tblLayout w:type="fixed"/>
              <w:tblCellMar>
                <w:left w:w="70" w:type="dxa"/>
                <w:right w:w="70" w:type="dxa"/>
              </w:tblCellMar>
              <w:tblLook w:val="00A0" w:firstRow="1" w:lastRow="0" w:firstColumn="1" w:lastColumn="0" w:noHBand="0" w:noVBand="0"/>
            </w:tblPr>
            <w:tblGrid>
              <w:gridCol w:w="2773"/>
            </w:tblGrid>
            <w:tr w:rsidR="00A8783E" w:rsidRPr="00A8783E" w:rsidTr="005B5318">
              <w:trPr>
                <w:trHeight w:val="59"/>
                <w:jc w:val="center"/>
              </w:trPr>
              <w:tc>
                <w:tcPr>
                  <w:tcW w:w="2773"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96"/>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80"/>
                <w:jc w:val="center"/>
              </w:trPr>
              <w:tc>
                <w:tcPr>
                  <w:tcW w:w="2773"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96"/>
                    <w:rPr>
                      <w:rFonts w:ascii="Times New Roman" w:hAnsi="Times New Roman"/>
                    </w:rPr>
                  </w:pPr>
                  <w:r w:rsidRPr="00A8783E">
                    <w:rPr>
                      <w:rFonts w:ascii="Times New Roman" w:hAnsi="Times New Roman"/>
                    </w:rPr>
                    <w:t>1-Отлично - High</w:t>
                  </w:r>
                </w:p>
              </w:tc>
            </w:tr>
            <w:tr w:rsidR="00A8783E" w:rsidRPr="00A8783E" w:rsidTr="005B5318">
              <w:trPr>
                <w:trHeight w:val="280"/>
                <w:jc w:val="center"/>
              </w:trPr>
              <w:tc>
                <w:tcPr>
                  <w:tcW w:w="2773"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96"/>
                    <w:rPr>
                      <w:rFonts w:ascii="Times New Roman" w:hAnsi="Times New Roman"/>
                    </w:rPr>
                  </w:pPr>
                  <w:r w:rsidRPr="00A8783E">
                    <w:rPr>
                      <w:rFonts w:ascii="Times New Roman" w:hAnsi="Times New Roman"/>
                    </w:rPr>
                    <w:t>2-Добро - Good</w:t>
                  </w:r>
                </w:p>
              </w:tc>
            </w:tr>
            <w:tr w:rsidR="00A8783E" w:rsidRPr="00A8783E" w:rsidTr="005B5318">
              <w:trPr>
                <w:trHeight w:val="280"/>
                <w:jc w:val="center"/>
              </w:trPr>
              <w:tc>
                <w:tcPr>
                  <w:tcW w:w="2773"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96"/>
                    <w:rPr>
                      <w:rFonts w:ascii="Times New Roman" w:hAnsi="Times New Roman"/>
                    </w:rPr>
                  </w:pPr>
                  <w:r w:rsidRPr="00A8783E">
                    <w:rPr>
                      <w:rFonts w:ascii="Times New Roman" w:hAnsi="Times New Roman"/>
                    </w:rPr>
                    <w:t>3-Умерено - Moderate</w:t>
                  </w:r>
                </w:p>
              </w:tc>
            </w:tr>
            <w:tr w:rsidR="00A8783E" w:rsidRPr="00A8783E" w:rsidTr="005B5318">
              <w:trPr>
                <w:trHeight w:val="280"/>
                <w:jc w:val="center"/>
              </w:trPr>
              <w:tc>
                <w:tcPr>
                  <w:tcW w:w="2773"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96"/>
                    <w:rPr>
                      <w:rFonts w:ascii="Times New Roman" w:hAnsi="Times New Roman"/>
                    </w:rPr>
                  </w:pPr>
                  <w:r w:rsidRPr="00A8783E">
                    <w:rPr>
                      <w:rFonts w:ascii="Times New Roman" w:hAnsi="Times New Roman"/>
                    </w:rPr>
                    <w:t>4-Лошо - Poor</w:t>
                  </w:r>
                </w:p>
              </w:tc>
            </w:tr>
            <w:tr w:rsidR="00A8783E" w:rsidRPr="00A8783E" w:rsidTr="005B5318">
              <w:trPr>
                <w:trHeight w:val="280"/>
                <w:jc w:val="center"/>
              </w:trPr>
              <w:tc>
                <w:tcPr>
                  <w:tcW w:w="2773"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96"/>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на р. Дунав в пункт „Силистра“ е оценено на </w:t>
            </w:r>
            <w:r w:rsidRPr="00A8783E">
              <w:rPr>
                <w:rFonts w:ascii="Times New Roman" w:hAnsi="Times New Roman"/>
                <w:b/>
                <w:bCs/>
              </w:rPr>
              <w:t>умерено (3)</w:t>
            </w:r>
            <w:r w:rsidRPr="00A8783E">
              <w:rPr>
                <w:rFonts w:ascii="Times New Roman" w:hAnsi="Times New Roman"/>
              </w:rPr>
              <w:t xml:space="preserve"> според доклада на JDS4 (2019-2020, табл. 1, стр. 62, табл. 5, стр. 51).</w:t>
            </w:r>
            <w:r w:rsidRPr="00A8783E">
              <w:t xml:space="preserve"> </w:t>
            </w:r>
            <w:r w:rsidRPr="00A8783E">
              <w:rPr>
                <w:rFonts w:ascii="Times New Roman" w:hAnsi="Times New Roman"/>
              </w:rPr>
              <w:t>Екологичното състояние на езерото Сребърна по БЕК Макрозообентос е оценено като „</w:t>
            </w:r>
            <w:r w:rsidRPr="00A8783E">
              <w:rPr>
                <w:rFonts w:ascii="Times New Roman" w:hAnsi="Times New Roman"/>
                <w:b/>
                <w:bCs/>
              </w:rPr>
              <w:t>отлично</w:t>
            </w:r>
            <w:r w:rsidRPr="00A8783E">
              <w:rPr>
                <w:rFonts w:ascii="Times New Roman" w:hAnsi="Times New Roman"/>
              </w:rPr>
              <w:t xml:space="preserve">“. </w:t>
            </w:r>
          </w:p>
        </w:tc>
        <w:tc>
          <w:tcPr>
            <w:tcW w:w="235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60" w:line="259" w:lineRule="auto"/>
      </w:pPr>
    </w:p>
    <w:p w:rsidR="00A8783E" w:rsidRPr="00A8783E" w:rsidRDefault="00A8783E" w:rsidP="00A8783E">
      <w:pPr>
        <w:spacing w:after="16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numPr>
          <w:ilvl w:val="0"/>
          <w:numId w:val="28"/>
        </w:numPr>
        <w:spacing w:after="160" w:line="259" w:lineRule="auto"/>
        <w:jc w:val="both"/>
      </w:pPr>
      <w:r w:rsidRPr="00A8783E">
        <w:rPr>
          <w:rFonts w:ascii="Times New Roman" w:hAnsi="Times New Roman"/>
          <w:sz w:val="24"/>
          <w:szCs w:val="24"/>
        </w:rPr>
        <w:t>Предвид данните от проведения мониторинг през гнездовия период на 2021 г. предлагаме добавяне в СФ на вида като гнездящ (r – reproducing) с численост най-малко 1 гнездяща двойка и максимум – 2 дв;</w:t>
      </w:r>
    </w:p>
    <w:p w:rsidR="00A8783E" w:rsidRPr="00A8783E" w:rsidRDefault="00A8783E" w:rsidP="00A8783E">
      <w:pPr>
        <w:numPr>
          <w:ilvl w:val="0"/>
          <w:numId w:val="28"/>
        </w:numPr>
        <w:spacing w:after="160" w:line="259" w:lineRule="auto"/>
        <w:jc w:val="both"/>
        <w:rPr>
          <w:rFonts w:ascii="Times New Roman" w:hAnsi="Times New Roman"/>
          <w:sz w:val="24"/>
          <w:szCs w:val="24"/>
        </w:rPr>
      </w:pPr>
      <w:r w:rsidRPr="00A8783E">
        <w:rPr>
          <w:rFonts w:ascii="Times New Roman" w:hAnsi="Times New Roman"/>
          <w:sz w:val="24"/>
          <w:szCs w:val="24"/>
        </w:rPr>
        <w:lastRenderedPageBreak/>
        <w:t>По отношение на зимуващата популация да се промени на числеността на 1-2 индивида, на базата на това, че през 2018 г. в зоната вида е отчетен като зимуващ с численост 2 инд.</w:t>
      </w:r>
    </w:p>
    <w:p w:rsidR="00A8783E" w:rsidRPr="00A8783E" w:rsidRDefault="00A8783E" w:rsidP="00A8783E">
      <w:pPr>
        <w:numPr>
          <w:ilvl w:val="0"/>
          <w:numId w:val="28"/>
        </w:numPr>
        <w:spacing w:after="160" w:line="259" w:lineRule="auto"/>
        <w:jc w:val="both"/>
        <w:rPr>
          <w:rFonts w:ascii="Times New Roman" w:hAnsi="Times New Roman"/>
          <w:sz w:val="24"/>
          <w:szCs w:val="24"/>
        </w:rPr>
      </w:pPr>
      <w:r w:rsidRPr="00A8783E">
        <w:rPr>
          <w:rFonts w:ascii="Times New Roman" w:hAnsi="Times New Roman"/>
          <w:sz w:val="24"/>
          <w:szCs w:val="24"/>
        </w:rPr>
        <w:t xml:space="preserve">По отношение на мигриращата численост предлагаме променя в категорията </w:t>
      </w:r>
      <w:r w:rsidRPr="00A8783E">
        <w:rPr>
          <w:rFonts w:ascii="Times New Roman" w:hAnsi="Times New Roman"/>
          <w:b/>
          <w:bCs/>
          <w:sz w:val="24"/>
          <w:szCs w:val="24"/>
          <w:lang w:val="en-US"/>
        </w:rPr>
        <w:t>Data</w:t>
      </w:r>
      <w:r w:rsidRPr="00A8783E">
        <w:rPr>
          <w:rFonts w:ascii="Times New Roman" w:hAnsi="Times New Roman"/>
          <w:b/>
          <w:bCs/>
          <w:sz w:val="24"/>
          <w:szCs w:val="24"/>
        </w:rPr>
        <w:t xml:space="preserve"> </w:t>
      </w:r>
      <w:r w:rsidRPr="00A8783E">
        <w:rPr>
          <w:rFonts w:ascii="Times New Roman" w:hAnsi="Times New Roman"/>
          <w:b/>
          <w:bCs/>
          <w:sz w:val="24"/>
          <w:szCs w:val="24"/>
          <w:lang w:val="en-US"/>
        </w:rPr>
        <w:t>quality</w:t>
      </w:r>
      <w:r w:rsidRPr="00A8783E">
        <w:rPr>
          <w:rFonts w:ascii="Times New Roman" w:hAnsi="Times New Roman"/>
          <w:b/>
          <w:bCs/>
          <w:sz w:val="24"/>
          <w:szCs w:val="24"/>
        </w:rPr>
        <w:t xml:space="preserve"> </w:t>
      </w:r>
      <w:r w:rsidRPr="00A8783E">
        <w:rPr>
          <w:rFonts w:ascii="Times New Roman" w:hAnsi="Times New Roman"/>
          <w:sz w:val="24"/>
          <w:szCs w:val="24"/>
        </w:rPr>
        <w:t>от “</w:t>
      </w:r>
      <w:r w:rsidRPr="00A8783E">
        <w:rPr>
          <w:rFonts w:ascii="Times New Roman" w:hAnsi="Times New Roman"/>
          <w:sz w:val="24"/>
          <w:szCs w:val="24"/>
          <w:lang w:val="en-US"/>
        </w:rPr>
        <w:t>G</w:t>
      </w:r>
      <w:r w:rsidRPr="00A8783E">
        <w:rPr>
          <w:rFonts w:ascii="Times New Roman" w:hAnsi="Times New Roman"/>
          <w:sz w:val="24"/>
          <w:szCs w:val="24"/>
        </w:rPr>
        <w:t>” на “</w:t>
      </w:r>
      <w:r w:rsidRPr="00A8783E">
        <w:rPr>
          <w:rFonts w:ascii="Times New Roman" w:hAnsi="Times New Roman"/>
          <w:sz w:val="24"/>
          <w:szCs w:val="24"/>
          <w:lang w:val="en-US"/>
        </w:rPr>
        <w:t>DD</w:t>
      </w:r>
      <w:r w:rsidRPr="00A8783E">
        <w:rPr>
          <w:rFonts w:ascii="Times New Roman" w:hAnsi="Times New Roman"/>
          <w:sz w:val="24"/>
          <w:szCs w:val="24"/>
        </w:rPr>
        <w:t xml:space="preserve">”, тъй като липсват данни за миграционната популация на вида.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19"/>
        <w:gridCol w:w="328"/>
        <w:gridCol w:w="483"/>
        <w:gridCol w:w="181"/>
        <w:gridCol w:w="180"/>
        <w:gridCol w:w="572"/>
        <w:gridCol w:w="605"/>
        <w:gridCol w:w="594"/>
        <w:gridCol w:w="578"/>
        <w:gridCol w:w="840"/>
        <w:gridCol w:w="475"/>
        <w:gridCol w:w="476"/>
        <w:gridCol w:w="622"/>
        <w:gridCol w:w="522"/>
        <w:gridCol w:w="580"/>
      </w:tblGrid>
      <w:tr w:rsidR="00A8783E" w:rsidRPr="00A8783E" w:rsidTr="005B5318">
        <w:trPr>
          <w:trHeight w:val="337"/>
          <w:jc w:val="center"/>
        </w:trPr>
        <w:tc>
          <w:tcPr>
            <w:tcW w:w="1747" w:type="pct"/>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Species</w:t>
            </w:r>
          </w:p>
        </w:tc>
        <w:tc>
          <w:tcPr>
            <w:tcW w:w="2069" w:type="pct"/>
            <w:gridSpan w:val="7"/>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Population in the site</w:t>
            </w:r>
          </w:p>
        </w:tc>
        <w:tc>
          <w:tcPr>
            <w:tcW w:w="1184" w:type="pct"/>
            <w:gridSpan w:val="4"/>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Site assessment</w:t>
            </w:r>
          </w:p>
        </w:tc>
      </w:tr>
      <w:tr w:rsidR="00A8783E" w:rsidRPr="00A8783E" w:rsidTr="005B5318">
        <w:trPr>
          <w:trHeight w:val="348"/>
          <w:jc w:val="center"/>
        </w:trPr>
        <w:tc>
          <w:tcPr>
            <w:tcW w:w="200"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w:t>
            </w:r>
          </w:p>
        </w:tc>
        <w:tc>
          <w:tcPr>
            <w:tcW w:w="356"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Code</w:t>
            </w:r>
          </w:p>
        </w:tc>
        <w:tc>
          <w:tcPr>
            <w:tcW w:w="657"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Scientific Name</w:t>
            </w:r>
          </w:p>
        </w:tc>
        <w:tc>
          <w:tcPr>
            <w:tcW w:w="177"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w:t>
            </w:r>
          </w:p>
        </w:tc>
        <w:tc>
          <w:tcPr>
            <w:tcW w:w="260"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NP</w:t>
            </w:r>
          </w:p>
        </w:tc>
        <w:tc>
          <w:tcPr>
            <w:tcW w:w="194" w:type="pct"/>
            <w:gridSpan w:val="2"/>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T</w:t>
            </w:r>
          </w:p>
        </w:tc>
        <w:tc>
          <w:tcPr>
            <w:tcW w:w="634" w:type="pct"/>
            <w:gridSpan w:val="2"/>
            <w:shd w:val="clear" w:color="auto" w:fill="D9D9D9"/>
            <w:vAlign w:val="center"/>
          </w:tcPr>
          <w:p w:rsidR="00A8783E" w:rsidRPr="00A8783E" w:rsidRDefault="00A8783E" w:rsidP="00A8783E">
            <w:pPr>
              <w:spacing w:after="0" w:line="240" w:lineRule="auto"/>
              <w:jc w:val="center"/>
              <w:rPr>
                <w:rFonts w:ascii="Times New Roman" w:hAnsi="Times New Roman"/>
                <w:b/>
                <w:bCs/>
                <w:sz w:val="20"/>
                <w:szCs w:val="20"/>
                <w:lang w:eastAsia="en-GB"/>
              </w:rPr>
            </w:pPr>
            <w:r w:rsidRPr="00A8783E">
              <w:rPr>
                <w:rFonts w:ascii="Times New Roman" w:hAnsi="Times New Roman"/>
                <w:b/>
                <w:bCs/>
                <w:sz w:val="20"/>
                <w:szCs w:val="20"/>
                <w:lang w:eastAsia="en-GB"/>
              </w:rPr>
              <w:t>Size</w:t>
            </w:r>
          </w:p>
        </w:tc>
        <w:tc>
          <w:tcPr>
            <w:tcW w:w="320"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Unit</w:t>
            </w:r>
          </w:p>
        </w:tc>
        <w:tc>
          <w:tcPr>
            <w:tcW w:w="311"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Cat.</w:t>
            </w:r>
          </w:p>
        </w:tc>
        <w:tc>
          <w:tcPr>
            <w:tcW w:w="452"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D.qual.</w:t>
            </w:r>
          </w:p>
        </w:tc>
        <w:tc>
          <w:tcPr>
            <w:tcW w:w="511" w:type="pct"/>
            <w:gridSpan w:val="2"/>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A/B/C/D</w:t>
            </w:r>
          </w:p>
        </w:tc>
        <w:tc>
          <w:tcPr>
            <w:tcW w:w="927" w:type="pct"/>
            <w:gridSpan w:val="3"/>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w:t>
            </w:r>
          </w:p>
        </w:tc>
      </w:tr>
      <w:tr w:rsidR="00A8783E" w:rsidRPr="00A8783E" w:rsidTr="005B5318">
        <w:trPr>
          <w:trHeight w:val="102"/>
          <w:jc w:val="center"/>
        </w:trPr>
        <w:tc>
          <w:tcPr>
            <w:tcW w:w="200" w:type="pct"/>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356" w:type="pct"/>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657" w:type="pct"/>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177" w:type="pct"/>
            <w:vMerge/>
            <w:shd w:val="clear" w:color="auto" w:fill="D9D9D9"/>
            <w:vAlign w:val="center"/>
          </w:tcPr>
          <w:p w:rsidR="00A8783E" w:rsidRPr="00A8783E" w:rsidRDefault="00A8783E" w:rsidP="00A8783E">
            <w:pPr>
              <w:spacing w:after="0" w:line="240" w:lineRule="auto"/>
              <w:jc w:val="both"/>
              <w:rPr>
                <w:rFonts w:ascii="Times New Roman" w:hAnsi="Times New Roman"/>
                <w:sz w:val="20"/>
                <w:szCs w:val="20"/>
                <w:lang w:eastAsia="en-GB"/>
              </w:rPr>
            </w:pPr>
          </w:p>
        </w:tc>
        <w:tc>
          <w:tcPr>
            <w:tcW w:w="260" w:type="pct"/>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194" w:type="pct"/>
            <w:gridSpan w:val="2"/>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308" w:type="pc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Min</w:t>
            </w:r>
          </w:p>
        </w:tc>
        <w:tc>
          <w:tcPr>
            <w:tcW w:w="326" w:type="pc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Max</w:t>
            </w:r>
          </w:p>
        </w:tc>
        <w:tc>
          <w:tcPr>
            <w:tcW w:w="320" w:type="pct"/>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311" w:type="pct"/>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452" w:type="pct"/>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511" w:type="pct"/>
            <w:gridSpan w:val="2"/>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w:t>
            </w:r>
          </w:p>
        </w:tc>
        <w:tc>
          <w:tcPr>
            <w:tcW w:w="335" w:type="pc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Con.</w:t>
            </w:r>
          </w:p>
        </w:tc>
        <w:tc>
          <w:tcPr>
            <w:tcW w:w="281" w:type="pc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Iso.</w:t>
            </w:r>
          </w:p>
        </w:tc>
        <w:tc>
          <w:tcPr>
            <w:tcW w:w="311" w:type="pc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Glo.</w:t>
            </w:r>
          </w:p>
        </w:tc>
      </w:tr>
      <w:tr w:rsidR="00A8783E" w:rsidRPr="00A8783E" w:rsidTr="005B5318">
        <w:trPr>
          <w:trHeight w:val="527"/>
          <w:jc w:val="center"/>
        </w:trPr>
        <w:tc>
          <w:tcPr>
            <w:tcW w:w="200" w:type="pct"/>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color w:val="FF0000"/>
                <w:sz w:val="20"/>
                <w:szCs w:val="20"/>
                <w:lang w:eastAsia="en-GB"/>
              </w:rPr>
              <w:t>В</w:t>
            </w:r>
          </w:p>
        </w:tc>
        <w:tc>
          <w:tcPr>
            <w:tcW w:w="356" w:type="pct"/>
            <w:vAlign w:val="center"/>
          </w:tcPr>
          <w:p w:rsidR="00A8783E" w:rsidRPr="00A8783E" w:rsidRDefault="00A8783E" w:rsidP="00A8783E">
            <w:pPr>
              <w:spacing w:after="0" w:line="240" w:lineRule="auto"/>
              <w:rPr>
                <w:rFonts w:ascii="Times New Roman" w:hAnsi="Times New Roman"/>
                <w:b/>
                <w:bCs/>
                <w:i/>
                <w:iCs/>
                <w:color w:val="FF0000"/>
                <w:sz w:val="20"/>
                <w:szCs w:val="20"/>
                <w:lang w:eastAsia="en-GB"/>
              </w:rPr>
            </w:pPr>
            <w:r w:rsidRPr="00A8783E">
              <w:rPr>
                <w:rFonts w:ascii="Times New Roman" w:hAnsi="Times New Roman"/>
                <w:b/>
                <w:bCs/>
                <w:i/>
                <w:iCs/>
                <w:color w:val="FF0000"/>
                <w:sz w:val="20"/>
                <w:szCs w:val="20"/>
                <w:lang w:val="en-US"/>
              </w:rPr>
              <w:t>A0</w:t>
            </w:r>
            <w:r w:rsidRPr="00A8783E">
              <w:rPr>
                <w:rFonts w:ascii="Times New Roman" w:hAnsi="Times New Roman"/>
                <w:b/>
                <w:bCs/>
                <w:i/>
                <w:iCs/>
                <w:color w:val="FF0000"/>
                <w:sz w:val="20"/>
                <w:szCs w:val="20"/>
              </w:rPr>
              <w:t>58</w:t>
            </w:r>
          </w:p>
        </w:tc>
        <w:tc>
          <w:tcPr>
            <w:tcW w:w="657" w:type="pct"/>
            <w:vAlign w:val="center"/>
          </w:tcPr>
          <w:p w:rsidR="00A8783E" w:rsidRPr="00A8783E" w:rsidRDefault="00A8783E" w:rsidP="00A8783E">
            <w:pPr>
              <w:spacing w:after="0" w:line="240" w:lineRule="auto"/>
              <w:rPr>
                <w:rFonts w:ascii="Times New Roman" w:hAnsi="Times New Roman"/>
                <w:b/>
                <w:bCs/>
                <w:i/>
                <w:iCs/>
                <w:color w:val="FF0000"/>
                <w:sz w:val="20"/>
                <w:szCs w:val="20"/>
                <w:lang w:val="en-US" w:eastAsia="en-GB"/>
              </w:rPr>
            </w:pPr>
            <w:r w:rsidRPr="00A8783E">
              <w:rPr>
                <w:rFonts w:ascii="Times New Roman" w:hAnsi="Times New Roman"/>
                <w:b/>
                <w:bCs/>
                <w:i/>
                <w:iCs/>
                <w:color w:val="FF0000"/>
                <w:sz w:val="20"/>
                <w:szCs w:val="20"/>
                <w:lang w:val="en-US"/>
              </w:rPr>
              <w:t>Netta rufina</w:t>
            </w:r>
          </w:p>
        </w:tc>
        <w:tc>
          <w:tcPr>
            <w:tcW w:w="177" w:type="pct"/>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p>
        </w:tc>
        <w:tc>
          <w:tcPr>
            <w:tcW w:w="260" w:type="pct"/>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p>
        </w:tc>
        <w:tc>
          <w:tcPr>
            <w:tcW w:w="194" w:type="pct"/>
            <w:gridSpan w:val="2"/>
            <w:vAlign w:val="center"/>
          </w:tcPr>
          <w:p w:rsidR="00A8783E" w:rsidRPr="00A8783E" w:rsidRDefault="00A8783E" w:rsidP="00A8783E">
            <w:pPr>
              <w:spacing w:after="0" w:line="240" w:lineRule="auto"/>
              <w:rPr>
                <w:rFonts w:ascii="Times New Roman" w:hAnsi="Times New Roman"/>
                <w:b/>
                <w:bCs/>
                <w:color w:val="FF0000"/>
                <w:sz w:val="20"/>
                <w:szCs w:val="20"/>
                <w:lang w:val="en-US" w:eastAsia="en-GB"/>
              </w:rPr>
            </w:pPr>
            <w:r w:rsidRPr="00A8783E">
              <w:rPr>
                <w:rFonts w:ascii="Times New Roman" w:hAnsi="Times New Roman"/>
                <w:b/>
                <w:bCs/>
                <w:color w:val="FF0000"/>
                <w:sz w:val="20"/>
                <w:szCs w:val="20"/>
                <w:lang w:val="en-US"/>
              </w:rPr>
              <w:t>r</w:t>
            </w:r>
          </w:p>
        </w:tc>
        <w:tc>
          <w:tcPr>
            <w:tcW w:w="308" w:type="pct"/>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1</w:t>
            </w:r>
          </w:p>
        </w:tc>
        <w:tc>
          <w:tcPr>
            <w:tcW w:w="326" w:type="pct"/>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2</w:t>
            </w:r>
          </w:p>
        </w:tc>
        <w:tc>
          <w:tcPr>
            <w:tcW w:w="320" w:type="pct"/>
            <w:vAlign w:val="center"/>
          </w:tcPr>
          <w:p w:rsidR="00A8783E" w:rsidRPr="00A8783E" w:rsidRDefault="00A8783E" w:rsidP="00A8783E">
            <w:pPr>
              <w:spacing w:after="0" w:line="240" w:lineRule="auto"/>
              <w:rPr>
                <w:rFonts w:ascii="Times New Roman" w:hAnsi="Times New Roman"/>
                <w:b/>
                <w:bCs/>
                <w:color w:val="FF0000"/>
                <w:sz w:val="20"/>
                <w:szCs w:val="20"/>
                <w:lang w:val="en-US" w:eastAsia="en-GB"/>
              </w:rPr>
            </w:pPr>
            <w:r w:rsidRPr="00A8783E">
              <w:rPr>
                <w:rFonts w:ascii="Times New Roman" w:hAnsi="Times New Roman"/>
                <w:b/>
                <w:bCs/>
                <w:color w:val="FF0000"/>
                <w:sz w:val="20"/>
                <w:szCs w:val="20"/>
                <w:lang w:val="en-US"/>
              </w:rPr>
              <w:t>p</w:t>
            </w:r>
          </w:p>
        </w:tc>
        <w:tc>
          <w:tcPr>
            <w:tcW w:w="311" w:type="pct"/>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p>
        </w:tc>
        <w:tc>
          <w:tcPr>
            <w:tcW w:w="452" w:type="pct"/>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G</w:t>
            </w:r>
          </w:p>
        </w:tc>
        <w:tc>
          <w:tcPr>
            <w:tcW w:w="511" w:type="pct"/>
            <w:gridSpan w:val="2"/>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B</w:t>
            </w:r>
          </w:p>
        </w:tc>
        <w:tc>
          <w:tcPr>
            <w:tcW w:w="335" w:type="pct"/>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B</w:t>
            </w:r>
          </w:p>
        </w:tc>
        <w:tc>
          <w:tcPr>
            <w:tcW w:w="281" w:type="pct"/>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C</w:t>
            </w:r>
          </w:p>
        </w:tc>
        <w:tc>
          <w:tcPr>
            <w:tcW w:w="311" w:type="pct"/>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B</w:t>
            </w:r>
          </w:p>
        </w:tc>
      </w:tr>
      <w:tr w:rsidR="00A8783E" w:rsidRPr="00A8783E" w:rsidTr="005B5318">
        <w:trPr>
          <w:trHeight w:val="527"/>
          <w:jc w:val="center"/>
        </w:trPr>
        <w:tc>
          <w:tcPr>
            <w:tcW w:w="200"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В</w:t>
            </w:r>
          </w:p>
        </w:tc>
        <w:tc>
          <w:tcPr>
            <w:tcW w:w="356"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A058</w:t>
            </w:r>
          </w:p>
        </w:tc>
        <w:tc>
          <w:tcPr>
            <w:tcW w:w="657" w:type="pct"/>
            <w:vAlign w:val="center"/>
          </w:tcPr>
          <w:p w:rsidR="00A8783E" w:rsidRPr="00A8783E" w:rsidRDefault="00A8783E" w:rsidP="00A8783E">
            <w:pPr>
              <w:spacing w:after="0" w:line="240" w:lineRule="auto"/>
              <w:rPr>
                <w:rFonts w:ascii="Times New Roman" w:hAnsi="Times New Roman"/>
                <w:i/>
                <w:iCs/>
                <w:sz w:val="20"/>
                <w:szCs w:val="20"/>
                <w:lang w:val="en-US"/>
              </w:rPr>
            </w:pPr>
            <w:r w:rsidRPr="00A8783E">
              <w:rPr>
                <w:rFonts w:ascii="Times New Roman" w:hAnsi="Times New Roman"/>
                <w:i/>
                <w:iCs/>
                <w:sz w:val="20"/>
                <w:szCs w:val="20"/>
                <w:lang w:val="en-US"/>
              </w:rPr>
              <w:t>Netta rufina</w:t>
            </w:r>
          </w:p>
        </w:tc>
        <w:tc>
          <w:tcPr>
            <w:tcW w:w="177" w:type="pct"/>
            <w:vAlign w:val="center"/>
          </w:tcPr>
          <w:p w:rsidR="00A8783E" w:rsidRPr="00A8783E" w:rsidRDefault="00A8783E" w:rsidP="00A8783E">
            <w:pPr>
              <w:spacing w:after="0" w:line="240" w:lineRule="auto"/>
              <w:rPr>
                <w:rFonts w:ascii="Times New Roman" w:hAnsi="Times New Roman"/>
                <w:sz w:val="20"/>
                <w:szCs w:val="20"/>
                <w:lang w:val="en-US"/>
              </w:rPr>
            </w:pPr>
          </w:p>
        </w:tc>
        <w:tc>
          <w:tcPr>
            <w:tcW w:w="260" w:type="pct"/>
            <w:vAlign w:val="center"/>
          </w:tcPr>
          <w:p w:rsidR="00A8783E" w:rsidRPr="00A8783E" w:rsidRDefault="00A8783E" w:rsidP="00A8783E">
            <w:pPr>
              <w:spacing w:after="0" w:line="240" w:lineRule="auto"/>
              <w:rPr>
                <w:rFonts w:ascii="Times New Roman" w:hAnsi="Times New Roman"/>
                <w:sz w:val="20"/>
                <w:szCs w:val="20"/>
                <w:lang w:val="en-US"/>
              </w:rPr>
            </w:pPr>
          </w:p>
        </w:tc>
        <w:tc>
          <w:tcPr>
            <w:tcW w:w="194" w:type="pct"/>
            <w:gridSpan w:val="2"/>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w</w:t>
            </w:r>
          </w:p>
        </w:tc>
        <w:tc>
          <w:tcPr>
            <w:tcW w:w="308" w:type="pct"/>
            <w:vAlign w:val="center"/>
          </w:tcPr>
          <w:p w:rsidR="00A8783E" w:rsidRPr="00A8783E" w:rsidRDefault="00A8783E" w:rsidP="00A8783E">
            <w:pPr>
              <w:spacing w:after="0" w:line="240"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1</w:t>
            </w:r>
          </w:p>
        </w:tc>
        <w:tc>
          <w:tcPr>
            <w:tcW w:w="326" w:type="pct"/>
            <w:vAlign w:val="center"/>
          </w:tcPr>
          <w:p w:rsidR="00A8783E" w:rsidRPr="00A8783E" w:rsidRDefault="00A8783E" w:rsidP="00A8783E">
            <w:pPr>
              <w:spacing w:after="0" w:line="240"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2</w:t>
            </w:r>
          </w:p>
        </w:tc>
        <w:tc>
          <w:tcPr>
            <w:tcW w:w="320"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i</w:t>
            </w:r>
          </w:p>
        </w:tc>
        <w:tc>
          <w:tcPr>
            <w:tcW w:w="311" w:type="pct"/>
            <w:vAlign w:val="center"/>
          </w:tcPr>
          <w:p w:rsidR="00A8783E" w:rsidRPr="00A8783E" w:rsidRDefault="00A8783E" w:rsidP="00A8783E">
            <w:pPr>
              <w:spacing w:after="0" w:line="240" w:lineRule="auto"/>
              <w:rPr>
                <w:rFonts w:ascii="Times New Roman" w:hAnsi="Times New Roman"/>
                <w:sz w:val="20"/>
                <w:szCs w:val="20"/>
                <w:lang w:val="en-US"/>
              </w:rPr>
            </w:pPr>
          </w:p>
        </w:tc>
        <w:tc>
          <w:tcPr>
            <w:tcW w:w="452"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G</w:t>
            </w:r>
          </w:p>
        </w:tc>
        <w:tc>
          <w:tcPr>
            <w:tcW w:w="511" w:type="pct"/>
            <w:gridSpan w:val="2"/>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C</w:t>
            </w:r>
          </w:p>
        </w:tc>
        <w:tc>
          <w:tcPr>
            <w:tcW w:w="335"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B</w:t>
            </w:r>
          </w:p>
        </w:tc>
        <w:tc>
          <w:tcPr>
            <w:tcW w:w="281"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C</w:t>
            </w:r>
          </w:p>
        </w:tc>
        <w:tc>
          <w:tcPr>
            <w:tcW w:w="311"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C</w:t>
            </w:r>
          </w:p>
        </w:tc>
      </w:tr>
      <w:tr w:rsidR="00A8783E" w:rsidRPr="00A8783E" w:rsidTr="005B5318">
        <w:trPr>
          <w:trHeight w:val="527"/>
          <w:jc w:val="center"/>
        </w:trPr>
        <w:tc>
          <w:tcPr>
            <w:tcW w:w="200"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В</w:t>
            </w:r>
          </w:p>
        </w:tc>
        <w:tc>
          <w:tcPr>
            <w:tcW w:w="356"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A058</w:t>
            </w:r>
          </w:p>
        </w:tc>
        <w:tc>
          <w:tcPr>
            <w:tcW w:w="657" w:type="pct"/>
            <w:vAlign w:val="center"/>
          </w:tcPr>
          <w:p w:rsidR="00A8783E" w:rsidRPr="00A8783E" w:rsidRDefault="00A8783E" w:rsidP="00A8783E">
            <w:pPr>
              <w:spacing w:after="0" w:line="240" w:lineRule="auto"/>
              <w:rPr>
                <w:rFonts w:ascii="Times New Roman" w:hAnsi="Times New Roman"/>
                <w:i/>
                <w:iCs/>
                <w:sz w:val="20"/>
                <w:szCs w:val="20"/>
                <w:lang w:val="en-US"/>
              </w:rPr>
            </w:pPr>
            <w:r w:rsidRPr="00A8783E">
              <w:rPr>
                <w:rFonts w:ascii="Times New Roman" w:hAnsi="Times New Roman"/>
                <w:i/>
                <w:iCs/>
                <w:sz w:val="20"/>
                <w:szCs w:val="20"/>
                <w:lang w:val="en-US"/>
              </w:rPr>
              <w:t>Netta rufina</w:t>
            </w:r>
          </w:p>
        </w:tc>
        <w:tc>
          <w:tcPr>
            <w:tcW w:w="177" w:type="pct"/>
            <w:vAlign w:val="center"/>
          </w:tcPr>
          <w:p w:rsidR="00A8783E" w:rsidRPr="00A8783E" w:rsidRDefault="00A8783E" w:rsidP="00A8783E">
            <w:pPr>
              <w:spacing w:after="0" w:line="240" w:lineRule="auto"/>
              <w:rPr>
                <w:rFonts w:ascii="Times New Roman" w:hAnsi="Times New Roman"/>
                <w:sz w:val="20"/>
                <w:szCs w:val="20"/>
                <w:lang w:val="en-US"/>
              </w:rPr>
            </w:pPr>
          </w:p>
        </w:tc>
        <w:tc>
          <w:tcPr>
            <w:tcW w:w="260" w:type="pct"/>
            <w:vAlign w:val="center"/>
          </w:tcPr>
          <w:p w:rsidR="00A8783E" w:rsidRPr="00A8783E" w:rsidRDefault="00A8783E" w:rsidP="00A8783E">
            <w:pPr>
              <w:spacing w:after="0" w:line="240" w:lineRule="auto"/>
              <w:rPr>
                <w:rFonts w:ascii="Times New Roman" w:hAnsi="Times New Roman"/>
                <w:sz w:val="20"/>
                <w:szCs w:val="20"/>
                <w:lang w:val="en-US"/>
              </w:rPr>
            </w:pPr>
          </w:p>
        </w:tc>
        <w:tc>
          <w:tcPr>
            <w:tcW w:w="194" w:type="pct"/>
            <w:gridSpan w:val="2"/>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c</w:t>
            </w:r>
          </w:p>
        </w:tc>
        <w:tc>
          <w:tcPr>
            <w:tcW w:w="308" w:type="pct"/>
            <w:vAlign w:val="center"/>
          </w:tcPr>
          <w:p w:rsidR="00A8783E" w:rsidRPr="00A8783E" w:rsidRDefault="00A8783E" w:rsidP="00A8783E">
            <w:pPr>
              <w:spacing w:after="0" w:line="240"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0</w:t>
            </w:r>
          </w:p>
        </w:tc>
        <w:tc>
          <w:tcPr>
            <w:tcW w:w="326" w:type="pct"/>
            <w:vAlign w:val="center"/>
          </w:tcPr>
          <w:p w:rsidR="00A8783E" w:rsidRPr="00A8783E" w:rsidRDefault="00A8783E" w:rsidP="00A8783E">
            <w:pPr>
              <w:spacing w:after="0" w:line="240"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1</w:t>
            </w:r>
          </w:p>
        </w:tc>
        <w:tc>
          <w:tcPr>
            <w:tcW w:w="320"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i</w:t>
            </w:r>
          </w:p>
        </w:tc>
        <w:tc>
          <w:tcPr>
            <w:tcW w:w="311" w:type="pct"/>
            <w:vAlign w:val="center"/>
          </w:tcPr>
          <w:p w:rsidR="00A8783E" w:rsidRPr="00A8783E" w:rsidRDefault="00A8783E" w:rsidP="00A8783E">
            <w:pPr>
              <w:spacing w:after="0" w:line="240" w:lineRule="auto"/>
              <w:rPr>
                <w:rFonts w:ascii="Times New Roman" w:hAnsi="Times New Roman"/>
                <w:sz w:val="20"/>
                <w:szCs w:val="20"/>
                <w:lang w:val="en-US"/>
              </w:rPr>
            </w:pPr>
          </w:p>
        </w:tc>
        <w:tc>
          <w:tcPr>
            <w:tcW w:w="452" w:type="pct"/>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b/>
                <w:bCs/>
                <w:color w:val="FF0000"/>
                <w:sz w:val="20"/>
                <w:szCs w:val="20"/>
                <w:lang w:val="en-US"/>
              </w:rPr>
              <w:t>DD</w:t>
            </w:r>
          </w:p>
        </w:tc>
        <w:tc>
          <w:tcPr>
            <w:tcW w:w="511" w:type="pct"/>
            <w:gridSpan w:val="2"/>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C</w:t>
            </w:r>
          </w:p>
        </w:tc>
        <w:tc>
          <w:tcPr>
            <w:tcW w:w="335"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B</w:t>
            </w:r>
          </w:p>
        </w:tc>
        <w:tc>
          <w:tcPr>
            <w:tcW w:w="281"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C</w:t>
            </w:r>
          </w:p>
        </w:tc>
        <w:tc>
          <w:tcPr>
            <w:tcW w:w="311"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C</w:t>
            </w:r>
          </w:p>
        </w:tc>
      </w:tr>
    </w:tbl>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208" w:name="_Toc89106087"/>
      <w:bookmarkStart w:id="209" w:name="_Toc98741926"/>
      <w:bookmarkStart w:id="210" w:name="_Toc98838601"/>
      <w:r w:rsidRPr="00A8783E">
        <w:rPr>
          <w:rFonts w:ascii="Times New Roman" w:hAnsi="Times New Roman"/>
          <w:color w:val="1F497D"/>
          <w:sz w:val="28"/>
          <w:szCs w:val="28"/>
          <w:lang w:eastAsia="bg-BG"/>
        </w:rPr>
        <w:t xml:space="preserve">Специфични цели за А059 </w:t>
      </w:r>
      <w:r w:rsidRPr="00A8783E">
        <w:rPr>
          <w:rFonts w:ascii="Times New Roman" w:hAnsi="Times New Roman"/>
          <w:i/>
          <w:iCs/>
          <w:color w:val="1F497D"/>
          <w:sz w:val="28"/>
          <w:szCs w:val="28"/>
          <w:lang w:val="en-US" w:eastAsia="bg-BG"/>
        </w:rPr>
        <w:t>Aythya</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US" w:eastAsia="bg-BG"/>
        </w:rPr>
        <w:t>ferina</w:t>
      </w:r>
      <w:r w:rsidRPr="00A8783E">
        <w:rPr>
          <w:rFonts w:ascii="Times New Roman" w:hAnsi="Times New Roman"/>
          <w:color w:val="1F497D"/>
          <w:sz w:val="28"/>
          <w:szCs w:val="28"/>
          <w:lang w:eastAsia="bg-BG"/>
        </w:rPr>
        <w:t xml:space="preserve"> (кафявоглава потапница)</w:t>
      </w:r>
      <w:bookmarkEnd w:id="208"/>
      <w:bookmarkEnd w:id="209"/>
      <w:bookmarkEnd w:id="210"/>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Дължината на тялото 42-49 cm, размахът на крилата: 67-77 cm. В брачно оперение при мъжките главата и шията са ръждиво-кафяви. Гушата и предната част на гърдите са черни. Гърбът и страните на тялото са пепелно сиви. Кръстът е по-тъмен, а надопашието – черно. Клюнът е сиво-черен. Женските като цяло са сивокафяви. Гърди, теме и шия по-тъмни с кафеникав нюанс. Имат неясни бледи и тъмни петна по главата. Със светла ивица зад окото. През зимата мъжките са с тъмно сиво-кафяви гърди и задница и по-мръсно кафява глава. При женските оперението през зимата е като при брачното оперение, но по-тъмна по гърба. При младите оперението е като възрастните женски в извънбрачно оперение. По-едноцветни са отгоре, без светла ивица зад окото. Страните на тялото са сиво-кафяви със светли напетнявания (</w:t>
      </w:r>
      <w:r w:rsidRPr="00A8783E">
        <w:rPr>
          <w:rFonts w:ascii="Times New Roman" w:hAnsi="Times New Roman"/>
          <w:sz w:val="24"/>
          <w:szCs w:val="24"/>
          <w:lang w:val="en-US" w:eastAsia="bg-BG"/>
        </w:rPr>
        <w:t>Svensson</w:t>
      </w:r>
      <w:r w:rsidRPr="00A8783E">
        <w:rPr>
          <w:rFonts w:ascii="Times New Roman" w:hAnsi="Times New Roman"/>
          <w:sz w:val="24"/>
          <w:szCs w:val="24"/>
          <w:lang w:eastAsia="bg-BG"/>
        </w:rPr>
        <w:t xml:space="preserve">, 2009; Симеонов и др., 1990).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Гнездящ, мигриращ и зимуващ вид за страната. Есенната миграция започва в началото на септември, но се осъществява главно през октомври и ноември. Пролетния прелет е през февруари и март, когато се среща по-често по р. Дунав. През нашата страна мигрират и зимуват индивиди от Средна Европа, Европейска Русия, Украйна, Беларус и Западен Сибир. Значително по-многочислена през зимата, особено по Южното Черномоското крайбрежие. По р. Дунав и вътрешните за странат водоеми зимуват незначителни числености от вида. Гнезди най-често във висока блатна растителност, близо до водата. Гнезди единично. Гнездото е на земята покрито със сухи треви и пух. (Симеонов и др. 1990; Нанкинов, 2012, Големански и др. (ред), 2015).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 xml:space="preserve">Характерно местообитание </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Обитава обширни, дълбоки и открити водоеми, с големи водни огледала и растителност по периферията. При миграция и зимуване обитава разнообразни влажни зони, включително големи езера и язовири. Подходящи местообитания според Директивата за хабитатите, по време на миграция и зимуване са 1110, 1130, 1150, 1160, 3260 и 3270, </w:t>
      </w:r>
      <w:r w:rsidRPr="00A8783E">
        <w:rPr>
          <w:rFonts w:ascii="Times New Roman" w:hAnsi="Times New Roman"/>
          <w:sz w:val="24"/>
          <w:szCs w:val="24"/>
          <w:lang w:eastAsia="bg-BG"/>
        </w:rPr>
        <w:lastRenderedPageBreak/>
        <w:t>а през размножителния период сладководни местообитания от типа на 3130, 3140, 3150,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Храната е от водни безгръбначни (ларви на насекоми) и семена, и части на водни и водолюбиви растения (Големански и др. (ред.), 2015).</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autoSpaceDE w:val="0"/>
        <w:autoSpaceDN w:val="0"/>
        <w:adjustRightInd w:val="0"/>
        <w:spacing w:before="120" w:after="120" w:line="240" w:lineRule="auto"/>
        <w:jc w:val="both"/>
        <w:rPr>
          <w:rFonts w:ascii="Times New Roman" w:eastAsia="GroteskHSBg-Light" w:hAnsi="Times New Roman"/>
          <w:sz w:val="24"/>
          <w:szCs w:val="24"/>
          <w:lang w:eastAsia="bg-BG"/>
        </w:rPr>
      </w:pPr>
      <w:r w:rsidRPr="00A8783E">
        <w:rPr>
          <w:rFonts w:ascii="Times New Roman" w:eastAsia="GroteskHSBg-Light" w:hAnsi="Times New Roman"/>
          <w:sz w:val="24"/>
          <w:szCs w:val="24"/>
          <w:lang w:eastAsia="bg-BG"/>
        </w:rPr>
        <w:t>Разпространението е групово и разпръснато, главно по Дунавското и Черноморското крайбрежие, където са основните гнездови находища: ез. Сребърна, Бургаските влажни зони и най-вече Пода и Комлушка низина. През отделни години единични двойки гнездят в Тракийската низина, Дунавската равнина, Софийското поле, на места в Западна България и по долината на р. Арда.</w:t>
      </w:r>
      <w:r w:rsidRPr="00A8783E">
        <w:rPr>
          <w:rFonts w:ascii="Times New Roman" w:hAnsi="Times New Roman"/>
          <w:sz w:val="24"/>
          <w:szCs w:val="24"/>
          <w:lang w:eastAsia="bg-BG"/>
        </w:rPr>
        <w:t xml:space="preserve"> (Янков отг. ред., 2007). </w:t>
      </w:r>
      <w:r w:rsidRPr="00A8783E">
        <w:rPr>
          <w:rFonts w:ascii="Times New Roman" w:eastAsia="GroteskHSBg-Light" w:hAnsi="Times New Roman"/>
          <w:sz w:val="24"/>
          <w:szCs w:val="24"/>
          <w:lang w:eastAsia="bg-BG"/>
        </w:rPr>
        <w:t>В посочените основни гнездовища и във Варненско–Белославския комплекс гнездят до няколко десетки двойки (до над повече от 50 в Пода и Комлушката низина), но в повечето от останалите се размножават само единични двойки. В години с малко валежи и ниско водно ниво на водоемите числеността е по-малка и много от двойките не пристъпват към гнездене</w:t>
      </w:r>
      <w:r w:rsidRPr="00A8783E">
        <w:rPr>
          <w:rFonts w:ascii="Times New Roman" w:hAnsi="Times New Roman"/>
          <w:sz w:val="24"/>
          <w:szCs w:val="24"/>
          <w:lang w:eastAsia="bg-BG"/>
        </w:rPr>
        <w:t xml:space="preserve"> (Големански и др., ред., 2015). </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Включен в Приложение 2А на Директивата за птиците.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видът е уязвим – </w:t>
      </w:r>
      <w:r w:rsidRPr="00A8783E">
        <w:rPr>
          <w:rFonts w:ascii="Times New Roman" w:hAnsi="Times New Roman"/>
          <w:sz w:val="24"/>
          <w:szCs w:val="24"/>
          <w:lang w:val="en-US" w:eastAsia="bg-BG"/>
        </w:rPr>
        <w:t>VU</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Vulnerable</w:t>
      </w:r>
      <w:r w:rsidRPr="00A8783E">
        <w:rPr>
          <w:rFonts w:ascii="Times New Roman" w:hAnsi="Times New Roman"/>
          <w:sz w:val="24"/>
          <w:szCs w:val="24"/>
          <w:lang w:eastAsia="bg-BG"/>
        </w:rPr>
        <w:t>). Включен в Червената книга на България в категорията „Уязвим вид”. Включен в Приложение 3 на ЗБР.</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Докладването от 2019 г. (за периода 2013 – 2018 г.) националната гнездяща популация на вида се оценява на 80 – 250 двойки. Краткосрочната тенденция на популацията (за периода 2000 – 2018 г.) е флуктуираща, променлива, а дългосрочната (за периода 1980 – 2018 г.) е нарастваща. За гнездовата популация са посочени следните заплахи: </w:t>
      </w:r>
      <w:r w:rsidRPr="00A8783E">
        <w:rPr>
          <w:rFonts w:ascii="Times New Roman" w:hAnsi="Times New Roman"/>
          <w:sz w:val="24"/>
          <w:szCs w:val="24"/>
          <w:lang w:val="en-US" w:eastAsia="bg-BG"/>
        </w:rPr>
        <w:t>F</w:t>
      </w:r>
      <w:r w:rsidRPr="00A8783E">
        <w:rPr>
          <w:rFonts w:ascii="Times New Roman" w:hAnsi="Times New Roman"/>
          <w:sz w:val="24"/>
          <w:szCs w:val="24"/>
          <w:lang w:eastAsia="bg-BG"/>
        </w:rPr>
        <w:t xml:space="preserve">01, </w:t>
      </w:r>
      <w:r w:rsidRPr="00A8783E">
        <w:rPr>
          <w:rFonts w:ascii="Times New Roman" w:hAnsi="Times New Roman"/>
          <w:sz w:val="24"/>
          <w:szCs w:val="24"/>
          <w:lang w:val="en-US" w:eastAsia="bg-BG"/>
        </w:rPr>
        <w:t>J</w:t>
      </w:r>
      <w:r w:rsidRPr="00A8783E">
        <w:rPr>
          <w:rFonts w:ascii="Times New Roman" w:hAnsi="Times New Roman"/>
          <w:sz w:val="24"/>
          <w:szCs w:val="24"/>
          <w:lang w:eastAsia="bg-BG"/>
        </w:rPr>
        <w:t>02.</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Зимуващата популация е оценена на 17 000 – 31 000 индивида. Краткосрочната тенденция на популацията (за периода 2000 – 2018 г.), както и дългосрочната (за периода 1980 – 2018 г.) е флуктуираща, променлива.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Мигриращата национална популация е оценена на 15 000 – 100 000 индивида.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lang w:eastAsia="bg-BG"/>
        </w:rPr>
        <w:t xml:space="preserve">Съгласно стандартния формуляр за данни СФ на зоната видът е преминаващ, зимуващ и гнездящ. </w:t>
      </w:r>
      <w:r w:rsidRPr="00A8783E">
        <w:rPr>
          <w:rFonts w:ascii="Times New Roman" w:hAnsi="Times New Roman"/>
          <w:b/>
          <w:bCs/>
          <w:sz w:val="24"/>
          <w:szCs w:val="24"/>
        </w:rPr>
        <w:t xml:space="preserve">Гнездящата </w:t>
      </w:r>
      <w:r w:rsidRPr="00A8783E">
        <w:rPr>
          <w:rFonts w:ascii="Times New Roman" w:hAnsi="Times New Roman"/>
          <w:sz w:val="24"/>
          <w:szCs w:val="24"/>
        </w:rPr>
        <w:t xml:space="preserve">популация се оценява на </w:t>
      </w:r>
      <w:r w:rsidRPr="00A8783E">
        <w:rPr>
          <w:rFonts w:ascii="Times New Roman" w:hAnsi="Times New Roman"/>
          <w:b/>
          <w:bCs/>
          <w:sz w:val="24"/>
          <w:szCs w:val="24"/>
        </w:rPr>
        <w:t>25-40 двойки</w:t>
      </w:r>
      <w:r w:rsidRPr="00A8783E">
        <w:rPr>
          <w:rFonts w:ascii="Times New Roman" w:hAnsi="Times New Roman"/>
          <w:sz w:val="24"/>
          <w:szCs w:val="24"/>
        </w:rPr>
        <w:t>, което представлява 16-31 %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10-12 индивида</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0,01-0,07 %</w:t>
      </w:r>
      <w:r w:rsidRPr="00A8783E">
        <w:rPr>
          <w:rFonts w:ascii="Times New Roman" w:hAnsi="Times New Roman"/>
          <w:sz w:val="24"/>
          <w:szCs w:val="24"/>
          <w:lang w:eastAsia="bg-BG"/>
        </w:rPr>
        <w:t xml:space="preserve"> от националната популация (оценка „</w:t>
      </w:r>
      <w:r w:rsidRPr="00A8783E">
        <w:rPr>
          <w:rFonts w:ascii="Times New Roman" w:hAnsi="Times New Roman"/>
          <w:sz w:val="24"/>
          <w:szCs w:val="24"/>
          <w:lang w:val="en-US" w:eastAsia="bg-BG"/>
        </w:rPr>
        <w:t>C</w:t>
      </w:r>
      <w:r w:rsidRPr="00A8783E">
        <w:rPr>
          <w:rFonts w:ascii="Times New Roman" w:hAnsi="Times New Roman"/>
          <w:sz w:val="24"/>
          <w:szCs w:val="24"/>
          <w:lang w:eastAsia="bg-BG"/>
        </w:rPr>
        <w:t xml:space="preserve">“).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СФ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на вида се оценява на до </w:t>
      </w:r>
      <w:r w:rsidRPr="00A8783E">
        <w:rPr>
          <w:rFonts w:ascii="Times New Roman" w:hAnsi="Times New Roman"/>
          <w:b/>
          <w:bCs/>
          <w:sz w:val="24"/>
          <w:szCs w:val="24"/>
          <w:lang w:eastAsia="bg-BG"/>
        </w:rPr>
        <w:t>10 индивида</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0,1-0,4 %</w:t>
      </w:r>
      <w:r w:rsidRPr="00A8783E">
        <w:rPr>
          <w:rFonts w:ascii="Times New Roman" w:hAnsi="Times New Roman"/>
          <w:color w:val="000000"/>
          <w:sz w:val="24"/>
          <w:szCs w:val="24"/>
          <w:lang w:eastAsia="bg-BG"/>
        </w:rPr>
        <w:t xml:space="preserve"> </w:t>
      </w:r>
      <w:r w:rsidRPr="00A8783E">
        <w:rPr>
          <w:rFonts w:ascii="Times New Roman" w:hAnsi="Times New Roman"/>
          <w:sz w:val="24"/>
          <w:szCs w:val="24"/>
          <w:lang w:eastAsia="bg-BG"/>
        </w:rPr>
        <w:t xml:space="preserve">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 </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lastRenderedPageBreak/>
        <w:t>Гнездяща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w:t>
      </w:r>
      <w:r w:rsidRPr="00A8783E">
        <w:rPr>
          <w:rFonts w:ascii="Times New Roman" w:hAnsi="Times New Roman"/>
          <w:sz w:val="24"/>
          <w:szCs w:val="24"/>
          <w:lang w:val="en-US" w:eastAsia="bg-BG"/>
        </w:rPr>
        <w:t>Kamburova</w:t>
      </w:r>
      <w:r w:rsidRPr="00A8783E">
        <w:rPr>
          <w:rFonts w:ascii="Times New Roman" w:hAnsi="Times New Roman"/>
          <w:sz w:val="24"/>
          <w:szCs w:val="24"/>
          <w:lang w:eastAsia="bg-BG"/>
        </w:rPr>
        <w:t xml:space="preserve"> (2012) през периода 2001-2003 г. са гнездили 12-30 двойки, а през 2004-2006 г.: 17-61 двойки. Резултати от мониторинг на водолюбивите птици в защитената зона за периода 2010-2012 г. показват гнездене на 20-25 двойки (Матеева и др., 2013). За периода 2006-2013 г. в </w:t>
      </w:r>
      <w:r w:rsidRPr="00A8783E">
        <w:rPr>
          <w:rFonts w:ascii="Times New Roman" w:hAnsi="Times New Roman"/>
          <w:sz w:val="24"/>
          <w:szCs w:val="24"/>
          <w:lang w:val="en-US" w:eastAsia="bg-BG"/>
        </w:rPr>
        <w:t>e</w:t>
      </w:r>
      <w:r w:rsidRPr="00A8783E">
        <w:rPr>
          <w:rFonts w:ascii="Times New Roman" w:hAnsi="Times New Roman"/>
          <w:sz w:val="24"/>
          <w:szCs w:val="24"/>
          <w:lang w:eastAsia="bg-BG"/>
        </w:rPr>
        <w:t>з. Сребърна са отчетени около 15-31 двойки (</w:t>
      </w:r>
      <w:r w:rsidRPr="00A8783E">
        <w:rPr>
          <w:rFonts w:ascii="Times New Roman" w:hAnsi="Times New Roman"/>
          <w:sz w:val="24"/>
          <w:szCs w:val="24"/>
          <w:lang w:val="en-US" w:eastAsia="bg-BG"/>
        </w:rPr>
        <w:t>Shurulinkov</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et</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al</w:t>
      </w:r>
      <w:r w:rsidRPr="00A8783E">
        <w:rPr>
          <w:rFonts w:ascii="Times New Roman" w:hAnsi="Times New Roman"/>
          <w:sz w:val="24"/>
          <w:szCs w:val="24"/>
          <w:lang w:eastAsia="bg-BG"/>
        </w:rPr>
        <w:t>., 2019). Според Актуализирания план за управление на ПР „Сребърна“ (2015) гнездовата численост е 25-30 дв. По време на извършения мониторинг през гнездовия период на 2021 г. бяха установени около 40 двойки.</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Зимуваща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За периода 1977-2001 г. среднозимната численост на вида в ез. Сребърна се оценява на 9-10 индивида (Michev &amp; Profirov, 2003). Според плана за управление на ПР „Сребърна“ (2015, по данни на ИАОС) общата численост на зимуващите кафявоглави потапници за периода 1977-2001 г. е 29 индивида, а за 2008-2013 г. – 0-57 инд. (общо 67 инд.) По данни от средно-зимни преброявания през 2019 г. и 2020 г. по цялото българско поречие на р. Дунав са наблюдавани съответно 140 и 154 инд., но на територията на СЗЗ не са наблюдавани птици от вида. На базата на данните за периода 2008-2013 г. предлагаме актуализация на зимуващата численост на 10-60 инд.</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Мигрираща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На 02.09.2021 г. в района на защитената зона са наблюдавани 100 индивида (</w:t>
      </w:r>
      <w:r w:rsidRPr="00A8783E">
        <w:rPr>
          <w:rFonts w:ascii="Times New Roman" w:hAnsi="Times New Roman"/>
          <w:sz w:val="24"/>
          <w:szCs w:val="24"/>
          <w:lang w:val="en-US" w:eastAsia="bg-BG"/>
        </w:rPr>
        <w:t>ebird</w:t>
      </w:r>
      <w:r w:rsidRPr="00A8783E">
        <w:rPr>
          <w:rFonts w:ascii="Times New Roman" w:hAnsi="Times New Roman"/>
          <w:sz w:val="24"/>
          <w:szCs w:val="24"/>
          <w:lang w:eastAsia="bg-BG"/>
        </w:rPr>
        <w:t>.</w:t>
      </w:r>
      <w:r w:rsidRPr="00A8783E">
        <w:rPr>
          <w:rFonts w:ascii="Times New Roman" w:hAnsi="Times New Roman"/>
          <w:sz w:val="24"/>
          <w:szCs w:val="24"/>
          <w:lang w:val="en-US" w:eastAsia="bg-BG"/>
        </w:rPr>
        <w:t>org</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S</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Gigov</w:t>
      </w:r>
      <w:r w:rsidRPr="00A8783E">
        <w:rPr>
          <w:rFonts w:ascii="Times New Roman" w:hAnsi="Times New Roman"/>
          <w:sz w:val="24"/>
          <w:szCs w:val="24"/>
          <w:lang w:eastAsia="bg-BG"/>
        </w:rPr>
        <w:t>).</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За гнездящата популация са посочени следните заплахи и влияния (Докладване по чл. 12, 2019 г.): </w:t>
      </w:r>
      <w:r w:rsidRPr="00A8783E">
        <w:rPr>
          <w:rFonts w:ascii="Times New Roman" w:hAnsi="Times New Roman"/>
          <w:sz w:val="24"/>
          <w:szCs w:val="24"/>
          <w:lang w:val="en-US" w:eastAsia="bg-BG"/>
        </w:rPr>
        <w:t>F</w:t>
      </w:r>
      <w:r w:rsidRPr="00A8783E">
        <w:rPr>
          <w:rFonts w:ascii="Times New Roman" w:hAnsi="Times New Roman"/>
          <w:sz w:val="24"/>
          <w:szCs w:val="24"/>
          <w:lang w:eastAsia="bg-BG"/>
        </w:rPr>
        <w:t xml:space="preserve">01, </w:t>
      </w:r>
      <w:r w:rsidRPr="00A8783E">
        <w:rPr>
          <w:rFonts w:ascii="Times New Roman" w:hAnsi="Times New Roman"/>
          <w:sz w:val="24"/>
          <w:szCs w:val="24"/>
          <w:lang w:val="en-US" w:eastAsia="bg-BG"/>
        </w:rPr>
        <w:t>J</w:t>
      </w:r>
      <w:r w:rsidRPr="00A8783E">
        <w:rPr>
          <w:rFonts w:ascii="Times New Roman" w:hAnsi="Times New Roman"/>
          <w:sz w:val="24"/>
          <w:szCs w:val="24"/>
          <w:lang w:eastAsia="bg-BG"/>
        </w:rPr>
        <w:t xml:space="preserve">02. От тях няма потенциално валидни за СЗЗ „Сребърна”. За мигриращата и зимуващата популация са посочени следните заплахи: </w:t>
      </w:r>
      <w:r w:rsidRPr="00A8783E">
        <w:rPr>
          <w:rFonts w:ascii="Times New Roman" w:hAnsi="Times New Roman"/>
          <w:sz w:val="24"/>
          <w:szCs w:val="24"/>
          <w:lang w:val="en-US" w:eastAsia="bg-BG"/>
        </w:rPr>
        <w:t>F</w:t>
      </w:r>
      <w:r w:rsidRPr="00A8783E">
        <w:rPr>
          <w:rFonts w:ascii="Times New Roman" w:hAnsi="Times New Roman"/>
          <w:sz w:val="24"/>
          <w:szCs w:val="24"/>
          <w:lang w:eastAsia="bg-BG"/>
        </w:rPr>
        <w:t xml:space="preserve">02, </w:t>
      </w:r>
      <w:r w:rsidRPr="00A8783E">
        <w:rPr>
          <w:rFonts w:ascii="Times New Roman" w:hAnsi="Times New Roman"/>
          <w:sz w:val="24"/>
          <w:szCs w:val="24"/>
          <w:lang w:val="en-US" w:eastAsia="bg-BG"/>
        </w:rPr>
        <w:t>F</w:t>
      </w:r>
      <w:r w:rsidRPr="00A8783E">
        <w:rPr>
          <w:rFonts w:ascii="Times New Roman" w:hAnsi="Times New Roman"/>
          <w:sz w:val="24"/>
          <w:szCs w:val="24"/>
          <w:lang w:eastAsia="bg-BG"/>
        </w:rPr>
        <w:t xml:space="preserve">03, </w:t>
      </w:r>
      <w:r w:rsidRPr="00A8783E">
        <w:rPr>
          <w:rFonts w:ascii="Times New Roman" w:hAnsi="Times New Roman"/>
          <w:sz w:val="24"/>
          <w:szCs w:val="24"/>
          <w:lang w:val="en-US" w:eastAsia="bg-BG"/>
        </w:rPr>
        <w:t>F</w:t>
      </w:r>
      <w:r w:rsidRPr="00A8783E">
        <w:rPr>
          <w:rFonts w:ascii="Times New Roman" w:hAnsi="Times New Roman"/>
          <w:sz w:val="24"/>
          <w:szCs w:val="24"/>
          <w:lang w:eastAsia="bg-BG"/>
        </w:rPr>
        <w:t xml:space="preserve">05, </w:t>
      </w:r>
      <w:r w:rsidRPr="00A8783E">
        <w:rPr>
          <w:rFonts w:ascii="Times New Roman" w:hAnsi="Times New Roman"/>
          <w:sz w:val="24"/>
          <w:szCs w:val="24"/>
          <w:lang w:val="en-US" w:eastAsia="bg-BG"/>
        </w:rPr>
        <w:t>G</w:t>
      </w:r>
      <w:r w:rsidRPr="00A8783E">
        <w:rPr>
          <w:rFonts w:ascii="Times New Roman" w:hAnsi="Times New Roman"/>
          <w:sz w:val="24"/>
          <w:szCs w:val="24"/>
          <w:lang w:eastAsia="bg-BG"/>
        </w:rPr>
        <w:t>01. От тях също няма валидни за зоната. Заплахи за вида в зоната могат да бъдат риболов с мрежени уреди (G12- Прилов и инцидентно убиване (при риболовни дейности),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275"/>
        <w:gridCol w:w="1276"/>
        <w:gridCol w:w="2835"/>
        <w:gridCol w:w="2410"/>
      </w:tblGrid>
      <w:tr w:rsidR="00A8783E" w:rsidRPr="00A8783E" w:rsidTr="005B5318">
        <w:trPr>
          <w:trHeight w:val="49"/>
          <w:tblHeader/>
        </w:trPr>
        <w:tc>
          <w:tcPr>
            <w:tcW w:w="1668" w:type="dxa"/>
            <w:shd w:val="clear" w:color="auto" w:fill="DBE5F1"/>
            <w:vAlign w:val="center"/>
          </w:tcPr>
          <w:p w:rsidR="00A8783E" w:rsidRPr="00A8783E" w:rsidRDefault="00A8783E" w:rsidP="00A8783E">
            <w:pPr>
              <w:spacing w:after="0" w:line="240" w:lineRule="auto"/>
              <w:rPr>
                <w:rFonts w:ascii="Times New Roman" w:hAnsi="Times New Roman"/>
                <w:b/>
                <w:bCs/>
                <w:lang w:eastAsia="bg-BG"/>
              </w:rPr>
            </w:pPr>
            <w:r w:rsidRPr="00A8783E">
              <w:rPr>
                <w:rFonts w:ascii="Times New Roman" w:hAnsi="Times New Roman"/>
                <w:b/>
                <w:bCs/>
                <w:lang w:eastAsia="bg-BG"/>
              </w:rPr>
              <w:t>Параметър</w:t>
            </w:r>
          </w:p>
        </w:tc>
        <w:tc>
          <w:tcPr>
            <w:tcW w:w="1275" w:type="dxa"/>
            <w:shd w:val="clear" w:color="auto" w:fill="DBE5F1"/>
            <w:vAlign w:val="center"/>
          </w:tcPr>
          <w:p w:rsidR="00A8783E" w:rsidRPr="00A8783E" w:rsidRDefault="00A8783E" w:rsidP="00A8783E">
            <w:pPr>
              <w:spacing w:after="0" w:line="240" w:lineRule="auto"/>
              <w:rPr>
                <w:rFonts w:ascii="Times New Roman" w:hAnsi="Times New Roman"/>
                <w:b/>
                <w:bCs/>
                <w:lang w:eastAsia="bg-BG"/>
              </w:rPr>
            </w:pPr>
            <w:r w:rsidRPr="00A8783E">
              <w:rPr>
                <w:rFonts w:ascii="Times New Roman" w:hAnsi="Times New Roman"/>
                <w:b/>
                <w:bCs/>
                <w:lang w:eastAsia="bg-BG"/>
              </w:rPr>
              <w:t>Мерна единица</w:t>
            </w:r>
          </w:p>
        </w:tc>
        <w:tc>
          <w:tcPr>
            <w:tcW w:w="1276" w:type="dxa"/>
            <w:shd w:val="clear" w:color="auto" w:fill="DBE5F1"/>
            <w:vAlign w:val="center"/>
          </w:tcPr>
          <w:p w:rsidR="00A8783E" w:rsidRPr="00A8783E" w:rsidRDefault="00A8783E" w:rsidP="00A8783E">
            <w:pPr>
              <w:spacing w:after="0" w:line="240" w:lineRule="auto"/>
              <w:rPr>
                <w:rFonts w:ascii="Times New Roman" w:hAnsi="Times New Roman"/>
                <w:b/>
                <w:bCs/>
                <w:lang w:eastAsia="bg-BG"/>
              </w:rPr>
            </w:pPr>
            <w:r w:rsidRPr="00A8783E">
              <w:rPr>
                <w:rFonts w:ascii="Times New Roman" w:hAnsi="Times New Roman"/>
                <w:b/>
                <w:bCs/>
                <w:lang w:eastAsia="bg-BG"/>
              </w:rPr>
              <w:t>Целева стойност</w:t>
            </w:r>
          </w:p>
        </w:tc>
        <w:tc>
          <w:tcPr>
            <w:tcW w:w="2835" w:type="dxa"/>
            <w:shd w:val="clear" w:color="auto" w:fill="DBE5F1"/>
            <w:vAlign w:val="center"/>
          </w:tcPr>
          <w:p w:rsidR="00A8783E" w:rsidRPr="00A8783E" w:rsidRDefault="00A8783E" w:rsidP="00A8783E">
            <w:pPr>
              <w:spacing w:after="0" w:line="240" w:lineRule="auto"/>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410" w:type="dxa"/>
            <w:shd w:val="clear" w:color="auto" w:fill="DBE5F1"/>
            <w:vAlign w:val="center"/>
          </w:tcPr>
          <w:p w:rsidR="00A8783E" w:rsidRPr="00A8783E" w:rsidRDefault="00A8783E" w:rsidP="00A8783E">
            <w:pPr>
              <w:spacing w:after="0" w:line="240" w:lineRule="auto"/>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trHeight w:val="49"/>
        </w:trPr>
        <w:tc>
          <w:tcPr>
            <w:tcW w:w="1668" w:type="dxa"/>
          </w:tcPr>
          <w:p w:rsidR="00A8783E" w:rsidRPr="00A8783E" w:rsidRDefault="00A8783E" w:rsidP="00A8783E">
            <w:pPr>
              <w:spacing w:after="0" w:line="240" w:lineRule="auto"/>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гнездящата популация</w:t>
            </w:r>
          </w:p>
        </w:tc>
        <w:tc>
          <w:tcPr>
            <w:tcW w:w="1275" w:type="dxa"/>
          </w:tcPr>
          <w:p w:rsidR="00A8783E" w:rsidRPr="00A8783E" w:rsidRDefault="00A8783E" w:rsidP="00A8783E">
            <w:pPr>
              <w:spacing w:after="0" w:line="240" w:lineRule="auto"/>
              <w:ind w:left="34"/>
              <w:rPr>
                <w:rFonts w:ascii="Times New Roman" w:hAnsi="Times New Roman"/>
                <w:lang w:eastAsia="bg-BG"/>
              </w:rPr>
            </w:pPr>
            <w:r w:rsidRPr="00A8783E">
              <w:rPr>
                <w:rFonts w:ascii="Times New Roman" w:hAnsi="Times New Roman"/>
                <w:lang w:eastAsia="bg-BG"/>
              </w:rPr>
              <w:t>Брой двойки</w:t>
            </w:r>
          </w:p>
        </w:tc>
        <w:tc>
          <w:tcPr>
            <w:tcW w:w="127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Най-малко 25 дв.</w:t>
            </w:r>
          </w:p>
        </w:tc>
        <w:tc>
          <w:tcPr>
            <w:tcW w:w="2835"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Целевата стойност е определена на база данните от СФ, от извършен мониторинг в защитената зона през гнездовия период на 2021 г. и от литературни източници през последните години.</w:t>
            </w:r>
          </w:p>
        </w:tc>
        <w:tc>
          <w:tcPr>
            <w:tcW w:w="2410"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Поддържане на популацията на вида в зоната в размер от най-малко 25 гнездящи двойки чрез поддържане на местообитанията на вида в зоната.</w:t>
            </w:r>
          </w:p>
        </w:tc>
      </w:tr>
      <w:tr w:rsidR="00A8783E" w:rsidRPr="00A8783E" w:rsidTr="005B5318">
        <w:trPr>
          <w:trHeight w:val="49"/>
        </w:trPr>
        <w:tc>
          <w:tcPr>
            <w:tcW w:w="1668" w:type="dxa"/>
          </w:tcPr>
          <w:p w:rsidR="00A8783E" w:rsidRPr="00A8783E" w:rsidRDefault="00A8783E" w:rsidP="00A8783E">
            <w:pPr>
              <w:spacing w:after="0" w:line="240" w:lineRule="auto"/>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275"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Брой индивиди</w:t>
            </w:r>
          </w:p>
        </w:tc>
        <w:tc>
          <w:tcPr>
            <w:tcW w:w="127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Най-малко 10 инд.</w:t>
            </w:r>
          </w:p>
        </w:tc>
        <w:tc>
          <w:tcPr>
            <w:tcW w:w="2835"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В СФ  за мигриращата популация е посочена минимална стойност 10 инд., а като максимална стойност са посочени 12 инд. Липсват публикувани данни за концентрацията на вида в зоната по време </w:t>
            </w:r>
            <w:r w:rsidRPr="00A8783E">
              <w:rPr>
                <w:rFonts w:ascii="Times New Roman" w:hAnsi="Times New Roman"/>
                <w:lang w:eastAsia="bg-BG"/>
              </w:rPr>
              <w:lastRenderedPageBreak/>
              <w:t>на миграция.</w:t>
            </w:r>
          </w:p>
        </w:tc>
        <w:tc>
          <w:tcPr>
            <w:tcW w:w="2410"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lastRenderedPageBreak/>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trHeight w:val="49"/>
        </w:trPr>
        <w:tc>
          <w:tcPr>
            <w:tcW w:w="1668" w:type="dxa"/>
          </w:tcPr>
          <w:p w:rsidR="00A8783E" w:rsidRPr="00A8783E" w:rsidRDefault="00A8783E" w:rsidP="00A8783E">
            <w:pPr>
              <w:spacing w:after="0" w:line="240" w:lineRule="auto"/>
              <w:rPr>
                <w:rFonts w:ascii="Times New Roman" w:hAnsi="Times New Roman"/>
                <w:b/>
                <w:bCs/>
                <w:lang w:eastAsia="bg-BG"/>
              </w:rPr>
            </w:pPr>
            <w:r w:rsidRPr="00A8783E">
              <w:rPr>
                <w:rFonts w:ascii="Times New Roman" w:hAnsi="Times New Roman"/>
                <w:b/>
                <w:bCs/>
                <w:lang w:eastAsia="bg-BG"/>
              </w:rPr>
              <w:lastRenderedPageBreak/>
              <w:t xml:space="preserve">Популация: </w:t>
            </w:r>
            <w:r w:rsidRPr="00A8783E">
              <w:rPr>
                <w:rFonts w:ascii="Times New Roman" w:hAnsi="Times New Roman"/>
                <w:lang w:eastAsia="bg-BG"/>
              </w:rPr>
              <w:t>Размер на зимуващата популация</w:t>
            </w:r>
          </w:p>
        </w:tc>
        <w:tc>
          <w:tcPr>
            <w:tcW w:w="1275"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Брой индивиди</w:t>
            </w:r>
          </w:p>
        </w:tc>
        <w:tc>
          <w:tcPr>
            <w:tcW w:w="127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Най-малко 10 инд.</w:t>
            </w:r>
          </w:p>
        </w:tc>
        <w:tc>
          <w:tcPr>
            <w:tcW w:w="2835"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Според СФ не е посочена минимална численост на популацията, а като максимална са посочени 10 инд. На базата на данните за периода 2008-2013 г. предлагаме актуализация на зимуващата численост на 10-60 инд.</w:t>
            </w:r>
          </w:p>
        </w:tc>
        <w:tc>
          <w:tcPr>
            <w:tcW w:w="2410"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Редовен мониторинг на зимуващите водолюбиви птици в зоната.</w:t>
            </w:r>
          </w:p>
        </w:tc>
      </w:tr>
      <w:tr w:rsidR="00A8783E" w:rsidRPr="00A8783E" w:rsidTr="005B5318">
        <w:trPr>
          <w:trHeight w:val="49"/>
        </w:trPr>
        <w:tc>
          <w:tcPr>
            <w:tcW w:w="1668" w:type="dxa"/>
          </w:tcPr>
          <w:p w:rsidR="00A8783E" w:rsidRPr="00A8783E" w:rsidRDefault="00A8783E" w:rsidP="00A8783E">
            <w:pPr>
              <w:spacing w:after="0" w:line="240" w:lineRule="auto"/>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275" w:type="dxa"/>
          </w:tcPr>
          <w:p w:rsidR="00A8783E" w:rsidRPr="00A8783E" w:rsidRDefault="00A8783E" w:rsidP="00A8783E">
            <w:pPr>
              <w:spacing w:after="0" w:line="240" w:lineRule="auto"/>
              <w:rPr>
                <w:rFonts w:ascii="Times New Roman" w:hAnsi="Times New Roman"/>
                <w:lang w:val="en-US" w:eastAsia="bg-BG"/>
              </w:rPr>
            </w:pPr>
            <w:r w:rsidRPr="00A8783E">
              <w:rPr>
                <w:rFonts w:ascii="Times New Roman" w:hAnsi="Times New Roman"/>
                <w:lang w:val="en-US" w:eastAsia="bg-BG"/>
              </w:rPr>
              <w:t>ha</w:t>
            </w:r>
          </w:p>
        </w:tc>
        <w:tc>
          <w:tcPr>
            <w:tcW w:w="127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най-малко 565</w:t>
            </w:r>
          </w:p>
        </w:tc>
        <w:tc>
          <w:tcPr>
            <w:tcW w:w="2835"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Площта е изчислена на база данните от СФ като % на местообитание N07 - мочурища и блата.</w:t>
            </w:r>
          </w:p>
        </w:tc>
        <w:tc>
          <w:tcPr>
            <w:tcW w:w="2410"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Поддържане на площта на гнездовите местообитания  на вида в зоната в размер на най-малко 565 ha чрез поддържане на оптимално ниво на водата в езерото.</w:t>
            </w:r>
          </w:p>
        </w:tc>
      </w:tr>
      <w:tr w:rsidR="00A8783E" w:rsidRPr="00A8783E" w:rsidTr="005B5318">
        <w:trPr>
          <w:trHeight w:val="49"/>
        </w:trPr>
        <w:tc>
          <w:tcPr>
            <w:tcW w:w="1668" w:type="dxa"/>
          </w:tcPr>
          <w:p w:rsidR="00A8783E" w:rsidRPr="00A8783E" w:rsidRDefault="00A8783E" w:rsidP="00A8783E">
            <w:pPr>
              <w:spacing w:after="0" w:line="240" w:lineRule="auto"/>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275"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ha</w:t>
            </w:r>
          </w:p>
        </w:tc>
        <w:tc>
          <w:tcPr>
            <w:tcW w:w="127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най-малко 840</w:t>
            </w:r>
          </w:p>
        </w:tc>
        <w:tc>
          <w:tcPr>
            <w:tcW w:w="2835"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Включва и гнездовото местообитание. Площта е изчислена на база данните от СФ като % на местообитание N07 - мочурища и блата; N06 - вътрешни водни тела.</w:t>
            </w:r>
          </w:p>
        </w:tc>
        <w:tc>
          <w:tcPr>
            <w:tcW w:w="2410"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Поддържане на площта на подходящите хранителни местообитания на вида в размер най-малко 840 ha. чрез поддържане на оптимално ниво на водата в езерото.</w:t>
            </w:r>
          </w:p>
        </w:tc>
      </w:tr>
      <w:tr w:rsidR="00A8783E" w:rsidRPr="00A8783E" w:rsidTr="005B5318">
        <w:trPr>
          <w:trHeight w:val="49"/>
        </w:trPr>
        <w:tc>
          <w:tcPr>
            <w:tcW w:w="1668"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 по биологичен елемент водни безгръбначни (JDS4-Aquatic Macroinvertebrates)</w:t>
            </w:r>
          </w:p>
        </w:tc>
        <w:tc>
          <w:tcPr>
            <w:tcW w:w="1275"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w:t>
            </w:r>
          </w:p>
        </w:tc>
        <w:tc>
          <w:tcPr>
            <w:tcW w:w="127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1-Отлично/2-Добро</w:t>
            </w:r>
          </w:p>
        </w:tc>
        <w:tc>
          <w:tcPr>
            <w:tcW w:w="2835" w:type="dxa"/>
          </w:tcPr>
          <w:tbl>
            <w:tblPr>
              <w:tblW w:w="4960" w:type="dxa"/>
              <w:tblInd w:w="3" w:type="dxa"/>
              <w:tblLayout w:type="fixed"/>
              <w:tblCellMar>
                <w:left w:w="70" w:type="dxa"/>
                <w:right w:w="70" w:type="dxa"/>
              </w:tblCellMar>
              <w:tblLook w:val="00A0" w:firstRow="1" w:lastRow="0" w:firstColumn="1" w:lastColumn="0" w:noHBand="0" w:noVBand="0"/>
            </w:tblPr>
            <w:tblGrid>
              <w:gridCol w:w="4960"/>
            </w:tblGrid>
            <w:tr w:rsidR="00A8783E" w:rsidRPr="00A8783E" w:rsidTr="005B5318">
              <w:trPr>
                <w:trHeight w:val="24"/>
              </w:trPr>
              <w:tc>
                <w:tcPr>
                  <w:tcW w:w="4960"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112"/>
              </w:trPr>
              <w:tc>
                <w:tcPr>
                  <w:tcW w:w="4960"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1-Отлично - High</w:t>
                  </w:r>
                </w:p>
              </w:tc>
            </w:tr>
            <w:tr w:rsidR="00A8783E" w:rsidRPr="00A8783E" w:rsidTr="005B5318">
              <w:trPr>
                <w:trHeight w:val="112"/>
              </w:trPr>
              <w:tc>
                <w:tcPr>
                  <w:tcW w:w="4960"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 Good</w:t>
                  </w:r>
                </w:p>
              </w:tc>
            </w:tr>
            <w:tr w:rsidR="00A8783E" w:rsidRPr="00A8783E" w:rsidTr="005B5318">
              <w:trPr>
                <w:trHeight w:val="112"/>
              </w:trPr>
              <w:tc>
                <w:tcPr>
                  <w:tcW w:w="496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3-Умерено - Moderate</w:t>
                  </w:r>
                </w:p>
              </w:tc>
            </w:tr>
            <w:tr w:rsidR="00A8783E" w:rsidRPr="00A8783E" w:rsidTr="005B5318">
              <w:trPr>
                <w:trHeight w:val="112"/>
              </w:trPr>
              <w:tc>
                <w:tcPr>
                  <w:tcW w:w="496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4-Лошо - Poor</w:t>
                  </w:r>
                </w:p>
              </w:tc>
            </w:tr>
            <w:tr w:rsidR="00A8783E" w:rsidRPr="00A8783E" w:rsidTr="005B5318">
              <w:trPr>
                <w:trHeight w:val="112"/>
              </w:trPr>
              <w:tc>
                <w:tcPr>
                  <w:tcW w:w="4960"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5-Много лошо - Bad</w:t>
                  </w:r>
                </w:p>
              </w:tc>
            </w:tr>
          </w:tbl>
          <w:p w:rsidR="00A8783E" w:rsidRPr="00A8783E" w:rsidRDefault="00A8783E" w:rsidP="00A8783E">
            <w:pPr>
              <w:spacing w:after="0" w:line="240" w:lineRule="auto"/>
              <w:rPr>
                <w:rFonts w:ascii="Times New Roman" w:hAnsi="Times New Roman"/>
                <w:lang w:val="en-US" w:eastAsia="bg-BG"/>
              </w:rPr>
            </w:pPr>
            <w:r w:rsidRPr="00A8783E">
              <w:rPr>
                <w:rFonts w:ascii="Times New Roman" w:hAnsi="Times New Roman"/>
                <w:lang w:eastAsia="bg-BG"/>
              </w:rPr>
              <w:t xml:space="preserve">Екологичното състояние на водите на р. Дунав в пункт „Силистра“ е оценено на </w:t>
            </w:r>
            <w:r w:rsidRPr="00A8783E">
              <w:rPr>
                <w:rFonts w:ascii="Times New Roman" w:hAnsi="Times New Roman"/>
                <w:b/>
                <w:bCs/>
                <w:lang w:eastAsia="bg-BG"/>
              </w:rPr>
              <w:t>умерено (3)</w:t>
            </w:r>
            <w:r w:rsidRPr="00A8783E">
              <w:rPr>
                <w:rFonts w:ascii="Times New Roman" w:hAnsi="Times New Roman"/>
                <w:lang w:eastAsia="bg-BG"/>
              </w:rPr>
              <w:t xml:space="preserve"> според доклада на JDS4 (2019-2020, табл. 1, стр. 62). Според данните от биологичния мониторинг на повърхностните води през 2020 г. ЕС на ез. </w:t>
            </w:r>
            <w:r w:rsidRPr="00A8783E">
              <w:rPr>
                <w:rFonts w:ascii="Times New Roman" w:hAnsi="Times New Roman"/>
                <w:lang w:val="en-US" w:eastAsia="bg-BG"/>
              </w:rPr>
              <w:t xml:space="preserve">Сребърна е определено като </w:t>
            </w:r>
            <w:r w:rsidRPr="00A8783E">
              <w:rPr>
                <w:rFonts w:ascii="Times New Roman" w:hAnsi="Times New Roman"/>
                <w:b/>
                <w:bCs/>
                <w:lang w:val="en-US" w:eastAsia="bg-BG"/>
              </w:rPr>
              <w:t>Отлично</w:t>
            </w:r>
            <w:r w:rsidRPr="00A8783E">
              <w:rPr>
                <w:rFonts w:ascii="Times New Roman" w:hAnsi="Times New Roman"/>
                <w:lang w:val="en-US" w:eastAsia="bg-BG"/>
              </w:rPr>
              <w:t xml:space="preserve"> по БЕК Макрозообентос.</w:t>
            </w:r>
          </w:p>
        </w:tc>
        <w:tc>
          <w:tcPr>
            <w:tcW w:w="2410"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0" w:line="240" w:lineRule="auto"/>
        <w:jc w:val="both"/>
        <w:rPr>
          <w:rFonts w:ascii="Times New Roman" w:hAnsi="Times New Roman"/>
          <w:sz w:val="24"/>
          <w:szCs w:val="24"/>
          <w:lang w:val="ru-RU" w:eastAsia="bg-BG"/>
        </w:rPr>
      </w:pPr>
    </w:p>
    <w:p w:rsidR="00A8783E" w:rsidRPr="00A8783E" w:rsidRDefault="00A8783E" w:rsidP="00A8783E">
      <w:pPr>
        <w:spacing w:after="16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numPr>
          <w:ilvl w:val="0"/>
          <w:numId w:val="28"/>
        </w:numPr>
        <w:spacing w:after="0" w:line="240" w:lineRule="auto"/>
        <w:jc w:val="both"/>
        <w:rPr>
          <w:rFonts w:ascii="Times New Roman" w:hAnsi="Times New Roman"/>
          <w:sz w:val="24"/>
          <w:szCs w:val="24"/>
        </w:rPr>
      </w:pPr>
      <w:r w:rsidRPr="00A8783E">
        <w:rPr>
          <w:rFonts w:ascii="Times New Roman" w:hAnsi="Times New Roman"/>
          <w:sz w:val="24"/>
          <w:szCs w:val="24"/>
        </w:rPr>
        <w:t>По отношение на зимуващата популация предлагаме актуализация на числеността на 10-60 индивида,</w:t>
      </w:r>
      <w:r w:rsidRPr="00A8783E">
        <w:rPr>
          <w:rFonts w:cs="Calibri"/>
        </w:rPr>
        <w:t xml:space="preserve"> </w:t>
      </w:r>
      <w:r w:rsidRPr="00A8783E">
        <w:rPr>
          <w:rFonts w:ascii="Times New Roman" w:hAnsi="Times New Roman"/>
          <w:sz w:val="24"/>
          <w:szCs w:val="24"/>
        </w:rPr>
        <w:t>на базата на данните за периода 2008-2013 г.</w:t>
      </w:r>
    </w:p>
    <w:p w:rsidR="00A8783E" w:rsidRPr="00A8783E" w:rsidRDefault="00A8783E" w:rsidP="00A8783E">
      <w:pPr>
        <w:numPr>
          <w:ilvl w:val="0"/>
          <w:numId w:val="28"/>
        </w:numPr>
        <w:spacing w:after="0" w:line="240" w:lineRule="auto"/>
        <w:jc w:val="both"/>
        <w:rPr>
          <w:rFonts w:ascii="Times New Roman" w:hAnsi="Times New Roman"/>
          <w:sz w:val="24"/>
          <w:szCs w:val="24"/>
        </w:rPr>
      </w:pPr>
      <w:r w:rsidRPr="00A8783E">
        <w:rPr>
          <w:rFonts w:ascii="Times New Roman" w:hAnsi="Times New Roman"/>
          <w:sz w:val="24"/>
          <w:szCs w:val="24"/>
        </w:rPr>
        <w:lastRenderedPageBreak/>
        <w:t>По отношение на оценката на гнездящата популация  и общата оценка – да се коригира от „С“ на „</w:t>
      </w:r>
      <w:r w:rsidRPr="00A8783E">
        <w:rPr>
          <w:rFonts w:ascii="Times New Roman" w:hAnsi="Times New Roman"/>
          <w:sz w:val="24"/>
          <w:szCs w:val="24"/>
          <w:lang w:val="en-US"/>
        </w:rPr>
        <w:t>A</w:t>
      </w:r>
      <w:r w:rsidRPr="00A8783E">
        <w:rPr>
          <w:rFonts w:ascii="Times New Roman" w:hAnsi="Times New Roman"/>
          <w:sz w:val="24"/>
          <w:szCs w:val="24"/>
        </w:rPr>
        <w:t>“ (в зоната се опазват 15-100% от националната популация).</w:t>
      </w:r>
    </w:p>
    <w:p w:rsidR="00A8783E" w:rsidRPr="00A8783E" w:rsidRDefault="00A8783E" w:rsidP="00A8783E">
      <w:pPr>
        <w:spacing w:after="160" w:line="259" w:lineRule="auto"/>
        <w:ind w:left="720"/>
        <w:jc w:val="both"/>
        <w:rPr>
          <w:rFonts w:ascii="Times New Roman" w:hAnsi="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20"/>
        <w:gridCol w:w="328"/>
        <w:gridCol w:w="483"/>
        <w:gridCol w:w="181"/>
        <w:gridCol w:w="181"/>
        <w:gridCol w:w="572"/>
        <w:gridCol w:w="605"/>
        <w:gridCol w:w="594"/>
        <w:gridCol w:w="578"/>
        <w:gridCol w:w="839"/>
        <w:gridCol w:w="475"/>
        <w:gridCol w:w="475"/>
        <w:gridCol w:w="622"/>
        <w:gridCol w:w="522"/>
        <w:gridCol w:w="578"/>
      </w:tblGrid>
      <w:tr w:rsidR="00A8783E" w:rsidRPr="00A8783E" w:rsidTr="005B5318">
        <w:trPr>
          <w:trHeight w:val="342"/>
        </w:trPr>
        <w:tc>
          <w:tcPr>
            <w:tcW w:w="0" w:type="auto"/>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Species</w:t>
            </w:r>
          </w:p>
        </w:tc>
        <w:tc>
          <w:tcPr>
            <w:tcW w:w="0" w:type="auto"/>
            <w:gridSpan w:val="7"/>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Population in the site</w:t>
            </w:r>
          </w:p>
        </w:tc>
        <w:tc>
          <w:tcPr>
            <w:tcW w:w="0" w:type="auto"/>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Site assessment</w:t>
            </w:r>
          </w:p>
        </w:tc>
      </w:tr>
      <w:tr w:rsidR="00A8783E" w:rsidRPr="00A8783E" w:rsidTr="005B5318">
        <w:trPr>
          <w:trHeight w:val="354"/>
        </w:trPr>
        <w:tc>
          <w:tcPr>
            <w:tcW w:w="0" w:type="auto"/>
            <w:vMerge w:val="restart"/>
            <w:shd w:val="clear" w:color="auto" w:fill="D9D9D9"/>
            <w:vAlign w:val="center"/>
          </w:tcPr>
          <w:p w:rsidR="00A8783E" w:rsidRPr="00A8783E" w:rsidRDefault="00A8783E" w:rsidP="00A8783E">
            <w:pPr>
              <w:spacing w:before="120" w:after="12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G</w:t>
            </w:r>
          </w:p>
        </w:tc>
        <w:tc>
          <w:tcPr>
            <w:tcW w:w="0" w:type="auto"/>
            <w:vMerge w:val="restart"/>
            <w:shd w:val="clear" w:color="auto" w:fill="D9D9D9"/>
            <w:vAlign w:val="center"/>
          </w:tcPr>
          <w:p w:rsidR="00A8783E" w:rsidRPr="00A8783E" w:rsidRDefault="00A8783E" w:rsidP="00A8783E">
            <w:pPr>
              <w:spacing w:before="120" w:after="12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Code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Scientific Name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NP</w:t>
            </w:r>
          </w:p>
        </w:tc>
        <w:tc>
          <w:tcPr>
            <w:tcW w:w="0" w:type="auto"/>
            <w:gridSpan w:val="2"/>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T</w:t>
            </w: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Size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Unit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Cat.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D.qual.</w:t>
            </w: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A/B/C/D</w:t>
            </w:r>
          </w:p>
        </w:tc>
        <w:tc>
          <w:tcPr>
            <w:tcW w:w="0" w:type="auto"/>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A/B/C</w:t>
            </w:r>
          </w:p>
        </w:tc>
      </w:tr>
      <w:tr w:rsidR="00A8783E" w:rsidRPr="00A8783E" w:rsidTr="005B5318">
        <w:trPr>
          <w:trHeight w:val="104"/>
        </w:trPr>
        <w:tc>
          <w:tcPr>
            <w:tcW w:w="0" w:type="auto"/>
            <w:vMerge/>
            <w:shd w:val="clear" w:color="auto" w:fill="D9D9D9"/>
            <w:vAlign w:val="center"/>
          </w:tcPr>
          <w:p w:rsidR="00A8783E" w:rsidRPr="00A8783E" w:rsidRDefault="00A8783E" w:rsidP="00A8783E">
            <w:pPr>
              <w:spacing w:before="120" w:after="120" w:line="240" w:lineRule="auto"/>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before="120" w:after="120" w:line="240" w:lineRule="auto"/>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gridSpan w:val="2"/>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Min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Max</w:t>
            </w: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Pop.</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Con.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Iso.</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Glo.</w:t>
            </w:r>
          </w:p>
        </w:tc>
      </w:tr>
      <w:tr w:rsidR="00A8783E" w:rsidRPr="00A8783E" w:rsidTr="005B5318">
        <w:trPr>
          <w:trHeight w:val="536"/>
        </w:trPr>
        <w:tc>
          <w:tcPr>
            <w:tcW w:w="0" w:type="auto"/>
            <w:vAlign w:val="center"/>
          </w:tcPr>
          <w:p w:rsidR="00A8783E" w:rsidRPr="00A8783E" w:rsidRDefault="00A8783E" w:rsidP="00A8783E">
            <w:pPr>
              <w:spacing w:before="120" w:after="120" w:line="240" w:lineRule="auto"/>
              <w:rPr>
                <w:rFonts w:ascii="Times New Roman" w:hAnsi="Times New Roman"/>
                <w:sz w:val="20"/>
                <w:szCs w:val="20"/>
                <w:lang w:eastAsia="en-GB"/>
              </w:rPr>
            </w:pPr>
            <w:r w:rsidRPr="00A8783E">
              <w:rPr>
                <w:rFonts w:ascii="Times New Roman" w:hAnsi="Times New Roman"/>
                <w:sz w:val="20"/>
                <w:szCs w:val="20"/>
                <w:lang w:eastAsia="en-GB"/>
              </w:rPr>
              <w:t>В</w:t>
            </w:r>
          </w:p>
        </w:tc>
        <w:tc>
          <w:tcPr>
            <w:tcW w:w="0" w:type="auto"/>
            <w:vAlign w:val="center"/>
          </w:tcPr>
          <w:p w:rsidR="00A8783E" w:rsidRPr="00A8783E" w:rsidRDefault="00A8783E" w:rsidP="00A8783E">
            <w:pPr>
              <w:spacing w:before="120" w:after="120" w:line="240" w:lineRule="auto"/>
              <w:rPr>
                <w:rFonts w:ascii="Times New Roman" w:hAnsi="Times New Roman"/>
                <w:color w:val="000000"/>
                <w:sz w:val="20"/>
                <w:szCs w:val="20"/>
                <w:lang w:eastAsia="en-GB"/>
              </w:rPr>
            </w:pPr>
            <w:r w:rsidRPr="00A8783E">
              <w:rPr>
                <w:rFonts w:ascii="Times New Roman" w:hAnsi="Times New Roman"/>
                <w:color w:val="000000"/>
                <w:sz w:val="20"/>
                <w:szCs w:val="20"/>
                <w:lang w:val="en-US"/>
              </w:rPr>
              <w:t>A0</w:t>
            </w:r>
            <w:r w:rsidRPr="00A8783E">
              <w:rPr>
                <w:rFonts w:ascii="Times New Roman" w:hAnsi="Times New Roman"/>
                <w:color w:val="000000"/>
                <w:sz w:val="20"/>
                <w:szCs w:val="20"/>
              </w:rPr>
              <w:t>59</w:t>
            </w:r>
          </w:p>
        </w:tc>
        <w:tc>
          <w:tcPr>
            <w:tcW w:w="0" w:type="auto"/>
            <w:vAlign w:val="center"/>
          </w:tcPr>
          <w:p w:rsidR="00A8783E" w:rsidRPr="00A8783E" w:rsidRDefault="00A8783E" w:rsidP="00A8783E">
            <w:pPr>
              <w:spacing w:after="0" w:line="240" w:lineRule="auto"/>
              <w:rPr>
                <w:rFonts w:ascii="Times New Roman" w:hAnsi="Times New Roman"/>
                <w:i/>
                <w:iCs/>
                <w:color w:val="000000"/>
                <w:sz w:val="20"/>
                <w:szCs w:val="20"/>
                <w:lang w:val="en-US" w:eastAsia="en-GB"/>
              </w:rPr>
            </w:pPr>
            <w:r w:rsidRPr="00A8783E">
              <w:rPr>
                <w:rFonts w:ascii="Times New Roman" w:hAnsi="Times New Roman"/>
                <w:i/>
                <w:iCs/>
                <w:color w:val="000000"/>
                <w:sz w:val="20"/>
                <w:szCs w:val="20"/>
                <w:lang w:val="en-US"/>
              </w:rPr>
              <w:t>Aythya ferina</w:t>
            </w:r>
          </w:p>
        </w:tc>
        <w:tc>
          <w:tcPr>
            <w:tcW w:w="0" w:type="auto"/>
            <w:vAlign w:val="center"/>
          </w:tcPr>
          <w:p w:rsidR="00A8783E" w:rsidRPr="00A8783E" w:rsidRDefault="00A8783E" w:rsidP="00A8783E">
            <w:pPr>
              <w:spacing w:after="0" w:line="240" w:lineRule="auto"/>
              <w:rPr>
                <w:rFonts w:ascii="Times New Roman" w:hAnsi="Times New Roman"/>
                <w:color w:val="000000"/>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color w:val="000000"/>
                <w:sz w:val="20"/>
                <w:szCs w:val="20"/>
                <w:lang w:eastAsia="en-GB"/>
              </w:rPr>
            </w:pPr>
          </w:p>
        </w:tc>
        <w:tc>
          <w:tcPr>
            <w:tcW w:w="0" w:type="auto"/>
            <w:gridSpan w:val="2"/>
            <w:vAlign w:val="center"/>
          </w:tcPr>
          <w:p w:rsidR="00A8783E" w:rsidRPr="00A8783E" w:rsidRDefault="00A8783E" w:rsidP="00A8783E">
            <w:pPr>
              <w:spacing w:after="0" w:line="240" w:lineRule="auto"/>
              <w:rPr>
                <w:rFonts w:ascii="Times New Roman" w:hAnsi="Times New Roman"/>
                <w:b/>
                <w:bCs/>
                <w:color w:val="000000"/>
                <w:sz w:val="20"/>
                <w:szCs w:val="20"/>
                <w:lang w:val="en-US" w:eastAsia="en-GB"/>
              </w:rPr>
            </w:pPr>
            <w:r w:rsidRPr="00A8783E">
              <w:rPr>
                <w:rFonts w:ascii="Times New Roman" w:hAnsi="Times New Roman"/>
                <w:color w:val="000000"/>
                <w:sz w:val="20"/>
                <w:szCs w:val="20"/>
                <w:lang w:val="en-US"/>
              </w:rPr>
              <w:t>w</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10</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60</w:t>
            </w:r>
          </w:p>
        </w:tc>
        <w:tc>
          <w:tcPr>
            <w:tcW w:w="0" w:type="auto"/>
            <w:vAlign w:val="center"/>
          </w:tcPr>
          <w:p w:rsidR="00A8783E" w:rsidRPr="00A8783E" w:rsidRDefault="00A8783E" w:rsidP="00A8783E">
            <w:pPr>
              <w:spacing w:after="0" w:line="240" w:lineRule="auto"/>
              <w:rPr>
                <w:rFonts w:ascii="Times New Roman" w:hAnsi="Times New Roman"/>
                <w:color w:val="000000"/>
                <w:sz w:val="20"/>
                <w:szCs w:val="20"/>
                <w:lang w:val="en-US" w:eastAsia="en-GB"/>
              </w:rPr>
            </w:pPr>
            <w:r w:rsidRPr="00A8783E">
              <w:rPr>
                <w:rFonts w:ascii="Times New Roman" w:hAnsi="Times New Roman"/>
                <w:color w:val="000000"/>
                <w:sz w:val="20"/>
                <w:szCs w:val="20"/>
                <w:lang w:val="en-US"/>
              </w:rPr>
              <w:t>i</w:t>
            </w:r>
          </w:p>
        </w:tc>
        <w:tc>
          <w:tcPr>
            <w:tcW w:w="0" w:type="auto"/>
            <w:vAlign w:val="center"/>
          </w:tcPr>
          <w:p w:rsidR="00A8783E" w:rsidRPr="00A8783E" w:rsidRDefault="00A8783E" w:rsidP="00A8783E">
            <w:pPr>
              <w:spacing w:after="0" w:line="240" w:lineRule="auto"/>
              <w:rPr>
                <w:rFonts w:ascii="Times New Roman" w:hAnsi="Times New Roman"/>
                <w:b/>
                <w:bCs/>
                <w:color w:val="000000"/>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color w:val="000000"/>
                <w:sz w:val="20"/>
                <w:szCs w:val="20"/>
                <w:lang w:eastAsia="en-GB"/>
              </w:rPr>
            </w:pPr>
            <w:r w:rsidRPr="00A8783E">
              <w:rPr>
                <w:rFonts w:ascii="Times New Roman" w:hAnsi="Times New Roman"/>
                <w:color w:val="000000"/>
                <w:sz w:val="20"/>
                <w:szCs w:val="20"/>
                <w:lang w:val="en-US"/>
              </w:rPr>
              <w:t>G</w:t>
            </w:r>
          </w:p>
        </w:tc>
        <w:tc>
          <w:tcPr>
            <w:tcW w:w="0" w:type="auto"/>
            <w:gridSpan w:val="2"/>
            <w:vAlign w:val="center"/>
          </w:tcPr>
          <w:p w:rsidR="00A8783E" w:rsidRPr="00A8783E" w:rsidRDefault="00A8783E" w:rsidP="00A8783E">
            <w:pPr>
              <w:spacing w:after="0" w:line="240" w:lineRule="auto"/>
              <w:rPr>
                <w:rFonts w:ascii="Times New Roman" w:hAnsi="Times New Roman"/>
                <w:b/>
                <w:bCs/>
                <w:color w:val="000000"/>
                <w:sz w:val="20"/>
                <w:szCs w:val="20"/>
                <w:lang w:eastAsia="en-GB"/>
              </w:rPr>
            </w:pPr>
            <w:r w:rsidRPr="00A8783E">
              <w:rPr>
                <w:rFonts w:ascii="Times New Roman" w:hAnsi="Times New Roman"/>
                <w:color w:val="000000"/>
                <w:sz w:val="20"/>
                <w:szCs w:val="20"/>
                <w:lang w:val="en-US"/>
              </w:rPr>
              <w:t>C</w:t>
            </w:r>
          </w:p>
        </w:tc>
        <w:tc>
          <w:tcPr>
            <w:tcW w:w="0" w:type="auto"/>
            <w:vAlign w:val="center"/>
          </w:tcPr>
          <w:p w:rsidR="00A8783E" w:rsidRPr="00A8783E" w:rsidRDefault="00A8783E" w:rsidP="00A8783E">
            <w:pPr>
              <w:spacing w:after="0" w:line="240" w:lineRule="auto"/>
              <w:rPr>
                <w:rFonts w:ascii="Times New Roman" w:hAnsi="Times New Roman"/>
                <w:b/>
                <w:bCs/>
                <w:color w:val="000000"/>
                <w:sz w:val="20"/>
                <w:szCs w:val="20"/>
                <w:lang w:eastAsia="en-GB"/>
              </w:rPr>
            </w:pPr>
            <w:r w:rsidRPr="00A8783E">
              <w:rPr>
                <w:rFonts w:ascii="Times New Roman" w:hAnsi="Times New Roman"/>
                <w:color w:val="000000"/>
                <w:sz w:val="20"/>
                <w:szCs w:val="20"/>
                <w:lang w:val="en-US"/>
              </w:rPr>
              <w:t>B</w:t>
            </w:r>
          </w:p>
        </w:tc>
        <w:tc>
          <w:tcPr>
            <w:tcW w:w="0" w:type="auto"/>
            <w:vAlign w:val="center"/>
          </w:tcPr>
          <w:p w:rsidR="00A8783E" w:rsidRPr="00A8783E" w:rsidRDefault="00A8783E" w:rsidP="00A8783E">
            <w:pPr>
              <w:spacing w:after="0" w:line="240" w:lineRule="auto"/>
              <w:rPr>
                <w:rFonts w:ascii="Times New Roman" w:hAnsi="Times New Roman"/>
                <w:b/>
                <w:bCs/>
                <w:color w:val="000000"/>
                <w:sz w:val="20"/>
                <w:szCs w:val="20"/>
                <w:lang w:eastAsia="en-GB"/>
              </w:rPr>
            </w:pPr>
            <w:r w:rsidRPr="00A8783E">
              <w:rPr>
                <w:rFonts w:ascii="Times New Roman" w:hAnsi="Times New Roman"/>
                <w:color w:val="000000"/>
                <w:sz w:val="20"/>
                <w:szCs w:val="20"/>
                <w:lang w:val="en-US"/>
              </w:rPr>
              <w:t>C</w:t>
            </w:r>
          </w:p>
        </w:tc>
        <w:tc>
          <w:tcPr>
            <w:tcW w:w="0" w:type="auto"/>
            <w:vAlign w:val="center"/>
          </w:tcPr>
          <w:p w:rsidR="00A8783E" w:rsidRPr="00A8783E" w:rsidRDefault="00A8783E" w:rsidP="00A8783E">
            <w:pPr>
              <w:spacing w:after="0" w:line="240" w:lineRule="auto"/>
              <w:rPr>
                <w:rFonts w:ascii="Times New Roman" w:hAnsi="Times New Roman"/>
                <w:b/>
                <w:bCs/>
                <w:color w:val="000000"/>
                <w:sz w:val="20"/>
                <w:szCs w:val="20"/>
                <w:lang w:eastAsia="en-GB"/>
              </w:rPr>
            </w:pPr>
            <w:r w:rsidRPr="00A8783E">
              <w:rPr>
                <w:rFonts w:ascii="Times New Roman" w:hAnsi="Times New Roman"/>
                <w:color w:val="000000"/>
                <w:sz w:val="20"/>
                <w:szCs w:val="20"/>
                <w:lang w:val="en-US"/>
              </w:rPr>
              <w:t>C</w:t>
            </w:r>
          </w:p>
        </w:tc>
      </w:tr>
      <w:tr w:rsidR="00A8783E" w:rsidRPr="00A8783E" w:rsidTr="005B5318">
        <w:trPr>
          <w:trHeight w:val="536"/>
        </w:trPr>
        <w:tc>
          <w:tcPr>
            <w:tcW w:w="0" w:type="auto"/>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В</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A059</w:t>
            </w:r>
          </w:p>
        </w:tc>
        <w:tc>
          <w:tcPr>
            <w:tcW w:w="0" w:type="auto"/>
            <w:vAlign w:val="center"/>
          </w:tcPr>
          <w:p w:rsidR="00A8783E" w:rsidRPr="00A8783E" w:rsidRDefault="00A8783E" w:rsidP="00A8783E">
            <w:pPr>
              <w:spacing w:after="0" w:line="240" w:lineRule="auto"/>
              <w:rPr>
                <w:rFonts w:ascii="Times New Roman" w:hAnsi="Times New Roman"/>
                <w:i/>
                <w:iCs/>
                <w:sz w:val="20"/>
                <w:szCs w:val="20"/>
                <w:lang w:eastAsia="bg-BG"/>
              </w:rPr>
            </w:pPr>
            <w:r w:rsidRPr="00A8783E">
              <w:rPr>
                <w:rFonts w:ascii="Times New Roman" w:hAnsi="Times New Roman"/>
                <w:i/>
                <w:iCs/>
                <w:sz w:val="20"/>
                <w:szCs w:val="20"/>
                <w:lang w:eastAsia="bg-BG"/>
              </w:rPr>
              <w:t>Aythya ferina</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bg-BG"/>
              </w:rPr>
            </w:pPr>
          </w:p>
        </w:tc>
        <w:tc>
          <w:tcPr>
            <w:tcW w:w="0" w:type="auto"/>
            <w:vAlign w:val="center"/>
          </w:tcPr>
          <w:p w:rsidR="00A8783E" w:rsidRPr="00A8783E" w:rsidRDefault="00A8783E" w:rsidP="00A8783E">
            <w:pPr>
              <w:spacing w:after="0" w:line="240" w:lineRule="auto"/>
              <w:rPr>
                <w:rFonts w:ascii="Times New Roman" w:hAnsi="Times New Roman"/>
                <w:sz w:val="20"/>
                <w:szCs w:val="20"/>
                <w:lang w:eastAsia="bg-BG"/>
              </w:rPr>
            </w:pPr>
          </w:p>
        </w:tc>
        <w:tc>
          <w:tcPr>
            <w:tcW w:w="0" w:type="auto"/>
            <w:gridSpan w:val="2"/>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r</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25</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40</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p</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bg-BG"/>
              </w:rPr>
            </w:pPr>
          </w:p>
        </w:tc>
        <w:tc>
          <w:tcPr>
            <w:tcW w:w="0" w:type="auto"/>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G</w:t>
            </w:r>
          </w:p>
        </w:tc>
        <w:tc>
          <w:tcPr>
            <w:tcW w:w="0" w:type="auto"/>
            <w:gridSpan w:val="2"/>
            <w:vAlign w:val="center"/>
          </w:tcPr>
          <w:p w:rsidR="00A8783E" w:rsidRPr="00A8783E" w:rsidRDefault="00A8783E" w:rsidP="00A8783E">
            <w:pPr>
              <w:spacing w:after="0" w:line="240" w:lineRule="auto"/>
              <w:rPr>
                <w:rFonts w:ascii="Times New Roman" w:hAnsi="Times New Roman"/>
                <w:b/>
                <w:bCs/>
                <w:color w:val="FF0000"/>
                <w:sz w:val="20"/>
                <w:szCs w:val="20"/>
                <w:lang w:val="en-US" w:eastAsia="bg-BG"/>
              </w:rPr>
            </w:pPr>
            <w:r w:rsidRPr="00A8783E">
              <w:rPr>
                <w:rFonts w:ascii="Times New Roman" w:hAnsi="Times New Roman"/>
                <w:b/>
                <w:bCs/>
                <w:color w:val="FF0000"/>
                <w:sz w:val="20"/>
                <w:szCs w:val="20"/>
                <w:lang w:val="en-US" w:eastAsia="bg-BG"/>
              </w:rPr>
              <w:t>A</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A</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C</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val="en-US" w:eastAsia="bg-BG"/>
              </w:rPr>
            </w:pPr>
            <w:r w:rsidRPr="00A8783E">
              <w:rPr>
                <w:rFonts w:ascii="Times New Roman" w:hAnsi="Times New Roman"/>
                <w:b/>
                <w:bCs/>
                <w:color w:val="FF0000"/>
                <w:sz w:val="20"/>
                <w:szCs w:val="20"/>
                <w:lang w:val="en-US" w:eastAsia="bg-BG"/>
              </w:rPr>
              <w:t>A</w:t>
            </w: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211" w:name="_Toc89106088"/>
      <w:bookmarkStart w:id="212" w:name="_Toc98741927"/>
      <w:bookmarkStart w:id="213" w:name="_Toc98838602"/>
      <w:r w:rsidRPr="00A8783E">
        <w:rPr>
          <w:rFonts w:ascii="Times New Roman" w:hAnsi="Times New Roman"/>
          <w:color w:val="1F497D"/>
          <w:sz w:val="28"/>
          <w:szCs w:val="28"/>
          <w:lang w:eastAsia="bg-BG"/>
        </w:rPr>
        <w:t xml:space="preserve">Специфични цели за А060 </w:t>
      </w:r>
      <w:r w:rsidRPr="00A8783E">
        <w:rPr>
          <w:rFonts w:ascii="Times New Roman" w:hAnsi="Times New Roman"/>
          <w:i/>
          <w:iCs/>
          <w:color w:val="1F497D"/>
          <w:sz w:val="28"/>
          <w:szCs w:val="28"/>
          <w:lang w:val="en-US" w:eastAsia="bg-BG"/>
        </w:rPr>
        <w:t>Aythya</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US" w:eastAsia="bg-BG"/>
        </w:rPr>
        <w:t>nyroca</w:t>
      </w:r>
      <w:r w:rsidRPr="00A8783E">
        <w:rPr>
          <w:rFonts w:ascii="Times New Roman" w:hAnsi="Times New Roman"/>
          <w:color w:val="1F497D"/>
          <w:sz w:val="28"/>
          <w:szCs w:val="28"/>
          <w:lang w:eastAsia="bg-BG"/>
        </w:rPr>
        <w:t xml:space="preserve"> (белоока потапница)</w:t>
      </w:r>
      <w:bookmarkEnd w:id="211"/>
      <w:bookmarkEnd w:id="212"/>
      <w:bookmarkEnd w:id="213"/>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Дължината на тялото 38-42 cm, размах на крилата: 60-67 cm. В брачно оперение мъжките са изцяло с тъмно-кестеняво оперение, по-тъмно по гърба. С бяло подопашие и бяло око. Женските са тъмнокафяви с червеникав оттенък на главата. Бяло подопашие. Окото е тъмно. При младите оперението е като възрастните женски, с тъмно око, но по-убито кафяв цвят на оперението. По-малко бяло подопашно петно (</w:t>
      </w:r>
      <w:r w:rsidRPr="00A8783E">
        <w:rPr>
          <w:rFonts w:ascii="Times New Roman" w:hAnsi="Times New Roman"/>
          <w:sz w:val="24"/>
          <w:szCs w:val="24"/>
          <w:lang w:val="en-US" w:eastAsia="bg-BG"/>
        </w:rPr>
        <w:t>Svensson</w:t>
      </w:r>
      <w:r w:rsidRPr="00A8783E">
        <w:rPr>
          <w:rFonts w:ascii="Times New Roman" w:hAnsi="Times New Roman"/>
          <w:sz w:val="24"/>
          <w:szCs w:val="24"/>
          <w:lang w:eastAsia="bg-BG"/>
        </w:rPr>
        <w:t xml:space="preserve">, 2009; Симеонов и др., 1990).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Гнездящ, мигриращ и рядко зимуващ вид за страната. Сезонни прелети извършва от септември до ноември и от началото на февруари до средата на април. Предпочита сладководни езера и блата с много тръстика, камъш и подводна растителност. По време на прелет се задържа по различни водоеми, предимно по откритите водни пространства. Някои двойки мътят и в малки заблатени участъци, стари корита и устия на реки. Гнезди сред гъсти тръстикови масиви, върху натрупани стари стебла от тръстика, върху плаващи острови, на брега на зодоемите и рядко в хралупи. Гнездото е покрито със сухи растения и пух. Снася между 4 и 14 яйца, но най-често техния брой е 7-9. Снася в края на април и през май, мътенето продължава 25-27 дни (Симеонов и др., 1990; Нанкинов, 2012; Чешмеджиев, Петков, 2014).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 xml:space="preserve">Характерно местообитание </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Обитава предимно по-плитки рибарници, блата и микроязовири с мозаечно разположена растителност или големи тръстикови масиви с малки водни огледала и канали, с полегати брегове и тинести плитчини и хидрофитна растителност. По време на миграции се среща в разнообразни влажни зони. При зимуване обитава езера, язовири и малки морски заливи по Черноморското крайбрежие. 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NewRoman" w:hAnsi="TimesNewRoman" w:cs="TimesNewRoman"/>
          <w:sz w:val="24"/>
          <w:szCs w:val="24"/>
          <w:lang w:eastAsia="bg-BG"/>
        </w:rPr>
        <w:t>Белооката потапница се счита за предимно растителнояден вид</w:t>
      </w:r>
      <w:r w:rsidRPr="00A8783E">
        <w:rPr>
          <w:rFonts w:ascii="Times New Roman" w:hAnsi="Times New Roman"/>
          <w:sz w:val="24"/>
          <w:szCs w:val="24"/>
          <w:lang w:eastAsia="bg-BG"/>
        </w:rPr>
        <w:t xml:space="preserve">. </w:t>
      </w:r>
      <w:r w:rsidRPr="00A8783E">
        <w:rPr>
          <w:rFonts w:ascii="TimesNewRoman" w:hAnsi="TimesNewRoman" w:cs="TimesNewRoman"/>
          <w:sz w:val="24"/>
          <w:szCs w:val="24"/>
          <w:lang w:eastAsia="bg-BG"/>
        </w:rPr>
        <w:t>При анализ на стомашно съдържание са установени различни растения и водорасли. Освен растения в хранителния спектър влизат и много насекоми и други безгръбначни животни</w:t>
      </w:r>
      <w:r w:rsidRPr="00A8783E">
        <w:rPr>
          <w:rFonts w:ascii="Times New Roman" w:hAnsi="Times New Roman"/>
          <w:sz w:val="24"/>
          <w:szCs w:val="24"/>
          <w:lang w:eastAsia="bg-BG"/>
        </w:rPr>
        <w:t xml:space="preserve">, </w:t>
      </w:r>
      <w:r w:rsidRPr="00A8783E">
        <w:rPr>
          <w:rFonts w:ascii="TimesNewRoman" w:hAnsi="TimesNewRoman" w:cs="TimesNewRoman"/>
          <w:sz w:val="24"/>
          <w:szCs w:val="24"/>
          <w:lang w:eastAsia="bg-BG"/>
        </w:rPr>
        <w:t xml:space="preserve">както и </w:t>
      </w:r>
      <w:r w:rsidRPr="00A8783E">
        <w:rPr>
          <w:rFonts w:ascii="TimesNewRoman" w:hAnsi="TimesNewRoman" w:cs="TimesNewRoman"/>
          <w:sz w:val="24"/>
          <w:szCs w:val="24"/>
          <w:lang w:eastAsia="bg-BG"/>
        </w:rPr>
        <w:lastRenderedPageBreak/>
        <w:t xml:space="preserve">дребни гръбначни </w:t>
      </w:r>
      <w:r w:rsidRPr="00A8783E">
        <w:rPr>
          <w:rFonts w:ascii="Times New Roman" w:hAnsi="Times New Roman"/>
          <w:sz w:val="24"/>
          <w:szCs w:val="24"/>
          <w:lang w:eastAsia="bg-BG"/>
        </w:rPr>
        <w:t xml:space="preserve">– </w:t>
      </w:r>
      <w:r w:rsidRPr="00A8783E">
        <w:rPr>
          <w:rFonts w:ascii="TimesNewRoman" w:hAnsi="TimesNewRoman" w:cs="TimesNewRoman"/>
          <w:sz w:val="24"/>
          <w:szCs w:val="24"/>
          <w:lang w:eastAsia="bg-BG"/>
        </w:rPr>
        <w:t xml:space="preserve">безопашати земноводни </w:t>
      </w:r>
      <w:r w:rsidRPr="00A8783E">
        <w:rPr>
          <w:rFonts w:ascii="Times New Roman" w:hAnsi="Times New Roman"/>
          <w:sz w:val="24"/>
          <w:szCs w:val="24"/>
          <w:lang w:eastAsia="bg-BG"/>
        </w:rPr>
        <w:t>(</w:t>
      </w:r>
      <w:r w:rsidRPr="00A8783E">
        <w:rPr>
          <w:rFonts w:ascii="Times New Roman" w:hAnsi="Times New Roman"/>
          <w:i/>
          <w:iCs/>
          <w:sz w:val="24"/>
          <w:szCs w:val="24"/>
          <w:lang w:eastAsia="bg-BG"/>
        </w:rPr>
        <w:t>Anura</w:t>
      </w:r>
      <w:r w:rsidRPr="00A8783E">
        <w:rPr>
          <w:rFonts w:ascii="Times New Roman" w:hAnsi="Times New Roman"/>
          <w:sz w:val="24"/>
          <w:szCs w:val="24"/>
          <w:lang w:eastAsia="bg-BG"/>
        </w:rPr>
        <w:t xml:space="preserve">) </w:t>
      </w:r>
      <w:r w:rsidRPr="00A8783E">
        <w:rPr>
          <w:rFonts w:ascii="TimesNewRoman" w:hAnsi="TimesNewRoman" w:cs="TimesNewRoman"/>
          <w:sz w:val="24"/>
          <w:szCs w:val="24"/>
          <w:lang w:eastAsia="bg-BG"/>
        </w:rPr>
        <w:t xml:space="preserve">и риби </w:t>
      </w:r>
      <w:r w:rsidRPr="00A8783E">
        <w:rPr>
          <w:rFonts w:ascii="Times New Roman" w:hAnsi="Times New Roman"/>
          <w:sz w:val="24"/>
          <w:szCs w:val="24"/>
          <w:lang w:eastAsia="bg-BG"/>
        </w:rPr>
        <w:t>(</w:t>
      </w:r>
      <w:r w:rsidRPr="00A8783E">
        <w:rPr>
          <w:rFonts w:ascii="Times New Roman" w:hAnsi="Times New Roman"/>
          <w:i/>
          <w:iCs/>
          <w:sz w:val="24"/>
          <w:szCs w:val="24"/>
          <w:lang w:eastAsia="bg-BG"/>
        </w:rPr>
        <w:t>Pisces</w:t>
      </w:r>
      <w:r w:rsidRPr="00A8783E">
        <w:rPr>
          <w:rFonts w:ascii="Times New Roman" w:hAnsi="Times New Roman"/>
          <w:sz w:val="24"/>
          <w:szCs w:val="24"/>
          <w:lang w:eastAsia="bg-BG"/>
        </w:rPr>
        <w:t xml:space="preserve">) (Чешмеджиев, Петков, 2014).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autoSpaceDE w:val="0"/>
        <w:autoSpaceDN w:val="0"/>
        <w:adjustRightInd w:val="0"/>
        <w:spacing w:before="120" w:after="120" w:line="240" w:lineRule="auto"/>
        <w:jc w:val="both"/>
        <w:rPr>
          <w:rFonts w:ascii="Times New Roman" w:eastAsia="GroteskHSBg-Light" w:hAnsi="Times New Roman"/>
          <w:sz w:val="24"/>
          <w:szCs w:val="24"/>
          <w:lang w:eastAsia="bg-BG"/>
        </w:rPr>
      </w:pPr>
      <w:r w:rsidRPr="00A8783E">
        <w:rPr>
          <w:rFonts w:ascii="TimesNewRoman" w:hAnsi="TimesNewRoman" w:cs="TimesNewRoman"/>
          <w:sz w:val="24"/>
          <w:szCs w:val="24"/>
          <w:lang w:eastAsia="bg-BG"/>
        </w:rPr>
        <w:t>В миналото белооката потапница е описвана като един от най</w:t>
      </w:r>
      <w:r w:rsidRPr="00A8783E">
        <w:rPr>
          <w:rFonts w:ascii="Times New Roman" w:hAnsi="Times New Roman"/>
          <w:sz w:val="24"/>
          <w:szCs w:val="24"/>
          <w:lang w:eastAsia="bg-BG"/>
        </w:rPr>
        <w:t>-</w:t>
      </w:r>
      <w:r w:rsidRPr="00A8783E">
        <w:rPr>
          <w:rFonts w:ascii="TimesNewRoman" w:hAnsi="TimesNewRoman" w:cs="TimesNewRoman"/>
          <w:sz w:val="24"/>
          <w:szCs w:val="24"/>
          <w:lang w:eastAsia="bg-BG"/>
        </w:rPr>
        <w:t xml:space="preserve">многобройните видове от семейство Патицови </w:t>
      </w:r>
      <w:r w:rsidRPr="00A8783E">
        <w:rPr>
          <w:rFonts w:ascii="Times New Roman" w:hAnsi="Times New Roman"/>
          <w:sz w:val="24"/>
          <w:szCs w:val="24"/>
          <w:lang w:eastAsia="bg-BG"/>
        </w:rPr>
        <w:t>(</w:t>
      </w:r>
      <w:r w:rsidRPr="00A8783E">
        <w:rPr>
          <w:rFonts w:ascii="Times New Roman" w:hAnsi="Times New Roman"/>
          <w:i/>
          <w:iCs/>
          <w:sz w:val="24"/>
          <w:szCs w:val="24"/>
          <w:lang w:eastAsia="bg-BG"/>
        </w:rPr>
        <w:t>Anatidae</w:t>
      </w:r>
      <w:r w:rsidRPr="00A8783E">
        <w:rPr>
          <w:rFonts w:ascii="Times New Roman" w:hAnsi="Times New Roman"/>
          <w:sz w:val="24"/>
          <w:szCs w:val="24"/>
          <w:lang w:eastAsia="bg-BG"/>
        </w:rPr>
        <w:t xml:space="preserve">) </w:t>
      </w:r>
      <w:r w:rsidRPr="00A8783E">
        <w:rPr>
          <w:rFonts w:ascii="TimesNewRoman" w:hAnsi="TimesNewRoman" w:cs="TimesNewRoman"/>
          <w:sz w:val="24"/>
          <w:szCs w:val="24"/>
          <w:lang w:eastAsia="bg-BG"/>
        </w:rPr>
        <w:t xml:space="preserve">и едва през </w:t>
      </w:r>
      <w:r w:rsidRPr="00A8783E">
        <w:rPr>
          <w:rFonts w:ascii="Times New Roman" w:hAnsi="Times New Roman"/>
          <w:sz w:val="24"/>
          <w:szCs w:val="24"/>
          <w:lang w:eastAsia="bg-BG"/>
        </w:rPr>
        <w:t xml:space="preserve">1994 </w:t>
      </w:r>
      <w:r w:rsidRPr="00A8783E">
        <w:rPr>
          <w:rFonts w:ascii="TimesNewRoman" w:hAnsi="TimesNewRoman" w:cs="TimesNewRoman"/>
          <w:sz w:val="24"/>
          <w:szCs w:val="24"/>
          <w:lang w:eastAsia="bg-BG"/>
        </w:rPr>
        <w:t>г</w:t>
      </w:r>
      <w:r w:rsidRPr="00A8783E">
        <w:rPr>
          <w:rFonts w:ascii="Times New Roman" w:hAnsi="Times New Roman"/>
          <w:sz w:val="24"/>
          <w:szCs w:val="24"/>
          <w:lang w:eastAsia="bg-BG"/>
        </w:rPr>
        <w:t xml:space="preserve">. </w:t>
      </w:r>
      <w:r w:rsidRPr="00A8783E">
        <w:rPr>
          <w:rFonts w:ascii="TimesNewRoman" w:hAnsi="TimesNewRoman" w:cs="TimesNewRoman"/>
          <w:sz w:val="24"/>
          <w:szCs w:val="24"/>
          <w:lang w:eastAsia="bg-BG"/>
        </w:rPr>
        <w:t>е включена в списъка на световно застрашените видове</w:t>
      </w:r>
      <w:r w:rsidRPr="00A8783E">
        <w:rPr>
          <w:rFonts w:ascii="Times New Roman" w:hAnsi="Times New Roman"/>
          <w:sz w:val="24"/>
          <w:szCs w:val="24"/>
          <w:lang w:eastAsia="bg-BG"/>
        </w:rPr>
        <w:t xml:space="preserve">. </w:t>
      </w:r>
      <w:r w:rsidRPr="00A8783E">
        <w:rPr>
          <w:rFonts w:ascii="TimesNewRoman" w:hAnsi="TimesNewRoman" w:cs="TimesNewRoman"/>
          <w:sz w:val="24"/>
          <w:szCs w:val="24"/>
          <w:lang w:eastAsia="bg-BG"/>
        </w:rPr>
        <w:t>От първите десетилетия на ХХ в</w:t>
      </w:r>
      <w:r w:rsidRPr="00A8783E">
        <w:rPr>
          <w:rFonts w:ascii="Times New Roman" w:hAnsi="Times New Roman"/>
          <w:sz w:val="24"/>
          <w:szCs w:val="24"/>
          <w:lang w:eastAsia="bg-BG"/>
        </w:rPr>
        <w:t xml:space="preserve">. </w:t>
      </w:r>
      <w:r w:rsidRPr="00A8783E">
        <w:rPr>
          <w:rFonts w:ascii="TimesNewRoman" w:hAnsi="TimesNewRoman" w:cs="TimesNewRoman"/>
          <w:sz w:val="24"/>
          <w:szCs w:val="24"/>
          <w:lang w:eastAsia="bg-BG"/>
        </w:rPr>
        <w:t>местообитанията на вида са подложени на системно унищожение поради пресушаване на влажните зони и превръщането им в обработваеми земи</w:t>
      </w:r>
      <w:r w:rsidRPr="00A8783E">
        <w:rPr>
          <w:rFonts w:ascii="Times New Roman" w:hAnsi="Times New Roman"/>
          <w:sz w:val="24"/>
          <w:szCs w:val="24"/>
          <w:lang w:eastAsia="bg-BG"/>
        </w:rPr>
        <w:t xml:space="preserve">, </w:t>
      </w:r>
      <w:r w:rsidRPr="00A8783E">
        <w:rPr>
          <w:rFonts w:ascii="TimesNewRoman" w:hAnsi="TimesNewRoman" w:cs="TimesNewRoman"/>
          <w:sz w:val="24"/>
          <w:szCs w:val="24"/>
          <w:lang w:eastAsia="bg-BG"/>
        </w:rPr>
        <w:t>а по</w:t>
      </w:r>
      <w:r w:rsidRPr="00A8783E">
        <w:rPr>
          <w:rFonts w:ascii="Times New Roman" w:hAnsi="Times New Roman"/>
          <w:sz w:val="24"/>
          <w:szCs w:val="24"/>
          <w:lang w:eastAsia="bg-BG"/>
        </w:rPr>
        <w:t>-</w:t>
      </w:r>
      <w:r w:rsidRPr="00A8783E">
        <w:rPr>
          <w:rFonts w:ascii="TimesNewRoman" w:hAnsi="TimesNewRoman" w:cs="TimesNewRoman"/>
          <w:sz w:val="24"/>
          <w:szCs w:val="24"/>
          <w:lang w:eastAsia="bg-BG"/>
        </w:rPr>
        <w:t xml:space="preserve">късно </w:t>
      </w:r>
      <w:r w:rsidRPr="00A8783E">
        <w:rPr>
          <w:rFonts w:ascii="Times New Roman" w:hAnsi="Times New Roman"/>
          <w:sz w:val="24"/>
          <w:szCs w:val="24"/>
          <w:lang w:eastAsia="bg-BG"/>
        </w:rPr>
        <w:t xml:space="preserve">– </w:t>
      </w:r>
      <w:r w:rsidRPr="00A8783E">
        <w:rPr>
          <w:rFonts w:ascii="TimesNewRoman" w:hAnsi="TimesNewRoman" w:cs="TimesNewRoman"/>
          <w:sz w:val="24"/>
          <w:szCs w:val="24"/>
          <w:lang w:eastAsia="bg-BG"/>
        </w:rPr>
        <w:t>и поради замърсяване на водите</w:t>
      </w:r>
      <w:r w:rsidRPr="00A8783E">
        <w:rPr>
          <w:rFonts w:ascii="Times New Roman" w:hAnsi="Times New Roman"/>
          <w:sz w:val="24"/>
          <w:szCs w:val="24"/>
          <w:lang w:eastAsia="bg-BG"/>
        </w:rPr>
        <w:t xml:space="preserve">. </w:t>
      </w:r>
      <w:r w:rsidRPr="00A8783E">
        <w:rPr>
          <w:rFonts w:ascii="TimesNewRoman" w:hAnsi="TimesNewRoman" w:cs="TimesNewRoman"/>
          <w:sz w:val="24"/>
          <w:szCs w:val="24"/>
          <w:lang w:eastAsia="bg-BG"/>
        </w:rPr>
        <w:t>Видът е бил ловен обект и ежегодно част от птиците са били отстрелвани</w:t>
      </w:r>
      <w:r w:rsidRPr="00A8783E">
        <w:rPr>
          <w:rFonts w:ascii="Times New Roman" w:hAnsi="Times New Roman"/>
          <w:sz w:val="24"/>
          <w:szCs w:val="24"/>
          <w:lang w:eastAsia="bg-BG"/>
        </w:rPr>
        <w:t xml:space="preserve">. </w:t>
      </w:r>
      <w:r w:rsidRPr="00A8783E">
        <w:rPr>
          <w:rFonts w:ascii="TimesNewRoman" w:hAnsi="TimesNewRoman" w:cs="TimesNewRoman"/>
          <w:sz w:val="24"/>
          <w:szCs w:val="24"/>
          <w:lang w:eastAsia="bg-BG"/>
        </w:rPr>
        <w:t>Това са основните причини за намаляването му както в световен мащаб</w:t>
      </w:r>
      <w:r w:rsidRPr="00A8783E">
        <w:rPr>
          <w:rFonts w:ascii="Times New Roman" w:hAnsi="Times New Roman"/>
          <w:sz w:val="24"/>
          <w:szCs w:val="24"/>
          <w:lang w:eastAsia="bg-BG"/>
        </w:rPr>
        <w:t xml:space="preserve">, </w:t>
      </w:r>
      <w:r w:rsidRPr="00A8783E">
        <w:rPr>
          <w:rFonts w:ascii="TimesNewRoman" w:hAnsi="TimesNewRoman" w:cs="TimesNewRoman"/>
          <w:sz w:val="24"/>
          <w:szCs w:val="24"/>
          <w:lang w:eastAsia="bg-BG"/>
        </w:rPr>
        <w:t xml:space="preserve">така и у нас </w:t>
      </w:r>
      <w:r w:rsidRPr="00A8783E">
        <w:rPr>
          <w:rFonts w:ascii="Times New Roman" w:hAnsi="Times New Roman"/>
          <w:sz w:val="24"/>
          <w:szCs w:val="24"/>
          <w:lang w:eastAsia="bg-BG"/>
        </w:rPr>
        <w:t xml:space="preserve">(Чешмеджиев, Петков, 2014). </w:t>
      </w:r>
      <w:r w:rsidRPr="00A8783E">
        <w:rPr>
          <w:rFonts w:ascii="Times New Roman" w:eastAsia="GroteskHSBg-Light" w:hAnsi="Times New Roman"/>
          <w:sz w:val="24"/>
          <w:szCs w:val="24"/>
          <w:lang w:eastAsia="bg-BG"/>
        </w:rPr>
        <w:t>Към момента разпространението на вида е групово и разпръснато, главно покрай р. Дунав и прилежащите райони на Дунавската равнина, Черноморското крайбрежие, Тракийската низина и Софийското поле. Най-значими гнездовища са ез. Сребърна, рибарници Хаджи Димитрово, Калимок, о. Белене, Дуранкулашкото и Шабленското езеро и Драгоманското блато. Разпространението се влияе силно от водното ниво в гнездовите водоеми, някои от които през отделни години пресъхват. Често при изчезване на дадено находище се появяват нови наблизо.</w:t>
      </w:r>
      <w:r w:rsidRPr="00A8783E">
        <w:rPr>
          <w:rFonts w:ascii="Times New Roman" w:hAnsi="Times New Roman"/>
          <w:sz w:val="24"/>
          <w:szCs w:val="24"/>
          <w:lang w:eastAsia="bg-BG"/>
        </w:rPr>
        <w:t xml:space="preserve"> (Янков отг. ред., 2007). </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Включен в Приложение 1 на Директивата за птиците.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европейската популация на вида е слабо засегнат –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xml:space="preserve">), а в световен мащаб видът е почти застрашен – </w:t>
      </w:r>
      <w:r w:rsidRPr="00A8783E">
        <w:rPr>
          <w:rFonts w:ascii="Times New Roman" w:hAnsi="Times New Roman"/>
          <w:sz w:val="24"/>
          <w:szCs w:val="24"/>
          <w:lang w:val="en-US" w:eastAsia="bg-BG"/>
        </w:rPr>
        <w:t>NT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Near</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threatened</w:t>
      </w:r>
      <w:r w:rsidRPr="00A8783E">
        <w:rPr>
          <w:rFonts w:ascii="Times New Roman" w:hAnsi="Times New Roman"/>
          <w:sz w:val="24"/>
          <w:szCs w:val="24"/>
          <w:lang w:eastAsia="bg-BG"/>
        </w:rPr>
        <w:t>). Включен в Червената книга на България (Големанси ред., 2015) в категорията „Уязвим вид”-</w:t>
      </w:r>
      <w:r w:rsidRPr="00A8783E">
        <w:rPr>
          <w:rFonts w:ascii="Times New Roman" w:hAnsi="Times New Roman"/>
          <w:sz w:val="24"/>
          <w:szCs w:val="24"/>
          <w:lang w:val="en-US" w:eastAsia="bg-BG"/>
        </w:rPr>
        <w:t>VU</w:t>
      </w:r>
      <w:r w:rsidRPr="00A8783E">
        <w:rPr>
          <w:rFonts w:ascii="Times New Roman" w:hAnsi="Times New Roman"/>
          <w:sz w:val="24"/>
          <w:szCs w:val="24"/>
          <w:lang w:eastAsia="bg-BG"/>
        </w:rPr>
        <w:t>. Включен в Приложение 2 и 3 на ЗБР.</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Докладването от 2019 г. (за периода 2013 – 2018 г.) националната гнездяща популация на вида се оценява на 120 – 400 двойки. Краткосрочната тенденция на популацията (за периода 2000 – 2018 г.) е флуктуираща, променлива, а дългосрочната (за периода 1980 – 2018 г.) е намаляваща. За гнездовата популация са посочени следните заплахи: </w:t>
      </w:r>
      <w:r w:rsidRPr="00A8783E">
        <w:rPr>
          <w:rFonts w:ascii="Times New Roman" w:hAnsi="Times New Roman"/>
          <w:sz w:val="24"/>
          <w:szCs w:val="24"/>
          <w:lang w:val="en-US" w:eastAsia="bg-BG"/>
        </w:rPr>
        <w:t>F</w:t>
      </w:r>
      <w:r w:rsidRPr="00A8783E">
        <w:rPr>
          <w:rFonts w:ascii="Times New Roman" w:hAnsi="Times New Roman"/>
          <w:sz w:val="24"/>
          <w:szCs w:val="24"/>
          <w:lang w:eastAsia="bg-BG"/>
        </w:rPr>
        <w:t xml:space="preserve">01, М08, М07, </w:t>
      </w:r>
      <w:r w:rsidRPr="00A8783E">
        <w:rPr>
          <w:rFonts w:ascii="Times New Roman" w:hAnsi="Times New Roman"/>
          <w:sz w:val="24"/>
          <w:szCs w:val="24"/>
          <w:lang w:val="en-US" w:eastAsia="bg-BG"/>
        </w:rPr>
        <w:t>J</w:t>
      </w:r>
      <w:r w:rsidRPr="00A8783E">
        <w:rPr>
          <w:rFonts w:ascii="Times New Roman" w:hAnsi="Times New Roman"/>
          <w:sz w:val="24"/>
          <w:szCs w:val="24"/>
          <w:lang w:eastAsia="bg-BG"/>
        </w:rPr>
        <w:t xml:space="preserve">02, </w:t>
      </w:r>
      <w:r w:rsidRPr="00A8783E">
        <w:rPr>
          <w:rFonts w:ascii="Times New Roman" w:hAnsi="Times New Roman"/>
          <w:sz w:val="24"/>
          <w:szCs w:val="24"/>
          <w:lang w:val="en-US" w:eastAsia="bg-BG"/>
        </w:rPr>
        <w:t>D</w:t>
      </w:r>
      <w:r w:rsidRPr="00A8783E">
        <w:rPr>
          <w:rFonts w:ascii="Times New Roman" w:hAnsi="Times New Roman"/>
          <w:sz w:val="24"/>
          <w:szCs w:val="24"/>
          <w:lang w:eastAsia="bg-BG"/>
        </w:rPr>
        <w:t xml:space="preserve">03, </w:t>
      </w:r>
      <w:r w:rsidRPr="00A8783E">
        <w:rPr>
          <w:rFonts w:ascii="Times New Roman" w:hAnsi="Times New Roman"/>
          <w:sz w:val="24"/>
          <w:szCs w:val="24"/>
          <w:lang w:val="en-US" w:eastAsia="bg-BG"/>
        </w:rPr>
        <w:t>F</w:t>
      </w:r>
      <w:r w:rsidRPr="00A8783E">
        <w:rPr>
          <w:rFonts w:ascii="Times New Roman" w:hAnsi="Times New Roman"/>
          <w:sz w:val="24"/>
          <w:szCs w:val="24"/>
          <w:lang w:eastAsia="bg-BG"/>
        </w:rPr>
        <w:t xml:space="preserve">02, </w:t>
      </w:r>
      <w:r w:rsidRPr="00A8783E">
        <w:rPr>
          <w:rFonts w:ascii="Times New Roman" w:hAnsi="Times New Roman"/>
          <w:sz w:val="24"/>
          <w:szCs w:val="24"/>
          <w:lang w:val="en-US" w:eastAsia="bg-BG"/>
        </w:rPr>
        <w:t>H</w:t>
      </w:r>
      <w:r w:rsidRPr="00A8783E">
        <w:rPr>
          <w:rFonts w:ascii="Times New Roman" w:hAnsi="Times New Roman"/>
          <w:sz w:val="24"/>
          <w:szCs w:val="24"/>
          <w:lang w:eastAsia="bg-BG"/>
        </w:rPr>
        <w:t>01.</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Зимуващата популация е оценена на 2 – 40 индивида. Краткосрочната тенденция на популацията (за периода 2000 – 2018 г.) е флуктуираща, променлива, а дългосрочната (за периода 1980 – 2018 г.) е нарастваща.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Мигриращата национална популация е оценена на 320 – 4 000 индивида.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lang w:eastAsia="bg-BG"/>
        </w:rPr>
        <w:t xml:space="preserve">Съгласно стандартния формуляр за данни СФ на зоната видът е преминаващ, зимуващ и гнездящ. </w:t>
      </w:r>
      <w:r w:rsidRPr="00A8783E">
        <w:rPr>
          <w:rFonts w:ascii="Times New Roman" w:hAnsi="Times New Roman"/>
          <w:b/>
          <w:bCs/>
          <w:sz w:val="24"/>
          <w:szCs w:val="24"/>
        </w:rPr>
        <w:t>Гнездящата популация</w:t>
      </w:r>
      <w:r w:rsidRPr="00A8783E">
        <w:rPr>
          <w:rFonts w:ascii="Times New Roman" w:hAnsi="Times New Roman"/>
          <w:sz w:val="24"/>
          <w:szCs w:val="24"/>
        </w:rPr>
        <w:t xml:space="preserve"> се оценява на </w:t>
      </w:r>
      <w:r w:rsidRPr="00A8783E">
        <w:rPr>
          <w:rFonts w:ascii="Times New Roman" w:hAnsi="Times New Roman"/>
          <w:b/>
          <w:bCs/>
          <w:sz w:val="24"/>
          <w:szCs w:val="24"/>
        </w:rPr>
        <w:t>15-40 двойки</w:t>
      </w:r>
      <w:r w:rsidRPr="00A8783E">
        <w:rPr>
          <w:rFonts w:ascii="Times New Roman" w:hAnsi="Times New Roman"/>
          <w:sz w:val="24"/>
          <w:szCs w:val="24"/>
        </w:rPr>
        <w:t xml:space="preserve">, което представлява </w:t>
      </w:r>
      <w:r w:rsidRPr="00A8783E">
        <w:rPr>
          <w:rFonts w:ascii="Times New Roman" w:hAnsi="Times New Roman"/>
          <w:b/>
          <w:bCs/>
          <w:sz w:val="24"/>
          <w:szCs w:val="24"/>
        </w:rPr>
        <w:t xml:space="preserve">10-12,5 % </w:t>
      </w:r>
      <w:r w:rsidRPr="00A8783E">
        <w:rPr>
          <w:rFonts w:ascii="Times New Roman" w:hAnsi="Times New Roman"/>
          <w:sz w:val="24"/>
          <w:szCs w:val="24"/>
        </w:rPr>
        <w:t>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1-7 индивида</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0,17-0,31 %</w:t>
      </w:r>
      <w:r w:rsidRPr="00A8783E">
        <w:rPr>
          <w:rFonts w:ascii="Times New Roman" w:hAnsi="Times New Roman"/>
          <w:sz w:val="24"/>
          <w:szCs w:val="24"/>
          <w:lang w:eastAsia="bg-BG"/>
        </w:rPr>
        <w:t xml:space="preserve">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СФ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на вида се оценява на </w:t>
      </w:r>
      <w:r w:rsidRPr="00A8783E">
        <w:rPr>
          <w:rFonts w:ascii="Times New Roman" w:hAnsi="Times New Roman"/>
          <w:b/>
          <w:bCs/>
          <w:sz w:val="24"/>
          <w:szCs w:val="24"/>
          <w:lang w:eastAsia="bg-BG"/>
        </w:rPr>
        <w:t>2 индивида</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5-100 %</w:t>
      </w:r>
      <w:r w:rsidRPr="00A8783E">
        <w:rPr>
          <w:rFonts w:ascii="Times New Roman" w:hAnsi="Times New Roman"/>
          <w:color w:val="000000"/>
          <w:sz w:val="24"/>
          <w:szCs w:val="24"/>
          <w:lang w:eastAsia="bg-BG"/>
        </w:rPr>
        <w:t xml:space="preserve"> </w:t>
      </w:r>
      <w:r w:rsidRPr="00A8783E">
        <w:rPr>
          <w:rFonts w:ascii="Times New Roman" w:hAnsi="Times New Roman"/>
          <w:sz w:val="24"/>
          <w:szCs w:val="24"/>
          <w:lang w:eastAsia="bg-BG"/>
        </w:rPr>
        <w:t xml:space="preserve">от националната зимуваща популация (оценка „А“). Опазването на вида е отлично </w:t>
      </w:r>
      <w:r w:rsidRPr="00A8783E">
        <w:rPr>
          <w:rFonts w:ascii="Times New Roman" w:hAnsi="Times New Roman"/>
          <w:sz w:val="24"/>
          <w:szCs w:val="24"/>
          <w:lang w:eastAsia="bg-BG"/>
        </w:rPr>
        <w:lastRenderedPageBreak/>
        <w:t xml:space="preserve">(оценка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 </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4. Анализ на наличната информация</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Гнездова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Белооката потапница е сравнително обикновен и редовно гнездящ вид за поддържан резерват „Сребърна“. Видът е бил многоброен през 19 век и първата половина на 20 век, но след това числеността му в резервата значително намалява. Сребърна възвръща своето значение за вида след възстановяване на водния му режим през 1994 г. Резервата представлява едно от основните гнездовище на вида в страната като броят на двойките постепенно нараства от 1996 г. насам: 15-25 дв. (1996-1997 г.), 35-65 дв. (2002 г.), 35-40 дв. (2010 г.), 38-45 дв. (2011) (Чешмеджиев и Петков, съст., 2014) и 45-55 дв. (2014 г.). По време на проведения мониторинг през гнездовия период на 2021 г. бяха наблюдавани около 30-35 двойки.</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Зимуваща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w:t>
      </w:r>
      <w:r w:rsidRPr="00A8783E">
        <w:rPr>
          <w:rFonts w:ascii="Times New Roman" w:hAnsi="Times New Roman"/>
          <w:sz w:val="24"/>
          <w:szCs w:val="24"/>
          <w:lang w:val="en-US" w:eastAsia="bg-BG"/>
        </w:rPr>
        <w:t>Michev</w:t>
      </w:r>
      <w:r w:rsidRPr="00A8783E">
        <w:rPr>
          <w:rFonts w:ascii="Times New Roman" w:hAnsi="Times New Roman"/>
          <w:sz w:val="24"/>
          <w:szCs w:val="24"/>
          <w:lang w:eastAsia="bg-BG"/>
        </w:rPr>
        <w:t xml:space="preserve"> &amp; </w:t>
      </w:r>
      <w:r w:rsidRPr="00A8783E">
        <w:rPr>
          <w:rFonts w:ascii="Times New Roman" w:hAnsi="Times New Roman"/>
          <w:sz w:val="24"/>
          <w:szCs w:val="24"/>
          <w:lang w:val="en-US" w:eastAsia="bg-BG"/>
        </w:rPr>
        <w:t>Profirov</w:t>
      </w:r>
      <w:r w:rsidRPr="00A8783E">
        <w:rPr>
          <w:rFonts w:ascii="Times New Roman" w:hAnsi="Times New Roman"/>
          <w:sz w:val="24"/>
          <w:szCs w:val="24"/>
          <w:lang w:eastAsia="bg-BG"/>
        </w:rPr>
        <w:t xml:space="preserve"> (2003) за периода 1977-2001 г. средно-зимната численост в езерото Сребърна е 1 индивид. Според Актуализирания план за управление на ПР „Сребърна“ (2015) през 2012 г. числеността на зимуващите белооки потапници е била 29 индивида. По време на среднозимни преброявания по поречието на р. Дунав през 2019 г. и 2020 г. видът не е бил наблюдаван.</w:t>
      </w:r>
    </w:p>
    <w:p w:rsidR="00A8783E" w:rsidRPr="00A8783E" w:rsidRDefault="00A8783E" w:rsidP="00A8783E">
      <w:pPr>
        <w:spacing w:before="120" w:after="120" w:line="240" w:lineRule="auto"/>
        <w:jc w:val="both"/>
        <w:rPr>
          <w:rFonts w:ascii="Times New Roman" w:hAnsi="Times New Roman"/>
          <w:i/>
          <w:iCs/>
          <w:sz w:val="24"/>
          <w:szCs w:val="24"/>
          <w:lang w:eastAsia="bg-BG"/>
        </w:rPr>
      </w:pPr>
      <w:r w:rsidRPr="00A8783E">
        <w:rPr>
          <w:rFonts w:ascii="Times New Roman" w:hAnsi="Times New Roman"/>
          <w:i/>
          <w:iCs/>
          <w:sz w:val="24"/>
          <w:szCs w:val="24"/>
          <w:lang w:eastAsia="bg-BG"/>
        </w:rPr>
        <w:t>Мигрираща популация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На 02.09.2021 г. са регистрирани 10 индивида на територията на защитената зона (ebird.org, S. Gigov).</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За гнездящата популация са посочени следните заплахи и влияния (Докладване по чл. 12, 2019 г.): F01, J02, </w:t>
      </w:r>
      <w:r w:rsidRPr="00A8783E">
        <w:rPr>
          <w:rFonts w:ascii="Times New Roman" w:hAnsi="Times New Roman"/>
          <w:sz w:val="24"/>
          <w:szCs w:val="24"/>
          <w:lang w:val="en-US" w:eastAsia="bg-BG"/>
        </w:rPr>
        <w:t>M</w:t>
      </w:r>
      <w:r w:rsidRPr="00A8783E">
        <w:rPr>
          <w:rFonts w:ascii="Times New Roman" w:hAnsi="Times New Roman"/>
          <w:sz w:val="24"/>
          <w:szCs w:val="24"/>
          <w:lang w:eastAsia="bg-BG"/>
        </w:rPr>
        <w:t xml:space="preserve">07, </w:t>
      </w:r>
      <w:r w:rsidRPr="00A8783E">
        <w:rPr>
          <w:rFonts w:ascii="Times New Roman" w:hAnsi="Times New Roman"/>
          <w:sz w:val="24"/>
          <w:szCs w:val="24"/>
          <w:lang w:val="en-US" w:eastAsia="bg-BG"/>
        </w:rPr>
        <w:t>M</w:t>
      </w:r>
      <w:r w:rsidRPr="00A8783E">
        <w:rPr>
          <w:rFonts w:ascii="Times New Roman" w:hAnsi="Times New Roman"/>
          <w:sz w:val="24"/>
          <w:szCs w:val="24"/>
          <w:lang w:eastAsia="bg-BG"/>
        </w:rPr>
        <w:t xml:space="preserve">08, </w:t>
      </w:r>
      <w:r w:rsidRPr="00A8783E">
        <w:rPr>
          <w:rFonts w:ascii="Times New Roman" w:hAnsi="Times New Roman"/>
          <w:sz w:val="24"/>
          <w:szCs w:val="24"/>
          <w:lang w:val="en-US" w:eastAsia="bg-BG"/>
        </w:rPr>
        <w:t>D</w:t>
      </w:r>
      <w:r w:rsidRPr="00A8783E">
        <w:rPr>
          <w:rFonts w:ascii="Times New Roman" w:hAnsi="Times New Roman"/>
          <w:sz w:val="24"/>
          <w:szCs w:val="24"/>
          <w:lang w:eastAsia="bg-BG"/>
        </w:rPr>
        <w:t xml:space="preserve">03, </w:t>
      </w:r>
      <w:r w:rsidRPr="00A8783E">
        <w:rPr>
          <w:rFonts w:ascii="Times New Roman" w:hAnsi="Times New Roman"/>
          <w:sz w:val="24"/>
          <w:szCs w:val="24"/>
          <w:lang w:val="en-US" w:eastAsia="bg-BG"/>
        </w:rPr>
        <w:t>F</w:t>
      </w:r>
      <w:r w:rsidRPr="00A8783E">
        <w:rPr>
          <w:rFonts w:ascii="Times New Roman" w:hAnsi="Times New Roman"/>
          <w:sz w:val="24"/>
          <w:szCs w:val="24"/>
          <w:lang w:eastAsia="bg-BG"/>
        </w:rPr>
        <w:t xml:space="preserve">02, </w:t>
      </w:r>
      <w:r w:rsidRPr="00A8783E">
        <w:rPr>
          <w:rFonts w:ascii="Times New Roman" w:hAnsi="Times New Roman"/>
          <w:sz w:val="24"/>
          <w:szCs w:val="24"/>
          <w:lang w:val="en-US" w:eastAsia="bg-BG"/>
        </w:rPr>
        <w:t>H</w:t>
      </w:r>
      <w:r w:rsidRPr="00A8783E">
        <w:rPr>
          <w:rFonts w:ascii="Times New Roman" w:hAnsi="Times New Roman"/>
          <w:sz w:val="24"/>
          <w:szCs w:val="24"/>
          <w:lang w:eastAsia="bg-BG"/>
        </w:rPr>
        <w:t>01. От тях потенциално валидни за СЗЗ „Сребърна” могат да бъда естествените процеси като бури (</w:t>
      </w:r>
      <w:r w:rsidRPr="00A8783E">
        <w:rPr>
          <w:rFonts w:ascii="Times New Roman" w:hAnsi="Times New Roman"/>
          <w:sz w:val="24"/>
          <w:szCs w:val="24"/>
          <w:lang w:val="en-US" w:eastAsia="bg-BG"/>
        </w:rPr>
        <w:t>M</w:t>
      </w:r>
      <w:r w:rsidRPr="00A8783E">
        <w:rPr>
          <w:rFonts w:ascii="Times New Roman" w:hAnsi="Times New Roman"/>
          <w:sz w:val="24"/>
          <w:szCs w:val="24"/>
          <w:lang w:eastAsia="bg-BG"/>
        </w:rPr>
        <w:t>07) и наводняване (</w:t>
      </w:r>
      <w:r w:rsidRPr="00A8783E">
        <w:rPr>
          <w:rFonts w:ascii="Times New Roman" w:hAnsi="Times New Roman"/>
          <w:sz w:val="24"/>
          <w:szCs w:val="24"/>
          <w:lang w:val="en-US" w:eastAsia="bg-BG"/>
        </w:rPr>
        <w:t>M</w:t>
      </w:r>
      <w:r w:rsidRPr="00A8783E">
        <w:rPr>
          <w:rFonts w:ascii="Times New Roman" w:hAnsi="Times New Roman"/>
          <w:sz w:val="24"/>
          <w:szCs w:val="24"/>
          <w:lang w:eastAsia="bg-BG"/>
        </w:rPr>
        <w:t xml:space="preserve">08). За мигриращата и зимуващата популация са посочени следните заплахи: </w:t>
      </w:r>
      <w:r w:rsidRPr="00A8783E">
        <w:rPr>
          <w:rFonts w:ascii="Times New Roman" w:hAnsi="Times New Roman"/>
          <w:sz w:val="24"/>
          <w:szCs w:val="24"/>
          <w:lang w:val="en-US" w:eastAsia="bg-BG"/>
        </w:rPr>
        <w:t>F</w:t>
      </w:r>
      <w:r w:rsidRPr="00A8783E">
        <w:rPr>
          <w:rFonts w:ascii="Times New Roman" w:hAnsi="Times New Roman"/>
          <w:sz w:val="24"/>
          <w:szCs w:val="24"/>
          <w:lang w:eastAsia="bg-BG"/>
        </w:rPr>
        <w:t xml:space="preserve">01, </w:t>
      </w:r>
      <w:r w:rsidRPr="00A8783E">
        <w:rPr>
          <w:rFonts w:ascii="Times New Roman" w:hAnsi="Times New Roman"/>
          <w:sz w:val="24"/>
          <w:szCs w:val="24"/>
          <w:lang w:val="en-US" w:eastAsia="bg-BG"/>
        </w:rPr>
        <w:t>F</w:t>
      </w:r>
      <w:r w:rsidRPr="00A8783E">
        <w:rPr>
          <w:rFonts w:ascii="Times New Roman" w:hAnsi="Times New Roman"/>
          <w:sz w:val="24"/>
          <w:szCs w:val="24"/>
          <w:lang w:eastAsia="bg-BG"/>
        </w:rPr>
        <w:t xml:space="preserve">02, </w:t>
      </w:r>
      <w:r w:rsidRPr="00A8783E">
        <w:rPr>
          <w:rFonts w:ascii="Times New Roman" w:hAnsi="Times New Roman"/>
          <w:sz w:val="24"/>
          <w:szCs w:val="24"/>
          <w:lang w:val="en-US" w:eastAsia="bg-BG"/>
        </w:rPr>
        <w:t>F</w:t>
      </w:r>
      <w:r w:rsidRPr="00A8783E">
        <w:rPr>
          <w:rFonts w:ascii="Times New Roman" w:hAnsi="Times New Roman"/>
          <w:sz w:val="24"/>
          <w:szCs w:val="24"/>
          <w:lang w:eastAsia="bg-BG"/>
        </w:rPr>
        <w:t xml:space="preserve">05, </w:t>
      </w:r>
      <w:r w:rsidRPr="00A8783E">
        <w:rPr>
          <w:rFonts w:ascii="Times New Roman" w:hAnsi="Times New Roman"/>
          <w:sz w:val="24"/>
          <w:szCs w:val="24"/>
          <w:lang w:val="en-US" w:eastAsia="bg-BG"/>
        </w:rPr>
        <w:t>J</w:t>
      </w:r>
      <w:r w:rsidRPr="00A8783E">
        <w:rPr>
          <w:rFonts w:ascii="Times New Roman" w:hAnsi="Times New Roman"/>
          <w:sz w:val="24"/>
          <w:szCs w:val="24"/>
          <w:lang w:eastAsia="bg-BG"/>
        </w:rPr>
        <w:t xml:space="preserve">02, </w:t>
      </w:r>
      <w:r w:rsidRPr="00A8783E">
        <w:rPr>
          <w:rFonts w:ascii="Times New Roman" w:hAnsi="Times New Roman"/>
          <w:sz w:val="24"/>
          <w:szCs w:val="24"/>
          <w:lang w:val="en-US" w:eastAsia="bg-BG"/>
        </w:rPr>
        <w:t>G</w:t>
      </w:r>
      <w:r w:rsidRPr="00A8783E">
        <w:rPr>
          <w:rFonts w:ascii="Times New Roman" w:hAnsi="Times New Roman"/>
          <w:sz w:val="24"/>
          <w:szCs w:val="24"/>
          <w:lang w:eastAsia="bg-BG"/>
        </w:rPr>
        <w:t>05. От тях няма валидни за зоната. Заплахи за вида в зоната могат да бъдат риболов с мрежени уреди (G12- Прилов и инцидентно убиване (при риболовни дейности),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6"/>
        <w:gridCol w:w="1280"/>
        <w:gridCol w:w="1224"/>
        <w:gridCol w:w="2738"/>
        <w:gridCol w:w="2412"/>
      </w:tblGrid>
      <w:tr w:rsidR="00A8783E" w:rsidRPr="00A8783E" w:rsidTr="005B5318">
        <w:trPr>
          <w:trHeight w:val="196"/>
          <w:tblHeader/>
          <w:jc w:val="center"/>
        </w:trPr>
        <w:tc>
          <w:tcPr>
            <w:tcW w:w="170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280"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22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738"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412"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trHeight w:val="196"/>
          <w:jc w:val="center"/>
        </w:trPr>
        <w:tc>
          <w:tcPr>
            <w:tcW w:w="170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гнездовата популацията</w:t>
            </w:r>
          </w:p>
        </w:tc>
        <w:tc>
          <w:tcPr>
            <w:tcW w:w="128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гнездящи двойки</w:t>
            </w:r>
          </w:p>
        </w:tc>
        <w:tc>
          <w:tcPr>
            <w:tcW w:w="122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Най-малко 15 дв. </w:t>
            </w:r>
          </w:p>
        </w:tc>
        <w:tc>
          <w:tcPr>
            <w:tcW w:w="273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настоящия СФ (актуализиран през 2015 г.) са посочени 15-40 гнездящи двойки. В резултат на извършения мониторинг в защитената зона през гнездовия период на 2021 г. бяха установени около 30-35 двойки. Не е необходима актуализация на СФ.</w:t>
            </w:r>
          </w:p>
        </w:tc>
        <w:tc>
          <w:tcPr>
            <w:tcW w:w="241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популацията на вида в зоната в размер от най-малко 15 гнездящи двойки чрез поддържане на местообитанията на вида.</w:t>
            </w:r>
          </w:p>
        </w:tc>
      </w:tr>
      <w:tr w:rsidR="00A8783E" w:rsidRPr="00A8783E" w:rsidTr="005B5318">
        <w:trPr>
          <w:trHeight w:val="196"/>
          <w:jc w:val="center"/>
        </w:trPr>
        <w:tc>
          <w:tcPr>
            <w:tcW w:w="170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lastRenderedPageBreak/>
              <w:t xml:space="preserve">Популация: </w:t>
            </w:r>
            <w:r w:rsidRPr="00A8783E">
              <w:rPr>
                <w:rFonts w:ascii="Times New Roman" w:hAnsi="Times New Roman"/>
                <w:lang w:eastAsia="bg-BG"/>
              </w:rPr>
              <w:t>Размер на мигриращата популация</w:t>
            </w:r>
          </w:p>
        </w:tc>
        <w:tc>
          <w:tcPr>
            <w:tcW w:w="128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22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1 инд.</w:t>
            </w:r>
          </w:p>
        </w:tc>
        <w:tc>
          <w:tcPr>
            <w:tcW w:w="273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В СФ за концентрацията на вида по време на миграция в зоната е посочена минимална и максимална стойност от 1 до 7 инд. Липсват публикувани данни за концентрацията на вида в зоната по време на миграция. Необходимо е да се постави междинна цел.</w:t>
            </w:r>
          </w:p>
        </w:tc>
        <w:tc>
          <w:tcPr>
            <w:tcW w:w="241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Междинна цел: Да се извърши целенасочен мониторинг за установяване на размера на мигриращата популация до 2025 г. </w:t>
            </w:r>
          </w:p>
        </w:tc>
      </w:tr>
      <w:tr w:rsidR="00A8783E" w:rsidRPr="00A8783E" w:rsidTr="005B5318">
        <w:trPr>
          <w:trHeight w:val="196"/>
          <w:jc w:val="center"/>
        </w:trPr>
        <w:tc>
          <w:tcPr>
            <w:tcW w:w="170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зимуващата популация</w:t>
            </w:r>
          </w:p>
        </w:tc>
        <w:tc>
          <w:tcPr>
            <w:tcW w:w="128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22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2 инд.</w:t>
            </w:r>
          </w:p>
        </w:tc>
        <w:tc>
          <w:tcPr>
            <w:tcW w:w="2738"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Според СФ като минимална и максимална численост на зимуващата популация са посочени 2 индивида.</w:t>
            </w:r>
          </w:p>
        </w:tc>
        <w:tc>
          <w:tcPr>
            <w:tcW w:w="241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Редовен мониторинг на зимуващите индивиди от вида в зоната в периода декември-февруари.</w:t>
            </w:r>
          </w:p>
        </w:tc>
      </w:tr>
      <w:tr w:rsidR="00A8783E" w:rsidRPr="00A8783E" w:rsidTr="005B5318">
        <w:trPr>
          <w:trHeight w:val="196"/>
          <w:jc w:val="center"/>
        </w:trPr>
        <w:tc>
          <w:tcPr>
            <w:tcW w:w="170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280" w:type="dxa"/>
          </w:tcPr>
          <w:p w:rsidR="00A8783E" w:rsidRPr="00A8783E" w:rsidRDefault="00A8783E" w:rsidP="00A8783E">
            <w:pPr>
              <w:spacing w:after="0" w:line="240" w:lineRule="auto"/>
              <w:jc w:val="both"/>
              <w:rPr>
                <w:rFonts w:ascii="Times New Roman" w:hAnsi="Times New Roman"/>
                <w:lang w:val="en-US" w:eastAsia="bg-BG"/>
              </w:rPr>
            </w:pPr>
            <w:r w:rsidRPr="00A8783E">
              <w:rPr>
                <w:rFonts w:ascii="Times New Roman" w:hAnsi="Times New Roman"/>
                <w:lang w:val="en-US" w:eastAsia="bg-BG"/>
              </w:rPr>
              <w:t>ha</w:t>
            </w:r>
          </w:p>
        </w:tc>
        <w:tc>
          <w:tcPr>
            <w:tcW w:w="122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565</w:t>
            </w:r>
          </w:p>
        </w:tc>
        <w:tc>
          <w:tcPr>
            <w:tcW w:w="2738" w:type="dxa"/>
          </w:tcPr>
          <w:p w:rsidR="00A8783E" w:rsidRPr="00A8783E" w:rsidRDefault="00A8783E" w:rsidP="00A8783E">
            <w:pPr>
              <w:autoSpaceDE w:val="0"/>
              <w:autoSpaceDN w:val="0"/>
              <w:adjustRightInd w:val="0"/>
              <w:spacing w:after="0" w:line="240" w:lineRule="auto"/>
              <w:rPr>
                <w:rFonts w:ascii="Times New Roman" w:hAnsi="Times New Roman"/>
                <w:color w:val="000000"/>
                <w:lang w:eastAsia="bg-BG"/>
              </w:rPr>
            </w:pPr>
            <w:r w:rsidRPr="00A8783E">
              <w:rPr>
                <w:rFonts w:ascii="Times New Roman" w:hAnsi="Times New Roman"/>
                <w:color w:val="000000"/>
                <w:lang w:eastAsia="bg-BG"/>
              </w:rPr>
              <w:t>Площта е изчислена на база данните от СФ като % на местообитание N07 - мочурища и блата.</w:t>
            </w:r>
          </w:p>
        </w:tc>
        <w:tc>
          <w:tcPr>
            <w:tcW w:w="241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площта на гнездовите местообитания  на вида в зоната в размер на най-малко 565 ha чрез поддържане на оптимално ниво на водата в езерото.</w:t>
            </w:r>
          </w:p>
        </w:tc>
      </w:tr>
      <w:tr w:rsidR="00A8783E" w:rsidRPr="00A8783E" w:rsidTr="005B5318">
        <w:trPr>
          <w:trHeight w:val="196"/>
          <w:jc w:val="center"/>
        </w:trPr>
        <w:tc>
          <w:tcPr>
            <w:tcW w:w="170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хранителни местообитания на вида</w:t>
            </w:r>
            <w:r w:rsidRPr="00A8783E">
              <w:rPr>
                <w:rFonts w:ascii="Times New Roman" w:hAnsi="Times New Roman"/>
                <w:b/>
                <w:bCs/>
                <w:lang w:eastAsia="bg-BG"/>
              </w:rPr>
              <w:t xml:space="preserve"> </w:t>
            </w:r>
          </w:p>
        </w:tc>
        <w:tc>
          <w:tcPr>
            <w:tcW w:w="128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2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най-малко 840</w:t>
            </w:r>
          </w:p>
        </w:tc>
        <w:tc>
          <w:tcPr>
            <w:tcW w:w="2738"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Включва и гнездовото местообитание. Площта е изчислена на база данните от СФ като % на местообитание N07-мочурища и блата; N06- вътрешни водни тела.</w:t>
            </w:r>
          </w:p>
        </w:tc>
        <w:tc>
          <w:tcPr>
            <w:tcW w:w="2412"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Поддържане на площта на подходящите хранителни местообитания на вида в размер най-малко 840 ha чрез поддържане на оптимално ниво на водата в езерото.</w:t>
            </w:r>
          </w:p>
        </w:tc>
      </w:tr>
      <w:tr w:rsidR="00A8783E" w:rsidRPr="00A8783E" w:rsidTr="005B5318">
        <w:trPr>
          <w:trHeight w:val="196"/>
          <w:jc w:val="center"/>
        </w:trPr>
        <w:tc>
          <w:tcPr>
            <w:tcW w:w="170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 по биологичен елемент водни безгръбначни (JDS4-Aquatic Macroinvertebrates).</w:t>
            </w:r>
          </w:p>
        </w:tc>
        <w:tc>
          <w:tcPr>
            <w:tcW w:w="1280"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w:t>
            </w:r>
          </w:p>
        </w:tc>
        <w:tc>
          <w:tcPr>
            <w:tcW w:w="122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1-Отлично/2-Добро</w:t>
            </w:r>
          </w:p>
        </w:tc>
        <w:tc>
          <w:tcPr>
            <w:tcW w:w="2738" w:type="dxa"/>
          </w:tcPr>
          <w:tbl>
            <w:tblPr>
              <w:tblW w:w="4164" w:type="dxa"/>
              <w:tblInd w:w="3" w:type="dxa"/>
              <w:tblLayout w:type="fixed"/>
              <w:tblCellMar>
                <w:left w:w="70" w:type="dxa"/>
                <w:right w:w="70" w:type="dxa"/>
              </w:tblCellMar>
              <w:tblLook w:val="00A0" w:firstRow="1" w:lastRow="0" w:firstColumn="1" w:lastColumn="0" w:noHBand="0" w:noVBand="0"/>
            </w:tblPr>
            <w:tblGrid>
              <w:gridCol w:w="4164"/>
            </w:tblGrid>
            <w:tr w:rsidR="00A8783E" w:rsidRPr="00A8783E" w:rsidTr="005B5318">
              <w:trPr>
                <w:trHeight w:val="25"/>
              </w:trPr>
              <w:tc>
                <w:tcPr>
                  <w:tcW w:w="4164"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1-Отлично - High</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 - Good</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3-Умерено - Moderate</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4-Лошо - Poor</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5-Много лошо - Bad</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на р. Дунав в пункт „Силистра“ е оценено на </w:t>
            </w:r>
            <w:r w:rsidRPr="00A8783E">
              <w:rPr>
                <w:rFonts w:ascii="Times New Roman" w:hAnsi="Times New Roman"/>
                <w:b/>
                <w:bCs/>
                <w:lang w:eastAsia="bg-BG"/>
              </w:rPr>
              <w:t>умерено (3)</w:t>
            </w:r>
            <w:r w:rsidRPr="00A8783E">
              <w:rPr>
                <w:rFonts w:ascii="Times New Roman" w:hAnsi="Times New Roman"/>
                <w:lang w:eastAsia="bg-BG"/>
              </w:rPr>
              <w:t xml:space="preserve"> според доклада на JDS4 (2019-2020, табл. 1, стр. 62, табл. 5, стр. 51). Според данните от биологичния мониторинг на повърхностните води през 2020 г. ЕС на ез. </w:t>
            </w:r>
            <w:r w:rsidRPr="00A8783E">
              <w:rPr>
                <w:rFonts w:ascii="Times New Roman" w:hAnsi="Times New Roman"/>
                <w:lang w:eastAsia="bg-BG"/>
              </w:rPr>
              <w:lastRenderedPageBreak/>
              <w:t xml:space="preserve">Сребърна е определено като </w:t>
            </w:r>
            <w:r w:rsidRPr="00A8783E">
              <w:rPr>
                <w:rFonts w:ascii="Times New Roman" w:hAnsi="Times New Roman"/>
                <w:b/>
                <w:bCs/>
                <w:lang w:eastAsia="bg-BG"/>
              </w:rPr>
              <w:t>Отлично</w:t>
            </w:r>
            <w:r w:rsidRPr="00A8783E">
              <w:rPr>
                <w:rFonts w:ascii="Times New Roman" w:hAnsi="Times New Roman"/>
                <w:lang w:eastAsia="bg-BG"/>
              </w:rPr>
              <w:t xml:space="preserve"> по БЕК Макрозообентос.</w:t>
            </w:r>
          </w:p>
        </w:tc>
        <w:tc>
          <w:tcPr>
            <w:tcW w:w="2412"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lastRenderedPageBreak/>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before="120" w:after="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lastRenderedPageBreak/>
        <w:t>6. Необходимост от промени в СФ за СЗЗ  BG0000241 „Сребърна“</w:t>
      </w:r>
    </w:p>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numPr>
          <w:ilvl w:val="0"/>
          <w:numId w:val="32"/>
        </w:numPr>
        <w:spacing w:after="0" w:line="240" w:lineRule="auto"/>
        <w:ind w:left="426"/>
        <w:jc w:val="both"/>
        <w:rPr>
          <w:rFonts w:ascii="Times New Roman" w:eastAsia="Calibri" w:hAnsi="Times New Roman"/>
          <w:sz w:val="24"/>
          <w:szCs w:val="24"/>
          <w:lang w:eastAsia="bg-BG"/>
        </w:rPr>
      </w:pPr>
      <w:r w:rsidRPr="00A8783E">
        <w:rPr>
          <w:rFonts w:ascii="Times New Roman" w:eastAsia="Calibri" w:hAnsi="Times New Roman"/>
          <w:sz w:val="24"/>
          <w:szCs w:val="24"/>
          <w:lang w:eastAsia="bg-BG"/>
        </w:rPr>
        <w:t>Необходима е актуализация на оценката за мигриращата популация в зоната и общата оценка от категория „А“ на „С“, тъй като в зоната се опазват до 0-2% от националната популация.</w:t>
      </w:r>
    </w:p>
    <w:p w:rsidR="00A8783E" w:rsidRPr="00A8783E" w:rsidRDefault="00A8783E" w:rsidP="00A8783E">
      <w:pPr>
        <w:numPr>
          <w:ilvl w:val="0"/>
          <w:numId w:val="32"/>
        </w:numPr>
        <w:spacing w:after="0" w:line="240" w:lineRule="auto"/>
        <w:ind w:left="426"/>
        <w:jc w:val="both"/>
        <w:rPr>
          <w:rFonts w:ascii="Times New Roman" w:eastAsia="Calibri" w:hAnsi="Times New Roman"/>
          <w:sz w:val="24"/>
          <w:szCs w:val="24"/>
          <w:lang w:eastAsia="bg-BG"/>
        </w:rPr>
      </w:pPr>
      <w:r w:rsidRPr="00A8783E">
        <w:rPr>
          <w:rFonts w:ascii="Times New Roman" w:eastAsia="Calibri" w:hAnsi="Times New Roman"/>
          <w:sz w:val="24"/>
          <w:szCs w:val="24"/>
          <w:lang w:eastAsia="bg-BG"/>
        </w:rPr>
        <w:t>Необходима е също актуализация на оценката за гнездящата популация в зоната и общата оценка от категория „А“ на „В“, тъй като в зоната се опазват до 15% от националната популация.</w:t>
      </w:r>
    </w:p>
    <w:p w:rsidR="00A8783E" w:rsidRPr="00A8783E" w:rsidRDefault="00A8783E" w:rsidP="00A8783E">
      <w:pPr>
        <w:spacing w:after="0" w:line="240" w:lineRule="auto"/>
        <w:jc w:val="both"/>
        <w:rPr>
          <w:rFonts w:ascii="Times New Roman" w:hAnsi="Times New Roman"/>
          <w:sz w:val="24"/>
          <w:szCs w:val="24"/>
          <w:lang w:eastAsia="bg-B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4"/>
        <w:gridCol w:w="670"/>
        <w:gridCol w:w="1023"/>
        <w:gridCol w:w="328"/>
        <w:gridCol w:w="489"/>
        <w:gridCol w:w="214"/>
        <w:gridCol w:w="214"/>
        <w:gridCol w:w="572"/>
        <w:gridCol w:w="615"/>
        <w:gridCol w:w="604"/>
        <w:gridCol w:w="585"/>
        <w:gridCol w:w="853"/>
        <w:gridCol w:w="502"/>
        <w:gridCol w:w="498"/>
        <w:gridCol w:w="632"/>
        <w:gridCol w:w="528"/>
        <w:gridCol w:w="587"/>
      </w:tblGrid>
      <w:tr w:rsidR="00A8783E" w:rsidRPr="00A8783E" w:rsidTr="005B5318">
        <w:trPr>
          <w:jc w:val="center"/>
        </w:trPr>
        <w:tc>
          <w:tcPr>
            <w:tcW w:w="1669" w:type="pct"/>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Species</w:t>
            </w:r>
          </w:p>
        </w:tc>
        <w:tc>
          <w:tcPr>
            <w:tcW w:w="2123" w:type="pct"/>
            <w:gridSpan w:val="7"/>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Population in the site</w:t>
            </w:r>
          </w:p>
        </w:tc>
        <w:tc>
          <w:tcPr>
            <w:tcW w:w="1209" w:type="pct"/>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Site assessment</w:t>
            </w:r>
          </w:p>
        </w:tc>
      </w:tr>
      <w:tr w:rsidR="00A8783E" w:rsidRPr="00A8783E" w:rsidTr="005B5318">
        <w:trPr>
          <w:jc w:val="center"/>
        </w:trPr>
        <w:tc>
          <w:tcPr>
            <w:tcW w:w="202"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G</w:t>
            </w:r>
          </w:p>
        </w:tc>
        <w:tc>
          <w:tcPr>
            <w:tcW w:w="361"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Code</w:t>
            </w:r>
          </w:p>
        </w:tc>
        <w:tc>
          <w:tcPr>
            <w:tcW w:w="551"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Scientific Name</w:t>
            </w:r>
          </w:p>
        </w:tc>
        <w:tc>
          <w:tcPr>
            <w:tcW w:w="177"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S</w:t>
            </w:r>
          </w:p>
        </w:tc>
        <w:tc>
          <w:tcPr>
            <w:tcW w:w="263"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NP</w:t>
            </w:r>
          </w:p>
        </w:tc>
        <w:tc>
          <w:tcPr>
            <w:tcW w:w="230" w:type="pct"/>
            <w:gridSpan w:val="2"/>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T</w:t>
            </w:r>
          </w:p>
        </w:tc>
        <w:tc>
          <w:tcPr>
            <w:tcW w:w="639"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Size</w:t>
            </w:r>
          </w:p>
        </w:tc>
        <w:tc>
          <w:tcPr>
            <w:tcW w:w="325"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Unit</w:t>
            </w:r>
          </w:p>
        </w:tc>
        <w:tc>
          <w:tcPr>
            <w:tcW w:w="315"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Cat.</w:t>
            </w:r>
          </w:p>
        </w:tc>
        <w:tc>
          <w:tcPr>
            <w:tcW w:w="459"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D.qual.</w:t>
            </w:r>
          </w:p>
        </w:tc>
        <w:tc>
          <w:tcPr>
            <w:tcW w:w="538"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A/B/C/D</w:t>
            </w:r>
          </w:p>
        </w:tc>
        <w:tc>
          <w:tcPr>
            <w:tcW w:w="940" w:type="pct"/>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A/B/C</w:t>
            </w:r>
          </w:p>
        </w:tc>
      </w:tr>
      <w:tr w:rsidR="00A8783E" w:rsidRPr="00A8783E" w:rsidTr="005B5318">
        <w:trPr>
          <w:jc w:val="center"/>
        </w:trPr>
        <w:tc>
          <w:tcPr>
            <w:tcW w:w="202"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bg-BG"/>
              </w:rPr>
            </w:pPr>
          </w:p>
        </w:tc>
        <w:tc>
          <w:tcPr>
            <w:tcW w:w="361"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bg-BG"/>
              </w:rPr>
            </w:pPr>
          </w:p>
        </w:tc>
        <w:tc>
          <w:tcPr>
            <w:tcW w:w="551"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bg-BG"/>
              </w:rPr>
            </w:pPr>
          </w:p>
        </w:tc>
        <w:tc>
          <w:tcPr>
            <w:tcW w:w="177"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bg-BG"/>
              </w:rPr>
            </w:pPr>
          </w:p>
        </w:tc>
        <w:tc>
          <w:tcPr>
            <w:tcW w:w="263"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230" w:type="pct"/>
            <w:gridSpan w:val="2"/>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308"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Min</w:t>
            </w:r>
          </w:p>
        </w:tc>
        <w:tc>
          <w:tcPr>
            <w:tcW w:w="331"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Max</w:t>
            </w:r>
          </w:p>
        </w:tc>
        <w:tc>
          <w:tcPr>
            <w:tcW w:w="325"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315"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459"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538"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Pop.</w:t>
            </w:r>
          </w:p>
        </w:tc>
        <w:tc>
          <w:tcPr>
            <w:tcW w:w="340"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Con.</w:t>
            </w:r>
          </w:p>
        </w:tc>
        <w:tc>
          <w:tcPr>
            <w:tcW w:w="284"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Iso.</w:t>
            </w:r>
          </w:p>
        </w:tc>
        <w:tc>
          <w:tcPr>
            <w:tcW w:w="315"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Glo.</w:t>
            </w:r>
          </w:p>
        </w:tc>
      </w:tr>
      <w:tr w:rsidR="00A8783E" w:rsidRPr="00A8783E" w:rsidTr="005B5318">
        <w:trPr>
          <w:jc w:val="center"/>
        </w:trPr>
        <w:tc>
          <w:tcPr>
            <w:tcW w:w="202" w:type="pct"/>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B</w:t>
            </w:r>
          </w:p>
        </w:tc>
        <w:tc>
          <w:tcPr>
            <w:tcW w:w="361" w:type="pct"/>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eastAsia="bg-BG"/>
              </w:rPr>
              <w:t>A0</w:t>
            </w:r>
            <w:r w:rsidRPr="00A8783E">
              <w:rPr>
                <w:rFonts w:ascii="Times New Roman" w:hAnsi="Times New Roman"/>
                <w:sz w:val="20"/>
                <w:szCs w:val="20"/>
                <w:lang w:val="en-US" w:eastAsia="bg-BG"/>
              </w:rPr>
              <w:t>60</w:t>
            </w:r>
          </w:p>
        </w:tc>
        <w:tc>
          <w:tcPr>
            <w:tcW w:w="551" w:type="pct"/>
            <w:vAlign w:val="center"/>
          </w:tcPr>
          <w:p w:rsidR="00A8783E" w:rsidRPr="00A8783E" w:rsidRDefault="00A8783E" w:rsidP="00A8783E">
            <w:pPr>
              <w:spacing w:after="0" w:line="240" w:lineRule="auto"/>
              <w:rPr>
                <w:rFonts w:ascii="Times New Roman" w:hAnsi="Times New Roman"/>
                <w:i/>
                <w:iCs/>
                <w:sz w:val="20"/>
                <w:szCs w:val="20"/>
                <w:lang w:val="en-US" w:eastAsia="bg-BG"/>
              </w:rPr>
            </w:pPr>
            <w:r w:rsidRPr="00A8783E">
              <w:rPr>
                <w:rFonts w:ascii="Times New Roman" w:hAnsi="Times New Roman"/>
                <w:i/>
                <w:iCs/>
                <w:sz w:val="20"/>
                <w:szCs w:val="20"/>
                <w:lang w:val="en-US" w:eastAsia="bg-BG"/>
              </w:rPr>
              <w:t>Aythya nyroca</w:t>
            </w:r>
          </w:p>
        </w:tc>
        <w:tc>
          <w:tcPr>
            <w:tcW w:w="177" w:type="pct"/>
            <w:vAlign w:val="center"/>
          </w:tcPr>
          <w:p w:rsidR="00A8783E" w:rsidRPr="00A8783E" w:rsidRDefault="00A8783E" w:rsidP="00A8783E">
            <w:pPr>
              <w:spacing w:after="0" w:line="240" w:lineRule="auto"/>
              <w:rPr>
                <w:rFonts w:ascii="Times New Roman" w:hAnsi="Times New Roman"/>
                <w:sz w:val="20"/>
                <w:szCs w:val="20"/>
                <w:lang w:eastAsia="bg-BG"/>
              </w:rPr>
            </w:pPr>
          </w:p>
        </w:tc>
        <w:tc>
          <w:tcPr>
            <w:tcW w:w="263" w:type="pct"/>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230" w:type="pct"/>
            <w:gridSpan w:val="2"/>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c</w:t>
            </w:r>
          </w:p>
        </w:tc>
        <w:tc>
          <w:tcPr>
            <w:tcW w:w="308" w:type="pct"/>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1</w:t>
            </w:r>
          </w:p>
        </w:tc>
        <w:tc>
          <w:tcPr>
            <w:tcW w:w="331" w:type="pct"/>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7</w:t>
            </w:r>
          </w:p>
        </w:tc>
        <w:tc>
          <w:tcPr>
            <w:tcW w:w="325" w:type="pct"/>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i</w:t>
            </w:r>
          </w:p>
        </w:tc>
        <w:tc>
          <w:tcPr>
            <w:tcW w:w="315" w:type="pct"/>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459" w:type="pct"/>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G</w:t>
            </w:r>
          </w:p>
        </w:tc>
        <w:tc>
          <w:tcPr>
            <w:tcW w:w="538" w:type="pct"/>
            <w:gridSpan w:val="2"/>
            <w:vAlign w:val="center"/>
          </w:tcPr>
          <w:p w:rsidR="00A8783E" w:rsidRPr="00A8783E" w:rsidRDefault="00A8783E" w:rsidP="00A8783E">
            <w:pPr>
              <w:spacing w:after="0" w:line="240" w:lineRule="auto"/>
              <w:rPr>
                <w:rFonts w:ascii="Times New Roman" w:hAnsi="Times New Roman"/>
                <w:b/>
                <w:bCs/>
                <w:sz w:val="20"/>
                <w:szCs w:val="20"/>
                <w:lang w:val="en-US" w:eastAsia="bg-BG"/>
              </w:rPr>
            </w:pPr>
            <w:r w:rsidRPr="00A8783E">
              <w:rPr>
                <w:rFonts w:ascii="Times New Roman" w:hAnsi="Times New Roman"/>
                <w:b/>
                <w:bCs/>
                <w:color w:val="FF0000"/>
                <w:sz w:val="20"/>
                <w:szCs w:val="20"/>
                <w:lang w:val="en-US" w:eastAsia="bg-BG"/>
              </w:rPr>
              <w:t>C</w:t>
            </w:r>
          </w:p>
        </w:tc>
        <w:tc>
          <w:tcPr>
            <w:tcW w:w="340" w:type="pct"/>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B</w:t>
            </w:r>
          </w:p>
        </w:tc>
        <w:tc>
          <w:tcPr>
            <w:tcW w:w="284" w:type="pct"/>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C</w:t>
            </w:r>
          </w:p>
        </w:tc>
        <w:tc>
          <w:tcPr>
            <w:tcW w:w="315" w:type="pct"/>
            <w:vAlign w:val="center"/>
          </w:tcPr>
          <w:p w:rsidR="00A8783E" w:rsidRPr="00A8783E" w:rsidRDefault="00A8783E" w:rsidP="00A8783E">
            <w:pPr>
              <w:spacing w:after="0" w:line="240" w:lineRule="auto"/>
              <w:rPr>
                <w:rFonts w:ascii="Times New Roman" w:hAnsi="Times New Roman"/>
                <w:b/>
                <w:bCs/>
                <w:sz w:val="20"/>
                <w:szCs w:val="20"/>
                <w:lang w:val="en-US" w:eastAsia="bg-BG"/>
              </w:rPr>
            </w:pPr>
            <w:r w:rsidRPr="00A8783E">
              <w:rPr>
                <w:rFonts w:ascii="Times New Roman" w:hAnsi="Times New Roman"/>
                <w:b/>
                <w:bCs/>
                <w:color w:val="FF0000"/>
                <w:sz w:val="20"/>
                <w:szCs w:val="20"/>
                <w:lang w:val="en-US" w:eastAsia="bg-BG"/>
              </w:rPr>
              <w:t>C</w:t>
            </w:r>
          </w:p>
        </w:tc>
      </w:tr>
      <w:tr w:rsidR="00A8783E" w:rsidRPr="00A8783E" w:rsidTr="005B5318">
        <w:trPr>
          <w:jc w:val="center"/>
        </w:trPr>
        <w:tc>
          <w:tcPr>
            <w:tcW w:w="202" w:type="pct"/>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B</w:t>
            </w:r>
          </w:p>
        </w:tc>
        <w:tc>
          <w:tcPr>
            <w:tcW w:w="361" w:type="pct"/>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eastAsia="bg-BG"/>
              </w:rPr>
              <w:t>A0</w:t>
            </w:r>
            <w:r w:rsidRPr="00A8783E">
              <w:rPr>
                <w:rFonts w:ascii="Times New Roman" w:hAnsi="Times New Roman"/>
                <w:sz w:val="20"/>
                <w:szCs w:val="20"/>
                <w:lang w:val="en-US" w:eastAsia="bg-BG"/>
              </w:rPr>
              <w:t>60</w:t>
            </w:r>
          </w:p>
        </w:tc>
        <w:tc>
          <w:tcPr>
            <w:tcW w:w="551" w:type="pct"/>
            <w:vAlign w:val="center"/>
          </w:tcPr>
          <w:p w:rsidR="00A8783E" w:rsidRPr="00A8783E" w:rsidRDefault="00A8783E" w:rsidP="00A8783E">
            <w:pPr>
              <w:spacing w:after="0" w:line="240" w:lineRule="auto"/>
              <w:rPr>
                <w:rFonts w:ascii="Times New Roman" w:hAnsi="Times New Roman"/>
                <w:i/>
                <w:iCs/>
                <w:sz w:val="20"/>
                <w:szCs w:val="20"/>
                <w:lang w:val="en-US" w:eastAsia="bg-BG"/>
              </w:rPr>
            </w:pPr>
            <w:r w:rsidRPr="00A8783E">
              <w:rPr>
                <w:rFonts w:ascii="Times New Roman" w:hAnsi="Times New Roman"/>
                <w:i/>
                <w:iCs/>
                <w:sz w:val="20"/>
                <w:szCs w:val="20"/>
                <w:lang w:val="en-US" w:eastAsia="bg-BG"/>
              </w:rPr>
              <w:t>Aythya nyroca</w:t>
            </w:r>
          </w:p>
        </w:tc>
        <w:tc>
          <w:tcPr>
            <w:tcW w:w="177" w:type="pct"/>
            <w:vAlign w:val="center"/>
          </w:tcPr>
          <w:p w:rsidR="00A8783E" w:rsidRPr="00A8783E" w:rsidRDefault="00A8783E" w:rsidP="00A8783E">
            <w:pPr>
              <w:spacing w:after="0" w:line="240" w:lineRule="auto"/>
              <w:rPr>
                <w:rFonts w:ascii="Times New Roman" w:hAnsi="Times New Roman"/>
                <w:sz w:val="20"/>
                <w:szCs w:val="20"/>
                <w:lang w:eastAsia="bg-BG"/>
              </w:rPr>
            </w:pPr>
          </w:p>
        </w:tc>
        <w:tc>
          <w:tcPr>
            <w:tcW w:w="263" w:type="pct"/>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230" w:type="pct"/>
            <w:gridSpan w:val="2"/>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r</w:t>
            </w:r>
          </w:p>
        </w:tc>
        <w:tc>
          <w:tcPr>
            <w:tcW w:w="308" w:type="pct"/>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15</w:t>
            </w:r>
          </w:p>
        </w:tc>
        <w:tc>
          <w:tcPr>
            <w:tcW w:w="331" w:type="pct"/>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40</w:t>
            </w:r>
          </w:p>
        </w:tc>
        <w:tc>
          <w:tcPr>
            <w:tcW w:w="325" w:type="pct"/>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p</w:t>
            </w:r>
          </w:p>
        </w:tc>
        <w:tc>
          <w:tcPr>
            <w:tcW w:w="315" w:type="pct"/>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459" w:type="pct"/>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G</w:t>
            </w:r>
          </w:p>
        </w:tc>
        <w:tc>
          <w:tcPr>
            <w:tcW w:w="538" w:type="pct"/>
            <w:gridSpan w:val="2"/>
            <w:vAlign w:val="center"/>
          </w:tcPr>
          <w:p w:rsidR="00A8783E" w:rsidRPr="00A8783E" w:rsidRDefault="00A8783E" w:rsidP="00A8783E">
            <w:pPr>
              <w:spacing w:after="0" w:line="240" w:lineRule="auto"/>
              <w:rPr>
                <w:rFonts w:ascii="Times New Roman" w:hAnsi="Times New Roman"/>
                <w:b/>
                <w:bCs/>
                <w:color w:val="FF0000"/>
                <w:sz w:val="20"/>
                <w:szCs w:val="20"/>
                <w:lang w:val="en-US" w:eastAsia="bg-BG"/>
              </w:rPr>
            </w:pPr>
            <w:r w:rsidRPr="00A8783E">
              <w:rPr>
                <w:rFonts w:ascii="Times New Roman" w:hAnsi="Times New Roman"/>
                <w:b/>
                <w:bCs/>
                <w:color w:val="FF0000"/>
                <w:sz w:val="20"/>
                <w:szCs w:val="20"/>
                <w:lang w:val="en-US" w:eastAsia="bg-BG"/>
              </w:rPr>
              <w:t>B</w:t>
            </w:r>
          </w:p>
        </w:tc>
        <w:tc>
          <w:tcPr>
            <w:tcW w:w="340" w:type="pct"/>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B</w:t>
            </w:r>
          </w:p>
        </w:tc>
        <w:tc>
          <w:tcPr>
            <w:tcW w:w="284" w:type="pct"/>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C</w:t>
            </w:r>
          </w:p>
        </w:tc>
        <w:tc>
          <w:tcPr>
            <w:tcW w:w="315" w:type="pct"/>
            <w:vAlign w:val="center"/>
          </w:tcPr>
          <w:p w:rsidR="00A8783E" w:rsidRPr="00A8783E" w:rsidRDefault="00A8783E" w:rsidP="00A8783E">
            <w:pPr>
              <w:spacing w:after="0" w:line="240" w:lineRule="auto"/>
              <w:rPr>
                <w:rFonts w:ascii="Times New Roman" w:hAnsi="Times New Roman"/>
                <w:b/>
                <w:bCs/>
                <w:color w:val="FF0000"/>
                <w:sz w:val="20"/>
                <w:szCs w:val="20"/>
                <w:lang w:val="en-US" w:eastAsia="bg-BG"/>
              </w:rPr>
            </w:pPr>
            <w:r w:rsidRPr="00A8783E">
              <w:rPr>
                <w:rFonts w:ascii="Times New Roman" w:hAnsi="Times New Roman"/>
                <w:b/>
                <w:bCs/>
                <w:color w:val="FF0000"/>
                <w:sz w:val="20"/>
                <w:szCs w:val="20"/>
                <w:lang w:val="en-US" w:eastAsia="bg-BG"/>
              </w:rPr>
              <w:t>B</w:t>
            </w: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214" w:name="_Toc89106089"/>
      <w:bookmarkStart w:id="215" w:name="_Toc98741928"/>
      <w:bookmarkStart w:id="216" w:name="_Toc98838603"/>
      <w:r w:rsidRPr="00A8783E">
        <w:rPr>
          <w:rFonts w:ascii="Times New Roman" w:hAnsi="Times New Roman"/>
          <w:color w:val="1F497D"/>
          <w:sz w:val="28"/>
          <w:szCs w:val="28"/>
          <w:lang w:eastAsia="bg-BG"/>
        </w:rPr>
        <w:t xml:space="preserve">Специфични цели за А061 </w:t>
      </w:r>
      <w:r w:rsidRPr="00A8783E">
        <w:rPr>
          <w:rFonts w:ascii="Times New Roman" w:hAnsi="Times New Roman"/>
          <w:i/>
          <w:iCs/>
          <w:color w:val="1F497D"/>
          <w:sz w:val="28"/>
          <w:szCs w:val="28"/>
          <w:lang w:val="en-US" w:eastAsia="bg-BG"/>
        </w:rPr>
        <w:t>Aythya</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US" w:eastAsia="bg-BG"/>
        </w:rPr>
        <w:t>fuligula</w:t>
      </w:r>
      <w:r w:rsidRPr="00A8783E">
        <w:rPr>
          <w:rFonts w:ascii="Times New Roman" w:hAnsi="Times New Roman"/>
          <w:color w:val="1F497D"/>
          <w:sz w:val="28"/>
          <w:szCs w:val="28"/>
          <w:lang w:eastAsia="bg-BG"/>
        </w:rPr>
        <w:t xml:space="preserve"> (качулата потапница)</w:t>
      </w:r>
      <w:bookmarkEnd w:id="214"/>
      <w:bookmarkEnd w:id="215"/>
      <w:bookmarkEnd w:id="216"/>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Дължината на тялото 40-47 cm, размахът на крилата е 65-72 cm. В брачно оперение мъжките са с характерно с тъмно (почти черно) оперение с рязко очертани правоъгълни бели страни. Главата е черна със син или пурпурен метален блясък. Перата на тила са удължени като образуват добре обособена качулка. Окото е жълто. Женските са с тъмнокафяво оперение с по-малка качулка и бяло петно в основата на надклюнието. Страните на тялото са по-бледи с размити тъмни петна. Окото е тъмножълто. В извънбрачно оперение мъжките са с къса качулка, страните на тялото са мръсно кафяви, черните части на брачното оперение са с кафяв нюанс. При младите оперението е като на възрастните женски, но с по-светла глава и светло бежаво в основата на човката. Окото е кафяво (</w:t>
      </w:r>
      <w:r w:rsidRPr="00A8783E">
        <w:rPr>
          <w:rFonts w:ascii="Times New Roman" w:hAnsi="Times New Roman"/>
          <w:sz w:val="24"/>
          <w:szCs w:val="24"/>
          <w:lang w:val="en-US" w:eastAsia="bg-BG"/>
        </w:rPr>
        <w:t>Svensson</w:t>
      </w:r>
      <w:r w:rsidRPr="00A8783E">
        <w:rPr>
          <w:rFonts w:ascii="Times New Roman" w:hAnsi="Times New Roman"/>
          <w:sz w:val="24"/>
          <w:szCs w:val="24"/>
          <w:lang w:eastAsia="bg-BG"/>
        </w:rPr>
        <w:t xml:space="preserve">, 2009; Симеонов и др., 1990).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Многочислена мигрираща и зимуваща птица за страната. Есенния прелет е от септември до ноември, а пролетния от началото на февруари до края на април. По р. Дунав прелета през есента е по-слабо изразен, от колкото през пролетта, като през есента най-висока е числеността през ноември, след което спада със замръзването на крайдунавските блата. В района на Бургас числеността й от началото на миграцията се увеличава до края на януари. Зимува предимно по Черноморското крайбрежие. Средно в страната са зимували около 5000 птици, но в последните години числеността й намалява, като средно зимуват около 2500 – 3000 индивида. Концентрира се по Южната Черноморие и по-малко по Северното и по р. Дунав. Отделни птици и двойки са наблюдавани и през размножителния период в Сребърна, Шабленското езеро, около Бургас, Дяволска река, яз. Доспат и др. Възможно е отделни двойки да се размножават нередовно в дунавските влажни зони. Видът се размножава в Румъния с 20 до 50 дв. У нас няма потвърдено засега гнездене на вида. Двойките се образуват още в местата за зимуване. За гнездене избира обширни езера или други водоеми. Гнездото си построява </w:t>
      </w:r>
      <w:r w:rsidRPr="00A8783E">
        <w:rPr>
          <w:rFonts w:ascii="Times New Roman" w:hAnsi="Times New Roman"/>
          <w:sz w:val="24"/>
          <w:szCs w:val="24"/>
          <w:lang w:eastAsia="bg-BG"/>
        </w:rPr>
        <w:lastRenderedPageBreak/>
        <w:t xml:space="preserve">винаги в непосредствена близост до водата, често пъти на малки островчета или купчини стара тръстика (Симеонов и др., 1990; Нанкинов, 2012).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 xml:space="preserve">Характерно местообитание </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Предимно по-дълбоки езера и блата с богата водна растителност. По време на миграции и през зимата се среща и в морски заливи по Черноморското крайбрежие и язовири. Подходящи местообитания според Директивата за хабитатите, по време на миграция и зимуване са основно 1110, 1130, 1150, 1160, 3130, 3150 и 3270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Храни се предимно с животинска храна: дребни мекотели, личинки на насекоми, ракообразни, дребна риба. Търси храната си обикновено на дълбочина до 3–4 м, но понякога се гмурка и до 14 м.</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autoSpaceDE w:val="0"/>
        <w:autoSpaceDN w:val="0"/>
        <w:adjustRightInd w:val="0"/>
        <w:spacing w:before="120" w:after="120" w:line="240" w:lineRule="auto"/>
        <w:jc w:val="both"/>
        <w:rPr>
          <w:rFonts w:ascii="Times New Roman" w:eastAsia="GroteskHSBg-Light" w:hAnsi="Times New Roman"/>
          <w:sz w:val="24"/>
          <w:szCs w:val="24"/>
          <w:lang w:eastAsia="bg-BG"/>
        </w:rPr>
      </w:pPr>
      <w:r w:rsidRPr="00A8783E">
        <w:rPr>
          <w:rFonts w:ascii="Times New Roman" w:hAnsi="Times New Roman"/>
          <w:sz w:val="24"/>
          <w:szCs w:val="24"/>
          <w:lang w:eastAsia="bg-BG"/>
        </w:rPr>
        <w:t>През размножителния период р</w:t>
      </w:r>
      <w:r w:rsidRPr="00A8783E">
        <w:rPr>
          <w:rFonts w:ascii="Times New Roman" w:eastAsia="GroteskHSBg-Light" w:hAnsi="Times New Roman"/>
          <w:sz w:val="24"/>
          <w:szCs w:val="24"/>
          <w:lang w:eastAsia="bg-BG"/>
        </w:rPr>
        <w:t>азпръснати изолирани находища има по Дунавското крайбрежие и прилежащите му части на Дунавската равнина, Черноморското крайбрежие, Софийското поле и Тракийската низина. Наблюдавани отделни двойки и единични или малък брой летуващи птици (до 19 екз. през 1996 г. в Мандренското езеро), като общата численост на индивидите не надхвърля няколко десетки птици.</w:t>
      </w:r>
      <w:r w:rsidRPr="00A8783E">
        <w:rPr>
          <w:rFonts w:ascii="Times New Roman" w:hAnsi="Times New Roman"/>
          <w:sz w:val="24"/>
          <w:szCs w:val="24"/>
          <w:lang w:eastAsia="bg-BG"/>
        </w:rPr>
        <w:t xml:space="preserve"> (Янков отг. ред., 2007). По време на прелет се среща по водоемите в цялата страна. Зимува предимно по Черноморското крайбрежие.</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Включен в Приложение ІІА на Директивата за птиците.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вида е слабо засегнат –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Включен в Приложение 3 на ЗБР.</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Докладването от 2019 г. (за периода 2013 – 2018 г.) зимуващата популация е оценена на 1079 – 5628 индивида. Краткосрочната тенденция на популацията (за периода 2000 – 2018 г.) е флуктуираща, променлива, а дългосрочната (за периода 1980 – 2018 г.) е намаляваща. За зимуващата популация са посочени следните заплахи: </w:t>
      </w:r>
      <w:r w:rsidRPr="00A8783E">
        <w:rPr>
          <w:rFonts w:ascii="Times New Roman" w:hAnsi="Times New Roman"/>
          <w:sz w:val="24"/>
          <w:szCs w:val="24"/>
          <w:lang w:val="en-GB" w:eastAsia="bg-BG"/>
        </w:rPr>
        <w:t>F</w:t>
      </w:r>
      <w:r w:rsidRPr="00A8783E">
        <w:rPr>
          <w:rFonts w:ascii="Times New Roman" w:hAnsi="Times New Roman"/>
          <w:sz w:val="24"/>
          <w:szCs w:val="24"/>
          <w:lang w:eastAsia="bg-BG"/>
        </w:rPr>
        <w:t xml:space="preserve">02, </w:t>
      </w:r>
      <w:r w:rsidRPr="00A8783E">
        <w:rPr>
          <w:rFonts w:ascii="Times New Roman" w:hAnsi="Times New Roman"/>
          <w:sz w:val="24"/>
          <w:szCs w:val="24"/>
          <w:lang w:val="en-GB" w:eastAsia="bg-BG"/>
        </w:rPr>
        <w:t>G</w:t>
      </w:r>
      <w:r w:rsidRPr="00A8783E">
        <w:rPr>
          <w:rFonts w:ascii="Times New Roman" w:hAnsi="Times New Roman"/>
          <w:sz w:val="24"/>
          <w:szCs w:val="24"/>
          <w:lang w:eastAsia="bg-BG"/>
        </w:rPr>
        <w:t xml:space="preserve">01, </w:t>
      </w:r>
      <w:r w:rsidRPr="00A8783E">
        <w:rPr>
          <w:rFonts w:ascii="Times New Roman" w:hAnsi="Times New Roman"/>
          <w:sz w:val="24"/>
          <w:szCs w:val="24"/>
          <w:lang w:val="en-GB" w:eastAsia="bg-BG"/>
        </w:rPr>
        <w:t>G</w:t>
      </w:r>
      <w:r w:rsidRPr="00A8783E">
        <w:rPr>
          <w:rFonts w:ascii="Times New Roman" w:hAnsi="Times New Roman"/>
          <w:sz w:val="24"/>
          <w:szCs w:val="24"/>
          <w:lang w:eastAsia="bg-BG"/>
        </w:rPr>
        <w:t>05.</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Мигриращата национална популация е оценена на 1000 – 25 000 индивида.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Вида не се докладва като гнездящ за страната.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СФ на зоната видът е преминаващ и гнездящ. </w:t>
      </w:r>
      <w:r w:rsidRPr="00A8783E">
        <w:rPr>
          <w:rFonts w:ascii="Times New Roman" w:hAnsi="Times New Roman"/>
          <w:b/>
          <w:bCs/>
          <w:sz w:val="24"/>
          <w:szCs w:val="24"/>
        </w:rPr>
        <w:t>Гнездящата популация</w:t>
      </w:r>
      <w:r w:rsidRPr="00A8783E">
        <w:rPr>
          <w:rFonts w:ascii="Times New Roman" w:hAnsi="Times New Roman"/>
          <w:sz w:val="24"/>
          <w:szCs w:val="24"/>
        </w:rPr>
        <w:t xml:space="preserve"> се оценява на 0-</w:t>
      </w:r>
      <w:r w:rsidRPr="00A8783E">
        <w:rPr>
          <w:rFonts w:ascii="Times New Roman" w:hAnsi="Times New Roman"/>
          <w:b/>
          <w:bCs/>
          <w:sz w:val="24"/>
          <w:szCs w:val="24"/>
        </w:rPr>
        <w:t>1 двойка</w:t>
      </w:r>
      <w:r w:rsidRPr="00A8783E">
        <w:rPr>
          <w:rFonts w:ascii="Times New Roman" w:hAnsi="Times New Roman"/>
          <w:sz w:val="24"/>
          <w:szCs w:val="24"/>
        </w:rPr>
        <w:t xml:space="preserve"> (оценка „С“). Вида не е докладван като гнездят по чл. 12 от Директивата за птиците.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1-6 индивида</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0,02-0,1 %</w:t>
      </w:r>
      <w:r w:rsidRPr="00A8783E">
        <w:rPr>
          <w:rFonts w:ascii="Times New Roman" w:hAnsi="Times New Roman"/>
          <w:sz w:val="24"/>
          <w:szCs w:val="24"/>
          <w:lang w:eastAsia="bg-BG"/>
        </w:rPr>
        <w:t xml:space="preserve"> от националната популация (оценка „</w:t>
      </w:r>
      <w:r w:rsidRPr="00A8783E">
        <w:rPr>
          <w:rFonts w:ascii="Times New Roman" w:hAnsi="Times New Roman"/>
          <w:sz w:val="24"/>
          <w:szCs w:val="24"/>
          <w:lang w:val="en-US" w:eastAsia="bg-BG"/>
        </w:rPr>
        <w:t>C</w:t>
      </w:r>
      <w:r w:rsidRPr="00A8783E">
        <w:rPr>
          <w:rFonts w:ascii="Times New Roman" w:hAnsi="Times New Roman"/>
          <w:sz w:val="24"/>
          <w:szCs w:val="24"/>
          <w:lang w:eastAsia="bg-BG"/>
        </w:rPr>
        <w:t xml:space="preserve">“).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4. Анализ на наличната информация</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Гнездяща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Резултати от мониторинг на водолюбиви птици в защитената зона за периода 2010-2012 г. не показват гнездене на вида (Матеева и др., 2013). Вероятно някои двойки от вида </w:t>
      </w:r>
      <w:r w:rsidRPr="00A8783E">
        <w:rPr>
          <w:rFonts w:ascii="Times New Roman" w:hAnsi="Times New Roman"/>
          <w:sz w:val="24"/>
          <w:szCs w:val="24"/>
        </w:rPr>
        <w:lastRenderedPageBreak/>
        <w:t>гнездят нерегулярно в Дунавските влажни зони. Наблюдавани са през гнездовия период в блато Пожарево и наводнени ливади в Долни Цибър. Единични двойки са наблюдавани в Сребърна – 1890 г. и 1960 г. Видът гнезди в съседна Румъния с популация 20-50 дв. (Shurulinkov et al., 2019). По време на извършения мониторинг в СЗЗ „Сребърна“ през гнездовия период на 2021 г. видът не беше установен.</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Зимуваща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През зимата качулатата потапница се среща редовно, но в малък брой по р. Дунав. През януари 2019 г. по целия български участък на р. Дунав са преброени 130 качулати потапници в 4 локалитета, а през 2020 г. – 236 екз. в 4 локалитета. В ПР „Сребърна“  числеността на зимуващите качулати потапници за периода 1977-2001 г. са 0-33 индивида, а през 2012 г. са отчетени 9 индивида (</w:t>
      </w:r>
      <w:r w:rsidRPr="00A8783E">
        <w:rPr>
          <w:rFonts w:ascii="Times New Roman" w:hAnsi="Times New Roman"/>
          <w:sz w:val="24"/>
          <w:szCs w:val="24"/>
          <w:lang w:val="en-US"/>
        </w:rPr>
        <w:t>Michev</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Profirov</w:t>
      </w:r>
      <w:r w:rsidRPr="00A8783E">
        <w:rPr>
          <w:rFonts w:ascii="Times New Roman" w:hAnsi="Times New Roman"/>
          <w:sz w:val="24"/>
          <w:szCs w:val="24"/>
        </w:rPr>
        <w:t>, 2003; Актуализиран план на ПР Сребърна, 2015). На 14.02.2020 г. са отбелязани 6 индивида на територията на зоната, а на 02.01.2016 г. – 200 инд. (</w:t>
      </w:r>
      <w:r w:rsidRPr="00A8783E">
        <w:rPr>
          <w:rFonts w:ascii="Times New Roman" w:hAnsi="Times New Roman"/>
          <w:sz w:val="24"/>
          <w:szCs w:val="24"/>
          <w:lang w:val="en-US"/>
        </w:rPr>
        <w:t>ebird</w:t>
      </w:r>
      <w:r w:rsidRPr="00A8783E">
        <w:rPr>
          <w:rFonts w:ascii="Times New Roman" w:hAnsi="Times New Roman"/>
          <w:sz w:val="24"/>
          <w:szCs w:val="24"/>
        </w:rPr>
        <w:t>.</w:t>
      </w:r>
      <w:r w:rsidRPr="00A8783E">
        <w:rPr>
          <w:rFonts w:ascii="Times New Roman" w:hAnsi="Times New Roman"/>
          <w:sz w:val="24"/>
          <w:szCs w:val="24"/>
          <w:lang w:val="en-US"/>
        </w:rPr>
        <w:t>org</w:t>
      </w:r>
      <w:r w:rsidRPr="00A8783E">
        <w:rPr>
          <w:rFonts w:ascii="Times New Roman" w:hAnsi="Times New Roman"/>
          <w:sz w:val="24"/>
          <w:szCs w:val="24"/>
        </w:rPr>
        <w:t>). На базата на публикуваните данни предлагаме вида да бъде включен в СФ като зимуващ с численост 9-33 инд.</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За мигриращата и зимуващата популация са посочени следните заплахи при Докладването по чл. 12 от 2019 г.: F02, </w:t>
      </w:r>
      <w:r w:rsidRPr="00A8783E">
        <w:rPr>
          <w:rFonts w:ascii="Times New Roman" w:hAnsi="Times New Roman"/>
          <w:sz w:val="24"/>
          <w:szCs w:val="24"/>
          <w:lang w:val="en-US"/>
        </w:rPr>
        <w:t>F</w:t>
      </w:r>
      <w:r w:rsidRPr="00A8783E">
        <w:rPr>
          <w:rFonts w:ascii="Times New Roman" w:hAnsi="Times New Roman"/>
          <w:sz w:val="24"/>
          <w:szCs w:val="24"/>
        </w:rPr>
        <w:t xml:space="preserve">03, </w:t>
      </w:r>
      <w:r w:rsidRPr="00A8783E">
        <w:rPr>
          <w:rFonts w:ascii="Times New Roman" w:hAnsi="Times New Roman"/>
          <w:sz w:val="24"/>
          <w:szCs w:val="24"/>
          <w:lang w:val="en-US"/>
        </w:rPr>
        <w:t>J</w:t>
      </w:r>
      <w:r w:rsidRPr="00A8783E">
        <w:rPr>
          <w:rFonts w:ascii="Times New Roman" w:hAnsi="Times New Roman"/>
          <w:sz w:val="24"/>
          <w:szCs w:val="24"/>
        </w:rPr>
        <w:t xml:space="preserve">02, G01, </w:t>
      </w:r>
      <w:r w:rsidRPr="00A8783E">
        <w:rPr>
          <w:rFonts w:ascii="Times New Roman" w:hAnsi="Times New Roman"/>
          <w:sz w:val="24"/>
          <w:szCs w:val="24"/>
          <w:lang w:val="en-US"/>
        </w:rPr>
        <w:t>G</w:t>
      </w:r>
      <w:r w:rsidRPr="00A8783E">
        <w:rPr>
          <w:rFonts w:ascii="Times New Roman" w:hAnsi="Times New Roman"/>
          <w:sz w:val="24"/>
          <w:szCs w:val="24"/>
        </w:rPr>
        <w:t>05. От тях няма валидни за зоната. Заплахи за вида в зоната могат да бъдат риболов с мрежени уреди (G12- Прилов и инцидентно убиване (при риболовни дейности),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144"/>
        <w:gridCol w:w="1134"/>
        <w:gridCol w:w="2990"/>
        <w:gridCol w:w="2427"/>
      </w:tblGrid>
      <w:tr w:rsidR="00A8783E" w:rsidRPr="00A8783E" w:rsidTr="005B5318">
        <w:trPr>
          <w:trHeight w:val="99"/>
          <w:tblHeader/>
          <w:jc w:val="center"/>
        </w:trPr>
        <w:tc>
          <w:tcPr>
            <w:tcW w:w="169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14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13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990"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427"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trHeight w:val="99"/>
          <w:jc w:val="center"/>
        </w:trPr>
        <w:tc>
          <w:tcPr>
            <w:tcW w:w="1696" w:type="dxa"/>
          </w:tcPr>
          <w:p w:rsidR="00A8783E" w:rsidRPr="00A8783E" w:rsidRDefault="00A8783E" w:rsidP="00A8783E">
            <w:pPr>
              <w:spacing w:after="0" w:line="240" w:lineRule="auto"/>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гнездовата популация</w:t>
            </w:r>
          </w:p>
        </w:tc>
        <w:tc>
          <w:tcPr>
            <w:tcW w:w="114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Брой двойки</w:t>
            </w:r>
          </w:p>
        </w:tc>
        <w:tc>
          <w:tcPr>
            <w:tcW w:w="1134" w:type="dxa"/>
          </w:tcPr>
          <w:p w:rsidR="00A8783E" w:rsidRPr="00A8783E" w:rsidRDefault="00A8783E" w:rsidP="00A8783E">
            <w:pPr>
              <w:spacing w:after="0" w:line="240" w:lineRule="auto"/>
              <w:rPr>
                <w:rFonts w:ascii="Times New Roman" w:hAnsi="Times New Roman"/>
                <w:lang w:val="en-US" w:eastAsia="bg-BG"/>
              </w:rPr>
            </w:pPr>
            <w:r w:rsidRPr="00A8783E">
              <w:rPr>
                <w:rFonts w:ascii="Times New Roman" w:hAnsi="Times New Roman"/>
                <w:lang w:eastAsia="bg-BG"/>
              </w:rPr>
              <w:t>1 дв</w:t>
            </w:r>
            <w:r w:rsidRPr="00A8783E">
              <w:rPr>
                <w:rFonts w:ascii="Times New Roman" w:hAnsi="Times New Roman"/>
                <w:lang w:val="en-US" w:eastAsia="bg-BG"/>
              </w:rPr>
              <w:t>.</w:t>
            </w:r>
          </w:p>
        </w:tc>
        <w:tc>
          <w:tcPr>
            <w:tcW w:w="2990"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В настоящия СФ (актуализиран през 201</w:t>
            </w:r>
            <w:r w:rsidRPr="00A8783E">
              <w:rPr>
                <w:rFonts w:ascii="Times New Roman" w:hAnsi="Times New Roman"/>
                <w:lang w:val="ru-RU" w:eastAsia="bg-BG"/>
              </w:rPr>
              <w:t>8</w:t>
            </w:r>
            <w:r w:rsidRPr="00A8783E">
              <w:rPr>
                <w:rFonts w:ascii="Times New Roman" w:hAnsi="Times New Roman"/>
                <w:lang w:eastAsia="bg-BG"/>
              </w:rPr>
              <w:t xml:space="preserve"> г.) не е посочена минимална стойност, а като максимална стойност е посочена 1 дв. Няма публикувани актуални данни за гнездене на вида в зоната. По време на теренните проучвания през гнездовия период на 2021 г. видът не беше установен.</w:t>
            </w:r>
          </w:p>
        </w:tc>
        <w:tc>
          <w:tcPr>
            <w:tcW w:w="2427"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Междинна цел до 2025 г.: Да се извърши мониторинг за установяване на точната численост на гнездовата популация. </w:t>
            </w:r>
          </w:p>
        </w:tc>
      </w:tr>
      <w:tr w:rsidR="00A8783E" w:rsidRPr="00A8783E" w:rsidTr="005B5318">
        <w:trPr>
          <w:trHeight w:val="99"/>
          <w:jc w:val="center"/>
        </w:trPr>
        <w:tc>
          <w:tcPr>
            <w:tcW w:w="1696" w:type="dxa"/>
          </w:tcPr>
          <w:p w:rsidR="00A8783E" w:rsidRPr="00A8783E" w:rsidRDefault="00A8783E" w:rsidP="00A8783E">
            <w:pPr>
              <w:spacing w:after="0" w:line="240" w:lineRule="auto"/>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мигриращата популация</w:t>
            </w:r>
          </w:p>
        </w:tc>
        <w:tc>
          <w:tcPr>
            <w:tcW w:w="114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Брой индивиди</w:t>
            </w:r>
          </w:p>
        </w:tc>
        <w:tc>
          <w:tcPr>
            <w:tcW w:w="113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Най-малко 1 инд.</w:t>
            </w:r>
          </w:p>
        </w:tc>
        <w:tc>
          <w:tcPr>
            <w:tcW w:w="2990"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В СФ за концентрацията на вида по време на миграция в зоната е посочена минимална и максимална стойност от 1 до 6 инд. Липсват публикувани данни за концентрацията на вида в зоната по време на миграция. Необходимо е да се заложи междинна цел.</w:t>
            </w:r>
          </w:p>
        </w:tc>
        <w:tc>
          <w:tcPr>
            <w:tcW w:w="2427"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Междинна цел: Да се извърши целенасочен мониторинг за установяване на размера на мигриращата популация до 2025 г. </w:t>
            </w:r>
          </w:p>
        </w:tc>
      </w:tr>
      <w:tr w:rsidR="00A8783E" w:rsidRPr="00A8783E" w:rsidTr="005B5318">
        <w:trPr>
          <w:trHeight w:val="99"/>
          <w:jc w:val="center"/>
        </w:trPr>
        <w:tc>
          <w:tcPr>
            <w:tcW w:w="1696" w:type="dxa"/>
          </w:tcPr>
          <w:p w:rsidR="00A8783E" w:rsidRPr="00A8783E" w:rsidRDefault="00A8783E" w:rsidP="00A8783E">
            <w:pPr>
              <w:spacing w:after="0" w:line="240" w:lineRule="auto"/>
              <w:rPr>
                <w:rFonts w:ascii="Times New Roman" w:hAnsi="Times New Roman"/>
                <w:b/>
                <w:bCs/>
                <w:lang w:eastAsia="bg-BG"/>
              </w:rPr>
            </w:pPr>
            <w:r w:rsidRPr="00A8783E">
              <w:rPr>
                <w:rFonts w:ascii="Times New Roman" w:hAnsi="Times New Roman"/>
                <w:b/>
                <w:bCs/>
                <w:lang w:eastAsia="bg-BG"/>
              </w:rPr>
              <w:lastRenderedPageBreak/>
              <w:t xml:space="preserve">Популация: </w:t>
            </w:r>
            <w:r w:rsidRPr="00A8783E">
              <w:rPr>
                <w:rFonts w:ascii="Times New Roman" w:hAnsi="Times New Roman"/>
                <w:lang w:eastAsia="bg-BG"/>
              </w:rPr>
              <w:t>Размер на зимуващата популация</w:t>
            </w:r>
          </w:p>
        </w:tc>
        <w:tc>
          <w:tcPr>
            <w:tcW w:w="114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Брой индивиди</w:t>
            </w:r>
          </w:p>
        </w:tc>
        <w:tc>
          <w:tcPr>
            <w:tcW w:w="113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Най-малко 9 инд.</w:t>
            </w:r>
          </w:p>
        </w:tc>
        <w:tc>
          <w:tcPr>
            <w:tcW w:w="2990"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Предлагаме включването на вида в СФ като зимуващ на база на това, че В ПР „Сребърна“ числеността на зимуващите качулати потапници  за периода 1977-2001 г. е 0-33 инд., а през 2012 г. са отчетени 9 индивида (Michev and Profirov, 2003; Актуализиран план на ПР Сребърна, 2015).</w:t>
            </w:r>
          </w:p>
        </w:tc>
        <w:tc>
          <w:tcPr>
            <w:tcW w:w="2427"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Редовен мониторинг на числеността на зимуващите индивиди в зоната в периода декември-февруари.</w:t>
            </w:r>
          </w:p>
        </w:tc>
      </w:tr>
      <w:tr w:rsidR="00A8783E" w:rsidRPr="00A8783E" w:rsidTr="005B5318">
        <w:trPr>
          <w:trHeight w:val="99"/>
          <w:jc w:val="center"/>
        </w:trPr>
        <w:tc>
          <w:tcPr>
            <w:tcW w:w="1696"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Площ на подходящите гнездови местообитания на вида</w:t>
            </w:r>
          </w:p>
        </w:tc>
        <w:tc>
          <w:tcPr>
            <w:tcW w:w="1144" w:type="dxa"/>
          </w:tcPr>
          <w:p w:rsidR="00A8783E" w:rsidRPr="00A8783E" w:rsidRDefault="00A8783E" w:rsidP="00A8783E">
            <w:pPr>
              <w:spacing w:after="0" w:line="240" w:lineRule="auto"/>
              <w:jc w:val="both"/>
              <w:rPr>
                <w:rFonts w:ascii="Times New Roman" w:hAnsi="Times New Roman"/>
                <w:lang w:val="en-US" w:eastAsia="bg-BG"/>
              </w:rPr>
            </w:pPr>
            <w:r w:rsidRPr="00A8783E">
              <w:rPr>
                <w:rFonts w:ascii="Times New Roman" w:hAnsi="Times New Roman"/>
                <w:lang w:val="en-US" w:eastAsia="bg-BG"/>
              </w:rPr>
              <w:t>ha</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най-малко 565</w:t>
            </w:r>
          </w:p>
        </w:tc>
        <w:tc>
          <w:tcPr>
            <w:tcW w:w="2990" w:type="dxa"/>
          </w:tcPr>
          <w:p w:rsidR="00A8783E" w:rsidRPr="00A8783E" w:rsidRDefault="00A8783E" w:rsidP="00A8783E">
            <w:pPr>
              <w:autoSpaceDE w:val="0"/>
              <w:autoSpaceDN w:val="0"/>
              <w:adjustRightInd w:val="0"/>
              <w:spacing w:after="0" w:line="240" w:lineRule="auto"/>
              <w:rPr>
                <w:rFonts w:ascii="Times New Roman" w:hAnsi="Times New Roman"/>
                <w:color w:val="000000"/>
                <w:lang w:eastAsia="bg-BG"/>
              </w:rPr>
            </w:pPr>
            <w:r w:rsidRPr="00A8783E">
              <w:rPr>
                <w:rFonts w:ascii="Times New Roman" w:hAnsi="Times New Roman"/>
                <w:color w:val="000000"/>
                <w:lang w:eastAsia="bg-BG"/>
              </w:rPr>
              <w:t>Площта е изчислена на база данните от СФ като % на местообитание N07 - мочурища и блата.</w:t>
            </w:r>
          </w:p>
        </w:tc>
        <w:tc>
          <w:tcPr>
            <w:tcW w:w="2427"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Поддържане на площта на гнездовите местообитания  на вида в зоната в размер на най-малко 565 ha чрез поддържане на оптимално ниво на водата в езерото.</w:t>
            </w:r>
          </w:p>
        </w:tc>
      </w:tr>
      <w:tr w:rsidR="00A8783E" w:rsidRPr="00A8783E" w:rsidTr="005B5318">
        <w:trPr>
          <w:trHeight w:val="99"/>
          <w:jc w:val="center"/>
        </w:trPr>
        <w:tc>
          <w:tcPr>
            <w:tcW w:w="169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 xml:space="preserve">Площ на подходящите хранителни местообитания на вида </w:t>
            </w:r>
          </w:p>
        </w:tc>
        <w:tc>
          <w:tcPr>
            <w:tcW w:w="114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ha</w:t>
            </w:r>
          </w:p>
        </w:tc>
        <w:tc>
          <w:tcPr>
            <w:tcW w:w="113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най-малко 840</w:t>
            </w:r>
          </w:p>
        </w:tc>
        <w:tc>
          <w:tcPr>
            <w:tcW w:w="2990"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Включва и гнездовото местообитание. Площта е изчислена на база данните от СФ като % на местообитание N07-мочурища и блата; N06 - вътрешни водни тела.</w:t>
            </w:r>
          </w:p>
        </w:tc>
        <w:tc>
          <w:tcPr>
            <w:tcW w:w="2427"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Поддържане на площта на подходящите хранителни местообитания на вида в размер най-малко 840 ha чрез поддържане на оптимално ниво на водата в езерото.</w:t>
            </w:r>
          </w:p>
        </w:tc>
      </w:tr>
      <w:tr w:rsidR="00A8783E" w:rsidRPr="00A8783E" w:rsidTr="005B5318">
        <w:trPr>
          <w:trHeight w:val="2827"/>
          <w:jc w:val="center"/>
        </w:trPr>
        <w:tc>
          <w:tcPr>
            <w:tcW w:w="1696"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 по биологичен елемент водни безгръбначни (JDS4-Aquatic Macroinvertebrates).</w:t>
            </w:r>
          </w:p>
        </w:tc>
        <w:tc>
          <w:tcPr>
            <w:tcW w:w="1144"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w:t>
            </w:r>
          </w:p>
        </w:tc>
        <w:tc>
          <w:tcPr>
            <w:tcW w:w="1134"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1-Отлично/2-Добро</w:t>
            </w:r>
          </w:p>
        </w:tc>
        <w:tc>
          <w:tcPr>
            <w:tcW w:w="2990" w:type="dxa"/>
          </w:tcPr>
          <w:tbl>
            <w:tblPr>
              <w:tblW w:w="4164" w:type="dxa"/>
              <w:tblInd w:w="3" w:type="dxa"/>
              <w:tblLayout w:type="fixed"/>
              <w:tblCellMar>
                <w:left w:w="70" w:type="dxa"/>
                <w:right w:w="70" w:type="dxa"/>
              </w:tblCellMar>
              <w:tblLook w:val="00A0" w:firstRow="1" w:lastRow="0" w:firstColumn="1" w:lastColumn="0" w:noHBand="0" w:noVBand="0"/>
            </w:tblPr>
            <w:tblGrid>
              <w:gridCol w:w="4164"/>
            </w:tblGrid>
            <w:tr w:rsidR="00A8783E" w:rsidRPr="00A8783E" w:rsidTr="005B5318">
              <w:trPr>
                <w:trHeight w:val="25"/>
              </w:trPr>
              <w:tc>
                <w:tcPr>
                  <w:tcW w:w="4164"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before="100" w:beforeAutospacing="1" w:after="0" w:line="240" w:lineRule="auto"/>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1-Отлично - High</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2-Добро - Good</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3-Умерено - Moderate</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4-Лошо - Poor</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5-Много лошо - Bad</w:t>
                  </w:r>
                </w:p>
              </w:tc>
            </w:tr>
          </w:tbl>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Екологичното състояние на водите на р. Дунав в пункт „Силистра“ е оценено на </w:t>
            </w:r>
            <w:r w:rsidRPr="00A8783E">
              <w:rPr>
                <w:rFonts w:ascii="Times New Roman" w:hAnsi="Times New Roman"/>
                <w:b/>
                <w:bCs/>
                <w:lang w:eastAsia="bg-BG"/>
              </w:rPr>
              <w:t>умерено (3)</w:t>
            </w:r>
            <w:r w:rsidRPr="00A8783E">
              <w:rPr>
                <w:rFonts w:ascii="Times New Roman" w:hAnsi="Times New Roman"/>
                <w:lang w:eastAsia="bg-BG"/>
              </w:rPr>
              <w:t xml:space="preserve"> според доклада на JDS4 (2019-2020, табл. 1, стр. 62, табл. 5, стр. 51). Според данните от биологичния мониторинг на повърхностните води през 2020 г. ЕС на ез. Сребърна е определено като </w:t>
            </w:r>
            <w:r w:rsidRPr="00A8783E">
              <w:rPr>
                <w:rFonts w:ascii="Times New Roman" w:hAnsi="Times New Roman"/>
                <w:b/>
                <w:bCs/>
                <w:lang w:eastAsia="bg-BG"/>
              </w:rPr>
              <w:t>Отлично</w:t>
            </w:r>
            <w:r w:rsidRPr="00A8783E">
              <w:rPr>
                <w:rFonts w:ascii="Times New Roman" w:hAnsi="Times New Roman"/>
                <w:lang w:eastAsia="bg-BG"/>
              </w:rPr>
              <w:t xml:space="preserve"> по БЕК Макрозообентос.</w:t>
            </w:r>
          </w:p>
        </w:tc>
        <w:tc>
          <w:tcPr>
            <w:tcW w:w="2427"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0" w:line="240" w:lineRule="auto"/>
        <w:jc w:val="both"/>
        <w:rPr>
          <w:rFonts w:ascii="Times New Roman" w:hAnsi="Times New Roman"/>
          <w:sz w:val="24"/>
          <w:szCs w:val="24"/>
        </w:rPr>
      </w:pPr>
    </w:p>
    <w:p w:rsidR="00A8783E" w:rsidRPr="00A8783E" w:rsidRDefault="00A8783E" w:rsidP="00A8783E">
      <w:pPr>
        <w:spacing w:after="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 xml:space="preserve">6. Необходимост от промени в СФ за СЗЗ  </w:t>
      </w:r>
      <w:r w:rsidRPr="00A8783E">
        <w:rPr>
          <w:rFonts w:ascii="Times New Roman" w:hAnsi="Times New Roman"/>
          <w:b/>
          <w:bCs/>
          <w:sz w:val="24"/>
          <w:szCs w:val="24"/>
          <w:lang w:val="en-US" w:eastAsia="bg-BG"/>
        </w:rPr>
        <w:t>BG</w:t>
      </w:r>
      <w:r w:rsidRPr="00A8783E">
        <w:rPr>
          <w:rFonts w:ascii="Times New Roman" w:hAnsi="Times New Roman"/>
          <w:b/>
          <w:bCs/>
          <w:sz w:val="24"/>
          <w:szCs w:val="24"/>
          <w:lang w:eastAsia="bg-BG"/>
        </w:rPr>
        <w:t>0000241 „Сребърна“</w:t>
      </w:r>
    </w:p>
    <w:p w:rsidR="00A8783E" w:rsidRPr="00A8783E" w:rsidRDefault="00A8783E" w:rsidP="00A8783E">
      <w:pPr>
        <w:spacing w:after="0" w:line="240" w:lineRule="auto"/>
        <w:rPr>
          <w:rFonts w:ascii="Times New Roman" w:hAnsi="Times New Roman"/>
          <w:sz w:val="24"/>
          <w:szCs w:val="24"/>
          <w:lang w:eastAsia="bg-BG"/>
        </w:rPr>
      </w:pPr>
    </w:p>
    <w:p w:rsidR="00A8783E" w:rsidRPr="00A8783E" w:rsidRDefault="00A8783E" w:rsidP="00A8783E">
      <w:pPr>
        <w:spacing w:after="0" w:line="240" w:lineRule="auto"/>
        <w:rPr>
          <w:rFonts w:ascii="Times New Roman" w:hAnsi="Times New Roman"/>
          <w:sz w:val="24"/>
          <w:szCs w:val="24"/>
          <w:lang w:eastAsia="bg-BG"/>
        </w:rPr>
      </w:pPr>
      <w:r w:rsidRPr="00A8783E">
        <w:rPr>
          <w:rFonts w:ascii="Times New Roman" w:hAnsi="Times New Roman"/>
          <w:sz w:val="24"/>
          <w:szCs w:val="24"/>
          <w:lang w:eastAsia="bg-BG"/>
        </w:rPr>
        <w:t>Предвид наличната публикувана информация предлагаме добавяне в СФ на вида като зимуващ с численост 9-33 индивида, което е 0,6-0,8% от националната популация.</w:t>
      </w:r>
    </w:p>
    <w:p w:rsidR="00A8783E" w:rsidRPr="00A8783E" w:rsidRDefault="00A8783E" w:rsidP="00A8783E">
      <w:pPr>
        <w:spacing w:after="0" w:line="240" w:lineRule="auto"/>
        <w:rPr>
          <w:rFonts w:ascii="Times New Roman" w:hAnsi="Times New Roman"/>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
        <w:gridCol w:w="661"/>
        <w:gridCol w:w="1206"/>
        <w:gridCol w:w="328"/>
        <w:gridCol w:w="483"/>
        <w:gridCol w:w="181"/>
        <w:gridCol w:w="181"/>
        <w:gridCol w:w="572"/>
        <w:gridCol w:w="605"/>
        <w:gridCol w:w="594"/>
        <w:gridCol w:w="578"/>
        <w:gridCol w:w="839"/>
        <w:gridCol w:w="475"/>
        <w:gridCol w:w="475"/>
        <w:gridCol w:w="622"/>
        <w:gridCol w:w="522"/>
        <w:gridCol w:w="578"/>
      </w:tblGrid>
      <w:tr w:rsidR="00A8783E" w:rsidRPr="00A8783E" w:rsidTr="005B5318">
        <w:trPr>
          <w:trHeight w:val="356"/>
          <w:jc w:val="center"/>
        </w:trPr>
        <w:tc>
          <w:tcPr>
            <w:tcW w:w="0" w:type="auto"/>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lastRenderedPageBreak/>
              <w:t>Species</w:t>
            </w:r>
          </w:p>
        </w:tc>
        <w:tc>
          <w:tcPr>
            <w:tcW w:w="0" w:type="auto"/>
            <w:gridSpan w:val="7"/>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Population in the site</w:t>
            </w:r>
          </w:p>
        </w:tc>
        <w:tc>
          <w:tcPr>
            <w:tcW w:w="0" w:type="auto"/>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Site assessment</w:t>
            </w:r>
          </w:p>
        </w:tc>
      </w:tr>
      <w:tr w:rsidR="00A8783E" w:rsidRPr="00A8783E" w:rsidTr="005B5318">
        <w:trPr>
          <w:trHeight w:val="367"/>
          <w:jc w:val="center"/>
        </w:trPr>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lang w:eastAsia="en-GB"/>
              </w:rPr>
            </w:pPr>
            <w:r w:rsidRPr="00A8783E">
              <w:rPr>
                <w:rFonts w:ascii="Times New Roman" w:hAnsi="Times New Roman"/>
                <w:b/>
                <w:bCs/>
                <w:lang w:eastAsia="en-GB"/>
              </w:rPr>
              <w:t>G</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Code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Scientific Name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NP</w:t>
            </w:r>
          </w:p>
        </w:tc>
        <w:tc>
          <w:tcPr>
            <w:tcW w:w="0" w:type="auto"/>
            <w:gridSpan w:val="2"/>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T</w:t>
            </w: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Size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Unit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Cat.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D.qual.</w:t>
            </w: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A/B/C/D</w:t>
            </w:r>
          </w:p>
        </w:tc>
        <w:tc>
          <w:tcPr>
            <w:tcW w:w="0" w:type="auto"/>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A/B/C</w:t>
            </w:r>
          </w:p>
        </w:tc>
      </w:tr>
      <w:tr w:rsidR="00A8783E" w:rsidRPr="00A8783E" w:rsidTr="005B5318">
        <w:trPr>
          <w:trHeight w:val="108"/>
          <w:jc w:val="center"/>
        </w:trPr>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lang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gridSpan w:val="2"/>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Min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Max</w:t>
            </w: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Pop.</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Con.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Iso.</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Glo.</w:t>
            </w:r>
          </w:p>
        </w:tc>
      </w:tr>
      <w:tr w:rsidR="00A8783E" w:rsidRPr="00A8783E" w:rsidTr="005B5318">
        <w:trPr>
          <w:trHeight w:val="556"/>
          <w:jc w:val="center"/>
        </w:trPr>
        <w:tc>
          <w:tcPr>
            <w:tcW w:w="0" w:type="auto"/>
            <w:vAlign w:val="center"/>
          </w:tcPr>
          <w:p w:rsidR="00A8783E" w:rsidRPr="00A8783E" w:rsidRDefault="00A8783E" w:rsidP="00A8783E">
            <w:pPr>
              <w:spacing w:after="0" w:line="240" w:lineRule="auto"/>
              <w:jc w:val="both"/>
              <w:rPr>
                <w:rFonts w:ascii="Times New Roman" w:hAnsi="Times New Roman"/>
                <w:b/>
                <w:bCs/>
                <w:lang w:eastAsia="en-GB"/>
              </w:rPr>
            </w:pPr>
            <w:r w:rsidRPr="00A8783E">
              <w:rPr>
                <w:rFonts w:ascii="Times New Roman" w:hAnsi="Times New Roman"/>
                <w:b/>
                <w:bCs/>
                <w:lang w:eastAsia="en-GB"/>
              </w:rPr>
              <w:t>В</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A0</w:t>
            </w:r>
            <w:r w:rsidRPr="00A8783E">
              <w:rPr>
                <w:rFonts w:ascii="Times New Roman" w:hAnsi="Times New Roman"/>
                <w:b/>
                <w:bCs/>
                <w:color w:val="FF0000"/>
                <w:sz w:val="20"/>
                <w:szCs w:val="20"/>
              </w:rPr>
              <w:t>61</w:t>
            </w:r>
          </w:p>
        </w:tc>
        <w:tc>
          <w:tcPr>
            <w:tcW w:w="0" w:type="auto"/>
            <w:vAlign w:val="center"/>
          </w:tcPr>
          <w:p w:rsidR="00A8783E" w:rsidRPr="00A8783E" w:rsidRDefault="00A8783E" w:rsidP="00A8783E">
            <w:pPr>
              <w:spacing w:after="0" w:line="240" w:lineRule="auto"/>
              <w:rPr>
                <w:rFonts w:ascii="Times New Roman" w:hAnsi="Times New Roman"/>
                <w:b/>
                <w:bCs/>
                <w:i/>
                <w:iCs/>
                <w:color w:val="FF0000"/>
                <w:sz w:val="20"/>
                <w:szCs w:val="20"/>
                <w:lang w:val="en-US" w:eastAsia="en-GB"/>
              </w:rPr>
            </w:pPr>
            <w:r w:rsidRPr="00A8783E">
              <w:rPr>
                <w:rFonts w:ascii="Times New Roman" w:hAnsi="Times New Roman"/>
                <w:b/>
                <w:bCs/>
                <w:i/>
                <w:iCs/>
                <w:color w:val="FF0000"/>
                <w:sz w:val="20"/>
                <w:szCs w:val="20"/>
                <w:lang w:val="en-US"/>
              </w:rPr>
              <w:t>Aythya fuligula</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p>
        </w:tc>
        <w:tc>
          <w:tcPr>
            <w:tcW w:w="0" w:type="auto"/>
            <w:gridSpan w:val="2"/>
            <w:vAlign w:val="center"/>
          </w:tcPr>
          <w:p w:rsidR="00A8783E" w:rsidRPr="00A8783E" w:rsidRDefault="00A8783E" w:rsidP="00A8783E">
            <w:pPr>
              <w:spacing w:after="0" w:line="240" w:lineRule="auto"/>
              <w:rPr>
                <w:rFonts w:ascii="Times New Roman" w:hAnsi="Times New Roman"/>
                <w:b/>
                <w:bCs/>
                <w:color w:val="FF0000"/>
                <w:sz w:val="20"/>
                <w:szCs w:val="20"/>
                <w:lang w:val="en-US" w:eastAsia="en-GB"/>
              </w:rPr>
            </w:pPr>
            <w:r w:rsidRPr="00A8783E">
              <w:rPr>
                <w:rFonts w:ascii="Times New Roman" w:hAnsi="Times New Roman"/>
                <w:b/>
                <w:bCs/>
                <w:color w:val="FF0000"/>
                <w:sz w:val="20"/>
                <w:szCs w:val="20"/>
                <w:lang w:val="en-US"/>
              </w:rPr>
              <w:t>w</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9</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3</w:t>
            </w:r>
            <w:r w:rsidRPr="00A8783E">
              <w:rPr>
                <w:rFonts w:ascii="Times New Roman" w:hAnsi="Times New Roman"/>
                <w:b/>
                <w:bCs/>
                <w:color w:val="FF0000"/>
                <w:sz w:val="20"/>
                <w:szCs w:val="20"/>
              </w:rPr>
              <w:t>3</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val="en-US" w:eastAsia="en-GB"/>
              </w:rPr>
            </w:pPr>
            <w:r w:rsidRPr="00A8783E">
              <w:rPr>
                <w:rFonts w:ascii="Times New Roman" w:hAnsi="Times New Roman"/>
                <w:b/>
                <w:bCs/>
                <w:color w:val="FF0000"/>
                <w:sz w:val="20"/>
                <w:szCs w:val="20"/>
                <w:lang w:val="en-US"/>
              </w:rPr>
              <w:t>i</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G</w:t>
            </w:r>
          </w:p>
        </w:tc>
        <w:tc>
          <w:tcPr>
            <w:tcW w:w="0" w:type="auto"/>
            <w:gridSpan w:val="2"/>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C</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B</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C</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C</w:t>
            </w:r>
          </w:p>
        </w:tc>
      </w:tr>
    </w:tbl>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217" w:name="_Toc89106090"/>
      <w:bookmarkStart w:id="218" w:name="_Toc98741929"/>
      <w:bookmarkStart w:id="219" w:name="_Toc98838604"/>
      <w:r w:rsidRPr="00A8783E">
        <w:rPr>
          <w:rFonts w:ascii="Times New Roman" w:hAnsi="Times New Roman"/>
          <w:color w:val="1F497D"/>
          <w:sz w:val="28"/>
          <w:szCs w:val="28"/>
          <w:lang w:eastAsia="bg-BG"/>
        </w:rPr>
        <w:t xml:space="preserve">Специфични цели за А063 </w:t>
      </w:r>
      <w:r w:rsidRPr="00A8783E">
        <w:rPr>
          <w:rFonts w:ascii="Times New Roman" w:hAnsi="Times New Roman"/>
          <w:i/>
          <w:iCs/>
          <w:color w:val="1F497D"/>
          <w:sz w:val="28"/>
          <w:szCs w:val="28"/>
          <w:lang w:val="en-US" w:eastAsia="bg-BG"/>
        </w:rPr>
        <w:t>Somateria</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US" w:eastAsia="bg-BG"/>
        </w:rPr>
        <w:t>mollissima</w:t>
      </w:r>
      <w:r w:rsidRPr="00A8783E">
        <w:rPr>
          <w:rFonts w:ascii="Times New Roman" w:hAnsi="Times New Roman"/>
          <w:color w:val="1F497D"/>
          <w:sz w:val="28"/>
          <w:szCs w:val="28"/>
          <w:lang w:eastAsia="bg-BG"/>
        </w:rPr>
        <w:t xml:space="preserve"> (обикновена гага)</w:t>
      </w:r>
      <w:bookmarkEnd w:id="217"/>
      <w:bookmarkEnd w:id="218"/>
      <w:bookmarkEnd w:id="219"/>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Дължината на тялото 60-70 cm, размахът на крилата е 95-105 cm. В брачно оперение мъжките са с преобладаващо бяло оперение с черни корем, страни и задница. Главата е бяла с черно теме, тила и страните на главата, в областта на ушите са светлозелени. Човката е масивна, клиновидна. Женските са с канелено-кафяво оперение с тъмни раета, тъмно крилно огледало с бели окрайнини. В извънбрачно оперение мъжките са тъмни с бели надкрилия и раменни пера. При младите оперението е като възрастните женски, но без препаски и по-едноцветно кафяви (</w:t>
      </w:r>
      <w:r w:rsidRPr="00A8783E">
        <w:rPr>
          <w:rFonts w:ascii="Times New Roman" w:hAnsi="Times New Roman"/>
          <w:sz w:val="24"/>
          <w:szCs w:val="24"/>
          <w:lang w:val="en-US" w:eastAsia="bg-BG"/>
        </w:rPr>
        <w:t>Svensson</w:t>
      </w:r>
      <w:r w:rsidRPr="00A8783E">
        <w:rPr>
          <w:rFonts w:ascii="Times New Roman" w:hAnsi="Times New Roman"/>
          <w:sz w:val="24"/>
          <w:szCs w:val="24"/>
          <w:lang w:eastAsia="bg-BG"/>
        </w:rPr>
        <w:t xml:space="preserve">, 2009; Симеонов и др., 1990).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В България видът се среща вече през цялата година, макар че е твърде малочислен. Отделни екземпляри и малки ята от Черноморската популация в Украйна достигат до нашето Черноморие, където все по-често се наблюдава през зимата. Отделни екземпляри и ята от полово зрели птици остават и през лятото. Почти всички наблюдавани птици са били по Черноморското крайбрежие. Прониква вече и във вътрешни водоеми. По Дунавското крайбрежие, един екземпляр е наблюдаван в „Комплекс Калимок”. </w:t>
      </w:r>
      <w:r w:rsidRPr="00A8783E">
        <w:rPr>
          <w:rFonts w:ascii="Times New Roman" w:eastAsia="GroteskHSBg-Light" w:hAnsi="Times New Roman"/>
          <w:sz w:val="24"/>
          <w:szCs w:val="24"/>
          <w:lang w:eastAsia="bg-BG"/>
        </w:rPr>
        <w:t xml:space="preserve">Установен за фауната на България на 05.04.1964 г., двойка в морето северно от с. Резово, Бургаско. Единственото наблюдение, </w:t>
      </w:r>
      <w:r w:rsidRPr="00A8783E">
        <w:rPr>
          <w:rFonts w:ascii="Times New Roman" w:hAnsi="Times New Roman"/>
          <w:sz w:val="24"/>
          <w:szCs w:val="24"/>
          <w:lang w:eastAsia="bg-BG"/>
        </w:rPr>
        <w:t xml:space="preserve">което доказва гнезденето на вида в България е на 14.05.2007 г., женски екземпляр с 9 малки в пухово оперение наблюдавани да излизат от морето на плажа до северната част на Дуранкулашкото езеро (Симеонов и др., 1990; Нанкинов, 2012; Янков отг. ред., 2007).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 xml:space="preserve">Характерно местообитание </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Морски крайбрежия и острови със скалисти брегове. За Черноморската популация – острови с тръстикови обраствания. Подходящи местообитания според Директивата за хабитатите, по време на миграция и зимуване са основно 1110, 1130, 1150, 1160, 1170, 1240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Храни се предимно с животинска храна: дребни мекотели, охлюви, личинки на насекоми, ракообразни, дребна риба. При търсене на храната си се гмурка на дълбочина до 25 м. Почти не се храни с растителна храна. По бреговете на Северно море се храни обикновено с миди (Симеонов и др., 1990).</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eastAsia="GroteskHSBg-Light" w:hAnsi="Times New Roman"/>
          <w:sz w:val="24"/>
          <w:szCs w:val="24"/>
          <w:lang w:eastAsia="bg-BG"/>
        </w:rPr>
        <w:t>Разпространена е основно по Черноморското крайбрежие – местността Пода при Бургас, Шабленското и Дуранкулашкото езеро и нос Калиакра.</w:t>
      </w:r>
      <w:r w:rsidRPr="00A8783E">
        <w:rPr>
          <w:rFonts w:ascii="Times New Roman" w:hAnsi="Times New Roman"/>
          <w:sz w:val="24"/>
          <w:szCs w:val="24"/>
          <w:lang w:eastAsia="bg-BG"/>
        </w:rPr>
        <w:t xml:space="preserve"> (Янков отг. ред., 2007). </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 xml:space="preserve">Включен в Приложение ІІБ на Директивата за птиците.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вида е уязвим – </w:t>
      </w:r>
      <w:r w:rsidRPr="00A8783E">
        <w:rPr>
          <w:rFonts w:ascii="Times New Roman" w:hAnsi="Times New Roman"/>
          <w:sz w:val="24"/>
          <w:szCs w:val="24"/>
          <w:lang w:val="en-US" w:eastAsia="bg-BG"/>
        </w:rPr>
        <w:t>VU</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Vulnerable</w:t>
      </w:r>
      <w:r w:rsidRPr="00A8783E">
        <w:rPr>
          <w:rFonts w:ascii="Times New Roman" w:hAnsi="Times New Roman"/>
          <w:sz w:val="24"/>
          <w:szCs w:val="24"/>
          <w:lang w:eastAsia="bg-BG"/>
        </w:rPr>
        <w:t xml:space="preserve">) в Европа и почти застрашен – </w:t>
      </w:r>
      <w:r w:rsidRPr="00A8783E">
        <w:rPr>
          <w:rFonts w:ascii="Times New Roman" w:hAnsi="Times New Roman"/>
          <w:sz w:val="24"/>
          <w:szCs w:val="24"/>
          <w:lang w:val="en-US" w:eastAsia="bg-BG"/>
        </w:rPr>
        <w:t>NT</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Near</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threatened</w:t>
      </w:r>
      <w:r w:rsidRPr="00A8783E">
        <w:rPr>
          <w:rFonts w:ascii="Times New Roman" w:hAnsi="Times New Roman"/>
          <w:sz w:val="24"/>
          <w:szCs w:val="24"/>
          <w:lang w:eastAsia="bg-BG"/>
        </w:rPr>
        <w:t>) в световен мащаб. Включен в Приложение 3 на ЗБР.</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Съгласно Докладването от 2019 г. (за периода 2013 – 2018 г.) зимуващата популация е оценена на 1 – 5 индивида. Краткосрочната тенденция на популацията (за периода 2000 – 2018 г.) е флуктуираща, променлива, а дългосрочната (за периода 1980 – 2018 г.) е нарастваща. За зимуващата популация са посочени следните заплахи: К04.</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СФ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на вида се оценява на до </w:t>
      </w:r>
      <w:r w:rsidRPr="00A8783E">
        <w:rPr>
          <w:rFonts w:ascii="Times New Roman" w:hAnsi="Times New Roman"/>
          <w:b/>
          <w:bCs/>
          <w:sz w:val="24"/>
          <w:szCs w:val="24"/>
          <w:lang w:eastAsia="bg-BG"/>
        </w:rPr>
        <w:t>2 индивида</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40-100 %</w:t>
      </w:r>
      <w:r w:rsidRPr="00A8783E">
        <w:rPr>
          <w:rFonts w:ascii="Times New Roman" w:hAnsi="Times New Roman"/>
          <w:color w:val="000000"/>
          <w:sz w:val="24"/>
          <w:szCs w:val="24"/>
          <w:lang w:eastAsia="bg-BG"/>
        </w:rPr>
        <w:t xml:space="preserve"> </w:t>
      </w:r>
      <w:r w:rsidRPr="00A8783E">
        <w:rPr>
          <w:rFonts w:ascii="Times New Roman" w:hAnsi="Times New Roman"/>
          <w:sz w:val="24"/>
          <w:szCs w:val="24"/>
          <w:lang w:eastAsia="bg-BG"/>
        </w:rPr>
        <w:t>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4. Анализ на наличната информация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Рядък зимуващ вид. За периода 1997-2001 г. среднозимната численост на обикновената гага в страната е била 5 инд. Максималната отчетена численост е в яз. Ивайловград през 2001 г. – 19 инд. (</w:t>
      </w:r>
      <w:r w:rsidRPr="00A8783E">
        <w:rPr>
          <w:rFonts w:ascii="Times New Roman" w:hAnsi="Times New Roman"/>
          <w:sz w:val="24"/>
          <w:szCs w:val="24"/>
          <w:lang w:val="en-US" w:eastAsia="bg-BG"/>
        </w:rPr>
        <w:t>Michev</w:t>
      </w:r>
      <w:r w:rsidRPr="00A8783E">
        <w:rPr>
          <w:rFonts w:ascii="Times New Roman" w:hAnsi="Times New Roman"/>
          <w:sz w:val="24"/>
          <w:szCs w:val="24"/>
          <w:lang w:eastAsia="bg-BG"/>
        </w:rPr>
        <w:t xml:space="preserve"> &amp; </w:t>
      </w:r>
      <w:r w:rsidRPr="00A8783E">
        <w:rPr>
          <w:rFonts w:ascii="Times New Roman" w:hAnsi="Times New Roman"/>
          <w:sz w:val="24"/>
          <w:szCs w:val="24"/>
          <w:lang w:val="en-US" w:eastAsia="bg-BG"/>
        </w:rPr>
        <w:t>Profirov</w:t>
      </w:r>
      <w:r w:rsidRPr="00A8783E">
        <w:rPr>
          <w:rFonts w:ascii="Times New Roman" w:hAnsi="Times New Roman"/>
          <w:sz w:val="24"/>
          <w:szCs w:val="24"/>
          <w:lang w:eastAsia="bg-BG"/>
        </w:rPr>
        <w:t xml:space="preserve">, 2003). По време на среднозимните преброявания по целия български участък на р. Дунав през 2019 и 2020 г. видът не е бил наблюдаван. Няма данни в </w:t>
      </w:r>
      <w:r w:rsidRPr="00A8783E">
        <w:rPr>
          <w:rFonts w:ascii="Times New Roman" w:hAnsi="Times New Roman"/>
          <w:sz w:val="24"/>
          <w:szCs w:val="24"/>
          <w:lang w:val="en-US" w:eastAsia="bg-BG"/>
        </w:rPr>
        <w:t>observation</w:t>
      </w:r>
      <w:r w:rsidRPr="00A8783E">
        <w:rPr>
          <w:rFonts w:ascii="Times New Roman" w:hAnsi="Times New Roman"/>
          <w:sz w:val="24"/>
          <w:szCs w:val="24"/>
          <w:lang w:eastAsia="bg-BG"/>
        </w:rPr>
        <w:t>.</w:t>
      </w:r>
      <w:r w:rsidRPr="00A8783E">
        <w:rPr>
          <w:rFonts w:ascii="Times New Roman" w:hAnsi="Times New Roman"/>
          <w:sz w:val="24"/>
          <w:szCs w:val="24"/>
          <w:lang w:val="en-US" w:eastAsia="bg-BG"/>
        </w:rPr>
        <w:t>org</w:t>
      </w:r>
      <w:r w:rsidRPr="00A8783E">
        <w:rPr>
          <w:rFonts w:ascii="Times New Roman" w:hAnsi="Times New Roman"/>
          <w:sz w:val="24"/>
          <w:szCs w:val="24"/>
          <w:lang w:eastAsia="bg-BG"/>
        </w:rPr>
        <w:t xml:space="preserve"> видът да е бил регистриран в района на зоната. В </w:t>
      </w:r>
      <w:r w:rsidRPr="00A8783E">
        <w:rPr>
          <w:rFonts w:ascii="Times New Roman" w:hAnsi="Times New Roman"/>
          <w:sz w:val="24"/>
          <w:szCs w:val="24"/>
          <w:lang w:val="en-US" w:eastAsia="bg-BG"/>
        </w:rPr>
        <w:t>ebird</w:t>
      </w:r>
      <w:r w:rsidRPr="00A8783E">
        <w:rPr>
          <w:rFonts w:ascii="Times New Roman" w:hAnsi="Times New Roman"/>
          <w:sz w:val="24"/>
          <w:szCs w:val="24"/>
          <w:lang w:eastAsia="bg-BG"/>
        </w:rPr>
        <w:t>.</w:t>
      </w:r>
      <w:r w:rsidRPr="00A8783E">
        <w:rPr>
          <w:rFonts w:ascii="Times New Roman" w:hAnsi="Times New Roman"/>
          <w:sz w:val="24"/>
          <w:szCs w:val="24"/>
          <w:lang w:val="en-US" w:eastAsia="bg-BG"/>
        </w:rPr>
        <w:t>org</w:t>
      </w:r>
      <w:r w:rsidRPr="00A8783E">
        <w:rPr>
          <w:rFonts w:ascii="Times New Roman" w:hAnsi="Times New Roman"/>
          <w:sz w:val="24"/>
          <w:szCs w:val="24"/>
          <w:lang w:eastAsia="bg-BG"/>
        </w:rPr>
        <w:t xml:space="preserve"> има данни за наблюдение на 1 индивид в СЗЗ на 24.09.1988 г. (</w:t>
      </w:r>
      <w:r w:rsidRPr="00A8783E">
        <w:rPr>
          <w:rFonts w:ascii="Times New Roman" w:hAnsi="Times New Roman"/>
          <w:sz w:val="24"/>
          <w:szCs w:val="24"/>
          <w:lang w:val="en-US" w:eastAsia="bg-BG"/>
        </w:rPr>
        <w:t>D</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Mitev</w:t>
      </w:r>
      <w:r w:rsidRPr="00A8783E">
        <w:rPr>
          <w:rFonts w:ascii="Times New Roman" w:hAnsi="Times New Roman"/>
          <w:sz w:val="24"/>
          <w:szCs w:val="24"/>
          <w:lang w:eastAsia="bg-BG"/>
        </w:rPr>
        <w:t>).</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За зимуващата популация е посочена само една зпалаха при Докладването по чл. 12 от 2019 г.: </w:t>
      </w:r>
      <w:r w:rsidRPr="00A8783E">
        <w:rPr>
          <w:rFonts w:ascii="Times New Roman" w:hAnsi="Times New Roman"/>
          <w:sz w:val="24"/>
          <w:szCs w:val="24"/>
          <w:lang w:val="en-US" w:eastAsia="bg-BG"/>
        </w:rPr>
        <w:t>K</w:t>
      </w:r>
      <w:r w:rsidRPr="00A8783E">
        <w:rPr>
          <w:rFonts w:ascii="Times New Roman" w:hAnsi="Times New Roman"/>
          <w:sz w:val="24"/>
          <w:szCs w:val="24"/>
          <w:lang w:eastAsia="bg-BG"/>
        </w:rPr>
        <w:t>04-</w:t>
      </w:r>
      <w:r w:rsidRPr="00A8783E">
        <w:rPr>
          <w:rFonts w:ascii="Times New Roman" w:hAnsi="Times New Roman"/>
          <w:sz w:val="24"/>
          <w:szCs w:val="24"/>
        </w:rPr>
        <w:t xml:space="preserve"> Изменение на хидродинамичните характеристики</w:t>
      </w:r>
      <w:r w:rsidRPr="00A8783E">
        <w:rPr>
          <w:rFonts w:ascii="Times New Roman" w:hAnsi="Times New Roman"/>
          <w:sz w:val="24"/>
          <w:szCs w:val="24"/>
          <w:lang w:eastAsia="bg-BG"/>
        </w:rPr>
        <w:t>. Смятаме, че тази заплаха не е валидна за вида по време на зимуване в зоната. Заплахи за вида в зоната могат да бъдат риболов с мрежени уреди (G12- Прилов и инцидентно убиване (при риболовни дейности), пожари в тръстиковите масиви.</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139"/>
        <w:gridCol w:w="1276"/>
        <w:gridCol w:w="2692"/>
        <w:gridCol w:w="2548"/>
      </w:tblGrid>
      <w:tr w:rsidR="00A8783E" w:rsidRPr="00A8783E" w:rsidTr="005B5318">
        <w:trPr>
          <w:trHeight w:val="99"/>
          <w:tblHeader/>
          <w:jc w:val="center"/>
        </w:trPr>
        <w:tc>
          <w:tcPr>
            <w:tcW w:w="169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139"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27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692"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548"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trHeight w:val="99"/>
          <w:jc w:val="center"/>
        </w:trPr>
        <w:tc>
          <w:tcPr>
            <w:tcW w:w="1696" w:type="dxa"/>
          </w:tcPr>
          <w:p w:rsidR="00A8783E" w:rsidRPr="00A8783E" w:rsidRDefault="00A8783E" w:rsidP="00A8783E">
            <w:pPr>
              <w:spacing w:after="0" w:line="240" w:lineRule="auto"/>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зимуващата популация</w:t>
            </w:r>
          </w:p>
        </w:tc>
        <w:tc>
          <w:tcPr>
            <w:tcW w:w="1139"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Брой индивиди</w:t>
            </w:r>
          </w:p>
        </w:tc>
        <w:tc>
          <w:tcPr>
            <w:tcW w:w="127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най-малко 2 инд.</w:t>
            </w:r>
          </w:p>
        </w:tc>
        <w:tc>
          <w:tcPr>
            <w:tcW w:w="2692"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В настоящия СФ (актуализиран през 2018 г.) за зимуващата популация е посочена численост до 2 инд. Липсват актуални публикувани данни за числеността на зимуващите обикновени гаги в зоната.</w:t>
            </w:r>
          </w:p>
        </w:tc>
        <w:tc>
          <w:tcPr>
            <w:tcW w:w="2548"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Да се извършва редовен мониторинг на зимуващите индивиди от вида в защитената зона.</w:t>
            </w:r>
          </w:p>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Количеството на зимуващите птици ще зависи от климатичните условия.</w:t>
            </w:r>
          </w:p>
        </w:tc>
      </w:tr>
      <w:tr w:rsidR="00A8783E" w:rsidRPr="00A8783E" w:rsidTr="005B5318">
        <w:trPr>
          <w:trHeight w:val="99"/>
          <w:jc w:val="center"/>
        </w:trPr>
        <w:tc>
          <w:tcPr>
            <w:tcW w:w="169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 xml:space="preserve">Площ на подходящите хранителни местообитания на вида </w:t>
            </w:r>
          </w:p>
        </w:tc>
        <w:tc>
          <w:tcPr>
            <w:tcW w:w="1139"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ha</w:t>
            </w:r>
          </w:p>
        </w:tc>
        <w:tc>
          <w:tcPr>
            <w:tcW w:w="127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най-малко 275</w:t>
            </w:r>
          </w:p>
        </w:tc>
        <w:tc>
          <w:tcPr>
            <w:tcW w:w="2692"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Площта е изчислена на база данните от СФ като % на местообитание N06 - вътрешни водни тела.</w:t>
            </w:r>
          </w:p>
        </w:tc>
        <w:tc>
          <w:tcPr>
            <w:tcW w:w="2548"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Поддържане на площта на подходящите хранителни местообитания на вида в размер най-малко 275 ha чрез поддържане на оптимално ниво на водата в езерото.</w:t>
            </w:r>
          </w:p>
        </w:tc>
      </w:tr>
      <w:tr w:rsidR="00A8783E" w:rsidRPr="00A8783E" w:rsidTr="005B5318">
        <w:trPr>
          <w:trHeight w:val="900"/>
          <w:jc w:val="center"/>
        </w:trPr>
        <w:tc>
          <w:tcPr>
            <w:tcW w:w="1696"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b/>
                <w:bCs/>
                <w:lang w:eastAsia="bg-BG"/>
              </w:rPr>
              <w:lastRenderedPageBreak/>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 по биологичен елемент водни безгръбначни (JDS4-Aquatic Macroinvertebrates) и риби (</w:t>
            </w:r>
            <w:r w:rsidRPr="00A8783E">
              <w:rPr>
                <w:rFonts w:ascii="Times New Roman" w:hAnsi="Times New Roman"/>
                <w:lang w:val="en-US" w:eastAsia="bg-BG"/>
              </w:rPr>
              <w:t>JDS</w:t>
            </w:r>
            <w:r w:rsidRPr="00A8783E">
              <w:rPr>
                <w:rFonts w:ascii="Times New Roman" w:hAnsi="Times New Roman"/>
                <w:lang w:eastAsia="bg-BG"/>
              </w:rPr>
              <w:t>4-</w:t>
            </w:r>
            <w:r w:rsidRPr="00A8783E">
              <w:rPr>
                <w:rFonts w:ascii="Times New Roman" w:hAnsi="Times New Roman"/>
                <w:lang w:val="en-US" w:eastAsia="bg-BG"/>
              </w:rPr>
              <w:t>Fish</w:t>
            </w:r>
            <w:r w:rsidRPr="00A8783E">
              <w:rPr>
                <w:rFonts w:ascii="Times New Roman" w:hAnsi="Times New Roman"/>
                <w:lang w:eastAsia="bg-BG"/>
              </w:rPr>
              <w:t>)</w:t>
            </w:r>
          </w:p>
        </w:tc>
        <w:tc>
          <w:tcPr>
            <w:tcW w:w="1139"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w:t>
            </w:r>
          </w:p>
        </w:tc>
        <w:tc>
          <w:tcPr>
            <w:tcW w:w="1276"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1-Отлично/2-Добро</w:t>
            </w:r>
          </w:p>
        </w:tc>
        <w:tc>
          <w:tcPr>
            <w:tcW w:w="2692" w:type="dxa"/>
          </w:tcPr>
          <w:tbl>
            <w:tblPr>
              <w:tblW w:w="4164" w:type="dxa"/>
              <w:tblInd w:w="3" w:type="dxa"/>
              <w:tblLayout w:type="fixed"/>
              <w:tblCellMar>
                <w:left w:w="70" w:type="dxa"/>
                <w:right w:w="70" w:type="dxa"/>
              </w:tblCellMar>
              <w:tblLook w:val="00A0" w:firstRow="1" w:lastRow="0" w:firstColumn="1" w:lastColumn="0" w:noHBand="0" w:noVBand="0"/>
            </w:tblPr>
            <w:tblGrid>
              <w:gridCol w:w="4164"/>
            </w:tblGrid>
            <w:tr w:rsidR="00A8783E" w:rsidRPr="00A8783E" w:rsidTr="005B5318">
              <w:trPr>
                <w:trHeight w:val="25"/>
              </w:trPr>
              <w:tc>
                <w:tcPr>
                  <w:tcW w:w="4164"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before="100" w:beforeAutospacing="1" w:after="0" w:line="240" w:lineRule="auto"/>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1-Отлично - High</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2-Добро - Good</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3-Умерено - Moderate</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4-Лошо - Poor</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5-Много лошо - Bad</w:t>
                  </w:r>
                </w:p>
              </w:tc>
            </w:tr>
          </w:tbl>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Екологичното състояние на водите на р. Дунав в пункт „Силистра“ е оценено на </w:t>
            </w:r>
            <w:r w:rsidRPr="00A8783E">
              <w:rPr>
                <w:rFonts w:ascii="Times New Roman" w:hAnsi="Times New Roman"/>
                <w:b/>
                <w:bCs/>
                <w:lang w:eastAsia="bg-BG"/>
              </w:rPr>
              <w:t>умерено (3)</w:t>
            </w:r>
            <w:r w:rsidRPr="00A8783E">
              <w:rPr>
                <w:rFonts w:ascii="Times New Roman" w:hAnsi="Times New Roman"/>
                <w:lang w:eastAsia="bg-BG"/>
              </w:rPr>
              <w:t xml:space="preserve"> според доклада на JDS4 (2019-2020, табл. 1, стр. 62, табл. 5, стр. 51). Според данните от биологичния мониторинг на повърхностните води през 2020 г. ЕС на ез. Сребърна е определено като </w:t>
            </w:r>
            <w:r w:rsidRPr="00A8783E">
              <w:rPr>
                <w:rFonts w:ascii="Times New Roman" w:hAnsi="Times New Roman"/>
                <w:b/>
                <w:bCs/>
                <w:lang w:eastAsia="bg-BG"/>
              </w:rPr>
              <w:t>Отлично</w:t>
            </w:r>
            <w:r w:rsidRPr="00A8783E">
              <w:rPr>
                <w:rFonts w:ascii="Times New Roman" w:hAnsi="Times New Roman"/>
                <w:lang w:eastAsia="bg-BG"/>
              </w:rPr>
              <w:t xml:space="preserve"> по БЕК Макрозообентос, а по по БЕК Риби е оценено като „</w:t>
            </w:r>
            <w:r w:rsidRPr="00A8783E">
              <w:rPr>
                <w:rFonts w:ascii="Times New Roman" w:hAnsi="Times New Roman"/>
                <w:b/>
                <w:bCs/>
                <w:lang w:eastAsia="bg-BG"/>
              </w:rPr>
              <w:t>Умерено</w:t>
            </w:r>
            <w:r w:rsidRPr="00A8783E">
              <w:rPr>
                <w:rFonts w:ascii="Times New Roman" w:hAnsi="Times New Roman"/>
                <w:lang w:eastAsia="bg-BG"/>
              </w:rPr>
              <w:t>“.</w:t>
            </w:r>
          </w:p>
        </w:tc>
        <w:tc>
          <w:tcPr>
            <w:tcW w:w="2548"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220" w:name="_Toc89106091"/>
      <w:bookmarkStart w:id="221" w:name="_Toc98741930"/>
      <w:bookmarkStart w:id="222" w:name="_Toc98838605"/>
      <w:r w:rsidRPr="00A8783E">
        <w:rPr>
          <w:rFonts w:ascii="Times New Roman" w:hAnsi="Times New Roman"/>
          <w:color w:val="1F497D"/>
          <w:sz w:val="28"/>
          <w:szCs w:val="28"/>
          <w:lang w:eastAsia="bg-BG"/>
        </w:rPr>
        <w:t xml:space="preserve">Специфични цели за А064 </w:t>
      </w:r>
      <w:r w:rsidRPr="00A8783E">
        <w:rPr>
          <w:rFonts w:ascii="Times New Roman" w:hAnsi="Times New Roman"/>
          <w:i/>
          <w:iCs/>
          <w:color w:val="1F497D"/>
          <w:sz w:val="28"/>
          <w:szCs w:val="28"/>
          <w:lang w:val="en-US" w:eastAsia="bg-BG"/>
        </w:rPr>
        <w:t>Clangula</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US" w:eastAsia="bg-BG"/>
        </w:rPr>
        <w:t>hyemalis</w:t>
      </w:r>
      <w:r w:rsidRPr="00A8783E">
        <w:rPr>
          <w:rFonts w:ascii="Times New Roman" w:hAnsi="Times New Roman"/>
          <w:color w:val="1F497D"/>
          <w:sz w:val="28"/>
          <w:szCs w:val="28"/>
          <w:lang w:eastAsia="bg-BG"/>
        </w:rPr>
        <w:t xml:space="preserve"> (ледена потапница)</w:t>
      </w:r>
      <w:bookmarkEnd w:id="220"/>
      <w:bookmarkEnd w:id="221"/>
      <w:bookmarkEnd w:id="222"/>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Дължината на тялото е 58-60 cm (включително дългите опашни пера), размахът на крилата - 73-79 cm. В брачно оперение мъжките са с преобладаващо кафяво черно оперение със сиво-бели страни, задница и бяло петно отстрани на главата. Плещите са с ръждиво-жълти окрайнини на перата. Опашните пера са удължени. Женските наподобяват мъжките в брачно оперение, но са без удължените опашни пера, цветовете са по-убити, бялото петно отстрани на главата е по-тясно. Има бяла яка. В извънбрачно оперение мъжките са с много по-бяло оперение. Мантията, плещите, шията и главата са бели. Отстрани на главата в долната част и горната част отстрани на шията са с тъмно петно. При женските през зимата главата е по-светла – светло-кремава с тъмно черно-сиво теме. При младите оперението е като възрастните женски, но с по-малко тъмно петно отстрани на главата, по-тъмни раменни пера и без ясна бяла яка (</w:t>
      </w:r>
      <w:r w:rsidRPr="00A8783E">
        <w:rPr>
          <w:rFonts w:ascii="Times New Roman" w:hAnsi="Times New Roman"/>
          <w:sz w:val="24"/>
          <w:szCs w:val="24"/>
          <w:lang w:val="en-US" w:eastAsia="bg-BG"/>
        </w:rPr>
        <w:t>Svensson</w:t>
      </w:r>
      <w:r w:rsidRPr="00A8783E">
        <w:rPr>
          <w:rFonts w:ascii="Times New Roman" w:hAnsi="Times New Roman"/>
          <w:sz w:val="24"/>
          <w:szCs w:val="24"/>
          <w:lang w:eastAsia="bg-BG"/>
        </w:rPr>
        <w:t xml:space="preserve">, 2009; Нанкинов и др., 1997).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В България, както и на Балканския полуостров видът се среща рядко през зимата по морското крайбрежие и р. Дунав. Среща се от ноември до април. У нас зимуват отделни инвиди отклонили се от основните миграционни пътища. Те принадлежат към скандинавската популация или Западен Сибир. Възможно е видът да разширява зимния си ареал. На Балканския полуостров и в България достигат птици от основното зимовище на Балтийско море при сурови зими (Нанкинов и др., 1997; Нанкинов, 2012).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 xml:space="preserve">Характерно местообитание </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lastRenderedPageBreak/>
        <w:t>Зимуващи или мигриращи ледени потапници могат да се наблюдават в различни водоеми, но основно по морското крайбрежие, заливи, реки, язовири, баластиери и езера. Подходящи местообитания според Директивата за хабитатите, по време на миграция и зимуване са основно 1110, 1130, 1150, 1160, 1170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Храни се предимно с ракообразни и мекотели. През зимата доминират мекотелите.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eastAsia="GroteskHSBg-Light" w:hAnsi="Times New Roman"/>
          <w:sz w:val="24"/>
          <w:szCs w:val="24"/>
          <w:lang w:eastAsia="bg-BG"/>
        </w:rPr>
        <w:t xml:space="preserve">Разпространена е основно по Черноморското крайбрежие. За първи път е наблюдавана през 1976 г. до с. Шкорпиловци. През последните години е установена и в сладководни водоеми и във вътрешността на странат и по р. Дунав. Най-голямото ято наблюдавано досега е през месец февруари 1989 г. в Бургаския залив – 53 птици </w:t>
      </w:r>
      <w:r w:rsidRPr="00A8783E">
        <w:rPr>
          <w:rFonts w:ascii="Times New Roman" w:hAnsi="Times New Roman"/>
          <w:sz w:val="24"/>
          <w:szCs w:val="24"/>
          <w:lang w:eastAsia="bg-BG"/>
        </w:rPr>
        <w:t xml:space="preserve">(Нанкинов и др., 1997). </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Включен в Приложение ІІБ на Директивата за птиците.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вида е уязвим – </w:t>
      </w:r>
      <w:r w:rsidRPr="00A8783E">
        <w:rPr>
          <w:rFonts w:ascii="Times New Roman" w:hAnsi="Times New Roman"/>
          <w:sz w:val="24"/>
          <w:szCs w:val="24"/>
          <w:lang w:val="en-US" w:eastAsia="bg-BG"/>
        </w:rPr>
        <w:t>VU</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Vulnerable</w:t>
      </w:r>
      <w:r w:rsidRPr="00A8783E">
        <w:rPr>
          <w:rFonts w:ascii="Times New Roman" w:hAnsi="Times New Roman"/>
          <w:sz w:val="24"/>
          <w:szCs w:val="24"/>
          <w:lang w:eastAsia="bg-BG"/>
        </w:rPr>
        <w:t>). Включен в Приложение 3 на ЗБР.</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Докладването от 2019 г. (за периода 2013 – 2018 г.)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е оценена на 0 – 4 индивида. Краткосрочната тенденция на популацията (за периода 2000 – 2018 г.) е неизвестна, а дългосрочната (за периода 1980 – 2018 г.) е флуктуираща, променлива. За зимуващата популация са посочени следните заплахи: К04.</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Според СФ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на вида се оценява на до </w:t>
      </w:r>
      <w:r w:rsidRPr="00A8783E">
        <w:rPr>
          <w:rFonts w:ascii="Times New Roman" w:hAnsi="Times New Roman"/>
          <w:b/>
          <w:bCs/>
          <w:sz w:val="24"/>
          <w:szCs w:val="24"/>
          <w:lang w:eastAsia="bg-BG"/>
        </w:rPr>
        <w:t>6 индивида</w:t>
      </w:r>
      <w:r w:rsidRPr="00A8783E">
        <w:rPr>
          <w:rFonts w:ascii="Times New Roman" w:hAnsi="Times New Roman"/>
          <w:sz w:val="24"/>
          <w:szCs w:val="24"/>
          <w:lang w:eastAsia="bg-BG"/>
        </w:rPr>
        <w:t xml:space="preserve"> (оценка „</w:t>
      </w:r>
      <w:r w:rsidRPr="00A8783E">
        <w:rPr>
          <w:rFonts w:ascii="Times New Roman" w:hAnsi="Times New Roman"/>
          <w:sz w:val="24"/>
          <w:szCs w:val="24"/>
          <w:lang w:val="en-US" w:eastAsia="bg-BG"/>
        </w:rPr>
        <w:t>A</w:t>
      </w:r>
      <w:r w:rsidRPr="00A8783E">
        <w:rPr>
          <w:rFonts w:ascii="Times New Roman" w:hAnsi="Times New Roman"/>
          <w:sz w:val="24"/>
          <w:szCs w:val="24"/>
          <w:lang w:eastAsia="bg-BG"/>
        </w:rPr>
        <w:t>“). Посочената зимуваща численост е по-висока от националната. Опазването на вида е отлично (оценка „</w:t>
      </w:r>
      <w:r w:rsidRPr="00A8783E">
        <w:rPr>
          <w:rFonts w:ascii="Times New Roman" w:hAnsi="Times New Roman"/>
          <w:sz w:val="24"/>
          <w:szCs w:val="24"/>
          <w:lang w:val="en-US" w:eastAsia="bg-BG"/>
        </w:rPr>
        <w:t>A</w:t>
      </w:r>
      <w:r w:rsidRPr="00A8783E">
        <w:rPr>
          <w:rFonts w:ascii="Times New Roman" w:hAnsi="Times New Roman"/>
          <w:sz w:val="24"/>
          <w:szCs w:val="24"/>
          <w:lang w:eastAsia="bg-BG"/>
        </w:rPr>
        <w:t>“), популацията не е изолирана в рамките на разширен ареал (оценка „С“). Общата оценка на стойността на зоната за съхранение на вида е „</w:t>
      </w:r>
      <w:r w:rsidRPr="00A8783E">
        <w:rPr>
          <w:rFonts w:ascii="Times New Roman" w:hAnsi="Times New Roman"/>
          <w:sz w:val="24"/>
          <w:szCs w:val="24"/>
          <w:lang w:val="en-US" w:eastAsia="bg-BG"/>
        </w:rPr>
        <w:t>A</w:t>
      </w:r>
      <w:r w:rsidRPr="00A8783E">
        <w:rPr>
          <w:rFonts w:ascii="Times New Roman" w:hAnsi="Times New Roman"/>
          <w:sz w:val="24"/>
          <w:szCs w:val="24"/>
          <w:lang w:eastAsia="bg-BG"/>
        </w:rPr>
        <w:t>“ – отлична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4. Анализ на наличната информация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Видът се среща рядко през зимата по Черноморското крайбрежие и р. Дунав. Според Нанкинов и др. (1997) най-голямото ято зимуващи ледени потапници в България е наблюдавано в Бургаския залив през 1989 г. – 53 инд. За периода 1977-2001 г. среднозимната численост на вида по поречието на р. Дунав е 2 инд. През 1982 г. е отчетена максимална численост в участъка Свищов-Русе – 57 инд. Не е наблюдавана в ез. Сребърна (</w:t>
      </w:r>
      <w:r w:rsidRPr="00A8783E">
        <w:rPr>
          <w:rFonts w:ascii="Times New Roman" w:hAnsi="Times New Roman"/>
          <w:sz w:val="24"/>
          <w:szCs w:val="24"/>
          <w:lang w:val="en-US" w:eastAsia="bg-BG"/>
        </w:rPr>
        <w:t>Michev</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and</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Profirov</w:t>
      </w:r>
      <w:r w:rsidRPr="00A8783E">
        <w:rPr>
          <w:rFonts w:ascii="Times New Roman" w:hAnsi="Times New Roman"/>
          <w:sz w:val="24"/>
          <w:szCs w:val="24"/>
          <w:lang w:eastAsia="bg-BG"/>
        </w:rPr>
        <w:t xml:space="preserve">, 2003). В периода 2008-2013 г. вида също не е отчетен като зимуващ в зоната. По време на среднозимни преброявания по целия български участък на р. Дунав през 2019 и 2020 г. видът не е бил наблюдаван. В </w:t>
      </w:r>
      <w:r w:rsidRPr="00A8783E">
        <w:rPr>
          <w:rFonts w:ascii="Times New Roman" w:hAnsi="Times New Roman"/>
          <w:sz w:val="24"/>
          <w:szCs w:val="24"/>
          <w:lang w:val="en-US" w:eastAsia="bg-BG"/>
        </w:rPr>
        <w:t>ebird</w:t>
      </w:r>
      <w:r w:rsidRPr="00A8783E">
        <w:rPr>
          <w:rFonts w:ascii="Times New Roman" w:hAnsi="Times New Roman"/>
          <w:sz w:val="24"/>
          <w:szCs w:val="24"/>
          <w:lang w:eastAsia="bg-BG"/>
        </w:rPr>
        <w:t>.</w:t>
      </w:r>
      <w:r w:rsidRPr="00A8783E">
        <w:rPr>
          <w:rFonts w:ascii="Times New Roman" w:hAnsi="Times New Roman"/>
          <w:sz w:val="24"/>
          <w:szCs w:val="24"/>
          <w:lang w:val="en-US" w:eastAsia="bg-BG"/>
        </w:rPr>
        <w:t>org</w:t>
      </w:r>
      <w:r w:rsidRPr="00A8783E">
        <w:rPr>
          <w:rFonts w:ascii="Times New Roman" w:hAnsi="Times New Roman"/>
          <w:sz w:val="24"/>
          <w:szCs w:val="24"/>
          <w:lang w:eastAsia="bg-BG"/>
        </w:rPr>
        <w:t xml:space="preserve"> и </w:t>
      </w:r>
      <w:r w:rsidRPr="00A8783E">
        <w:rPr>
          <w:rFonts w:ascii="Times New Roman" w:hAnsi="Times New Roman"/>
          <w:sz w:val="24"/>
          <w:szCs w:val="24"/>
          <w:lang w:val="en-US" w:eastAsia="bg-BG"/>
        </w:rPr>
        <w:t>observation</w:t>
      </w:r>
      <w:r w:rsidRPr="00A8783E">
        <w:rPr>
          <w:rFonts w:ascii="Times New Roman" w:hAnsi="Times New Roman"/>
          <w:sz w:val="24"/>
          <w:szCs w:val="24"/>
          <w:lang w:eastAsia="bg-BG"/>
        </w:rPr>
        <w:t>.</w:t>
      </w:r>
      <w:r w:rsidRPr="00A8783E">
        <w:rPr>
          <w:rFonts w:ascii="Times New Roman" w:hAnsi="Times New Roman"/>
          <w:sz w:val="24"/>
          <w:szCs w:val="24"/>
          <w:lang w:val="en-US" w:eastAsia="bg-BG"/>
        </w:rPr>
        <w:t>org</w:t>
      </w:r>
      <w:r w:rsidRPr="00A8783E">
        <w:rPr>
          <w:rFonts w:ascii="Times New Roman" w:hAnsi="Times New Roman"/>
          <w:sz w:val="24"/>
          <w:szCs w:val="24"/>
          <w:lang w:eastAsia="bg-BG"/>
        </w:rPr>
        <w:t xml:space="preserve"> няма данни видът да е бил регистриран в района на защитената зона.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За зимуващата популация е посочена само една зпалаха при Докладването по чл. 12 от 2019 г.: K04- Изменение на хидродинамичните характеристики. Смятаме, че тази заплаха не е валидна за вида по време на зимуване в зоната. Заплахи за вида в зоната могат да бъдат риболов с мрежени уреди (G12- Прилов и инцидентно убиване (при риболовни дейности), пожари в тръстиковите масиви.</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6"/>
        <w:gridCol w:w="1134"/>
        <w:gridCol w:w="1418"/>
        <w:gridCol w:w="2728"/>
        <w:gridCol w:w="2297"/>
      </w:tblGrid>
      <w:tr w:rsidR="00A8783E" w:rsidRPr="00A8783E" w:rsidTr="005B5318">
        <w:trPr>
          <w:trHeight w:val="99"/>
          <w:tblHeader/>
          <w:jc w:val="center"/>
        </w:trPr>
        <w:tc>
          <w:tcPr>
            <w:tcW w:w="166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13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418"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2728"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297"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trHeight w:val="99"/>
          <w:jc w:val="center"/>
        </w:trPr>
        <w:tc>
          <w:tcPr>
            <w:tcW w:w="1666" w:type="dxa"/>
          </w:tcPr>
          <w:p w:rsidR="00A8783E" w:rsidRPr="00A8783E" w:rsidRDefault="00A8783E" w:rsidP="00A8783E">
            <w:pPr>
              <w:spacing w:after="0" w:line="240" w:lineRule="auto"/>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lastRenderedPageBreak/>
              <w:t>Размер на зимуващата популация</w:t>
            </w:r>
          </w:p>
        </w:tc>
        <w:tc>
          <w:tcPr>
            <w:tcW w:w="113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lastRenderedPageBreak/>
              <w:t xml:space="preserve">Брой </w:t>
            </w:r>
            <w:r w:rsidRPr="00A8783E">
              <w:rPr>
                <w:rFonts w:ascii="Times New Roman" w:hAnsi="Times New Roman"/>
                <w:lang w:eastAsia="bg-BG"/>
              </w:rPr>
              <w:lastRenderedPageBreak/>
              <w:t>индивиди</w:t>
            </w:r>
          </w:p>
        </w:tc>
        <w:tc>
          <w:tcPr>
            <w:tcW w:w="1418"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lastRenderedPageBreak/>
              <w:t xml:space="preserve">Най-малко 1 </w:t>
            </w:r>
            <w:r w:rsidRPr="00A8783E">
              <w:rPr>
                <w:rFonts w:ascii="Times New Roman" w:hAnsi="Times New Roman"/>
                <w:lang w:eastAsia="bg-BG"/>
              </w:rPr>
              <w:lastRenderedPageBreak/>
              <w:t>инд.</w:t>
            </w:r>
          </w:p>
        </w:tc>
        <w:tc>
          <w:tcPr>
            <w:tcW w:w="2728"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lastRenderedPageBreak/>
              <w:t xml:space="preserve">На базата на наличната </w:t>
            </w:r>
            <w:r w:rsidRPr="00A8783E">
              <w:rPr>
                <w:rFonts w:ascii="Times New Roman" w:hAnsi="Times New Roman"/>
                <w:lang w:eastAsia="bg-BG"/>
              </w:rPr>
              <w:lastRenderedPageBreak/>
              <w:t xml:space="preserve">информация за зимуваща численост на вида в зоната смятаме, че настоящата е завишена, даже по-висока от националната оценка. Предлагаме промяна на зимуващата численост на 1-2 инд. </w:t>
            </w:r>
          </w:p>
        </w:tc>
        <w:tc>
          <w:tcPr>
            <w:tcW w:w="2297"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lastRenderedPageBreak/>
              <w:t xml:space="preserve">Да се извършва </w:t>
            </w:r>
            <w:r w:rsidRPr="00A8783E">
              <w:rPr>
                <w:rFonts w:ascii="Times New Roman" w:hAnsi="Times New Roman"/>
                <w:lang w:eastAsia="bg-BG"/>
              </w:rPr>
              <w:lastRenderedPageBreak/>
              <w:t>редовен мониторинг на зимуващите индивиди от вида в защитената зона през периода декември-февруари всяка година.</w:t>
            </w:r>
          </w:p>
          <w:p w:rsidR="00A8783E" w:rsidRPr="00A8783E" w:rsidRDefault="00A8783E" w:rsidP="00A8783E">
            <w:pPr>
              <w:spacing w:after="0" w:line="240" w:lineRule="auto"/>
              <w:rPr>
                <w:rFonts w:ascii="Times New Roman" w:hAnsi="Times New Roman"/>
                <w:lang w:eastAsia="bg-BG"/>
              </w:rPr>
            </w:pPr>
          </w:p>
        </w:tc>
      </w:tr>
      <w:tr w:rsidR="00A8783E" w:rsidRPr="00A8783E" w:rsidTr="005B5318">
        <w:trPr>
          <w:trHeight w:val="99"/>
          <w:jc w:val="center"/>
        </w:trPr>
        <w:tc>
          <w:tcPr>
            <w:tcW w:w="166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b/>
                <w:bCs/>
                <w:lang w:eastAsia="bg-BG"/>
              </w:rPr>
              <w:lastRenderedPageBreak/>
              <w:t xml:space="preserve">Местообитание на вида: </w:t>
            </w:r>
            <w:r w:rsidRPr="00A8783E">
              <w:rPr>
                <w:rFonts w:ascii="Times New Roman" w:hAnsi="Times New Roman"/>
                <w:lang w:eastAsia="bg-BG"/>
              </w:rPr>
              <w:t xml:space="preserve">Площ на подходящите хранителни местообитания на вида </w:t>
            </w:r>
          </w:p>
        </w:tc>
        <w:tc>
          <w:tcPr>
            <w:tcW w:w="113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ha</w:t>
            </w:r>
          </w:p>
        </w:tc>
        <w:tc>
          <w:tcPr>
            <w:tcW w:w="1418"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най-малко 275</w:t>
            </w:r>
          </w:p>
        </w:tc>
        <w:tc>
          <w:tcPr>
            <w:tcW w:w="2728"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Площта е изчислена на база данните от СФ като % на местообитание N06 - вътрешни водни тела.</w:t>
            </w:r>
          </w:p>
        </w:tc>
        <w:tc>
          <w:tcPr>
            <w:tcW w:w="2297"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Поддържане на площта на подходящите хранителни местообитания на вида в размер най-малко 275 ha.</w:t>
            </w:r>
            <w:r w:rsidRPr="00A8783E">
              <w:rPr>
                <w:rFonts w:cs="Calibri"/>
              </w:rPr>
              <w:t xml:space="preserve"> </w:t>
            </w:r>
            <w:r w:rsidRPr="00A8783E">
              <w:rPr>
                <w:rFonts w:ascii="Times New Roman" w:hAnsi="Times New Roman"/>
                <w:lang w:eastAsia="bg-BG"/>
              </w:rPr>
              <w:t xml:space="preserve">чрез поддържане на оптимално ниво на водата в езерото. </w:t>
            </w:r>
          </w:p>
        </w:tc>
      </w:tr>
      <w:tr w:rsidR="00A8783E" w:rsidRPr="00A8783E" w:rsidTr="005B5318">
        <w:trPr>
          <w:trHeight w:val="2827"/>
          <w:jc w:val="center"/>
        </w:trPr>
        <w:tc>
          <w:tcPr>
            <w:tcW w:w="1666"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 по биологичен елемент водни безгръбначни (JDS4-Aquatic Macroinvertebrates)</w:t>
            </w:r>
          </w:p>
        </w:tc>
        <w:tc>
          <w:tcPr>
            <w:tcW w:w="1134"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w:t>
            </w:r>
          </w:p>
        </w:tc>
        <w:tc>
          <w:tcPr>
            <w:tcW w:w="1418"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1-Отлично/2-Добро</w:t>
            </w:r>
          </w:p>
        </w:tc>
        <w:tc>
          <w:tcPr>
            <w:tcW w:w="2728" w:type="dxa"/>
          </w:tcPr>
          <w:tbl>
            <w:tblPr>
              <w:tblW w:w="4164" w:type="dxa"/>
              <w:tblInd w:w="3" w:type="dxa"/>
              <w:tblLayout w:type="fixed"/>
              <w:tblCellMar>
                <w:left w:w="70" w:type="dxa"/>
                <w:right w:w="70" w:type="dxa"/>
              </w:tblCellMar>
              <w:tblLook w:val="00A0" w:firstRow="1" w:lastRow="0" w:firstColumn="1" w:lastColumn="0" w:noHBand="0" w:noVBand="0"/>
            </w:tblPr>
            <w:tblGrid>
              <w:gridCol w:w="4164"/>
            </w:tblGrid>
            <w:tr w:rsidR="00A8783E" w:rsidRPr="00A8783E" w:rsidTr="005B5318">
              <w:trPr>
                <w:trHeight w:val="25"/>
              </w:trPr>
              <w:tc>
                <w:tcPr>
                  <w:tcW w:w="4164"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before="100" w:beforeAutospacing="1" w:after="0" w:line="240" w:lineRule="auto"/>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1-Отлично - High</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2-Добро - Good</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3-Умерено - Moderate</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4-Лошо - Poor</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5-Много лошо - Bad</w:t>
                  </w:r>
                </w:p>
              </w:tc>
            </w:tr>
          </w:tbl>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Екологичното състояние на водите на р. Дунав в пункт „Силистра“ е оценено на </w:t>
            </w:r>
            <w:r w:rsidRPr="00A8783E">
              <w:rPr>
                <w:rFonts w:ascii="Times New Roman" w:hAnsi="Times New Roman"/>
                <w:b/>
                <w:bCs/>
                <w:lang w:eastAsia="bg-BG"/>
              </w:rPr>
              <w:t>умерено (3)</w:t>
            </w:r>
            <w:r w:rsidRPr="00A8783E">
              <w:rPr>
                <w:rFonts w:ascii="Times New Roman" w:hAnsi="Times New Roman"/>
                <w:lang w:eastAsia="bg-BG"/>
              </w:rPr>
              <w:t xml:space="preserve"> според доклада на JDS4 (2019-2020, табл. 1, стр. 62). Според данните от биологичния мониторинг на повърхностните води през 2020 г. ЕС на ез. </w:t>
            </w:r>
            <w:r w:rsidRPr="00A8783E">
              <w:rPr>
                <w:rFonts w:ascii="Times New Roman" w:hAnsi="Times New Roman"/>
                <w:lang w:val="en-US" w:eastAsia="bg-BG"/>
              </w:rPr>
              <w:t xml:space="preserve">Сребърна е определено като </w:t>
            </w:r>
            <w:r w:rsidRPr="00A8783E">
              <w:rPr>
                <w:rFonts w:ascii="Times New Roman" w:hAnsi="Times New Roman"/>
                <w:b/>
                <w:bCs/>
                <w:lang w:val="en-US" w:eastAsia="bg-BG"/>
              </w:rPr>
              <w:t>Отлично</w:t>
            </w:r>
            <w:r w:rsidRPr="00A8783E">
              <w:rPr>
                <w:rFonts w:ascii="Times New Roman" w:hAnsi="Times New Roman"/>
                <w:lang w:val="en-US" w:eastAsia="bg-BG"/>
              </w:rPr>
              <w:t xml:space="preserve"> по БЕК Макрозообентос.</w:t>
            </w:r>
          </w:p>
        </w:tc>
        <w:tc>
          <w:tcPr>
            <w:tcW w:w="2297"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after="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after="0" w:line="240" w:lineRule="auto"/>
        <w:jc w:val="both"/>
        <w:rPr>
          <w:rFonts w:ascii="Times New Roman" w:hAnsi="Times New Roman"/>
          <w:b/>
          <w:bCs/>
          <w:sz w:val="24"/>
          <w:szCs w:val="24"/>
          <w:lang w:eastAsia="bg-BG"/>
        </w:rPr>
      </w:pPr>
    </w:p>
    <w:p w:rsidR="00A8783E" w:rsidRPr="00A8783E" w:rsidRDefault="00A8783E" w:rsidP="00A8783E">
      <w:pPr>
        <w:spacing w:after="0" w:line="240" w:lineRule="auto"/>
        <w:jc w:val="both"/>
        <w:rPr>
          <w:rFonts w:ascii="Times New Roman" w:hAnsi="Times New Roman"/>
          <w:sz w:val="24"/>
          <w:szCs w:val="24"/>
          <w:lang w:eastAsia="bg-BG"/>
        </w:rPr>
      </w:pPr>
      <w:r w:rsidRPr="00A8783E">
        <w:rPr>
          <w:rFonts w:ascii="Times New Roman" w:hAnsi="Times New Roman"/>
          <w:sz w:val="24"/>
          <w:szCs w:val="24"/>
          <w:lang w:eastAsia="bg-BG"/>
        </w:rPr>
        <w:t>На базата на наличната информация за зимуваща численост на вида в зоната смятаме, че настоящата е завишена, даже по-висока от националната оценка. Предлагаме промяна на зимуващата численост на 1-2 инд. Не се налага промяна в оценката на популацията.</w:t>
      </w:r>
    </w:p>
    <w:p w:rsidR="00A8783E" w:rsidRPr="00A8783E" w:rsidRDefault="00A8783E" w:rsidP="00A8783E">
      <w:pPr>
        <w:spacing w:after="0" w:line="240" w:lineRule="auto"/>
        <w:jc w:val="both"/>
        <w:rPr>
          <w:rFonts w:ascii="Times New Roman" w:hAnsi="Times New Roman"/>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22"/>
        <w:gridCol w:w="328"/>
        <w:gridCol w:w="483"/>
        <w:gridCol w:w="181"/>
        <w:gridCol w:w="181"/>
        <w:gridCol w:w="572"/>
        <w:gridCol w:w="605"/>
        <w:gridCol w:w="594"/>
        <w:gridCol w:w="578"/>
        <w:gridCol w:w="839"/>
        <w:gridCol w:w="475"/>
        <w:gridCol w:w="475"/>
        <w:gridCol w:w="622"/>
        <w:gridCol w:w="522"/>
        <w:gridCol w:w="578"/>
      </w:tblGrid>
      <w:tr w:rsidR="00A8783E" w:rsidRPr="00A8783E" w:rsidTr="005B5318">
        <w:trPr>
          <w:trHeight w:val="412"/>
          <w:jc w:val="center"/>
        </w:trPr>
        <w:tc>
          <w:tcPr>
            <w:tcW w:w="0" w:type="auto"/>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Species</w:t>
            </w:r>
          </w:p>
        </w:tc>
        <w:tc>
          <w:tcPr>
            <w:tcW w:w="0" w:type="auto"/>
            <w:gridSpan w:val="7"/>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Population in the site</w:t>
            </w:r>
          </w:p>
        </w:tc>
        <w:tc>
          <w:tcPr>
            <w:tcW w:w="0" w:type="auto"/>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Site assessment</w:t>
            </w:r>
          </w:p>
        </w:tc>
      </w:tr>
      <w:tr w:rsidR="00A8783E" w:rsidRPr="00A8783E" w:rsidTr="005B5318">
        <w:trPr>
          <w:trHeight w:val="424"/>
          <w:jc w:val="center"/>
        </w:trPr>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G</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Code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Scientific Name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NP</w:t>
            </w:r>
          </w:p>
        </w:tc>
        <w:tc>
          <w:tcPr>
            <w:tcW w:w="0" w:type="auto"/>
            <w:gridSpan w:val="2"/>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T</w:t>
            </w: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Size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Unit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Cat.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D.qual.</w:t>
            </w: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A/B/C/D</w:t>
            </w:r>
          </w:p>
        </w:tc>
        <w:tc>
          <w:tcPr>
            <w:tcW w:w="0" w:type="auto"/>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A/B/C</w:t>
            </w:r>
          </w:p>
        </w:tc>
      </w:tr>
      <w:tr w:rsidR="00A8783E" w:rsidRPr="00A8783E" w:rsidTr="005B5318">
        <w:trPr>
          <w:trHeight w:val="125"/>
          <w:jc w:val="center"/>
        </w:trPr>
        <w:tc>
          <w:tcPr>
            <w:tcW w:w="0" w:type="auto"/>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gridSpan w:val="2"/>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Min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Max</w:t>
            </w: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Pop.</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Con.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Iso.</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b/>
                <w:bCs/>
                <w:sz w:val="20"/>
                <w:szCs w:val="20"/>
                <w:lang w:eastAsia="en-GB"/>
              </w:rPr>
              <w:t>Glo.</w:t>
            </w:r>
          </w:p>
        </w:tc>
      </w:tr>
      <w:tr w:rsidR="00A8783E" w:rsidRPr="00A8783E" w:rsidTr="005B5318">
        <w:trPr>
          <w:trHeight w:val="643"/>
          <w:jc w:val="center"/>
        </w:trPr>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eastAsia="en-GB"/>
              </w:rPr>
              <w:lastRenderedPageBreak/>
              <w:t>В</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val="en-US"/>
              </w:rPr>
              <w:t>A0</w:t>
            </w:r>
            <w:r w:rsidRPr="00A8783E">
              <w:rPr>
                <w:rFonts w:ascii="Times New Roman" w:hAnsi="Times New Roman"/>
                <w:sz w:val="20"/>
                <w:szCs w:val="20"/>
              </w:rPr>
              <w:t>64</w:t>
            </w:r>
          </w:p>
        </w:tc>
        <w:tc>
          <w:tcPr>
            <w:tcW w:w="0" w:type="auto"/>
            <w:vAlign w:val="center"/>
          </w:tcPr>
          <w:p w:rsidR="00A8783E" w:rsidRPr="00A8783E" w:rsidRDefault="00A8783E" w:rsidP="00A8783E">
            <w:pPr>
              <w:spacing w:after="0" w:line="240" w:lineRule="auto"/>
              <w:rPr>
                <w:rFonts w:ascii="Times New Roman" w:hAnsi="Times New Roman"/>
                <w:i/>
                <w:iCs/>
                <w:sz w:val="20"/>
                <w:szCs w:val="20"/>
                <w:lang w:val="en-US" w:eastAsia="en-GB"/>
              </w:rPr>
            </w:pPr>
            <w:r w:rsidRPr="00A8783E">
              <w:rPr>
                <w:rFonts w:ascii="Times New Roman" w:hAnsi="Times New Roman"/>
                <w:i/>
                <w:iCs/>
                <w:sz w:val="20"/>
                <w:szCs w:val="20"/>
                <w:lang w:val="en-US"/>
              </w:rPr>
              <w:t>Clangula hyemalis</w:t>
            </w:r>
          </w:p>
        </w:tc>
        <w:tc>
          <w:tcPr>
            <w:tcW w:w="0" w:type="auto"/>
            <w:vAlign w:val="center"/>
          </w:tcPr>
          <w:p w:rsidR="00A8783E" w:rsidRPr="00A8783E" w:rsidRDefault="00A8783E" w:rsidP="00A8783E">
            <w:pPr>
              <w:spacing w:after="0" w:line="240" w:lineRule="auto"/>
              <w:rPr>
                <w:rFonts w:ascii="Times New Roman" w:hAnsi="Times New Roman"/>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gridSpan w:val="2"/>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sz w:val="20"/>
                <w:szCs w:val="20"/>
                <w:lang w:val="en-US"/>
              </w:rPr>
              <w:t>w</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1</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2</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sz w:val="20"/>
                <w:szCs w:val="20"/>
                <w:lang w:val="en-US"/>
              </w:rPr>
              <w:t>i</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sz w:val="20"/>
                <w:szCs w:val="20"/>
                <w:lang w:val="en-US"/>
              </w:rPr>
              <w:t>G</w:t>
            </w:r>
          </w:p>
        </w:tc>
        <w:tc>
          <w:tcPr>
            <w:tcW w:w="0" w:type="auto"/>
            <w:gridSpan w:val="2"/>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sz w:val="20"/>
                <w:szCs w:val="20"/>
                <w:lang w:val="en-US"/>
              </w:rPr>
              <w:t>A</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sz w:val="20"/>
                <w:szCs w:val="20"/>
                <w:lang w:val="en-US"/>
              </w:rPr>
              <w:t>A</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sz w:val="20"/>
                <w:szCs w:val="20"/>
                <w:lang w:val="en-US"/>
              </w:rPr>
              <w:t>C</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eastAsia="en-GB"/>
              </w:rPr>
            </w:pPr>
            <w:r w:rsidRPr="00A8783E">
              <w:rPr>
                <w:rFonts w:ascii="Times New Roman" w:hAnsi="Times New Roman"/>
                <w:sz w:val="20"/>
                <w:szCs w:val="20"/>
                <w:lang w:val="en-US"/>
              </w:rPr>
              <w:t>A</w:t>
            </w:r>
          </w:p>
        </w:tc>
      </w:tr>
    </w:tbl>
    <w:p w:rsidR="00A8783E" w:rsidRPr="00A8783E" w:rsidRDefault="00A8783E" w:rsidP="00A8783E">
      <w:pPr>
        <w:spacing w:after="0" w:line="240" w:lineRule="auto"/>
        <w:jc w:val="both"/>
        <w:rPr>
          <w:rFonts w:ascii="Times New Roman" w:hAnsi="Times New Roman"/>
          <w:sz w:val="24"/>
          <w:szCs w:val="24"/>
          <w:lang w:val="en-US" w:eastAsia="bg-BG"/>
        </w:rPr>
      </w:pPr>
    </w:p>
    <w:p w:rsidR="00A8783E" w:rsidRPr="00A8783E" w:rsidRDefault="00A8783E" w:rsidP="00A8783E">
      <w:pPr>
        <w:spacing w:after="0" w:line="240" w:lineRule="auto"/>
        <w:ind w:left="720"/>
        <w:jc w:val="both"/>
        <w:rPr>
          <w:rFonts w:ascii="Times New Roman" w:hAnsi="Times New Roman"/>
          <w:sz w:val="24"/>
          <w:szCs w:val="24"/>
          <w:lang w:eastAsia="bg-BG"/>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eastAsia="bg-BG"/>
        </w:rPr>
      </w:pPr>
      <w:bookmarkStart w:id="223" w:name="_Toc89106092"/>
      <w:bookmarkStart w:id="224" w:name="_Toc98741931"/>
      <w:bookmarkStart w:id="225" w:name="_Toc98838606"/>
      <w:r w:rsidRPr="00A8783E">
        <w:rPr>
          <w:rFonts w:ascii="Times New Roman" w:hAnsi="Times New Roman"/>
          <w:color w:val="1F497D"/>
          <w:sz w:val="28"/>
          <w:szCs w:val="28"/>
          <w:lang w:eastAsia="bg-BG"/>
        </w:rPr>
        <w:t xml:space="preserve">Специфични цели за А067 </w:t>
      </w:r>
      <w:r w:rsidRPr="00A8783E">
        <w:rPr>
          <w:rFonts w:ascii="Times New Roman" w:hAnsi="Times New Roman"/>
          <w:i/>
          <w:iCs/>
          <w:color w:val="1F497D"/>
          <w:sz w:val="28"/>
          <w:szCs w:val="28"/>
          <w:lang w:val="en-US" w:eastAsia="bg-BG"/>
        </w:rPr>
        <w:t>Bucephala</w:t>
      </w:r>
      <w:r w:rsidRPr="00A8783E">
        <w:rPr>
          <w:rFonts w:ascii="Times New Roman" w:hAnsi="Times New Roman"/>
          <w:i/>
          <w:iCs/>
          <w:color w:val="1F497D"/>
          <w:sz w:val="28"/>
          <w:szCs w:val="28"/>
          <w:lang w:eastAsia="bg-BG"/>
        </w:rPr>
        <w:t xml:space="preserve"> </w:t>
      </w:r>
      <w:r w:rsidRPr="00A8783E">
        <w:rPr>
          <w:rFonts w:ascii="Times New Roman" w:hAnsi="Times New Roman"/>
          <w:i/>
          <w:iCs/>
          <w:color w:val="1F497D"/>
          <w:sz w:val="28"/>
          <w:szCs w:val="28"/>
          <w:lang w:val="en-US" w:eastAsia="bg-BG"/>
        </w:rPr>
        <w:t>clangula</w:t>
      </w:r>
      <w:r w:rsidRPr="00A8783E">
        <w:rPr>
          <w:rFonts w:ascii="Times New Roman" w:hAnsi="Times New Roman"/>
          <w:color w:val="1F497D"/>
          <w:sz w:val="28"/>
          <w:szCs w:val="28"/>
          <w:lang w:eastAsia="bg-BG"/>
        </w:rPr>
        <w:t xml:space="preserve"> (обикновена звънарка)</w:t>
      </w:r>
      <w:bookmarkEnd w:id="223"/>
      <w:bookmarkEnd w:id="224"/>
      <w:bookmarkEnd w:id="225"/>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Дължината на тялото: 42-50 cm, размах на крилата: 65-80 cm. В брачно оперение мъжките са с черна глава със зелен метален блясък. В основата на клюна под юздичката има голямо бяло петно. Окото е жълто. Гърдите и страните са снежно бели.  Задницата и гърбът са черни. На плещите е с тесни черни ивици. При женските главата е кафява, окото е бледожълто, яката и коремът са бели. Гърдите и страните са пепелно сиви, човката е тъмна с жълтеникава ивица преди върха. В извънбрачно оперение мъжките са като женските в брачно оперение, но главата отстрани е с черен оттенък и без бял пръстен на яката. Крилото е като в брачно оперение. Женските в извънбрачно оперение също са без бяло на якичката. При младите оперението е като възрастните женски, но главата е по-убито сиво-кафява. Без бяла яка (</w:t>
      </w:r>
      <w:r w:rsidRPr="00A8783E">
        <w:rPr>
          <w:rFonts w:ascii="Times New Roman" w:hAnsi="Times New Roman"/>
          <w:sz w:val="24"/>
          <w:szCs w:val="24"/>
          <w:lang w:val="en-US" w:eastAsia="bg-BG"/>
        </w:rPr>
        <w:t>Svensson</w:t>
      </w:r>
      <w:r w:rsidRPr="00A8783E">
        <w:rPr>
          <w:rFonts w:ascii="Times New Roman" w:hAnsi="Times New Roman"/>
          <w:sz w:val="24"/>
          <w:szCs w:val="24"/>
          <w:lang w:eastAsia="bg-BG"/>
        </w:rPr>
        <w:t xml:space="preserve">, 2009; Нанкинов и др., 1997).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Характер на пребиваване в страната</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В България е мигриращ и зимуващ вид. Есенният прелет започва през октомври, но е по-масов през ноември, когато в страната пристигат по-голяма част от звънарките. Есенния прелет е през февруари и продължава до март. По-често се среща по морското крайбрежие и р. Дунав. Мъжки половонезрял екземпляр е наблюдаван през месец юни край н. Калиакра (Нанкинов и др., 1997; Нанкинов, 2012).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 xml:space="preserve">Характерно местообитание </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През размножителния период обитава тихи реки, езера и блата с гористи брегове, също и заливни гори и водоеми край стари гори. Зимуващи или мигриращи звънарки могат да се наблюдават в езера и блата с голяма открита водна площ, морски заливи и устия на вливащи се в тях реки. Подходящи местообитания според Директивата за хабитатите, по време на миграция и зимуване са основно 1110, 1130, 1150, 1160, 1170, 3270 (Кавръкова и др., 2009).</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i/>
          <w:iCs/>
          <w:sz w:val="24"/>
          <w:szCs w:val="24"/>
          <w:lang w:eastAsia="bg-BG"/>
        </w:rPr>
        <w:t>Хранене</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През зимата се храни предимно с мекотели. През останалото време с ларви на насекоми, дребни риби, ракообразни (Нанкинов и др., 1997).</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eastAsia="GroteskHSBg-Light" w:hAnsi="Times New Roman"/>
          <w:sz w:val="24"/>
          <w:szCs w:val="24"/>
          <w:lang w:eastAsia="bg-BG"/>
        </w:rPr>
        <w:t xml:space="preserve">Сравнително рядко срещана по време на миграция в цялата страна. Разпространена е основно по Черноморското крайбрежие и р. Дунав. Зимува в неголеми количества, до 57 екз. по р. Дунав и до 51 екз. по Южното Черноморие. Във вътрешността на страната и по Северното Черноморие видът се среща в незначителни количества </w:t>
      </w:r>
      <w:r w:rsidRPr="00A8783E">
        <w:rPr>
          <w:rFonts w:ascii="Times New Roman" w:hAnsi="Times New Roman"/>
          <w:sz w:val="24"/>
          <w:szCs w:val="24"/>
          <w:lang w:eastAsia="bg-BG"/>
        </w:rPr>
        <w:t xml:space="preserve">(Нанкинов и др., 1997). </w:t>
      </w:r>
    </w:p>
    <w:p w:rsidR="00A8783E" w:rsidRPr="00A8783E" w:rsidRDefault="00A8783E" w:rsidP="00A8783E">
      <w:pPr>
        <w:autoSpaceDE w:val="0"/>
        <w:autoSpaceDN w:val="0"/>
        <w:adjustRightInd w:val="0"/>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Включен в Приложение ІІБ на Директивата за птиците. Според </w:t>
      </w:r>
      <w:r w:rsidRPr="00A8783E">
        <w:rPr>
          <w:rFonts w:ascii="Times New Roman" w:hAnsi="Times New Roman"/>
          <w:sz w:val="24"/>
          <w:szCs w:val="24"/>
          <w:lang w:val="en-GB" w:eastAsia="bg-BG"/>
        </w:rPr>
        <w:t>IUCN</w:t>
      </w:r>
      <w:r w:rsidRPr="00A8783E">
        <w:rPr>
          <w:rFonts w:ascii="Times New Roman" w:hAnsi="Times New Roman"/>
          <w:sz w:val="24"/>
          <w:szCs w:val="24"/>
          <w:lang w:eastAsia="bg-BG"/>
        </w:rPr>
        <w:t xml:space="preserve"> вида е слабо засегнат – </w:t>
      </w:r>
      <w:r w:rsidRPr="00A8783E">
        <w:rPr>
          <w:rFonts w:ascii="Times New Roman" w:hAnsi="Times New Roman"/>
          <w:sz w:val="24"/>
          <w:szCs w:val="24"/>
          <w:lang w:val="en-GB" w:eastAsia="bg-BG"/>
        </w:rPr>
        <w:t>LC</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Least</w:t>
      </w:r>
      <w:r w:rsidRPr="00A8783E">
        <w:rPr>
          <w:rFonts w:ascii="Times New Roman" w:hAnsi="Times New Roman"/>
          <w:sz w:val="24"/>
          <w:szCs w:val="24"/>
          <w:lang w:eastAsia="bg-BG"/>
        </w:rPr>
        <w:t xml:space="preserve"> </w:t>
      </w:r>
      <w:r w:rsidRPr="00A8783E">
        <w:rPr>
          <w:rFonts w:ascii="Times New Roman" w:hAnsi="Times New Roman"/>
          <w:sz w:val="24"/>
          <w:szCs w:val="24"/>
          <w:lang w:val="en-GB" w:eastAsia="bg-BG"/>
        </w:rPr>
        <w:t>Concern</w:t>
      </w:r>
      <w:r w:rsidRPr="00A8783E">
        <w:rPr>
          <w:rFonts w:ascii="Times New Roman" w:hAnsi="Times New Roman"/>
          <w:sz w:val="24"/>
          <w:szCs w:val="24"/>
          <w:lang w:eastAsia="bg-BG"/>
        </w:rPr>
        <w:t>). Включен в Приложение 3 на ЗБР.</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Докладването от 2019 г. (за периода 2013 – 2018 г.) зимуващата популация е оценена на 140 – 400 индивида. Краткосрочната тенденция на популацията (за периода </w:t>
      </w:r>
      <w:r w:rsidRPr="00A8783E">
        <w:rPr>
          <w:rFonts w:ascii="Times New Roman" w:hAnsi="Times New Roman"/>
          <w:sz w:val="24"/>
          <w:szCs w:val="24"/>
          <w:lang w:eastAsia="bg-BG"/>
        </w:rPr>
        <w:lastRenderedPageBreak/>
        <w:t xml:space="preserve">2000 – 2018 г.) е стабилна, а дългосрочната (за периода 1980 – 2018 г.) е флуктуираща, променлива. За зимуващата популация са посочени следните заплахи: </w:t>
      </w:r>
      <w:r w:rsidRPr="00A8783E">
        <w:rPr>
          <w:rFonts w:ascii="Times New Roman" w:hAnsi="Times New Roman"/>
          <w:sz w:val="24"/>
          <w:szCs w:val="24"/>
          <w:lang w:val="en-US" w:eastAsia="bg-BG"/>
        </w:rPr>
        <w:t>F</w:t>
      </w:r>
      <w:r w:rsidRPr="00A8783E">
        <w:rPr>
          <w:rFonts w:ascii="Times New Roman" w:hAnsi="Times New Roman"/>
          <w:sz w:val="24"/>
          <w:szCs w:val="24"/>
          <w:lang w:eastAsia="bg-BG"/>
        </w:rPr>
        <w:t xml:space="preserve">02, </w:t>
      </w:r>
      <w:r w:rsidRPr="00A8783E">
        <w:rPr>
          <w:rFonts w:ascii="Times New Roman" w:hAnsi="Times New Roman"/>
          <w:sz w:val="24"/>
          <w:szCs w:val="24"/>
          <w:lang w:val="en-US" w:eastAsia="bg-BG"/>
        </w:rPr>
        <w:t>F</w:t>
      </w:r>
      <w:r w:rsidRPr="00A8783E">
        <w:rPr>
          <w:rFonts w:ascii="Times New Roman" w:hAnsi="Times New Roman"/>
          <w:sz w:val="24"/>
          <w:szCs w:val="24"/>
          <w:lang w:eastAsia="bg-BG"/>
        </w:rPr>
        <w:t xml:space="preserve">03, </w:t>
      </w:r>
      <w:r w:rsidRPr="00A8783E">
        <w:rPr>
          <w:rFonts w:ascii="Times New Roman" w:hAnsi="Times New Roman"/>
          <w:sz w:val="24"/>
          <w:szCs w:val="24"/>
          <w:lang w:val="en-US" w:eastAsia="bg-BG"/>
        </w:rPr>
        <w:t>F</w:t>
      </w:r>
      <w:r w:rsidRPr="00A8783E">
        <w:rPr>
          <w:rFonts w:ascii="Times New Roman" w:hAnsi="Times New Roman"/>
          <w:sz w:val="24"/>
          <w:szCs w:val="24"/>
          <w:lang w:eastAsia="bg-BG"/>
        </w:rPr>
        <w:t>05.</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Мигриращата национална популация е оценена на 0 – 500 индивида. За мигриращата популация са посочени следните заплахи: </w:t>
      </w:r>
      <w:r w:rsidRPr="00A8783E">
        <w:rPr>
          <w:rFonts w:ascii="Times New Roman" w:hAnsi="Times New Roman"/>
          <w:sz w:val="24"/>
          <w:szCs w:val="24"/>
          <w:lang w:val="en-US" w:eastAsia="bg-BG"/>
        </w:rPr>
        <w:t>C</w:t>
      </w:r>
      <w:r w:rsidRPr="00A8783E">
        <w:rPr>
          <w:rFonts w:ascii="Times New Roman" w:hAnsi="Times New Roman"/>
          <w:sz w:val="24"/>
          <w:szCs w:val="24"/>
          <w:lang w:eastAsia="bg-BG"/>
        </w:rPr>
        <w:t xml:space="preserve">03, </w:t>
      </w:r>
      <w:r w:rsidRPr="00A8783E">
        <w:rPr>
          <w:rFonts w:ascii="Times New Roman" w:hAnsi="Times New Roman"/>
          <w:sz w:val="24"/>
          <w:szCs w:val="24"/>
          <w:lang w:val="en-US" w:eastAsia="bg-BG"/>
        </w:rPr>
        <w:t>F</w:t>
      </w:r>
      <w:r w:rsidRPr="00A8783E">
        <w:rPr>
          <w:rFonts w:ascii="Times New Roman" w:hAnsi="Times New Roman"/>
          <w:sz w:val="24"/>
          <w:szCs w:val="24"/>
          <w:lang w:eastAsia="bg-BG"/>
        </w:rPr>
        <w:t xml:space="preserve">02, </w:t>
      </w:r>
      <w:r w:rsidRPr="00A8783E">
        <w:rPr>
          <w:rFonts w:ascii="Times New Roman" w:hAnsi="Times New Roman"/>
          <w:sz w:val="24"/>
          <w:szCs w:val="24"/>
          <w:lang w:val="en-US" w:eastAsia="bg-BG"/>
        </w:rPr>
        <w:t>F</w:t>
      </w:r>
      <w:r w:rsidRPr="00A8783E">
        <w:rPr>
          <w:rFonts w:ascii="Times New Roman" w:hAnsi="Times New Roman"/>
          <w:sz w:val="24"/>
          <w:szCs w:val="24"/>
          <w:lang w:eastAsia="bg-BG"/>
        </w:rPr>
        <w:t>05.</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СФ на зоната видът е зимуващ. </w:t>
      </w:r>
      <w:r w:rsidRPr="00A8783E">
        <w:rPr>
          <w:rFonts w:ascii="Times New Roman" w:hAnsi="Times New Roman"/>
          <w:b/>
          <w:bCs/>
          <w:sz w:val="24"/>
          <w:szCs w:val="24"/>
          <w:lang w:eastAsia="bg-BG"/>
        </w:rPr>
        <w:t>Зимуващата</w:t>
      </w:r>
      <w:r w:rsidRPr="00A8783E">
        <w:rPr>
          <w:rFonts w:ascii="Times New Roman" w:hAnsi="Times New Roman"/>
          <w:sz w:val="24"/>
          <w:szCs w:val="24"/>
          <w:lang w:eastAsia="bg-BG"/>
        </w:rPr>
        <w:t xml:space="preserve"> популация на вида се оценява на до </w:t>
      </w:r>
      <w:r w:rsidRPr="00A8783E">
        <w:rPr>
          <w:rFonts w:ascii="Times New Roman" w:hAnsi="Times New Roman"/>
          <w:b/>
          <w:bCs/>
          <w:sz w:val="24"/>
          <w:szCs w:val="24"/>
          <w:lang w:eastAsia="bg-BG"/>
        </w:rPr>
        <w:t>60 индивида</w:t>
      </w:r>
      <w:r w:rsidRPr="00A8783E">
        <w:rPr>
          <w:rFonts w:ascii="Times New Roman" w:hAnsi="Times New Roman"/>
          <w:sz w:val="24"/>
          <w:szCs w:val="24"/>
          <w:lang w:eastAsia="bg-BG"/>
        </w:rPr>
        <w:t xml:space="preserve">, което е </w:t>
      </w:r>
      <w:r w:rsidRPr="00A8783E">
        <w:rPr>
          <w:rFonts w:ascii="Times New Roman" w:hAnsi="Times New Roman"/>
          <w:b/>
          <w:bCs/>
          <w:color w:val="000000"/>
          <w:sz w:val="24"/>
          <w:szCs w:val="24"/>
          <w:lang w:eastAsia="bg-BG"/>
        </w:rPr>
        <w:t>15-42,9 %</w:t>
      </w:r>
      <w:r w:rsidRPr="00A8783E">
        <w:rPr>
          <w:rFonts w:ascii="Times New Roman" w:hAnsi="Times New Roman"/>
          <w:color w:val="000000"/>
          <w:sz w:val="24"/>
          <w:szCs w:val="24"/>
          <w:lang w:eastAsia="bg-BG"/>
        </w:rPr>
        <w:t xml:space="preserve"> </w:t>
      </w:r>
      <w:r w:rsidRPr="00A8783E">
        <w:rPr>
          <w:rFonts w:ascii="Times New Roman" w:hAnsi="Times New Roman"/>
          <w:sz w:val="24"/>
          <w:szCs w:val="24"/>
          <w:lang w:eastAsia="bg-BG"/>
        </w:rPr>
        <w:t>от националната зимуваща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4. Анализ на наличната информация</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През зимата звънарката се среща редовно по р. Дунав, особено при по-студено време. През януари 2019 г. по целия български участък на р. Дунав са преброени 160 звънарки в 12 локалитета, а през 2020 г. – 110 екз. в 8 локалитета. Най-големите отделни ята достигат до 33 и 40 екз. В участъка Сомовит – Силистра между 1984-2005 г. са регистрирани между 4 и 46 звънарки, като не зимува редовно (Ivanov, 2008). В различни участъци от Дунав през декември и януари са наблюдавани ята от 14 до 50 птици (Шурулинков, 2005). За периода 1977-2001 г. средно-зимна численост на звънарките в ез. Сребърна варира между 1 и 30 инд., като максималната отчетена численост е през 1992 г. - 30 инд. (Michev &amp; Profirov, 2003). Според Актуализирания план за управление на ПР Сребърна (2015, данни на ИАОС) през периода 2008-2013 г. звънарки са били отчетени само през 2013 г. - 18 инд. В </w:t>
      </w:r>
      <w:r w:rsidRPr="00A8783E">
        <w:rPr>
          <w:rFonts w:ascii="Times New Roman" w:hAnsi="Times New Roman"/>
          <w:sz w:val="24"/>
          <w:szCs w:val="24"/>
          <w:lang w:val="en-US" w:eastAsia="bg-BG"/>
        </w:rPr>
        <w:t>observation</w:t>
      </w:r>
      <w:r w:rsidRPr="00A8783E">
        <w:rPr>
          <w:rFonts w:ascii="Times New Roman" w:hAnsi="Times New Roman"/>
          <w:sz w:val="24"/>
          <w:szCs w:val="24"/>
          <w:lang w:eastAsia="bg-BG"/>
        </w:rPr>
        <w:t>.</w:t>
      </w:r>
      <w:r w:rsidRPr="00A8783E">
        <w:rPr>
          <w:rFonts w:ascii="Times New Roman" w:hAnsi="Times New Roman"/>
          <w:sz w:val="24"/>
          <w:szCs w:val="24"/>
          <w:lang w:val="en-US" w:eastAsia="bg-BG"/>
        </w:rPr>
        <w:t>org</w:t>
      </w:r>
      <w:r w:rsidRPr="00A8783E">
        <w:rPr>
          <w:rFonts w:ascii="Times New Roman" w:hAnsi="Times New Roman"/>
          <w:sz w:val="24"/>
          <w:szCs w:val="24"/>
          <w:lang w:eastAsia="bg-BG"/>
        </w:rPr>
        <w:t xml:space="preserve"> няма данни видът да е бил регистриран в зоната. В </w:t>
      </w:r>
      <w:r w:rsidRPr="00A8783E">
        <w:rPr>
          <w:rFonts w:ascii="Times New Roman" w:hAnsi="Times New Roman"/>
          <w:sz w:val="24"/>
          <w:szCs w:val="24"/>
          <w:lang w:val="en-US" w:eastAsia="bg-BG"/>
        </w:rPr>
        <w:t>ebird</w:t>
      </w:r>
      <w:r w:rsidRPr="00A8783E">
        <w:rPr>
          <w:rFonts w:ascii="Times New Roman" w:hAnsi="Times New Roman"/>
          <w:sz w:val="24"/>
          <w:szCs w:val="24"/>
          <w:lang w:eastAsia="bg-BG"/>
        </w:rPr>
        <w:t>.</w:t>
      </w:r>
      <w:r w:rsidRPr="00A8783E">
        <w:rPr>
          <w:rFonts w:ascii="Times New Roman" w:hAnsi="Times New Roman"/>
          <w:sz w:val="24"/>
          <w:szCs w:val="24"/>
          <w:lang w:val="en-US" w:eastAsia="bg-BG"/>
        </w:rPr>
        <w:t>org</w:t>
      </w:r>
      <w:r w:rsidRPr="00A8783E">
        <w:rPr>
          <w:rFonts w:ascii="Times New Roman" w:hAnsi="Times New Roman"/>
          <w:sz w:val="24"/>
          <w:szCs w:val="24"/>
          <w:lang w:eastAsia="bg-BG"/>
        </w:rPr>
        <w:t xml:space="preserve"> са отбелязани 4 инд. на 25.12.2010 г. в СЗЗ „Сребърна“ (</w:t>
      </w:r>
      <w:r w:rsidRPr="00A8783E">
        <w:rPr>
          <w:rFonts w:ascii="Times New Roman" w:hAnsi="Times New Roman"/>
          <w:sz w:val="24"/>
          <w:szCs w:val="24"/>
          <w:lang w:val="en-US" w:eastAsia="bg-BG"/>
        </w:rPr>
        <w:t>D</w:t>
      </w:r>
      <w:r w:rsidRPr="00A8783E">
        <w:rPr>
          <w:rFonts w:ascii="Times New Roman" w:hAnsi="Times New Roman"/>
          <w:sz w:val="24"/>
          <w:szCs w:val="24"/>
          <w:lang w:eastAsia="bg-BG"/>
        </w:rPr>
        <w:t xml:space="preserve">. </w:t>
      </w:r>
      <w:r w:rsidRPr="00A8783E">
        <w:rPr>
          <w:rFonts w:ascii="Times New Roman" w:hAnsi="Times New Roman"/>
          <w:sz w:val="24"/>
          <w:szCs w:val="24"/>
          <w:lang w:val="en-US" w:eastAsia="bg-BG"/>
        </w:rPr>
        <w:t>Mitev</w:t>
      </w:r>
      <w:r w:rsidRPr="00A8783E">
        <w:rPr>
          <w:rFonts w:ascii="Times New Roman" w:hAnsi="Times New Roman"/>
          <w:sz w:val="24"/>
          <w:szCs w:val="24"/>
          <w:lang w:eastAsia="bg-BG"/>
        </w:rPr>
        <w:t>).</w:t>
      </w:r>
      <w:r w:rsidRPr="00A8783E">
        <w:rPr>
          <w:rFonts w:cs="Calibri"/>
        </w:rPr>
        <w:t xml:space="preserve"> </w:t>
      </w:r>
      <w:r w:rsidRPr="00A8783E">
        <w:rPr>
          <w:rFonts w:ascii="Times New Roman" w:hAnsi="Times New Roman"/>
          <w:sz w:val="24"/>
          <w:szCs w:val="24"/>
          <w:lang w:eastAsia="bg-BG"/>
        </w:rPr>
        <w:t>Няма публикувани актуални данни за зимуващата популация на вида в зоната. Смятаме, че посочената численост е завишена. На базата на наличните данни посочени по-горе предлагаме актуализиране на зимуващата численост на 4-30 инд.</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За мигриращата и зимуващата популация са посочени следните заплахи при Докладването по чл. 12 от 2019 г.: F02, F05, </w:t>
      </w:r>
      <w:r w:rsidRPr="00A8783E">
        <w:rPr>
          <w:rFonts w:ascii="Times New Roman" w:hAnsi="Times New Roman"/>
          <w:sz w:val="24"/>
          <w:szCs w:val="24"/>
          <w:lang w:val="en-US" w:eastAsia="bg-BG"/>
        </w:rPr>
        <w:t>C</w:t>
      </w:r>
      <w:r w:rsidRPr="00A8783E">
        <w:rPr>
          <w:rFonts w:ascii="Times New Roman" w:hAnsi="Times New Roman"/>
          <w:sz w:val="24"/>
          <w:szCs w:val="24"/>
          <w:lang w:eastAsia="bg-BG"/>
        </w:rPr>
        <w:t>03. От тях няма валидни за зоната. Заплахи за вида в зоната могат да бъдат риболов с мрежени уреди (G12- Прилов и инцидентно убиване (при риболовни дейности), пожари в тръстиковите масиви.</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5. Параметри за определяне на специфичните природозащитни цели за вида в зоната</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6"/>
        <w:gridCol w:w="1134"/>
        <w:gridCol w:w="1228"/>
        <w:gridCol w:w="3118"/>
        <w:gridCol w:w="2205"/>
      </w:tblGrid>
      <w:tr w:rsidR="00A8783E" w:rsidRPr="00A8783E" w:rsidTr="005B5318">
        <w:trPr>
          <w:trHeight w:val="99"/>
          <w:tblHeader/>
          <w:jc w:val="center"/>
        </w:trPr>
        <w:tc>
          <w:tcPr>
            <w:tcW w:w="1546"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Параметър</w:t>
            </w:r>
          </w:p>
        </w:tc>
        <w:tc>
          <w:tcPr>
            <w:tcW w:w="1134"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Мерна единица</w:t>
            </w:r>
          </w:p>
        </w:tc>
        <w:tc>
          <w:tcPr>
            <w:tcW w:w="1228"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Целева стойност</w:t>
            </w:r>
          </w:p>
        </w:tc>
        <w:tc>
          <w:tcPr>
            <w:tcW w:w="3118"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Допълнителна информация</w:t>
            </w:r>
          </w:p>
        </w:tc>
        <w:tc>
          <w:tcPr>
            <w:tcW w:w="2205" w:type="dxa"/>
            <w:shd w:val="clear" w:color="auto" w:fill="DBE5F1"/>
            <w:vAlign w:val="center"/>
          </w:tcPr>
          <w:p w:rsidR="00A8783E" w:rsidRPr="00A8783E" w:rsidRDefault="00A8783E" w:rsidP="00A8783E">
            <w:pPr>
              <w:spacing w:after="0" w:line="240" w:lineRule="auto"/>
              <w:jc w:val="center"/>
              <w:rPr>
                <w:rFonts w:ascii="Times New Roman" w:hAnsi="Times New Roman"/>
                <w:b/>
                <w:bCs/>
                <w:lang w:eastAsia="bg-BG"/>
              </w:rPr>
            </w:pPr>
            <w:r w:rsidRPr="00A8783E">
              <w:rPr>
                <w:rFonts w:ascii="Times New Roman" w:hAnsi="Times New Roman"/>
                <w:b/>
                <w:bCs/>
                <w:lang w:eastAsia="bg-BG"/>
              </w:rPr>
              <w:t>Специфични за зоната цели</w:t>
            </w:r>
          </w:p>
        </w:tc>
      </w:tr>
      <w:tr w:rsidR="00A8783E" w:rsidRPr="00A8783E" w:rsidTr="005B5318">
        <w:trPr>
          <w:trHeight w:val="99"/>
          <w:jc w:val="center"/>
        </w:trPr>
        <w:tc>
          <w:tcPr>
            <w:tcW w:w="1546" w:type="dxa"/>
          </w:tcPr>
          <w:p w:rsidR="00A8783E" w:rsidRPr="00A8783E" w:rsidRDefault="00A8783E" w:rsidP="00A8783E">
            <w:pPr>
              <w:spacing w:after="0" w:line="240" w:lineRule="auto"/>
              <w:rPr>
                <w:rFonts w:ascii="Times New Roman" w:hAnsi="Times New Roman"/>
                <w:b/>
                <w:bCs/>
                <w:lang w:eastAsia="bg-BG"/>
              </w:rPr>
            </w:pPr>
            <w:r w:rsidRPr="00A8783E">
              <w:rPr>
                <w:rFonts w:ascii="Times New Roman" w:hAnsi="Times New Roman"/>
                <w:b/>
                <w:bCs/>
                <w:lang w:eastAsia="bg-BG"/>
              </w:rPr>
              <w:t xml:space="preserve">Популация: </w:t>
            </w:r>
            <w:r w:rsidRPr="00A8783E">
              <w:rPr>
                <w:rFonts w:ascii="Times New Roman" w:hAnsi="Times New Roman"/>
                <w:lang w:eastAsia="bg-BG"/>
              </w:rPr>
              <w:t>Размер на зимуващата популация</w:t>
            </w:r>
          </w:p>
        </w:tc>
        <w:tc>
          <w:tcPr>
            <w:tcW w:w="113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Брой индивиди</w:t>
            </w:r>
          </w:p>
        </w:tc>
        <w:tc>
          <w:tcPr>
            <w:tcW w:w="1228"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Най-малко 4 инд.</w:t>
            </w:r>
          </w:p>
        </w:tc>
        <w:tc>
          <w:tcPr>
            <w:tcW w:w="3118"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В настоящия СФ (актуализиран през 2018 г.) не е посочена минимална стойност, като максимална стойност е посочена 60 индивида. Няма публикувани актуални данни за зимуващата популация на вида в зоната. Смятаме, че посочената численост е завишена. На базата на наличните данни посочени по-горе предлагаме актуализиране на зимуващата </w:t>
            </w:r>
            <w:r w:rsidRPr="00A8783E">
              <w:rPr>
                <w:rFonts w:ascii="Times New Roman" w:hAnsi="Times New Roman"/>
                <w:lang w:eastAsia="bg-BG"/>
              </w:rPr>
              <w:lastRenderedPageBreak/>
              <w:t>численост на 4-30 инд.</w:t>
            </w:r>
          </w:p>
        </w:tc>
        <w:tc>
          <w:tcPr>
            <w:tcW w:w="2205"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lastRenderedPageBreak/>
              <w:t>Да се извършва редовен мониторинг на зимуващите индивиди от вида в защитената зона.</w:t>
            </w:r>
          </w:p>
          <w:p w:rsidR="00A8783E" w:rsidRPr="00A8783E" w:rsidRDefault="00A8783E" w:rsidP="00A8783E">
            <w:pPr>
              <w:spacing w:after="0" w:line="240" w:lineRule="auto"/>
              <w:rPr>
                <w:rFonts w:ascii="Times New Roman" w:hAnsi="Times New Roman"/>
                <w:lang w:eastAsia="bg-BG"/>
              </w:rPr>
            </w:pPr>
          </w:p>
        </w:tc>
      </w:tr>
      <w:tr w:rsidR="00A8783E" w:rsidRPr="00A8783E" w:rsidTr="005B5318">
        <w:trPr>
          <w:trHeight w:val="99"/>
          <w:jc w:val="center"/>
        </w:trPr>
        <w:tc>
          <w:tcPr>
            <w:tcW w:w="1546"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b/>
                <w:bCs/>
                <w:lang w:eastAsia="bg-BG"/>
              </w:rPr>
              <w:lastRenderedPageBreak/>
              <w:t xml:space="preserve">Местообитание на вида: </w:t>
            </w:r>
            <w:r w:rsidRPr="00A8783E">
              <w:rPr>
                <w:rFonts w:ascii="Times New Roman" w:hAnsi="Times New Roman"/>
                <w:lang w:eastAsia="bg-BG"/>
              </w:rPr>
              <w:t xml:space="preserve">Площ на подходящите хранителни местообитания на вида </w:t>
            </w:r>
          </w:p>
        </w:tc>
        <w:tc>
          <w:tcPr>
            <w:tcW w:w="1134"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ha</w:t>
            </w:r>
          </w:p>
        </w:tc>
        <w:tc>
          <w:tcPr>
            <w:tcW w:w="1228"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най-малко 275</w:t>
            </w:r>
          </w:p>
        </w:tc>
        <w:tc>
          <w:tcPr>
            <w:tcW w:w="3118"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Площта е изчислена на база данните от СФ като % на местообитание N06 - вътрешни водни тела.</w:t>
            </w:r>
          </w:p>
        </w:tc>
        <w:tc>
          <w:tcPr>
            <w:tcW w:w="2205" w:type="dxa"/>
          </w:tcPr>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Поддържане на площта на подходящите хранителни местообитания на вида в размер най-малко 275 </w:t>
            </w:r>
            <w:r w:rsidRPr="00A8783E">
              <w:rPr>
                <w:rFonts w:ascii="Times New Roman" w:hAnsi="Times New Roman"/>
                <w:lang w:val="en-US" w:eastAsia="bg-BG"/>
              </w:rPr>
              <w:t>ha</w:t>
            </w:r>
            <w:r w:rsidRPr="00A8783E">
              <w:rPr>
                <w:rFonts w:ascii="Times New Roman" w:hAnsi="Times New Roman"/>
                <w:lang w:eastAsia="bg-BG"/>
              </w:rPr>
              <w:t>. чрез поддържане на оптимално ниво на водата в езерото.</w:t>
            </w:r>
          </w:p>
        </w:tc>
      </w:tr>
      <w:tr w:rsidR="00A8783E" w:rsidRPr="00A8783E" w:rsidTr="005B5318">
        <w:trPr>
          <w:trHeight w:val="1325"/>
          <w:jc w:val="center"/>
        </w:trPr>
        <w:tc>
          <w:tcPr>
            <w:tcW w:w="1546"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Екологично състояние на водните тела с местообитания на вида – по биологичен елемент водни безгръбначни (JDS4-Aquatic Macroinvertebrates)</w:t>
            </w:r>
          </w:p>
        </w:tc>
        <w:tc>
          <w:tcPr>
            <w:tcW w:w="1134"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5 степенна скала за екологично състояние</w:t>
            </w:r>
          </w:p>
        </w:tc>
        <w:tc>
          <w:tcPr>
            <w:tcW w:w="1228"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1-Отлично/2-Добро</w:t>
            </w:r>
          </w:p>
        </w:tc>
        <w:tc>
          <w:tcPr>
            <w:tcW w:w="3118" w:type="dxa"/>
          </w:tcPr>
          <w:tbl>
            <w:tblPr>
              <w:tblW w:w="4164" w:type="dxa"/>
              <w:tblInd w:w="3" w:type="dxa"/>
              <w:tblLayout w:type="fixed"/>
              <w:tblCellMar>
                <w:left w:w="70" w:type="dxa"/>
                <w:right w:w="70" w:type="dxa"/>
              </w:tblCellMar>
              <w:tblLook w:val="00A0" w:firstRow="1" w:lastRow="0" w:firstColumn="1" w:lastColumn="0" w:noHBand="0" w:noVBand="0"/>
            </w:tblPr>
            <w:tblGrid>
              <w:gridCol w:w="4164"/>
            </w:tblGrid>
            <w:tr w:rsidR="00A8783E" w:rsidRPr="00A8783E" w:rsidTr="005B5318">
              <w:trPr>
                <w:trHeight w:val="25"/>
              </w:trPr>
              <w:tc>
                <w:tcPr>
                  <w:tcW w:w="4164"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before="100" w:beforeAutospacing="1" w:after="0" w:line="240" w:lineRule="auto"/>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1-Отлично - High</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2-Добро - Good</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3-Умерено - Moderate</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4-Лошо - Poor</w:t>
                  </w:r>
                </w:p>
              </w:tc>
            </w:tr>
            <w:tr w:rsidR="00A8783E" w:rsidRPr="00A8783E" w:rsidTr="005B5318">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before="100" w:beforeAutospacing="1" w:after="0" w:line="240" w:lineRule="auto"/>
                    <w:jc w:val="both"/>
                    <w:rPr>
                      <w:rFonts w:ascii="Times New Roman" w:hAnsi="Times New Roman"/>
                      <w:lang w:eastAsia="bg-BG"/>
                    </w:rPr>
                  </w:pPr>
                  <w:r w:rsidRPr="00A8783E">
                    <w:rPr>
                      <w:rFonts w:ascii="Times New Roman" w:hAnsi="Times New Roman"/>
                      <w:lang w:eastAsia="bg-BG"/>
                    </w:rPr>
                    <w:t>5-Много лошо - Bad</w:t>
                  </w:r>
                </w:p>
              </w:tc>
            </w:tr>
          </w:tbl>
          <w:p w:rsidR="00A8783E" w:rsidRPr="00A8783E" w:rsidRDefault="00A8783E" w:rsidP="00A8783E">
            <w:pPr>
              <w:spacing w:after="0" w:line="240" w:lineRule="auto"/>
              <w:rPr>
                <w:rFonts w:ascii="Times New Roman" w:hAnsi="Times New Roman"/>
                <w:lang w:eastAsia="bg-BG"/>
              </w:rPr>
            </w:pPr>
            <w:r w:rsidRPr="00A8783E">
              <w:rPr>
                <w:rFonts w:ascii="Times New Roman" w:hAnsi="Times New Roman"/>
                <w:lang w:eastAsia="bg-BG"/>
              </w:rPr>
              <w:t xml:space="preserve">Екологичното състояние на водите на р. Дунав в пункт „Силистра“ е оценено на </w:t>
            </w:r>
            <w:r w:rsidRPr="00A8783E">
              <w:rPr>
                <w:rFonts w:ascii="Times New Roman" w:hAnsi="Times New Roman"/>
                <w:b/>
                <w:bCs/>
                <w:lang w:eastAsia="bg-BG"/>
              </w:rPr>
              <w:t>умерено (3)</w:t>
            </w:r>
            <w:r w:rsidRPr="00A8783E">
              <w:rPr>
                <w:rFonts w:ascii="Times New Roman" w:hAnsi="Times New Roman"/>
                <w:lang w:eastAsia="bg-BG"/>
              </w:rPr>
              <w:t xml:space="preserve"> според доклада на JDS4 (2019-2020, табл. 1, стр. 62). Според данните от биологичния мониторинг на повърхностните води през 2020 г. ЕС на ез. </w:t>
            </w:r>
            <w:r w:rsidRPr="00A8783E">
              <w:rPr>
                <w:rFonts w:ascii="Times New Roman" w:hAnsi="Times New Roman"/>
                <w:lang w:val="en-US" w:eastAsia="bg-BG"/>
              </w:rPr>
              <w:t xml:space="preserve">Сребърна е определено като </w:t>
            </w:r>
            <w:r w:rsidRPr="00A8783E">
              <w:rPr>
                <w:rFonts w:ascii="Times New Roman" w:hAnsi="Times New Roman"/>
                <w:b/>
                <w:bCs/>
                <w:lang w:val="en-US" w:eastAsia="bg-BG"/>
              </w:rPr>
              <w:t>Отлично</w:t>
            </w:r>
            <w:r w:rsidRPr="00A8783E">
              <w:rPr>
                <w:rFonts w:ascii="Times New Roman" w:hAnsi="Times New Roman"/>
                <w:lang w:val="en-US" w:eastAsia="bg-BG"/>
              </w:rPr>
              <w:t xml:space="preserve"> по БЕК Макрозообентос.</w:t>
            </w:r>
          </w:p>
        </w:tc>
        <w:tc>
          <w:tcPr>
            <w:tcW w:w="2205" w:type="dxa"/>
          </w:tcPr>
          <w:p w:rsidR="00A8783E" w:rsidRPr="00A8783E" w:rsidRDefault="00A8783E" w:rsidP="00A8783E">
            <w:pPr>
              <w:spacing w:before="100" w:beforeAutospacing="1" w:after="0" w:line="240" w:lineRule="auto"/>
              <w:rPr>
                <w:rFonts w:ascii="Times New Roman" w:hAnsi="Times New Roman"/>
                <w:lang w:eastAsia="bg-BG"/>
              </w:rPr>
            </w:pPr>
            <w:r w:rsidRPr="00A8783E">
              <w:rPr>
                <w:rFonts w:ascii="Times New Roman" w:hAnsi="Times New Roman"/>
                <w:lang w:eastAsia="bg-BG"/>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0" w:line="240" w:lineRule="auto"/>
        <w:rPr>
          <w:rFonts w:ascii="Times New Roman" w:hAnsi="Times New Roman"/>
          <w:sz w:val="24"/>
          <w:szCs w:val="24"/>
          <w:lang w:eastAsia="bg-BG"/>
        </w:rPr>
      </w:pPr>
    </w:p>
    <w:p w:rsidR="00A8783E" w:rsidRPr="00A8783E" w:rsidRDefault="00A8783E" w:rsidP="00A8783E">
      <w:pPr>
        <w:spacing w:after="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spacing w:after="0" w:line="240" w:lineRule="auto"/>
        <w:jc w:val="both"/>
        <w:rPr>
          <w:rFonts w:ascii="Times New Roman" w:hAnsi="Times New Roman"/>
          <w:sz w:val="24"/>
          <w:szCs w:val="24"/>
          <w:lang w:eastAsia="bg-BG"/>
        </w:rPr>
      </w:pPr>
    </w:p>
    <w:p w:rsidR="00A8783E" w:rsidRPr="00A8783E" w:rsidRDefault="00A8783E" w:rsidP="00A8783E">
      <w:pPr>
        <w:spacing w:after="0" w:line="240" w:lineRule="auto"/>
        <w:jc w:val="both"/>
        <w:rPr>
          <w:rFonts w:ascii="Times New Roman" w:hAnsi="Times New Roman"/>
          <w:sz w:val="24"/>
          <w:szCs w:val="24"/>
          <w:lang w:eastAsia="bg-BG"/>
        </w:rPr>
      </w:pPr>
      <w:r w:rsidRPr="00A8783E">
        <w:rPr>
          <w:rFonts w:ascii="Times New Roman" w:hAnsi="Times New Roman"/>
          <w:sz w:val="24"/>
          <w:szCs w:val="24"/>
          <w:lang w:eastAsia="bg-BG"/>
        </w:rPr>
        <w:t>На базата на наличните данни посочени по-горе предлагаме актуализиране на зимуващата численост на 4-30 инд. Не се налага промяна в оценката на популацията.</w:t>
      </w:r>
    </w:p>
    <w:p w:rsidR="00A8783E" w:rsidRPr="00A8783E" w:rsidRDefault="00A8783E" w:rsidP="00A8783E">
      <w:pPr>
        <w:spacing w:after="0" w:line="240" w:lineRule="auto"/>
        <w:jc w:val="both"/>
        <w:rPr>
          <w:rFonts w:ascii="Times New Roman" w:hAnsi="Times New Roman"/>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22"/>
        <w:gridCol w:w="328"/>
        <w:gridCol w:w="483"/>
        <w:gridCol w:w="181"/>
        <w:gridCol w:w="181"/>
        <w:gridCol w:w="572"/>
        <w:gridCol w:w="605"/>
        <w:gridCol w:w="594"/>
        <w:gridCol w:w="578"/>
        <w:gridCol w:w="839"/>
        <w:gridCol w:w="475"/>
        <w:gridCol w:w="475"/>
        <w:gridCol w:w="622"/>
        <w:gridCol w:w="522"/>
        <w:gridCol w:w="578"/>
      </w:tblGrid>
      <w:tr w:rsidR="00A8783E" w:rsidRPr="00A8783E" w:rsidTr="005B5318">
        <w:trPr>
          <w:trHeight w:val="412"/>
          <w:jc w:val="center"/>
        </w:trPr>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Species</w:t>
            </w:r>
          </w:p>
        </w:tc>
        <w:tc>
          <w:tcPr>
            <w:tcW w:w="0" w:type="auto"/>
            <w:gridSpan w:val="7"/>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Site assessment</w:t>
            </w:r>
          </w:p>
        </w:tc>
      </w:tr>
      <w:tr w:rsidR="00A8783E" w:rsidRPr="00A8783E" w:rsidTr="005B5318">
        <w:trPr>
          <w:trHeight w:val="424"/>
          <w:jc w:val="center"/>
        </w:trPr>
        <w:tc>
          <w:tcPr>
            <w:tcW w:w="0" w:type="auto"/>
            <w:vMerge w:val="restart"/>
            <w:shd w:val="clear" w:color="auto" w:fill="D9D9D9"/>
            <w:vAlign w:val="center"/>
          </w:tcPr>
          <w:p w:rsidR="00A8783E" w:rsidRPr="00A8783E" w:rsidRDefault="00A8783E" w:rsidP="00A8783E">
            <w:pPr>
              <w:spacing w:before="120" w:after="12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w:t>
            </w:r>
          </w:p>
        </w:tc>
        <w:tc>
          <w:tcPr>
            <w:tcW w:w="0" w:type="auto"/>
            <w:vMerge w:val="restart"/>
            <w:shd w:val="clear" w:color="auto" w:fill="D9D9D9"/>
            <w:vAlign w:val="center"/>
          </w:tcPr>
          <w:p w:rsidR="00A8783E" w:rsidRPr="00A8783E" w:rsidRDefault="00A8783E" w:rsidP="00A8783E">
            <w:pPr>
              <w:spacing w:before="120" w:after="12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Code</w:t>
            </w:r>
          </w:p>
        </w:tc>
        <w:tc>
          <w:tcPr>
            <w:tcW w:w="0" w:type="auto"/>
            <w:vMerge w:val="restart"/>
            <w:shd w:val="clear" w:color="auto" w:fill="D9D9D9"/>
            <w:vAlign w:val="center"/>
          </w:tcPr>
          <w:p w:rsidR="00A8783E" w:rsidRPr="00A8783E" w:rsidRDefault="00A8783E" w:rsidP="00A8783E">
            <w:pPr>
              <w:spacing w:before="120" w:after="12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Scientific Name</w:t>
            </w:r>
          </w:p>
        </w:tc>
        <w:tc>
          <w:tcPr>
            <w:tcW w:w="0" w:type="auto"/>
            <w:vMerge w:val="restart"/>
            <w:shd w:val="clear" w:color="auto" w:fill="D9D9D9"/>
            <w:vAlign w:val="center"/>
          </w:tcPr>
          <w:p w:rsidR="00A8783E" w:rsidRPr="00A8783E" w:rsidRDefault="00A8783E" w:rsidP="00A8783E">
            <w:pPr>
              <w:spacing w:before="120" w:after="12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NP</w:t>
            </w:r>
          </w:p>
        </w:tc>
        <w:tc>
          <w:tcPr>
            <w:tcW w:w="0" w:type="auto"/>
            <w:gridSpan w:val="2"/>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T</w:t>
            </w:r>
          </w:p>
        </w:tc>
        <w:tc>
          <w:tcPr>
            <w:tcW w:w="0" w:type="auto"/>
            <w:gridSpan w:val="2"/>
            <w:shd w:val="clear" w:color="auto" w:fill="D9D9D9"/>
            <w:vAlign w:val="center"/>
          </w:tcPr>
          <w:p w:rsidR="00A8783E" w:rsidRPr="00A8783E" w:rsidRDefault="00A8783E" w:rsidP="00A8783E">
            <w:pPr>
              <w:spacing w:after="0" w:line="240" w:lineRule="auto"/>
              <w:jc w:val="center"/>
              <w:rPr>
                <w:rFonts w:ascii="Times New Roman" w:hAnsi="Times New Roman"/>
                <w:b/>
                <w:bCs/>
                <w:sz w:val="20"/>
                <w:szCs w:val="20"/>
                <w:lang w:eastAsia="en-GB"/>
              </w:rPr>
            </w:pPr>
            <w:r w:rsidRPr="00A8783E">
              <w:rPr>
                <w:rFonts w:ascii="Times New Roman" w:hAnsi="Times New Roman"/>
                <w:b/>
                <w:bCs/>
                <w:sz w:val="20"/>
                <w:szCs w:val="20"/>
                <w:lang w:eastAsia="en-GB"/>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D.qual.</w:t>
            </w:r>
          </w:p>
        </w:tc>
        <w:tc>
          <w:tcPr>
            <w:tcW w:w="0" w:type="auto"/>
            <w:gridSpan w:val="2"/>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A/B/C</w:t>
            </w:r>
          </w:p>
        </w:tc>
      </w:tr>
      <w:tr w:rsidR="00A8783E" w:rsidRPr="00A8783E" w:rsidTr="005B5318">
        <w:trPr>
          <w:trHeight w:val="125"/>
          <w:jc w:val="center"/>
        </w:trPr>
        <w:tc>
          <w:tcPr>
            <w:tcW w:w="0" w:type="auto"/>
            <w:vMerge/>
            <w:shd w:val="clear" w:color="auto" w:fill="D9D9D9"/>
            <w:vAlign w:val="center"/>
          </w:tcPr>
          <w:p w:rsidR="00A8783E" w:rsidRPr="00A8783E" w:rsidRDefault="00A8783E" w:rsidP="00A8783E">
            <w:pPr>
              <w:spacing w:before="120" w:after="12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before="120" w:after="12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before="120" w:after="12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before="120" w:after="120" w:line="240" w:lineRule="auto"/>
              <w:jc w:val="both"/>
              <w:rPr>
                <w:rFonts w:ascii="Times New Roman" w:hAnsi="Times New Roman"/>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p>
        </w:tc>
        <w:tc>
          <w:tcPr>
            <w:tcW w:w="0" w:type="auto"/>
            <w:gridSpan w:val="2"/>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Iso.</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lang w:eastAsia="en-GB"/>
              </w:rPr>
            </w:pPr>
            <w:r w:rsidRPr="00A8783E">
              <w:rPr>
                <w:rFonts w:ascii="Times New Roman" w:hAnsi="Times New Roman"/>
                <w:b/>
                <w:bCs/>
                <w:sz w:val="20"/>
                <w:szCs w:val="20"/>
                <w:lang w:eastAsia="en-GB"/>
              </w:rPr>
              <w:t>Glo.</w:t>
            </w:r>
          </w:p>
        </w:tc>
      </w:tr>
      <w:tr w:rsidR="00A8783E" w:rsidRPr="00A8783E" w:rsidTr="005B5318">
        <w:trPr>
          <w:trHeight w:val="643"/>
          <w:jc w:val="center"/>
        </w:trPr>
        <w:tc>
          <w:tcPr>
            <w:tcW w:w="0" w:type="auto"/>
            <w:vAlign w:val="center"/>
          </w:tcPr>
          <w:p w:rsidR="00A8783E" w:rsidRPr="00A8783E" w:rsidRDefault="00A8783E" w:rsidP="00A8783E">
            <w:pPr>
              <w:spacing w:before="120" w:after="120" w:line="240" w:lineRule="auto"/>
              <w:rPr>
                <w:rFonts w:ascii="Times New Roman" w:hAnsi="Times New Roman"/>
                <w:sz w:val="20"/>
                <w:szCs w:val="20"/>
                <w:lang w:eastAsia="en-GB"/>
              </w:rPr>
            </w:pPr>
            <w:r w:rsidRPr="00A8783E">
              <w:rPr>
                <w:rFonts w:ascii="Times New Roman" w:hAnsi="Times New Roman"/>
                <w:sz w:val="20"/>
                <w:szCs w:val="20"/>
                <w:lang w:eastAsia="en-GB"/>
              </w:rPr>
              <w:t>В</w:t>
            </w:r>
          </w:p>
        </w:tc>
        <w:tc>
          <w:tcPr>
            <w:tcW w:w="0" w:type="auto"/>
            <w:vAlign w:val="center"/>
          </w:tcPr>
          <w:p w:rsidR="00A8783E" w:rsidRPr="00A8783E" w:rsidRDefault="00A8783E" w:rsidP="00A8783E">
            <w:pPr>
              <w:spacing w:before="120" w:after="120" w:line="240" w:lineRule="auto"/>
              <w:rPr>
                <w:rFonts w:ascii="Times New Roman" w:hAnsi="Times New Roman"/>
                <w:sz w:val="20"/>
                <w:szCs w:val="20"/>
                <w:lang w:eastAsia="en-GB"/>
              </w:rPr>
            </w:pPr>
            <w:r w:rsidRPr="00A8783E">
              <w:rPr>
                <w:rFonts w:ascii="Times New Roman" w:hAnsi="Times New Roman"/>
                <w:sz w:val="20"/>
                <w:szCs w:val="20"/>
                <w:lang w:val="en-US"/>
              </w:rPr>
              <w:t>A0</w:t>
            </w:r>
            <w:r w:rsidRPr="00A8783E">
              <w:rPr>
                <w:rFonts w:ascii="Times New Roman" w:hAnsi="Times New Roman"/>
                <w:sz w:val="20"/>
                <w:szCs w:val="20"/>
              </w:rPr>
              <w:t>67</w:t>
            </w:r>
          </w:p>
        </w:tc>
        <w:tc>
          <w:tcPr>
            <w:tcW w:w="0" w:type="auto"/>
            <w:vAlign w:val="center"/>
          </w:tcPr>
          <w:p w:rsidR="00A8783E" w:rsidRPr="00A8783E" w:rsidRDefault="00A8783E" w:rsidP="00A8783E">
            <w:pPr>
              <w:spacing w:before="120" w:after="120" w:line="240" w:lineRule="auto"/>
              <w:rPr>
                <w:rFonts w:ascii="Times New Roman" w:hAnsi="Times New Roman"/>
                <w:i/>
                <w:iCs/>
                <w:sz w:val="20"/>
                <w:szCs w:val="20"/>
                <w:lang w:val="en-US" w:eastAsia="en-GB"/>
              </w:rPr>
            </w:pPr>
            <w:r w:rsidRPr="00A8783E">
              <w:rPr>
                <w:rFonts w:ascii="Times New Roman" w:hAnsi="Times New Roman"/>
                <w:i/>
                <w:iCs/>
                <w:sz w:val="20"/>
                <w:szCs w:val="20"/>
                <w:lang w:val="en-US"/>
              </w:rPr>
              <w:t>Bucephala clangula</w:t>
            </w:r>
          </w:p>
        </w:tc>
        <w:tc>
          <w:tcPr>
            <w:tcW w:w="0" w:type="auto"/>
            <w:vAlign w:val="center"/>
          </w:tcPr>
          <w:p w:rsidR="00A8783E" w:rsidRPr="00A8783E" w:rsidRDefault="00A8783E" w:rsidP="00A8783E">
            <w:pPr>
              <w:spacing w:before="120" w:after="120" w:line="240" w:lineRule="auto"/>
              <w:rPr>
                <w:rFonts w:ascii="Times New Roman" w:hAnsi="Times New Roman"/>
                <w:sz w:val="20"/>
                <w:szCs w:val="20"/>
                <w:lang w:eastAsia="en-GB"/>
              </w:rPr>
            </w:pPr>
          </w:p>
        </w:tc>
        <w:tc>
          <w:tcPr>
            <w:tcW w:w="0" w:type="auto"/>
            <w:vAlign w:val="center"/>
          </w:tcPr>
          <w:p w:rsidR="00A8783E" w:rsidRPr="00A8783E" w:rsidRDefault="00A8783E" w:rsidP="00A8783E">
            <w:pPr>
              <w:spacing w:before="120" w:after="120" w:line="240" w:lineRule="auto"/>
              <w:rPr>
                <w:rFonts w:ascii="Times New Roman" w:hAnsi="Times New Roman"/>
                <w:b/>
                <w:bCs/>
                <w:sz w:val="20"/>
                <w:szCs w:val="20"/>
                <w:lang w:eastAsia="en-GB"/>
              </w:rPr>
            </w:pPr>
          </w:p>
        </w:tc>
        <w:tc>
          <w:tcPr>
            <w:tcW w:w="0" w:type="auto"/>
            <w:gridSpan w:val="2"/>
            <w:vAlign w:val="center"/>
          </w:tcPr>
          <w:p w:rsidR="00A8783E" w:rsidRPr="00A8783E" w:rsidRDefault="00A8783E" w:rsidP="00A8783E">
            <w:pPr>
              <w:spacing w:before="120" w:after="120" w:line="240" w:lineRule="auto"/>
              <w:rPr>
                <w:rFonts w:ascii="Times New Roman" w:hAnsi="Times New Roman"/>
                <w:b/>
                <w:bCs/>
                <w:sz w:val="20"/>
                <w:szCs w:val="20"/>
                <w:lang w:val="en-US" w:eastAsia="en-GB"/>
              </w:rPr>
            </w:pPr>
            <w:r w:rsidRPr="00A8783E">
              <w:rPr>
                <w:rFonts w:ascii="Times New Roman" w:hAnsi="Times New Roman"/>
                <w:sz w:val="20"/>
                <w:szCs w:val="20"/>
                <w:lang w:val="en-US"/>
              </w:rPr>
              <w:t>w</w:t>
            </w:r>
          </w:p>
        </w:tc>
        <w:tc>
          <w:tcPr>
            <w:tcW w:w="0" w:type="auto"/>
            <w:vAlign w:val="center"/>
          </w:tcPr>
          <w:p w:rsidR="00A8783E" w:rsidRPr="00A8783E" w:rsidRDefault="00A8783E" w:rsidP="00A8783E">
            <w:pPr>
              <w:spacing w:before="120" w:after="12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4</w:t>
            </w:r>
          </w:p>
        </w:tc>
        <w:tc>
          <w:tcPr>
            <w:tcW w:w="0" w:type="auto"/>
            <w:vAlign w:val="center"/>
          </w:tcPr>
          <w:p w:rsidR="00A8783E" w:rsidRPr="00A8783E" w:rsidRDefault="00A8783E" w:rsidP="00A8783E">
            <w:pPr>
              <w:spacing w:before="120" w:after="120" w:line="240" w:lineRule="auto"/>
              <w:rPr>
                <w:rFonts w:ascii="Times New Roman" w:hAnsi="Times New Roman"/>
                <w:b/>
                <w:bCs/>
                <w:color w:val="FF0000"/>
                <w:sz w:val="20"/>
                <w:szCs w:val="20"/>
                <w:lang w:eastAsia="en-GB"/>
              </w:rPr>
            </w:pPr>
            <w:r w:rsidRPr="00A8783E">
              <w:rPr>
                <w:rFonts w:ascii="Times New Roman" w:hAnsi="Times New Roman"/>
                <w:b/>
                <w:bCs/>
                <w:color w:val="FF0000"/>
                <w:sz w:val="20"/>
                <w:szCs w:val="20"/>
                <w:lang w:val="en-US"/>
              </w:rPr>
              <w:t>30</w:t>
            </w:r>
          </w:p>
        </w:tc>
        <w:tc>
          <w:tcPr>
            <w:tcW w:w="0" w:type="auto"/>
            <w:vAlign w:val="center"/>
          </w:tcPr>
          <w:p w:rsidR="00A8783E" w:rsidRPr="00A8783E" w:rsidRDefault="00A8783E" w:rsidP="00A8783E">
            <w:pPr>
              <w:spacing w:before="120" w:after="120" w:line="240" w:lineRule="auto"/>
              <w:rPr>
                <w:rFonts w:ascii="Times New Roman" w:hAnsi="Times New Roman"/>
                <w:sz w:val="20"/>
                <w:szCs w:val="20"/>
                <w:lang w:val="en-US" w:eastAsia="en-GB"/>
              </w:rPr>
            </w:pPr>
            <w:r w:rsidRPr="00A8783E">
              <w:rPr>
                <w:rFonts w:ascii="Times New Roman" w:hAnsi="Times New Roman"/>
                <w:sz w:val="20"/>
                <w:szCs w:val="20"/>
                <w:lang w:val="en-US"/>
              </w:rPr>
              <w:t>i</w:t>
            </w:r>
          </w:p>
        </w:tc>
        <w:tc>
          <w:tcPr>
            <w:tcW w:w="0" w:type="auto"/>
            <w:vAlign w:val="center"/>
          </w:tcPr>
          <w:p w:rsidR="00A8783E" w:rsidRPr="00A8783E" w:rsidRDefault="00A8783E" w:rsidP="00A8783E">
            <w:pPr>
              <w:spacing w:before="120" w:after="120" w:line="240" w:lineRule="auto"/>
              <w:rPr>
                <w:rFonts w:ascii="Times New Roman" w:hAnsi="Times New Roman"/>
                <w:b/>
                <w:bCs/>
                <w:sz w:val="20"/>
                <w:szCs w:val="20"/>
                <w:lang w:eastAsia="en-GB"/>
              </w:rPr>
            </w:pPr>
          </w:p>
        </w:tc>
        <w:tc>
          <w:tcPr>
            <w:tcW w:w="0" w:type="auto"/>
            <w:vAlign w:val="center"/>
          </w:tcPr>
          <w:p w:rsidR="00A8783E" w:rsidRPr="00A8783E" w:rsidRDefault="00A8783E" w:rsidP="00A8783E">
            <w:pPr>
              <w:spacing w:before="120" w:after="120" w:line="240" w:lineRule="auto"/>
              <w:rPr>
                <w:rFonts w:ascii="Times New Roman" w:hAnsi="Times New Roman"/>
                <w:b/>
                <w:bCs/>
                <w:sz w:val="20"/>
                <w:szCs w:val="20"/>
                <w:lang w:eastAsia="en-GB"/>
              </w:rPr>
            </w:pPr>
            <w:r w:rsidRPr="00A8783E">
              <w:rPr>
                <w:rFonts w:ascii="Times New Roman" w:hAnsi="Times New Roman"/>
                <w:sz w:val="20"/>
                <w:szCs w:val="20"/>
                <w:lang w:val="en-US"/>
              </w:rPr>
              <w:t>G</w:t>
            </w:r>
          </w:p>
        </w:tc>
        <w:tc>
          <w:tcPr>
            <w:tcW w:w="0" w:type="auto"/>
            <w:gridSpan w:val="2"/>
            <w:vAlign w:val="center"/>
          </w:tcPr>
          <w:p w:rsidR="00A8783E" w:rsidRPr="00A8783E" w:rsidRDefault="00A8783E" w:rsidP="00A8783E">
            <w:pPr>
              <w:spacing w:before="120" w:after="120" w:line="240" w:lineRule="auto"/>
              <w:rPr>
                <w:rFonts w:ascii="Times New Roman" w:hAnsi="Times New Roman"/>
                <w:b/>
                <w:bCs/>
                <w:sz w:val="20"/>
                <w:szCs w:val="20"/>
                <w:lang w:eastAsia="en-GB"/>
              </w:rPr>
            </w:pPr>
            <w:r w:rsidRPr="00A8783E">
              <w:rPr>
                <w:rFonts w:ascii="Times New Roman" w:hAnsi="Times New Roman"/>
                <w:sz w:val="20"/>
                <w:szCs w:val="20"/>
                <w:lang w:val="en-US"/>
              </w:rPr>
              <w:t>B</w:t>
            </w:r>
          </w:p>
        </w:tc>
        <w:tc>
          <w:tcPr>
            <w:tcW w:w="0" w:type="auto"/>
            <w:vAlign w:val="center"/>
          </w:tcPr>
          <w:p w:rsidR="00A8783E" w:rsidRPr="00A8783E" w:rsidRDefault="00A8783E" w:rsidP="00A8783E">
            <w:pPr>
              <w:spacing w:before="120" w:after="120" w:line="240" w:lineRule="auto"/>
              <w:rPr>
                <w:rFonts w:ascii="Times New Roman" w:hAnsi="Times New Roman"/>
                <w:b/>
                <w:bCs/>
                <w:sz w:val="20"/>
                <w:szCs w:val="20"/>
                <w:lang w:eastAsia="en-GB"/>
              </w:rPr>
            </w:pPr>
            <w:r w:rsidRPr="00A8783E">
              <w:rPr>
                <w:rFonts w:ascii="Times New Roman" w:hAnsi="Times New Roman"/>
                <w:sz w:val="20"/>
                <w:szCs w:val="20"/>
                <w:lang w:val="en-US"/>
              </w:rPr>
              <w:t>A</w:t>
            </w:r>
          </w:p>
        </w:tc>
        <w:tc>
          <w:tcPr>
            <w:tcW w:w="0" w:type="auto"/>
            <w:vAlign w:val="center"/>
          </w:tcPr>
          <w:p w:rsidR="00A8783E" w:rsidRPr="00A8783E" w:rsidRDefault="00A8783E" w:rsidP="00A8783E">
            <w:pPr>
              <w:spacing w:before="120" w:after="120" w:line="240" w:lineRule="auto"/>
              <w:rPr>
                <w:rFonts w:ascii="Times New Roman" w:hAnsi="Times New Roman"/>
                <w:b/>
                <w:bCs/>
                <w:sz w:val="20"/>
                <w:szCs w:val="20"/>
                <w:lang w:eastAsia="en-GB"/>
              </w:rPr>
            </w:pPr>
            <w:r w:rsidRPr="00A8783E">
              <w:rPr>
                <w:rFonts w:ascii="Times New Roman" w:hAnsi="Times New Roman"/>
                <w:sz w:val="20"/>
                <w:szCs w:val="20"/>
                <w:lang w:val="en-US"/>
              </w:rPr>
              <w:t>C</w:t>
            </w:r>
          </w:p>
        </w:tc>
        <w:tc>
          <w:tcPr>
            <w:tcW w:w="0" w:type="auto"/>
            <w:vAlign w:val="center"/>
          </w:tcPr>
          <w:p w:rsidR="00A8783E" w:rsidRPr="00A8783E" w:rsidRDefault="00A8783E" w:rsidP="00A8783E">
            <w:pPr>
              <w:spacing w:before="120" w:after="120" w:line="240" w:lineRule="auto"/>
              <w:rPr>
                <w:rFonts w:ascii="Times New Roman" w:hAnsi="Times New Roman"/>
                <w:b/>
                <w:bCs/>
                <w:sz w:val="20"/>
                <w:szCs w:val="20"/>
                <w:lang w:eastAsia="en-GB"/>
              </w:rPr>
            </w:pPr>
            <w:r w:rsidRPr="00A8783E">
              <w:rPr>
                <w:rFonts w:ascii="Times New Roman" w:hAnsi="Times New Roman"/>
                <w:sz w:val="20"/>
                <w:szCs w:val="20"/>
                <w:lang w:val="en-US"/>
              </w:rPr>
              <w:t>C</w:t>
            </w:r>
          </w:p>
        </w:tc>
      </w:tr>
    </w:tbl>
    <w:p w:rsidR="00A8783E" w:rsidRPr="00A8783E" w:rsidRDefault="00A8783E" w:rsidP="00A8783E">
      <w:pPr>
        <w:spacing w:after="0" w:line="240" w:lineRule="auto"/>
        <w:rPr>
          <w:rFonts w:ascii="Times New Roman" w:hAnsi="Times New Roman"/>
          <w:sz w:val="24"/>
          <w:szCs w:val="24"/>
          <w:lang w:eastAsia="bg-BG"/>
        </w:rPr>
      </w:pPr>
    </w:p>
    <w:p w:rsidR="00A8783E" w:rsidRPr="00A8783E" w:rsidRDefault="00A8783E" w:rsidP="00A8783E">
      <w:pPr>
        <w:spacing w:after="0" w:line="240" w:lineRule="auto"/>
        <w:rPr>
          <w:rFonts w:ascii="Times New Roman" w:hAnsi="Times New Roman"/>
          <w:sz w:val="24"/>
          <w:szCs w:val="24"/>
          <w:lang w:eastAsia="bg-BG"/>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226" w:name="_Toc87467211"/>
      <w:bookmarkStart w:id="227" w:name="_Toc87513933"/>
      <w:bookmarkStart w:id="228" w:name="_Toc89106093"/>
      <w:bookmarkStart w:id="229" w:name="_Toc98741932"/>
      <w:bookmarkStart w:id="230" w:name="_Toc98838607"/>
      <w:r w:rsidRPr="00A8783E">
        <w:rPr>
          <w:rFonts w:ascii="Times New Roman" w:hAnsi="Times New Roman"/>
          <w:color w:val="1F497D"/>
          <w:sz w:val="28"/>
          <w:szCs w:val="28"/>
        </w:rPr>
        <w:t xml:space="preserve">Специфични цели за А767 </w:t>
      </w:r>
      <w:r w:rsidRPr="00A8783E">
        <w:rPr>
          <w:rFonts w:ascii="Times New Roman" w:hAnsi="Times New Roman"/>
          <w:i/>
          <w:iCs/>
          <w:color w:val="1F497D"/>
          <w:sz w:val="28"/>
          <w:szCs w:val="28"/>
          <w:lang w:val="en-US"/>
        </w:rPr>
        <w:t>Mergellus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albellus</w:t>
      </w:r>
      <w:r w:rsidRPr="00A8783E">
        <w:rPr>
          <w:rFonts w:ascii="Times New Roman" w:hAnsi="Times New Roman"/>
          <w:color w:val="1F497D"/>
          <w:sz w:val="28"/>
          <w:szCs w:val="28"/>
        </w:rPr>
        <w:t xml:space="preserve"> (малък нирец)</w:t>
      </w:r>
      <w:bookmarkEnd w:id="226"/>
      <w:bookmarkEnd w:id="227"/>
      <w:bookmarkEnd w:id="228"/>
      <w:bookmarkEnd w:id="229"/>
      <w:bookmarkEnd w:id="230"/>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 xml:space="preserve">Дължина на тялото: 38-44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55-69 </w:t>
      </w:r>
      <w:r w:rsidRPr="00A8783E">
        <w:rPr>
          <w:rFonts w:ascii="Times New Roman" w:hAnsi="Times New Roman"/>
          <w:sz w:val="24"/>
          <w:szCs w:val="24"/>
          <w:lang w:val="en-US"/>
        </w:rPr>
        <w:t>cm</w:t>
      </w:r>
      <w:r w:rsidRPr="00A8783E">
        <w:rPr>
          <w:rFonts w:ascii="Times New Roman" w:hAnsi="Times New Roman"/>
          <w:sz w:val="24"/>
          <w:szCs w:val="24"/>
        </w:rPr>
        <w:t xml:space="preserve">. Има къс клюн, главата е с високо чело и малка качулка. Мъжкият е с черно-бяло оперение с характерна „черна маска“ на очите, черна ивица на тила и две черни линии от гърба през крилото към гушата и гърдите. Женската е с контрастиращи червено кафява горна половина на </w:t>
      </w:r>
      <w:r w:rsidRPr="00A8783E">
        <w:rPr>
          <w:rFonts w:ascii="Times New Roman" w:hAnsi="Times New Roman"/>
          <w:sz w:val="24"/>
          <w:szCs w:val="24"/>
        </w:rPr>
        <w:lastRenderedPageBreak/>
        <w:t>главата и бели подбрадие, гърло и страни на шията; също с „тъмна маска“ през очите, макар и слабо различима (Нанкинов и др., 1997).</w:t>
      </w:r>
    </w:p>
    <w:p w:rsidR="00A8783E" w:rsidRPr="00A8783E" w:rsidRDefault="00A8783E" w:rsidP="00A8783E">
      <w:pPr>
        <w:spacing w:before="120" w:after="120" w:line="240" w:lineRule="auto"/>
        <w:ind w:hanging="11"/>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Мигриращ и зимуващ вид за страната. Резултатите от средно-зимните преброявания в България в периода 1977-1996 г. показват, че вида е доста често срещан със средна численост от 124 индивида (максимум 333 инд. през 1996 г.). Най-широко разпространен по поречието на р. Дунав. Основните концентрации са по река Дунав в речния участък между Тутракан и Силистра (средно 22 инд., максимум – 153 инд. през 1996 г.), Мандра (средно 20 инд., максимум – 133 инд. през 1985 г.) и речен участък на Дунав между Свищов и Русе (средно 14 инд., максимум – 71 инд. през 1996 г.). През периода 1997-2001 г. средната численост на зимуващите у нас малки нирци се увеличава до 277 инд. с максимум от 1104 инд. през 1997 г. (Michev and Profirov, 2003).</w:t>
      </w:r>
    </w:p>
    <w:p w:rsidR="00A8783E" w:rsidRPr="00A8783E" w:rsidRDefault="00A8783E" w:rsidP="00A8783E">
      <w:pPr>
        <w:spacing w:before="120" w:after="120" w:line="240" w:lineRule="auto"/>
        <w:ind w:hanging="11"/>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През размножителния период обитава горски реки с по-бавно течение и езера. По време на зимуване – по-големи реки и езера с обширни открити водни пространства, по-рядко в морски заливи (Нанкинов и др., 1997). Подходящи местообитания за търсене на храна по време на зимуване и миграция са реки, езера и морски крайбрежия, вероятно 3160, 3260, 3130, 3140, 1130, 1150, 1160 и др. според Директивата за хабитатите (Кавръкова и др., 2009).</w:t>
      </w:r>
    </w:p>
    <w:p w:rsidR="00A8783E" w:rsidRPr="00A8783E" w:rsidRDefault="00A8783E" w:rsidP="00A8783E">
      <w:pPr>
        <w:spacing w:before="120" w:after="120" w:line="240" w:lineRule="auto"/>
        <w:ind w:hanging="11"/>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През зимата се храни изключително с дребни рибки (Нанкинов и др., 1997).</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Среща се в цялата страна, но главно в по-големите езера и блата край р. Дунав и Черно море (Нанкинов и др., 1997).</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В Закона за биологичното разнообразие видът е включен в Приложение 2 и 3. Малкият нирец не е включен в Червена книга на Р България (2015). Според IUCN видът е „слабо засегнат“ (Least Concern) в Европа и в света. Включен е в Резолюция № 6 (1998) на Постоянния комитет на Бернската конвенция.</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2013 – 2018 г.) националната зимуваща популация на вида се оценя на 50 – 450 индивида. Краткосрочната тенденция на популацията (за периода 2000 – 2018 г.) е флуктуираща, а дългосрочната (за периода 1980 – 2018 г.), също е флуктуираща. За зимуващата популация са посочени следните заплахи и влияния: </w:t>
      </w:r>
      <w:r w:rsidRPr="00A8783E">
        <w:rPr>
          <w:rFonts w:ascii="Times New Roman" w:hAnsi="Times New Roman"/>
          <w:sz w:val="24"/>
          <w:szCs w:val="24"/>
          <w:lang w:val="en-US"/>
        </w:rPr>
        <w:t>F</w:t>
      </w:r>
      <w:r w:rsidRPr="00A8783E">
        <w:rPr>
          <w:rFonts w:ascii="Times New Roman" w:hAnsi="Times New Roman"/>
          <w:sz w:val="24"/>
          <w:szCs w:val="24"/>
        </w:rPr>
        <w:t xml:space="preserve">02, </w:t>
      </w:r>
      <w:r w:rsidRPr="00A8783E">
        <w:rPr>
          <w:rFonts w:ascii="Times New Roman" w:hAnsi="Times New Roman"/>
          <w:sz w:val="24"/>
          <w:szCs w:val="24"/>
          <w:lang w:val="en-US"/>
        </w:rPr>
        <w:t>J</w:t>
      </w:r>
      <w:r w:rsidRPr="00A8783E">
        <w:rPr>
          <w:rFonts w:ascii="Times New Roman" w:hAnsi="Times New Roman"/>
          <w:sz w:val="24"/>
          <w:szCs w:val="24"/>
        </w:rPr>
        <w:t xml:space="preserve">02, </w:t>
      </w:r>
      <w:r w:rsidRPr="00A8783E">
        <w:rPr>
          <w:rFonts w:ascii="Times New Roman" w:hAnsi="Times New Roman"/>
          <w:sz w:val="24"/>
          <w:szCs w:val="24"/>
          <w:lang w:val="en-US"/>
        </w:rPr>
        <w:t>F</w:t>
      </w:r>
      <w:r w:rsidRPr="00A8783E">
        <w:rPr>
          <w:rFonts w:ascii="Times New Roman" w:hAnsi="Times New Roman"/>
          <w:sz w:val="24"/>
          <w:szCs w:val="24"/>
        </w:rPr>
        <w:t>03.</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2013 – 2018 г.) националната мигрираща популация на вида се оценя на 500 – 1500 индивида. Не са посочени тенденции в развитието на популацията. За мигриращата популация са посочени следните заплахи и влияния: </w:t>
      </w:r>
      <w:r w:rsidRPr="00A8783E">
        <w:rPr>
          <w:rFonts w:ascii="Times New Roman" w:hAnsi="Times New Roman"/>
          <w:sz w:val="24"/>
          <w:szCs w:val="24"/>
          <w:lang w:val="en-US"/>
        </w:rPr>
        <w:t>K</w:t>
      </w:r>
      <w:r w:rsidRPr="00A8783E">
        <w:rPr>
          <w:rFonts w:ascii="Times New Roman" w:hAnsi="Times New Roman"/>
          <w:sz w:val="24"/>
          <w:szCs w:val="24"/>
        </w:rPr>
        <w:t>04.</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зимуващ. </w:t>
      </w:r>
      <w:r w:rsidRPr="00A8783E">
        <w:rPr>
          <w:rFonts w:ascii="Times New Roman" w:hAnsi="Times New Roman"/>
          <w:b/>
          <w:bCs/>
          <w:sz w:val="24"/>
          <w:szCs w:val="24"/>
        </w:rPr>
        <w:t>Зимуващата</w:t>
      </w:r>
      <w:r w:rsidRPr="00A8783E">
        <w:rPr>
          <w:rFonts w:ascii="Times New Roman" w:hAnsi="Times New Roman"/>
          <w:sz w:val="24"/>
          <w:szCs w:val="24"/>
        </w:rPr>
        <w:t xml:space="preserve"> популация на вида се оценява на до </w:t>
      </w:r>
      <w:r w:rsidRPr="00A8783E">
        <w:rPr>
          <w:rFonts w:ascii="Times New Roman" w:hAnsi="Times New Roman"/>
          <w:b/>
          <w:bCs/>
          <w:sz w:val="24"/>
          <w:szCs w:val="24"/>
        </w:rPr>
        <w:t>5 индивида</w:t>
      </w:r>
      <w:r w:rsidRPr="00A8783E">
        <w:rPr>
          <w:rFonts w:ascii="Times New Roman" w:hAnsi="Times New Roman"/>
          <w:sz w:val="24"/>
          <w:szCs w:val="24"/>
        </w:rPr>
        <w:t>, което е 1,11 – 10 % от националната зимуваща популация (оценка „С“). Опазването на вида е добра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lastRenderedPageBreak/>
        <w:t xml:space="preserve">4. Анализ на наличната информация </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Малкият нирец е често срещан зимуващ вид със средна стойност 124 индивида за периода 1977-1996 г. като основно зимува по поречието на р. Дунав – средно 64 птици (Michev and Profirov, 2003). В Бургаските влажни зони, видът е рядък пролетен мигрант и обикновен зимен вид. Максималните числености на вида по време на зимата е 490 инд. (Dimitrov et al., 2005). Според Костадинова, Граматиков (2007), видът не присъства в зоната през зимата.</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 xml:space="preserve">По време на Средно-зимното преброяване през 2019 г., видът е наблюдаван на 16 места по поречието на р. Дунав. Установени са общо 117 индивида в р. Дунав, като 1 инд. от тях е наблюдаван западно от зоната. Вероятно по-ниските температури през зимата на 2019 г. (stringmeteo.com) са основната причина за по-голямото количество птици по реката. През 2020 г. видът е отчетен само на три места в р. Дунав, но не и в близост до зоната. По данни от </w:t>
      </w:r>
      <w:hyperlink r:id="rId210" w:history="1">
        <w:r w:rsidRPr="00A8783E">
          <w:rPr>
            <w:rFonts w:ascii="Times New Roman" w:hAnsi="Times New Roman"/>
            <w:color w:val="0563C1"/>
            <w:sz w:val="24"/>
            <w:szCs w:val="24"/>
            <w:u w:val="single"/>
          </w:rPr>
          <w:t>https://ebird.org/</w:t>
        </w:r>
      </w:hyperlink>
      <w:r w:rsidRPr="00A8783E">
        <w:rPr>
          <w:rFonts w:ascii="Times New Roman" w:hAnsi="Times New Roman"/>
          <w:sz w:val="24"/>
          <w:szCs w:val="24"/>
        </w:rPr>
        <w:t xml:space="preserve">, видът е наблюдаван в зоната през март 1985 г.- 2 инд., през януари 1988 г. –7 инд., през февруари 1988 г. – 2 инд.,  през февруари 1991 г. – 41 инд. и през януари 1992 г. –30 инд. По данни от </w:t>
      </w:r>
      <w:hyperlink r:id="rId211" w:history="1">
        <w:r w:rsidRPr="00A8783E">
          <w:rPr>
            <w:rFonts w:ascii="Times New Roman" w:hAnsi="Times New Roman"/>
            <w:color w:val="0563C1"/>
            <w:sz w:val="24"/>
            <w:szCs w:val="24"/>
            <w:u w:val="single"/>
          </w:rPr>
          <w:t>https://observation.org</w:t>
        </w:r>
      </w:hyperlink>
      <w:r w:rsidRPr="00A8783E">
        <w:rPr>
          <w:rFonts w:ascii="Times New Roman" w:hAnsi="Times New Roman"/>
          <w:sz w:val="24"/>
          <w:szCs w:val="24"/>
        </w:rPr>
        <w:t>, за 2020 и 2021 г., видът не е наблюдаван в зоната.</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 xml:space="preserve">Посочените заплахи </w:t>
      </w:r>
      <w:r w:rsidRPr="00A8783E">
        <w:rPr>
          <w:rFonts w:ascii="Times New Roman" w:hAnsi="Times New Roman"/>
          <w:sz w:val="24"/>
          <w:szCs w:val="24"/>
          <w:lang w:val="en-US"/>
        </w:rPr>
        <w:t>F</w:t>
      </w:r>
      <w:r w:rsidRPr="00A8783E">
        <w:rPr>
          <w:rFonts w:ascii="Times New Roman" w:hAnsi="Times New Roman"/>
          <w:sz w:val="24"/>
          <w:szCs w:val="24"/>
        </w:rPr>
        <w:t xml:space="preserve">02, </w:t>
      </w:r>
      <w:r w:rsidRPr="00A8783E">
        <w:rPr>
          <w:rFonts w:ascii="Times New Roman" w:hAnsi="Times New Roman"/>
          <w:sz w:val="24"/>
          <w:szCs w:val="24"/>
          <w:lang w:val="en-US"/>
        </w:rPr>
        <w:t>F</w:t>
      </w:r>
      <w:r w:rsidRPr="00A8783E">
        <w:rPr>
          <w:rFonts w:ascii="Times New Roman" w:hAnsi="Times New Roman"/>
          <w:sz w:val="24"/>
          <w:szCs w:val="24"/>
        </w:rPr>
        <w:t>03 и J02 за зимуващата популация в докладването по чл. 12 от 2019 г. за вида, нямат отношение към зоната.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88"/>
        <w:gridCol w:w="1142"/>
        <w:gridCol w:w="1276"/>
        <w:gridCol w:w="2719"/>
        <w:gridCol w:w="2571"/>
      </w:tblGrid>
      <w:tr w:rsidR="00A8783E" w:rsidRPr="00A8783E" w:rsidTr="005B5318">
        <w:trPr>
          <w:tblHeader/>
          <w:jc w:val="center"/>
        </w:trPr>
        <w:tc>
          <w:tcPr>
            <w:tcW w:w="1688"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Параметър</w:t>
            </w:r>
          </w:p>
        </w:tc>
        <w:tc>
          <w:tcPr>
            <w:tcW w:w="1142"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Мерна единица</w:t>
            </w:r>
          </w:p>
        </w:tc>
        <w:tc>
          <w:tcPr>
            <w:tcW w:w="1276"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Целева стойност</w:t>
            </w:r>
          </w:p>
        </w:tc>
        <w:tc>
          <w:tcPr>
            <w:tcW w:w="2719"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Допълнителна информация</w:t>
            </w:r>
          </w:p>
        </w:tc>
        <w:tc>
          <w:tcPr>
            <w:tcW w:w="2571"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jc w:val="center"/>
        </w:trPr>
        <w:tc>
          <w:tcPr>
            <w:tcW w:w="1688"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зимуващата популация</w:t>
            </w:r>
          </w:p>
        </w:tc>
        <w:tc>
          <w:tcPr>
            <w:tcW w:w="1142"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индивиди</w:t>
            </w:r>
          </w:p>
        </w:tc>
        <w:tc>
          <w:tcPr>
            <w:tcW w:w="12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До 5 инд.</w:t>
            </w:r>
          </w:p>
        </w:tc>
        <w:tc>
          <w:tcPr>
            <w:tcW w:w="2719"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Определена на база СФ. Количеството на зимуващите птици ще зависи от средните температури, през януари. При ср. темп. за януари в района на СЗЗ около 0° С се очаква целевата стойност да бъде изпълнена.</w:t>
            </w:r>
          </w:p>
        </w:tc>
        <w:tc>
          <w:tcPr>
            <w:tcW w:w="2571"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При ср. темп. за януари в района на СЗЗ около 0° С поддържане на популацията &gt;5 инд.</w:t>
            </w:r>
          </w:p>
        </w:tc>
      </w:tr>
      <w:tr w:rsidR="00A8783E" w:rsidRPr="00A8783E" w:rsidTr="005B5318">
        <w:trPr>
          <w:jc w:val="center"/>
        </w:trPr>
        <w:tc>
          <w:tcPr>
            <w:tcW w:w="1688"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хранителни местообитания на вида</w:t>
            </w:r>
            <w:r w:rsidRPr="00A8783E">
              <w:rPr>
                <w:rFonts w:ascii="Times New Roman" w:hAnsi="Times New Roman"/>
                <w:b/>
                <w:bCs/>
              </w:rPr>
              <w:t xml:space="preserve"> </w:t>
            </w:r>
          </w:p>
        </w:tc>
        <w:tc>
          <w:tcPr>
            <w:tcW w:w="1142" w:type="dxa"/>
          </w:tcPr>
          <w:p w:rsidR="00A8783E" w:rsidRPr="00A8783E" w:rsidRDefault="00A8783E" w:rsidP="00A8783E">
            <w:pPr>
              <w:spacing w:after="0" w:line="240" w:lineRule="auto"/>
              <w:rPr>
                <w:rFonts w:ascii="Times New Roman" w:hAnsi="Times New Roman"/>
              </w:rPr>
            </w:pPr>
            <w:r w:rsidRPr="00A8783E">
              <w:rPr>
                <w:rFonts w:ascii="Times New Roman" w:hAnsi="Times New Roman"/>
                <w:lang w:val="en-US"/>
              </w:rPr>
              <w:t>ha</w:t>
            </w:r>
          </w:p>
        </w:tc>
        <w:tc>
          <w:tcPr>
            <w:tcW w:w="12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Най-малко 275 </w:t>
            </w:r>
            <w:r w:rsidRPr="00A8783E">
              <w:rPr>
                <w:rFonts w:ascii="Times New Roman" w:hAnsi="Times New Roman"/>
                <w:lang w:val="en-GB"/>
              </w:rPr>
              <w:t>ha</w:t>
            </w:r>
          </w:p>
        </w:tc>
        <w:tc>
          <w:tcPr>
            <w:tcW w:w="2719"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Изчислена на база откритите водни площи в рамките на СЗЗ. Данните са взети от СФ като % на местообитание </w:t>
            </w:r>
            <w:r w:rsidRPr="00A8783E">
              <w:rPr>
                <w:rFonts w:ascii="Times New Roman" w:hAnsi="Times New Roman"/>
                <w:lang w:val="en-GB"/>
              </w:rPr>
              <w:t>N</w:t>
            </w:r>
            <w:r w:rsidRPr="00A8783E">
              <w:rPr>
                <w:rFonts w:ascii="Times New Roman" w:hAnsi="Times New Roman"/>
              </w:rPr>
              <w:t xml:space="preserve">06 – континентални водни тела. </w:t>
            </w:r>
          </w:p>
          <w:p w:rsidR="00A8783E" w:rsidRPr="00A8783E" w:rsidRDefault="00A8783E" w:rsidP="00A8783E">
            <w:pPr>
              <w:spacing w:after="0" w:line="240" w:lineRule="auto"/>
              <w:ind w:left="6"/>
              <w:rPr>
                <w:rFonts w:ascii="Times New Roman" w:hAnsi="Times New Roman"/>
              </w:rPr>
            </w:pPr>
          </w:p>
        </w:tc>
        <w:tc>
          <w:tcPr>
            <w:tcW w:w="2571"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площта на подходящото хранително местообитание на вида в защитената зона, в размер на най-малко 275 ha. чрез поддържане на оптимално ниво на водата в езерото.</w:t>
            </w:r>
          </w:p>
        </w:tc>
      </w:tr>
      <w:tr w:rsidR="00A8783E" w:rsidRPr="00A8783E" w:rsidTr="005B5318">
        <w:trPr>
          <w:jc w:val="center"/>
        </w:trPr>
        <w:tc>
          <w:tcPr>
            <w:tcW w:w="1688"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 xml:space="preserve">Екологично състояние на водните тела с местообитания на вида, по биологичен елемент риби </w:t>
            </w:r>
            <w:r w:rsidRPr="00A8783E">
              <w:rPr>
                <w:rFonts w:ascii="Times New Roman" w:hAnsi="Times New Roman"/>
              </w:rPr>
              <w:lastRenderedPageBreak/>
              <w:t>(JDS4-Fish)</w:t>
            </w:r>
          </w:p>
        </w:tc>
        <w:tc>
          <w:tcPr>
            <w:tcW w:w="1142"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lastRenderedPageBreak/>
              <w:t>5 степенна скала</w:t>
            </w:r>
          </w:p>
        </w:tc>
        <w:tc>
          <w:tcPr>
            <w:tcW w:w="12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2-Добро или 1-Отлично</w:t>
            </w:r>
          </w:p>
        </w:tc>
        <w:tc>
          <w:tcPr>
            <w:tcW w:w="2719" w:type="dxa"/>
          </w:tcPr>
          <w:tbl>
            <w:tblPr>
              <w:tblW w:w="2711" w:type="dxa"/>
              <w:tblInd w:w="3" w:type="dxa"/>
              <w:tblLayout w:type="fixed"/>
              <w:tblCellMar>
                <w:left w:w="70" w:type="dxa"/>
                <w:right w:w="70" w:type="dxa"/>
              </w:tblCellMar>
              <w:tblLook w:val="00A0" w:firstRow="1" w:lastRow="0" w:firstColumn="1" w:lastColumn="0" w:noHBand="0" w:noVBand="0"/>
            </w:tblPr>
            <w:tblGrid>
              <w:gridCol w:w="2711"/>
            </w:tblGrid>
            <w:tr w:rsidR="00A8783E" w:rsidRPr="00A8783E" w:rsidTr="005B5318">
              <w:trPr>
                <w:trHeight w:val="272"/>
              </w:trPr>
              <w:tc>
                <w:tcPr>
                  <w:tcW w:w="2711"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tabs>
                      <w:tab w:val="left" w:pos="98"/>
                    </w:tabs>
                    <w:spacing w:after="0" w:line="240" w:lineRule="auto"/>
                    <w:ind w:left="-45"/>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72"/>
              </w:trPr>
              <w:tc>
                <w:tcPr>
                  <w:tcW w:w="2711"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45"/>
                    <w:rPr>
                      <w:rFonts w:ascii="Times New Roman" w:hAnsi="Times New Roman"/>
                    </w:rPr>
                  </w:pPr>
                  <w:r w:rsidRPr="00A8783E">
                    <w:rPr>
                      <w:rFonts w:ascii="Times New Roman" w:hAnsi="Times New Roman"/>
                    </w:rPr>
                    <w:t>1-Отлично - High</w:t>
                  </w:r>
                </w:p>
              </w:tc>
            </w:tr>
            <w:tr w:rsidR="00A8783E" w:rsidRPr="00A8783E" w:rsidTr="005B5318">
              <w:trPr>
                <w:trHeight w:val="272"/>
              </w:trPr>
              <w:tc>
                <w:tcPr>
                  <w:tcW w:w="2711"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45"/>
                    <w:rPr>
                      <w:rFonts w:ascii="Times New Roman" w:hAnsi="Times New Roman"/>
                    </w:rPr>
                  </w:pPr>
                  <w:r w:rsidRPr="00A8783E">
                    <w:rPr>
                      <w:rFonts w:ascii="Times New Roman" w:hAnsi="Times New Roman"/>
                    </w:rPr>
                    <w:t>2-Добро - Good</w:t>
                  </w:r>
                </w:p>
              </w:tc>
            </w:tr>
            <w:tr w:rsidR="00A8783E" w:rsidRPr="00A8783E" w:rsidTr="005B5318">
              <w:trPr>
                <w:trHeight w:val="272"/>
              </w:trPr>
              <w:tc>
                <w:tcPr>
                  <w:tcW w:w="2711"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45"/>
                    <w:rPr>
                      <w:rFonts w:ascii="Times New Roman" w:hAnsi="Times New Roman"/>
                    </w:rPr>
                  </w:pPr>
                  <w:r w:rsidRPr="00A8783E">
                    <w:rPr>
                      <w:rFonts w:ascii="Times New Roman" w:hAnsi="Times New Roman"/>
                    </w:rPr>
                    <w:t>3-Умерено - Moderate</w:t>
                  </w:r>
                </w:p>
              </w:tc>
            </w:tr>
            <w:tr w:rsidR="00A8783E" w:rsidRPr="00A8783E" w:rsidTr="005B5318">
              <w:trPr>
                <w:trHeight w:val="272"/>
              </w:trPr>
              <w:tc>
                <w:tcPr>
                  <w:tcW w:w="2711"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45"/>
                    <w:rPr>
                      <w:rFonts w:ascii="Times New Roman" w:hAnsi="Times New Roman"/>
                    </w:rPr>
                  </w:pPr>
                  <w:r w:rsidRPr="00A8783E">
                    <w:rPr>
                      <w:rFonts w:ascii="Times New Roman" w:hAnsi="Times New Roman"/>
                    </w:rPr>
                    <w:t>4-Лошо - Poor</w:t>
                  </w:r>
                </w:p>
              </w:tc>
            </w:tr>
            <w:tr w:rsidR="00A8783E" w:rsidRPr="00A8783E" w:rsidTr="005B5318">
              <w:trPr>
                <w:trHeight w:val="272"/>
              </w:trPr>
              <w:tc>
                <w:tcPr>
                  <w:tcW w:w="2711"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45"/>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Екологичното състояние на водите по р. Дунав по показател риби (пункт </w:t>
            </w:r>
            <w:r w:rsidRPr="00A8783E">
              <w:rPr>
                <w:rFonts w:ascii="Times New Roman" w:hAnsi="Times New Roman"/>
              </w:rPr>
              <w:lastRenderedPageBreak/>
              <w:t xml:space="preserve">Русе и Силистра) е оценено на </w:t>
            </w:r>
            <w:r w:rsidRPr="00A8783E">
              <w:rPr>
                <w:rFonts w:ascii="Times New Roman" w:hAnsi="Times New Roman"/>
                <w:b/>
                <w:bCs/>
              </w:rPr>
              <w:t xml:space="preserve">умерено (3) </w:t>
            </w:r>
            <w:r w:rsidRPr="00A8783E">
              <w:rPr>
                <w:rFonts w:ascii="Times New Roman" w:hAnsi="Times New Roman"/>
              </w:rPr>
              <w:t>според доклада на JDS4 (2019-2020, Табл. 5, стр. 51).</w:t>
            </w:r>
            <w:r w:rsidRPr="00A8783E">
              <w:rPr>
                <w:rFonts w:cs="Calibri"/>
              </w:rPr>
              <w:t xml:space="preserve"> </w:t>
            </w:r>
            <w:r w:rsidRPr="00A8783E">
              <w:rPr>
                <w:rFonts w:ascii="Times New Roman" w:hAnsi="Times New Roman"/>
              </w:rPr>
              <w:t>Екологичното състояние на езерото Сребърна по БЕК Риби е оценено като „Умерено“.</w:t>
            </w:r>
          </w:p>
        </w:tc>
        <w:tc>
          <w:tcPr>
            <w:tcW w:w="2571"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lastRenderedPageBreak/>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before="120" w:after="120" w:line="259" w:lineRule="auto"/>
        <w:jc w:val="both"/>
        <w:rPr>
          <w:rFonts w:ascii="Times New Roman" w:hAnsi="Times New Roman"/>
          <w:b/>
          <w:bCs/>
          <w:color w:val="000000"/>
          <w:sz w:val="24"/>
          <w:szCs w:val="24"/>
        </w:rPr>
      </w:pPr>
    </w:p>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t xml:space="preserve">6. Необходимост от промени в СФ </w:t>
      </w:r>
      <w:r w:rsidRPr="00A8783E">
        <w:rPr>
          <w:rFonts w:ascii="Times New Roman" w:hAnsi="Times New Roman"/>
          <w:b/>
          <w:bCs/>
          <w:sz w:val="24"/>
          <w:szCs w:val="24"/>
        </w:rPr>
        <w:t>BG0000241 „Сребърна“</w:t>
      </w:r>
    </w:p>
    <w:p w:rsidR="00A8783E" w:rsidRPr="00A8783E" w:rsidRDefault="00A8783E" w:rsidP="00A8783E">
      <w:pPr>
        <w:spacing w:after="0" w:line="259" w:lineRule="auto"/>
        <w:jc w:val="both"/>
        <w:rPr>
          <w:rFonts w:ascii="Times New Roman" w:hAnsi="Times New Roman"/>
          <w:color w:val="000000"/>
          <w:sz w:val="24"/>
          <w:szCs w:val="24"/>
        </w:rPr>
      </w:pPr>
      <w:r w:rsidRPr="00A8783E">
        <w:rPr>
          <w:rFonts w:ascii="Times New Roman" w:hAnsi="Times New Roman"/>
          <w:color w:val="000000"/>
          <w:sz w:val="24"/>
          <w:szCs w:val="24"/>
        </w:rPr>
        <w:t>Предвид наличната информация за настоящата зимуваща популация на вида в защитената зона е необходима актуализация на СФ:</w:t>
      </w:r>
    </w:p>
    <w:p w:rsidR="00A8783E" w:rsidRPr="00A8783E" w:rsidRDefault="00A8783E" w:rsidP="00A8783E">
      <w:pPr>
        <w:spacing w:after="0" w:line="259" w:lineRule="auto"/>
        <w:ind w:firstLine="567"/>
        <w:jc w:val="both"/>
        <w:rPr>
          <w:rFonts w:ascii="Times New Roman" w:hAnsi="Times New Roman"/>
          <w:color w:val="000000"/>
          <w:sz w:val="24"/>
          <w:szCs w:val="24"/>
        </w:rPr>
      </w:pPr>
      <w:r w:rsidRPr="00A8783E">
        <w:rPr>
          <w:rFonts w:ascii="Times New Roman" w:hAnsi="Times New Roman"/>
          <w:color w:val="000000"/>
          <w:sz w:val="24"/>
          <w:szCs w:val="24"/>
        </w:rPr>
        <w:t>•</w:t>
      </w:r>
      <w:r w:rsidRPr="00A8783E">
        <w:rPr>
          <w:rFonts w:ascii="Times New Roman" w:hAnsi="Times New Roman"/>
          <w:color w:val="000000"/>
          <w:sz w:val="24"/>
          <w:szCs w:val="24"/>
        </w:rPr>
        <w:tab/>
        <w:t>По отношение на оценка на зоната (Site assessment) за зимуващата популация следва да се промени критерия за размера и плътността на популацията от „С“ на „В“ (което е 1,11 – 10 % от националната зимуваща популация).</w:t>
      </w:r>
    </w:p>
    <w:p w:rsidR="00A8783E" w:rsidRPr="00A8783E" w:rsidRDefault="00A8783E" w:rsidP="00A8783E">
      <w:pPr>
        <w:spacing w:after="0" w:line="259" w:lineRule="auto"/>
        <w:ind w:firstLine="567"/>
        <w:jc w:val="both"/>
        <w:rPr>
          <w:rFonts w:ascii="Times New Roman" w:hAnsi="Times New Roman"/>
          <w:color w:val="000000"/>
          <w:sz w:val="24"/>
          <w:szCs w:val="24"/>
        </w:rPr>
      </w:pPr>
      <w:r w:rsidRPr="00A8783E">
        <w:rPr>
          <w:rFonts w:ascii="Times New Roman" w:hAnsi="Times New Roman"/>
          <w:color w:val="000000"/>
          <w:sz w:val="24"/>
          <w:szCs w:val="24"/>
        </w:rPr>
        <w:t xml:space="preserve">• </w:t>
      </w:r>
      <w:r w:rsidRPr="00A8783E">
        <w:rPr>
          <w:rFonts w:ascii="Times New Roman" w:hAnsi="Times New Roman"/>
          <w:sz w:val="24"/>
          <w:szCs w:val="24"/>
        </w:rPr>
        <w:t>Актуализиране на кода (</w:t>
      </w:r>
      <w:r w:rsidRPr="00A8783E">
        <w:rPr>
          <w:rFonts w:ascii="Times New Roman" w:hAnsi="Times New Roman"/>
          <w:sz w:val="24"/>
          <w:szCs w:val="24"/>
          <w:lang w:val="en-GB"/>
        </w:rPr>
        <w:t>code</w:t>
      </w:r>
      <w:r w:rsidRPr="00A8783E">
        <w:rPr>
          <w:rFonts w:ascii="Times New Roman" w:hAnsi="Times New Roman"/>
          <w:sz w:val="24"/>
          <w:szCs w:val="24"/>
        </w:rPr>
        <w:t>) и научното наименование (Scientific Name), съобразно Докладването от 2019 г.</w:t>
      </w: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359"/>
        <w:gridCol w:w="328"/>
        <w:gridCol w:w="483"/>
        <w:gridCol w:w="361"/>
        <w:gridCol w:w="572"/>
        <w:gridCol w:w="605"/>
        <w:gridCol w:w="594"/>
        <w:gridCol w:w="578"/>
        <w:gridCol w:w="839"/>
        <w:gridCol w:w="950"/>
        <w:gridCol w:w="622"/>
        <w:gridCol w:w="522"/>
        <w:gridCol w:w="578"/>
      </w:tblGrid>
      <w:tr w:rsidR="00A8783E" w:rsidRPr="00A8783E" w:rsidTr="005B5318">
        <w:trPr>
          <w:trHeight w:val="286"/>
          <w:jc w:val="center"/>
        </w:trPr>
        <w:tc>
          <w:tcPr>
            <w:tcW w:w="0" w:type="auto"/>
            <w:gridSpan w:val="5"/>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Species</w:t>
            </w:r>
          </w:p>
        </w:tc>
        <w:tc>
          <w:tcPr>
            <w:tcW w:w="0" w:type="auto"/>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Population in the site</w:t>
            </w:r>
          </w:p>
        </w:tc>
        <w:tc>
          <w:tcPr>
            <w:tcW w:w="0" w:type="auto"/>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Site assessment</w:t>
            </w:r>
          </w:p>
        </w:tc>
      </w:tr>
      <w:tr w:rsidR="00A8783E" w:rsidRPr="00A8783E" w:rsidTr="005B5318">
        <w:trPr>
          <w:trHeight w:val="286"/>
          <w:jc w:val="center"/>
        </w:trPr>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b/>
                <w:bCs/>
                <w:sz w:val="20"/>
                <w:szCs w:val="20"/>
                <w:lang w:val="en-GB"/>
              </w:rPr>
            </w:pPr>
            <w:r w:rsidRPr="00A8783E">
              <w:rPr>
                <w:rFonts w:ascii="Times New Roman" w:hAnsi="Times New Roman"/>
                <w:b/>
                <w:bCs/>
                <w:sz w:val="20"/>
                <w:szCs w:val="20"/>
                <w:lang w:val="en-GB"/>
              </w:rPr>
              <w:t>G</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Code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Scientific Name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NP</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T</w:t>
            </w: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Size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Unit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Cat.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D.qual.</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A/B/C/D</w:t>
            </w:r>
          </w:p>
        </w:tc>
        <w:tc>
          <w:tcPr>
            <w:tcW w:w="0" w:type="auto"/>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A/B/C</w:t>
            </w:r>
          </w:p>
        </w:tc>
      </w:tr>
      <w:tr w:rsidR="00A8783E" w:rsidRPr="00A8783E" w:rsidTr="005B5318">
        <w:trPr>
          <w:trHeight w:val="303"/>
          <w:jc w:val="center"/>
        </w:trPr>
        <w:tc>
          <w:tcPr>
            <w:tcW w:w="0" w:type="auto"/>
            <w:vMerge/>
            <w:shd w:val="clear" w:color="auto" w:fill="D9D9D9"/>
            <w:vAlign w:val="center"/>
          </w:tcPr>
          <w:p w:rsidR="00A8783E" w:rsidRPr="00A8783E" w:rsidRDefault="00A8783E" w:rsidP="00A8783E">
            <w:pPr>
              <w:spacing w:after="160" w:line="259" w:lineRule="auto"/>
              <w:rPr>
                <w:rFonts w:ascii="Times New Roman" w:hAnsi="Times New Roman"/>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Min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Max</w:t>
            </w: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Pop.</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Con.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Iso.</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Glo.</w:t>
            </w:r>
          </w:p>
        </w:tc>
      </w:tr>
      <w:tr w:rsidR="00A8783E" w:rsidRPr="00A8783E" w:rsidTr="005B5318">
        <w:trPr>
          <w:trHeight w:val="375"/>
          <w:jc w:val="center"/>
        </w:trPr>
        <w:tc>
          <w:tcPr>
            <w:tcW w:w="0" w:type="auto"/>
            <w:vAlign w:val="center"/>
          </w:tcPr>
          <w:p w:rsidR="00A8783E" w:rsidRPr="00A8783E" w:rsidRDefault="00A8783E" w:rsidP="00A8783E">
            <w:pPr>
              <w:spacing w:after="160" w:line="259" w:lineRule="auto"/>
              <w:rPr>
                <w:rFonts w:ascii="Times New Roman" w:hAnsi="Times New Roman"/>
                <w:sz w:val="20"/>
                <w:szCs w:val="20"/>
                <w:lang w:val="en-GB"/>
              </w:rPr>
            </w:pPr>
            <w:r w:rsidRPr="00A8783E">
              <w:rPr>
                <w:rFonts w:ascii="Times New Roman" w:hAnsi="Times New Roman"/>
                <w:sz w:val="20"/>
                <w:szCs w:val="20"/>
                <w:lang w:val="en-GB"/>
              </w:rPr>
              <w:t>В</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rPr>
            </w:pPr>
            <w:r w:rsidRPr="00A8783E">
              <w:rPr>
                <w:rFonts w:ascii="Times New Roman" w:hAnsi="Times New Roman"/>
                <w:b/>
                <w:bCs/>
                <w:color w:val="FF0000"/>
                <w:sz w:val="20"/>
                <w:szCs w:val="20"/>
                <w:lang w:val="en-GB"/>
              </w:rPr>
              <w:t>A</w:t>
            </w:r>
            <w:r w:rsidRPr="00A8783E">
              <w:rPr>
                <w:rFonts w:ascii="Times New Roman" w:hAnsi="Times New Roman"/>
                <w:b/>
                <w:bCs/>
                <w:color w:val="FF0000"/>
                <w:sz w:val="20"/>
                <w:szCs w:val="20"/>
              </w:rPr>
              <w:t>767</w:t>
            </w:r>
          </w:p>
        </w:tc>
        <w:tc>
          <w:tcPr>
            <w:tcW w:w="0" w:type="auto"/>
            <w:vAlign w:val="center"/>
          </w:tcPr>
          <w:p w:rsidR="00A8783E" w:rsidRPr="00A8783E" w:rsidRDefault="00A8783E" w:rsidP="00A8783E">
            <w:pPr>
              <w:spacing w:after="0" w:line="240" w:lineRule="auto"/>
              <w:rPr>
                <w:rFonts w:ascii="Times New Roman" w:hAnsi="Times New Roman"/>
                <w:b/>
                <w:bCs/>
                <w:i/>
                <w:iCs/>
                <w:color w:val="FF0000"/>
                <w:sz w:val="20"/>
                <w:szCs w:val="20"/>
                <w:lang w:val="en-GB"/>
              </w:rPr>
            </w:pPr>
            <w:r w:rsidRPr="00A8783E">
              <w:rPr>
                <w:rFonts w:ascii="Times New Roman" w:hAnsi="Times New Roman"/>
                <w:b/>
                <w:bCs/>
                <w:i/>
                <w:iCs/>
                <w:color w:val="FF0000"/>
                <w:sz w:val="20"/>
                <w:szCs w:val="20"/>
                <w:lang w:val="en-US"/>
              </w:rPr>
              <w:t>Mergellus albellus</w:t>
            </w:r>
          </w:p>
        </w:tc>
        <w:tc>
          <w:tcPr>
            <w:tcW w:w="0" w:type="auto"/>
            <w:vAlign w:val="center"/>
          </w:tcPr>
          <w:p w:rsidR="00A8783E" w:rsidRPr="00A8783E" w:rsidRDefault="00A8783E" w:rsidP="00A8783E">
            <w:pPr>
              <w:spacing w:after="0" w:line="240" w:lineRule="auto"/>
              <w:rPr>
                <w:rFonts w:ascii="Times New Roman" w:hAnsi="Times New Roman"/>
                <w:sz w:val="20"/>
                <w:szCs w:val="20"/>
                <w:lang w:val="en-GB"/>
              </w:rPr>
            </w:pPr>
          </w:p>
        </w:tc>
        <w:tc>
          <w:tcPr>
            <w:tcW w:w="0" w:type="auto"/>
            <w:vAlign w:val="center"/>
          </w:tcPr>
          <w:p w:rsidR="00A8783E" w:rsidRPr="00A8783E" w:rsidRDefault="00A8783E" w:rsidP="00A8783E">
            <w:pPr>
              <w:spacing w:after="0" w:line="240" w:lineRule="auto"/>
              <w:rPr>
                <w:rFonts w:ascii="Times New Roman" w:hAnsi="Times New Roman"/>
                <w:sz w:val="20"/>
                <w:szCs w:val="20"/>
                <w:lang w:val="en-GB"/>
              </w:rPr>
            </w:pPr>
          </w:p>
        </w:tc>
        <w:tc>
          <w:tcPr>
            <w:tcW w:w="0" w:type="auto"/>
            <w:vAlign w:val="center"/>
          </w:tcPr>
          <w:p w:rsidR="00A8783E" w:rsidRPr="00A8783E" w:rsidRDefault="00A8783E" w:rsidP="00A8783E">
            <w:pPr>
              <w:spacing w:after="0" w:line="240" w:lineRule="auto"/>
              <w:rPr>
                <w:rFonts w:ascii="Times New Roman" w:hAnsi="Times New Roman"/>
                <w:sz w:val="20"/>
                <w:szCs w:val="20"/>
                <w:lang w:val="en-GB"/>
              </w:rPr>
            </w:pPr>
            <w:r w:rsidRPr="00A8783E">
              <w:rPr>
                <w:rFonts w:ascii="Times New Roman" w:hAnsi="Times New Roman"/>
                <w:sz w:val="20"/>
                <w:szCs w:val="20"/>
                <w:lang w:val="en-GB"/>
              </w:rPr>
              <w:t>w</w:t>
            </w:r>
          </w:p>
        </w:tc>
        <w:tc>
          <w:tcPr>
            <w:tcW w:w="0" w:type="auto"/>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color w:val="FF0000"/>
                <w:sz w:val="20"/>
                <w:szCs w:val="20"/>
              </w:rPr>
              <w:t>0</w:t>
            </w:r>
          </w:p>
        </w:tc>
        <w:tc>
          <w:tcPr>
            <w:tcW w:w="0" w:type="auto"/>
            <w:vAlign w:val="center"/>
          </w:tcPr>
          <w:p w:rsidR="00A8783E" w:rsidRPr="00A8783E" w:rsidRDefault="00A8783E" w:rsidP="00A8783E">
            <w:pPr>
              <w:spacing w:after="0" w:line="240" w:lineRule="auto"/>
              <w:rPr>
                <w:rFonts w:ascii="Times New Roman" w:hAnsi="Times New Roman"/>
                <w:sz w:val="20"/>
                <w:szCs w:val="20"/>
                <w:lang w:val="en-GB"/>
              </w:rPr>
            </w:pPr>
            <w:r w:rsidRPr="00A8783E">
              <w:rPr>
                <w:rFonts w:ascii="Times New Roman" w:hAnsi="Times New Roman"/>
                <w:sz w:val="20"/>
                <w:szCs w:val="20"/>
                <w:lang w:val="en-GB"/>
              </w:rPr>
              <w:t>5</w:t>
            </w:r>
          </w:p>
        </w:tc>
        <w:tc>
          <w:tcPr>
            <w:tcW w:w="0" w:type="auto"/>
            <w:vAlign w:val="center"/>
          </w:tcPr>
          <w:p w:rsidR="00A8783E" w:rsidRPr="00A8783E" w:rsidRDefault="00A8783E" w:rsidP="00A8783E">
            <w:pPr>
              <w:spacing w:after="0" w:line="240" w:lineRule="auto"/>
              <w:rPr>
                <w:rFonts w:ascii="Times New Roman" w:hAnsi="Times New Roman"/>
                <w:sz w:val="20"/>
                <w:szCs w:val="20"/>
                <w:lang w:val="en-GB"/>
              </w:rPr>
            </w:pPr>
            <w:r w:rsidRPr="00A8783E">
              <w:rPr>
                <w:rFonts w:ascii="Times New Roman" w:hAnsi="Times New Roman"/>
                <w:sz w:val="20"/>
                <w:szCs w:val="20"/>
                <w:lang w:val="en-GB"/>
              </w:rPr>
              <w:t>i</w:t>
            </w:r>
          </w:p>
        </w:tc>
        <w:tc>
          <w:tcPr>
            <w:tcW w:w="0" w:type="auto"/>
            <w:vAlign w:val="center"/>
          </w:tcPr>
          <w:p w:rsidR="00A8783E" w:rsidRPr="00A8783E" w:rsidRDefault="00A8783E" w:rsidP="00A8783E">
            <w:pPr>
              <w:spacing w:after="0" w:line="240" w:lineRule="auto"/>
              <w:rPr>
                <w:rFonts w:ascii="Times New Roman" w:hAnsi="Times New Roman"/>
                <w:sz w:val="20"/>
                <w:szCs w:val="20"/>
                <w:lang w:val="en-GB"/>
              </w:rPr>
            </w:pPr>
          </w:p>
        </w:tc>
        <w:tc>
          <w:tcPr>
            <w:tcW w:w="0" w:type="auto"/>
            <w:vAlign w:val="center"/>
          </w:tcPr>
          <w:p w:rsidR="00A8783E" w:rsidRPr="00A8783E" w:rsidRDefault="00A8783E" w:rsidP="00A8783E">
            <w:pPr>
              <w:spacing w:after="0" w:line="240" w:lineRule="auto"/>
              <w:rPr>
                <w:rFonts w:ascii="Times New Roman" w:hAnsi="Times New Roman"/>
                <w:sz w:val="20"/>
                <w:szCs w:val="20"/>
                <w:lang w:val="en-GB"/>
              </w:rPr>
            </w:pPr>
            <w:r w:rsidRPr="00A8783E">
              <w:rPr>
                <w:rFonts w:ascii="Times New Roman" w:hAnsi="Times New Roman"/>
                <w:sz w:val="20"/>
                <w:szCs w:val="20"/>
                <w:lang w:val="en-GB"/>
              </w:rPr>
              <w:t>G</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color w:val="FF0000"/>
                <w:sz w:val="20"/>
                <w:szCs w:val="20"/>
                <w:lang w:val="en-GB"/>
              </w:rPr>
              <w:t>B</w:t>
            </w:r>
          </w:p>
        </w:tc>
        <w:tc>
          <w:tcPr>
            <w:tcW w:w="0" w:type="auto"/>
            <w:vAlign w:val="center"/>
          </w:tcPr>
          <w:p w:rsidR="00A8783E" w:rsidRPr="00A8783E" w:rsidRDefault="00A8783E" w:rsidP="00A8783E">
            <w:pPr>
              <w:spacing w:after="0" w:line="240" w:lineRule="auto"/>
              <w:rPr>
                <w:rFonts w:ascii="Times New Roman" w:hAnsi="Times New Roman"/>
                <w:sz w:val="20"/>
                <w:szCs w:val="20"/>
                <w:lang w:val="en-GB"/>
              </w:rPr>
            </w:pPr>
            <w:r w:rsidRPr="00A8783E">
              <w:rPr>
                <w:rFonts w:ascii="Times New Roman" w:hAnsi="Times New Roman"/>
                <w:sz w:val="20"/>
                <w:szCs w:val="20"/>
                <w:lang w:val="en-GB"/>
              </w:rPr>
              <w:t>B</w:t>
            </w:r>
          </w:p>
        </w:tc>
        <w:tc>
          <w:tcPr>
            <w:tcW w:w="0" w:type="auto"/>
            <w:vAlign w:val="center"/>
          </w:tcPr>
          <w:p w:rsidR="00A8783E" w:rsidRPr="00A8783E" w:rsidRDefault="00A8783E" w:rsidP="00A8783E">
            <w:pPr>
              <w:spacing w:after="0" w:line="240" w:lineRule="auto"/>
              <w:rPr>
                <w:rFonts w:ascii="Times New Roman" w:hAnsi="Times New Roman"/>
                <w:sz w:val="20"/>
                <w:szCs w:val="20"/>
                <w:lang w:val="en-GB"/>
              </w:rPr>
            </w:pPr>
            <w:r w:rsidRPr="00A8783E">
              <w:rPr>
                <w:rFonts w:ascii="Times New Roman" w:hAnsi="Times New Roman"/>
                <w:sz w:val="20"/>
                <w:szCs w:val="20"/>
                <w:lang w:val="en-GB"/>
              </w:rPr>
              <w:t>C</w:t>
            </w:r>
          </w:p>
        </w:tc>
        <w:tc>
          <w:tcPr>
            <w:tcW w:w="0" w:type="auto"/>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lang w:val="en-GB"/>
              </w:rPr>
              <w:t>C</w:t>
            </w:r>
          </w:p>
        </w:tc>
      </w:tr>
    </w:tbl>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231" w:name="_Toc87467213"/>
      <w:bookmarkStart w:id="232" w:name="_Toc87513935"/>
      <w:bookmarkStart w:id="233" w:name="_Toc89106094"/>
      <w:bookmarkStart w:id="234" w:name="_Toc98741933"/>
      <w:bookmarkStart w:id="235" w:name="_Toc98838608"/>
      <w:r w:rsidRPr="00A8783E">
        <w:rPr>
          <w:rFonts w:ascii="Times New Roman" w:hAnsi="Times New Roman"/>
          <w:color w:val="1F497D"/>
          <w:sz w:val="28"/>
          <w:szCs w:val="28"/>
        </w:rPr>
        <w:t xml:space="preserve">Специфични цели за А070 </w:t>
      </w:r>
      <w:r w:rsidRPr="00A8783E">
        <w:rPr>
          <w:rFonts w:ascii="Times New Roman" w:hAnsi="Times New Roman"/>
          <w:i/>
          <w:iCs/>
          <w:color w:val="1F497D"/>
          <w:sz w:val="28"/>
          <w:szCs w:val="28"/>
        </w:rPr>
        <w:t>Mergus merganser</w:t>
      </w:r>
      <w:r w:rsidRPr="00A8783E">
        <w:rPr>
          <w:rFonts w:ascii="Times New Roman" w:hAnsi="Times New Roman"/>
          <w:color w:val="1F497D"/>
          <w:sz w:val="28"/>
          <w:szCs w:val="28"/>
        </w:rPr>
        <w:t xml:space="preserve"> (голям нирец)</w:t>
      </w:r>
      <w:bookmarkEnd w:id="231"/>
      <w:bookmarkEnd w:id="232"/>
      <w:bookmarkEnd w:id="233"/>
      <w:bookmarkEnd w:id="234"/>
      <w:bookmarkEnd w:id="235"/>
    </w:p>
    <w:p w:rsidR="00A8783E" w:rsidRPr="00A8783E" w:rsidRDefault="00A8783E" w:rsidP="00A8783E">
      <w:pPr>
        <w:spacing w:before="120" w:after="120" w:line="240" w:lineRule="auto"/>
        <w:jc w:val="both"/>
        <w:rPr>
          <w:rFonts w:ascii="Times New Roman" w:hAnsi="Times New Roman"/>
          <w:b/>
          <w:bCs/>
          <w:sz w:val="24"/>
          <w:szCs w:val="24"/>
        </w:rPr>
      </w:pP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58-66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82-97 </w:t>
      </w:r>
      <w:r w:rsidRPr="00A8783E">
        <w:rPr>
          <w:rFonts w:ascii="Times New Roman" w:hAnsi="Times New Roman"/>
          <w:sz w:val="24"/>
          <w:szCs w:val="24"/>
          <w:lang w:val="en-US"/>
        </w:rPr>
        <w:t>cm</w:t>
      </w:r>
      <w:r w:rsidRPr="00A8783E">
        <w:rPr>
          <w:rFonts w:ascii="Times New Roman" w:hAnsi="Times New Roman"/>
          <w:sz w:val="24"/>
          <w:szCs w:val="24"/>
        </w:rPr>
        <w:t>. Най-едрият от нирците. Мъжкият е с едра, закръглена черна глава и горна половина на шията и дълъг червен клюн. Гърбът и плещите са черни, контрастиращи с белите гуша и долна страна на тялото, които са с кремав оттенък. При женската кафявата глава и шия рязко разграничени от сивата гуша. Гърбът е по-светъл, гълъбовосив. Страните на тялото също са светли. В полет бялото поле в крилото без напречни черни ивици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Мигриращ и зимуващ вид за страната. Появява се през ноември и се среща до края на март (Нанкинов и др., 1997). През 2018 г. видът е установен да гнезди в язовир Боровица, област Кърджали (https://bnr.bg/kardzhali/post/101069255/ptica-otpredi-lednikovata-epoha-gnezdi-v-azovir-borovica). През гнездовия период на тази година (21 май) в южните части на яз. Студен кладенец, Стефан Аврамов наблюдава женска с 5 отраснали малки (</w:t>
      </w:r>
      <w:hyperlink r:id="rId212" w:history="1">
        <w:r w:rsidRPr="00A8783E">
          <w:rPr>
            <w:rFonts w:ascii="Times New Roman" w:hAnsi="Times New Roman"/>
            <w:color w:val="0563C1"/>
            <w:sz w:val="24"/>
            <w:szCs w:val="24"/>
            <w:u w:val="single"/>
          </w:rPr>
          <w:t>https://www.facebook.com/groups/birdsinbulgaria/posts/10158540767679227</w:t>
        </w:r>
      </w:hyperlink>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През размножителния период предпочита горните течения на реките, големи, прозрачни горски или планински езера и язовири, рядко морското крайбрежие. По време на прелет и зимуване се среща в големи и дълбоки реки, сладководни и бракични езера и по-малко в морето (Нанкинов и др., 1997). Подходящи местообитания за търсене на храна по време на зимуване и миграция са реки, езера и морски крайбрежия, вероятно 3160, 3260, 3130, 3140, 1130, 1150, 1160 и др.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Храни се с различни видове риба (Нанкинов и др., 1997).</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Сравнително рядко се срещат по време на прелет и през зимата единични птици или малки ята по по-големите реки, езера и блата.Средно в страната зимуват около 20 инд. (0-72), които се концентрират по р. Дунав (средно 16 инд., максимум – 48 инд. през 1996 г.) и езерата по Черноморското крайбрежие (</w:t>
      </w:r>
      <w:r w:rsidRPr="00A8783E">
        <w:rPr>
          <w:rFonts w:ascii="Times New Roman" w:hAnsi="Times New Roman"/>
          <w:sz w:val="24"/>
          <w:szCs w:val="24"/>
          <w:lang w:val="en-US"/>
        </w:rPr>
        <w:t>Michev</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Profirvov</w:t>
      </w:r>
      <w:r w:rsidRPr="00A8783E">
        <w:rPr>
          <w:rFonts w:ascii="Times New Roman" w:hAnsi="Times New Roman"/>
          <w:sz w:val="24"/>
          <w:szCs w:val="24"/>
        </w:rPr>
        <w:t>, 2003).</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Включен в Приложение 2Б на Директивата за птиците. Големият нирец не е включен в Червена книга на Р България (2015). В Закона за биологичното разнообразие видът е включен в Приложение 3 и 4а. Според IUCN видът е „слабо засегнат“ (Least Concern) както в Европа, така и в света.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2013-2019 г.), видът се опазва като </w:t>
      </w:r>
      <w:r w:rsidRPr="00A8783E">
        <w:rPr>
          <w:rFonts w:ascii="Times New Roman" w:hAnsi="Times New Roman"/>
          <w:b/>
          <w:bCs/>
          <w:sz w:val="24"/>
          <w:szCs w:val="24"/>
        </w:rPr>
        <w:t>гнездят</w:t>
      </w:r>
      <w:r w:rsidRPr="00A8783E">
        <w:rPr>
          <w:rFonts w:ascii="Times New Roman" w:hAnsi="Times New Roman"/>
          <w:sz w:val="24"/>
          <w:szCs w:val="24"/>
        </w:rPr>
        <w:t xml:space="preserve"> с численост 1-10 двойки. Краткосрочната популационна тенденция (2007-2018 г.) е увеличаваща се, а дългосрочната (1980-2018 г.) е неизвестна. Тенденциите в гнездовото разпространение са неизвестни.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2013-2019 г.), видът се опазва и като </w:t>
      </w:r>
      <w:r w:rsidRPr="00A8783E">
        <w:rPr>
          <w:rFonts w:ascii="Times New Roman" w:hAnsi="Times New Roman"/>
          <w:b/>
          <w:bCs/>
          <w:sz w:val="24"/>
          <w:szCs w:val="24"/>
        </w:rPr>
        <w:t>зимуващ</w:t>
      </w:r>
      <w:r w:rsidRPr="00A8783E">
        <w:rPr>
          <w:rFonts w:ascii="Times New Roman" w:hAnsi="Times New Roman"/>
          <w:sz w:val="24"/>
          <w:szCs w:val="24"/>
        </w:rPr>
        <w:t xml:space="preserve"> с численост 2-50 инд. Краткосрочната популационна тенденция (2007-2018 г.) е варираща се, а дългосрочната (1980-2018 г.) също е варираща. Посочени са следните заплахи: F02; F03.</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2013-2019 г.), видът се опазва и като </w:t>
      </w:r>
      <w:r w:rsidRPr="00A8783E">
        <w:rPr>
          <w:rFonts w:ascii="Times New Roman" w:hAnsi="Times New Roman"/>
          <w:b/>
          <w:bCs/>
          <w:sz w:val="24"/>
          <w:szCs w:val="24"/>
        </w:rPr>
        <w:t>мигриращ</w:t>
      </w:r>
      <w:r w:rsidRPr="00A8783E">
        <w:rPr>
          <w:rFonts w:ascii="Times New Roman" w:hAnsi="Times New Roman"/>
          <w:sz w:val="24"/>
          <w:szCs w:val="24"/>
        </w:rPr>
        <w:t xml:space="preserve"> с численост 0-120 инд. Не са посочени тенденции в развитието на популацията. Посочени са следните заплахи: F02; F03; K04.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зимуващ. Зимуващата популация се оценява на </w:t>
      </w:r>
      <w:r w:rsidRPr="00A8783E">
        <w:rPr>
          <w:rFonts w:ascii="Times New Roman" w:hAnsi="Times New Roman"/>
          <w:b/>
          <w:bCs/>
          <w:sz w:val="24"/>
          <w:szCs w:val="24"/>
        </w:rPr>
        <w:t>до 2 индивида</w:t>
      </w:r>
      <w:r w:rsidRPr="00A8783E">
        <w:rPr>
          <w:rFonts w:ascii="Times New Roman" w:hAnsi="Times New Roman"/>
          <w:sz w:val="24"/>
          <w:szCs w:val="24"/>
        </w:rPr>
        <w:t>, което е 4 – 100 % от националната зимуваща популация (оценка „С“). Опазването на вида е отлична (оценка „A“),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Резултатите от средно-зимните преброявания в България в периода 1977-1996 г. показват, че вида е нередовен зимуващ вид със средна численост от 23 инд. (максимум 66 инд. през 1977 г.). Наблюдаван в различни части на страната, но с малка численост (2-3 инд.). Най-широко разпространен по поречието на р. Дунав – средно 16 инд. и максимум 48 инд. през 1996 г. Най-многочислен е в следните речни участъци: Цибър-Сомовит – средно 7 инд. (максимум 24) и Тутракан-Силистра – средно 6 инд. (максимум 46 инд. през 1996 г.). През периода 1997-2001 г. средно-зимната численост е средно 26 инд. с максимум от 72 инд. през 1999 г. (Michev and Profirov, 2003).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Данните за зимуването на вида в зоната са от средно зимните преброявания през 2019 и 2020 г. През зимния период на 2019 г. са наблюдавани 12 индивида по поречието на река Дунав, като 4 инд. от тях са наблюдавани западно от зоната. През зимния период на 2020 г. са наблюдавани 7 индивида по поречието на река Дунав, като не са наблюдавани индивиди в зоната.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 данни  от https://ebird.org/,  видът е наблюдаван в зоната през март 1985 г.- 2 инд.,  през февруари 1991 г. – 2 инд. По данни  от https://observation.org, за 2020 и 2021 г., видът не е наблюдаван в зоната.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Посочените заплахи F02, F03 за зимуващата популация в докладването по чл. 12 от 2019 г. за вида, нямат отношение към зоната.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1276"/>
        <w:gridCol w:w="1129"/>
        <w:gridCol w:w="2693"/>
        <w:gridCol w:w="2557"/>
      </w:tblGrid>
      <w:tr w:rsidR="00A8783E" w:rsidRPr="00A8783E" w:rsidTr="005B5318">
        <w:trPr>
          <w:tblHeader/>
          <w:jc w:val="center"/>
        </w:trPr>
        <w:tc>
          <w:tcPr>
            <w:tcW w:w="1559"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Параметър</w:t>
            </w:r>
          </w:p>
        </w:tc>
        <w:tc>
          <w:tcPr>
            <w:tcW w:w="1276"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Мерна единица</w:t>
            </w:r>
          </w:p>
        </w:tc>
        <w:tc>
          <w:tcPr>
            <w:tcW w:w="1129"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Целева стойност</w:t>
            </w:r>
          </w:p>
        </w:tc>
        <w:tc>
          <w:tcPr>
            <w:tcW w:w="2693" w:type="dxa"/>
            <w:shd w:val="clear" w:color="auto" w:fill="DBE5F1"/>
            <w:vAlign w:val="center"/>
          </w:tcPr>
          <w:p w:rsidR="00A8783E" w:rsidRPr="00A8783E" w:rsidRDefault="00A8783E" w:rsidP="00A8783E">
            <w:pPr>
              <w:spacing w:after="0" w:line="240" w:lineRule="auto"/>
              <w:ind w:right="29"/>
              <w:rPr>
                <w:rFonts w:ascii="Times New Roman" w:hAnsi="Times New Roman"/>
                <w:b/>
                <w:bCs/>
              </w:rPr>
            </w:pPr>
            <w:r w:rsidRPr="00A8783E">
              <w:rPr>
                <w:rFonts w:ascii="Times New Roman" w:hAnsi="Times New Roman"/>
                <w:b/>
                <w:bCs/>
              </w:rPr>
              <w:t>Допълнителна информация</w:t>
            </w:r>
          </w:p>
        </w:tc>
        <w:tc>
          <w:tcPr>
            <w:tcW w:w="2557"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jc w:val="center"/>
        </w:trPr>
        <w:tc>
          <w:tcPr>
            <w:tcW w:w="1559"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Популация: Размер на зимуващата популация</w:t>
            </w:r>
          </w:p>
        </w:tc>
        <w:tc>
          <w:tcPr>
            <w:tcW w:w="12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индивиди</w:t>
            </w:r>
          </w:p>
        </w:tc>
        <w:tc>
          <w:tcPr>
            <w:tcW w:w="1129"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Най-малко 2</w:t>
            </w:r>
          </w:p>
        </w:tc>
        <w:tc>
          <w:tcPr>
            <w:tcW w:w="2693"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Според СФ на зоната максимална стойност на зимуващите индивиди е 2 инд., минимална не е посочена. Количеството на зимуващите птици силно зависи от метеорологичните условия и най-вече от температурните стойности през януари.</w:t>
            </w:r>
          </w:p>
        </w:tc>
        <w:tc>
          <w:tcPr>
            <w:tcW w:w="2557"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Целевите стойности за минималната зимуваща популация на вида се очаква силно да зависят от температурите през зимата. При средни температури през януари под 0° С минималната стойност се очаква да е около 6 инд. от вида. </w:t>
            </w:r>
          </w:p>
        </w:tc>
      </w:tr>
      <w:tr w:rsidR="00A8783E" w:rsidRPr="00A8783E" w:rsidTr="005B5318">
        <w:trPr>
          <w:jc w:val="center"/>
        </w:trPr>
        <w:tc>
          <w:tcPr>
            <w:tcW w:w="1559"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Местообитание на вида: Площ на подходящите хранителни местообитания на вида </w:t>
            </w:r>
          </w:p>
        </w:tc>
        <w:tc>
          <w:tcPr>
            <w:tcW w:w="12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lang w:val="en-US"/>
              </w:rPr>
              <w:t>ha</w:t>
            </w:r>
          </w:p>
        </w:tc>
        <w:tc>
          <w:tcPr>
            <w:tcW w:w="1129"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Най-малко 275</w:t>
            </w:r>
          </w:p>
        </w:tc>
        <w:tc>
          <w:tcPr>
            <w:tcW w:w="2693" w:type="dxa"/>
          </w:tcPr>
          <w:p w:rsidR="00A8783E" w:rsidRPr="00A8783E" w:rsidRDefault="00A8783E" w:rsidP="00A8783E">
            <w:pPr>
              <w:spacing w:after="160" w:line="259" w:lineRule="auto"/>
              <w:rPr>
                <w:rFonts w:ascii="Times New Roman" w:hAnsi="Times New Roman"/>
                <w:b/>
                <w:bCs/>
              </w:rPr>
            </w:pPr>
            <w:r w:rsidRPr="00A8783E">
              <w:rPr>
                <w:rFonts w:ascii="Times New Roman" w:hAnsi="Times New Roman"/>
              </w:rPr>
              <w:t xml:space="preserve">Изчислена на база откритите водни площи в рамките на СЗЗ. Данните са взети от СФ като % на местообитание </w:t>
            </w:r>
            <w:r w:rsidRPr="00A8783E">
              <w:rPr>
                <w:rFonts w:ascii="Times New Roman" w:hAnsi="Times New Roman"/>
                <w:lang w:val="en-GB"/>
              </w:rPr>
              <w:t>N</w:t>
            </w:r>
            <w:r w:rsidRPr="00A8783E">
              <w:rPr>
                <w:rFonts w:ascii="Times New Roman" w:hAnsi="Times New Roman"/>
              </w:rPr>
              <w:t xml:space="preserve">06 – континентални водни тела. </w:t>
            </w:r>
          </w:p>
        </w:tc>
        <w:tc>
          <w:tcPr>
            <w:tcW w:w="2557"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площта на подходящото хранително местообитание на вида в защитената зона, в размер на най-малко 275 ha.</w:t>
            </w:r>
            <w:r w:rsidRPr="00A8783E">
              <w:rPr>
                <w:rFonts w:cs="Calibri"/>
              </w:rPr>
              <w:t xml:space="preserve"> </w:t>
            </w:r>
            <w:r w:rsidRPr="00A8783E">
              <w:rPr>
                <w:rFonts w:ascii="Times New Roman" w:hAnsi="Times New Roman"/>
              </w:rPr>
              <w:t>чрез поддържане на оптимално ниво на водата в езерото.</w:t>
            </w:r>
          </w:p>
        </w:tc>
      </w:tr>
      <w:tr w:rsidR="00A8783E" w:rsidRPr="00A8783E" w:rsidTr="005B5318">
        <w:trPr>
          <w:jc w:val="center"/>
        </w:trPr>
        <w:tc>
          <w:tcPr>
            <w:tcW w:w="1559"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rPr>
              <w:t>Местообитание на вида:</w:t>
            </w:r>
            <w:r w:rsidRPr="00A8783E">
              <w:rPr>
                <w:rFonts w:ascii="Times New Roman" w:hAnsi="Times New Roman"/>
                <w:b/>
                <w:bCs/>
              </w:rPr>
              <w:t xml:space="preserve"> </w:t>
            </w:r>
            <w:r w:rsidRPr="00A8783E">
              <w:rPr>
                <w:rFonts w:ascii="Times New Roman" w:hAnsi="Times New Roman"/>
              </w:rPr>
              <w:t>Екологично състояние на водните тела с местообитания на вида, по биологичен елемент риби (JDS4-Fish)</w:t>
            </w:r>
          </w:p>
        </w:tc>
        <w:tc>
          <w:tcPr>
            <w:tcW w:w="12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5 степенна скала</w:t>
            </w:r>
          </w:p>
        </w:tc>
        <w:tc>
          <w:tcPr>
            <w:tcW w:w="1129"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2-Добро или 1-Отлично</w:t>
            </w:r>
          </w:p>
        </w:tc>
        <w:tc>
          <w:tcPr>
            <w:tcW w:w="2693" w:type="dxa"/>
          </w:tcPr>
          <w:tbl>
            <w:tblPr>
              <w:tblW w:w="2608" w:type="dxa"/>
              <w:tblInd w:w="3" w:type="dxa"/>
              <w:tblLayout w:type="fixed"/>
              <w:tblCellMar>
                <w:left w:w="70" w:type="dxa"/>
                <w:right w:w="70" w:type="dxa"/>
              </w:tblCellMar>
              <w:tblLook w:val="00A0" w:firstRow="1" w:lastRow="0" w:firstColumn="1" w:lastColumn="0" w:noHBand="0" w:noVBand="0"/>
            </w:tblPr>
            <w:tblGrid>
              <w:gridCol w:w="2608"/>
            </w:tblGrid>
            <w:tr w:rsidR="00A8783E" w:rsidRPr="00A8783E" w:rsidTr="005B5318">
              <w:trPr>
                <w:trHeight w:val="285"/>
              </w:trPr>
              <w:tc>
                <w:tcPr>
                  <w:tcW w:w="2608"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tabs>
                      <w:tab w:val="left" w:pos="239"/>
                    </w:tabs>
                    <w:spacing w:after="0" w:line="240" w:lineRule="auto"/>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85"/>
              </w:trPr>
              <w:tc>
                <w:tcPr>
                  <w:tcW w:w="2608"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tabs>
                      <w:tab w:val="left" w:pos="239"/>
                    </w:tabs>
                    <w:spacing w:after="0" w:line="240" w:lineRule="auto"/>
                    <w:rPr>
                      <w:rFonts w:ascii="Times New Roman" w:hAnsi="Times New Roman"/>
                    </w:rPr>
                  </w:pPr>
                  <w:r w:rsidRPr="00A8783E">
                    <w:rPr>
                      <w:rFonts w:ascii="Times New Roman" w:hAnsi="Times New Roman"/>
                    </w:rPr>
                    <w:t>1-Отлично - High</w:t>
                  </w:r>
                </w:p>
              </w:tc>
            </w:tr>
            <w:tr w:rsidR="00A8783E" w:rsidRPr="00A8783E" w:rsidTr="005B5318">
              <w:trPr>
                <w:trHeight w:val="285"/>
              </w:trPr>
              <w:tc>
                <w:tcPr>
                  <w:tcW w:w="2608"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tabs>
                      <w:tab w:val="left" w:pos="239"/>
                    </w:tabs>
                    <w:spacing w:after="0" w:line="240" w:lineRule="auto"/>
                    <w:rPr>
                      <w:rFonts w:ascii="Times New Roman" w:hAnsi="Times New Roman"/>
                    </w:rPr>
                  </w:pPr>
                  <w:r w:rsidRPr="00A8783E">
                    <w:rPr>
                      <w:rFonts w:ascii="Times New Roman" w:hAnsi="Times New Roman"/>
                    </w:rPr>
                    <w:t>2-Добро - Good</w:t>
                  </w:r>
                </w:p>
              </w:tc>
            </w:tr>
            <w:tr w:rsidR="00A8783E" w:rsidRPr="00A8783E" w:rsidTr="005B5318">
              <w:trPr>
                <w:trHeight w:val="285"/>
              </w:trPr>
              <w:tc>
                <w:tcPr>
                  <w:tcW w:w="2608"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tabs>
                      <w:tab w:val="left" w:pos="239"/>
                    </w:tabs>
                    <w:spacing w:after="0" w:line="240" w:lineRule="auto"/>
                    <w:rPr>
                      <w:rFonts w:ascii="Times New Roman" w:hAnsi="Times New Roman"/>
                    </w:rPr>
                  </w:pPr>
                  <w:r w:rsidRPr="00A8783E">
                    <w:rPr>
                      <w:rFonts w:ascii="Times New Roman" w:hAnsi="Times New Roman"/>
                    </w:rPr>
                    <w:t>3-Умерено - Moderate</w:t>
                  </w:r>
                </w:p>
              </w:tc>
            </w:tr>
            <w:tr w:rsidR="00A8783E" w:rsidRPr="00A8783E" w:rsidTr="005B5318">
              <w:trPr>
                <w:trHeight w:val="285"/>
              </w:trPr>
              <w:tc>
                <w:tcPr>
                  <w:tcW w:w="2608"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tabs>
                      <w:tab w:val="left" w:pos="239"/>
                    </w:tabs>
                    <w:spacing w:after="0" w:line="240" w:lineRule="auto"/>
                    <w:rPr>
                      <w:rFonts w:ascii="Times New Roman" w:hAnsi="Times New Roman"/>
                    </w:rPr>
                  </w:pPr>
                  <w:r w:rsidRPr="00A8783E">
                    <w:rPr>
                      <w:rFonts w:ascii="Times New Roman" w:hAnsi="Times New Roman"/>
                    </w:rPr>
                    <w:t>4-Лошо - Poor</w:t>
                  </w:r>
                </w:p>
              </w:tc>
            </w:tr>
            <w:tr w:rsidR="00A8783E" w:rsidRPr="00A8783E" w:rsidTr="005B5318">
              <w:trPr>
                <w:trHeight w:val="285"/>
              </w:trPr>
              <w:tc>
                <w:tcPr>
                  <w:tcW w:w="2608"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tabs>
                      <w:tab w:val="left" w:pos="239"/>
                    </w:tabs>
                    <w:spacing w:after="0" w:line="240" w:lineRule="auto"/>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по р. Дунав по показател риби (пункт Русе и Силистра) е оценено на </w:t>
            </w:r>
            <w:r w:rsidRPr="00A8783E">
              <w:rPr>
                <w:rFonts w:ascii="Times New Roman" w:hAnsi="Times New Roman"/>
                <w:b/>
                <w:bCs/>
              </w:rPr>
              <w:t xml:space="preserve">умерено (3) </w:t>
            </w:r>
            <w:r w:rsidRPr="00A8783E">
              <w:rPr>
                <w:rFonts w:ascii="Times New Roman" w:hAnsi="Times New Roman"/>
              </w:rPr>
              <w:t>според доклада на JDS4 (2019-2020, Табл. 5, стр. 51).</w:t>
            </w:r>
            <w:r w:rsidRPr="00A8783E">
              <w:rPr>
                <w:rFonts w:cs="Calibri"/>
              </w:rPr>
              <w:t xml:space="preserve"> </w:t>
            </w:r>
            <w:r w:rsidRPr="00A8783E">
              <w:rPr>
                <w:rFonts w:ascii="Times New Roman" w:hAnsi="Times New Roman"/>
              </w:rPr>
              <w:t>Екологичното състояние на езерото Сребърна по БЕК Риби е оценено като „</w:t>
            </w:r>
            <w:r w:rsidRPr="00A8783E">
              <w:rPr>
                <w:rFonts w:ascii="Times New Roman" w:hAnsi="Times New Roman"/>
                <w:b/>
                <w:bCs/>
              </w:rPr>
              <w:t>Умерено</w:t>
            </w:r>
            <w:r w:rsidRPr="00A8783E">
              <w:rPr>
                <w:rFonts w:ascii="Times New Roman" w:hAnsi="Times New Roman"/>
              </w:rPr>
              <w:t>“.</w:t>
            </w:r>
          </w:p>
        </w:tc>
        <w:tc>
          <w:tcPr>
            <w:tcW w:w="2557"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60" w:line="259" w:lineRule="auto"/>
        <w:rPr>
          <w:rFonts w:ascii="Times New Roman" w:hAnsi="Times New Roman"/>
          <w:b/>
          <w:bCs/>
          <w:sz w:val="24"/>
          <w:szCs w:val="24"/>
        </w:rPr>
      </w:pPr>
    </w:p>
    <w:p w:rsidR="00A8783E" w:rsidRPr="00A8783E" w:rsidRDefault="00A8783E" w:rsidP="00A8783E">
      <w:pPr>
        <w:spacing w:before="120" w:after="120" w:line="240"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Предвид наличната информация за настоящата зимуваща концентрираща на вида в защитената зона е необходима актуализация на СФ: По отношение на оценка на зоната (Site assessment), критерият за размер и плътност на популацията трябва да се промени от „С“ на „</w:t>
      </w:r>
      <w:r w:rsidRPr="00A8783E">
        <w:rPr>
          <w:rFonts w:ascii="Times New Roman" w:hAnsi="Times New Roman"/>
          <w:sz w:val="24"/>
          <w:szCs w:val="24"/>
          <w:lang w:val="en-US"/>
        </w:rPr>
        <w:t>A</w:t>
      </w:r>
      <w:r w:rsidRPr="00A8783E">
        <w:rPr>
          <w:rFonts w:ascii="Times New Roman" w:hAnsi="Times New Roman"/>
          <w:sz w:val="24"/>
          <w:szCs w:val="24"/>
        </w:rPr>
        <w:t>“, тъй като тъй като числеността е 4 – 100 % от националната зимуваща популация.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23"/>
        <w:gridCol w:w="328"/>
        <w:gridCol w:w="483"/>
        <w:gridCol w:w="361"/>
        <w:gridCol w:w="572"/>
        <w:gridCol w:w="605"/>
        <w:gridCol w:w="594"/>
        <w:gridCol w:w="578"/>
        <w:gridCol w:w="839"/>
        <w:gridCol w:w="950"/>
        <w:gridCol w:w="622"/>
        <w:gridCol w:w="522"/>
        <w:gridCol w:w="578"/>
      </w:tblGrid>
      <w:tr w:rsidR="00A8783E" w:rsidRPr="00A8783E" w:rsidTr="005B5318">
        <w:trPr>
          <w:jc w:val="center"/>
        </w:trPr>
        <w:tc>
          <w:tcPr>
            <w:tcW w:w="0" w:type="auto"/>
            <w:gridSpan w:val="5"/>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Species</w:t>
            </w:r>
          </w:p>
        </w:tc>
        <w:tc>
          <w:tcPr>
            <w:tcW w:w="0" w:type="auto"/>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Population in the site</w:t>
            </w:r>
          </w:p>
        </w:tc>
        <w:tc>
          <w:tcPr>
            <w:tcW w:w="0" w:type="auto"/>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G</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Code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Scientific Name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NP</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T</w:t>
            </w: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Size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Unit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Cat.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D.qual.</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A/B/C/D</w:t>
            </w:r>
          </w:p>
        </w:tc>
        <w:tc>
          <w:tcPr>
            <w:tcW w:w="0" w:type="auto"/>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Min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Max</w:t>
            </w: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Pop.</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Con.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Iso.</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Glo.</w:t>
            </w:r>
          </w:p>
        </w:tc>
      </w:tr>
      <w:tr w:rsidR="00A8783E" w:rsidRPr="00A8783E" w:rsidTr="005B5318">
        <w:trPr>
          <w:jc w:val="center"/>
        </w:trPr>
        <w:tc>
          <w:tcPr>
            <w:tcW w:w="0" w:type="auto"/>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В</w:t>
            </w:r>
          </w:p>
        </w:tc>
        <w:tc>
          <w:tcPr>
            <w:tcW w:w="0" w:type="auto"/>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lang w:val="en-US"/>
              </w:rPr>
              <w:t>A</w:t>
            </w:r>
            <w:r w:rsidRPr="00A8783E">
              <w:rPr>
                <w:rFonts w:ascii="Times New Roman" w:hAnsi="Times New Roman"/>
                <w:sz w:val="20"/>
                <w:szCs w:val="20"/>
              </w:rPr>
              <w:t>070</w:t>
            </w:r>
          </w:p>
        </w:tc>
        <w:tc>
          <w:tcPr>
            <w:tcW w:w="0" w:type="auto"/>
            <w:vAlign w:val="center"/>
          </w:tcPr>
          <w:p w:rsidR="00A8783E" w:rsidRPr="00A8783E" w:rsidRDefault="00A8783E" w:rsidP="00A8783E">
            <w:pPr>
              <w:spacing w:after="0" w:line="240" w:lineRule="auto"/>
              <w:rPr>
                <w:rFonts w:ascii="Times New Roman" w:hAnsi="Times New Roman"/>
                <w:i/>
                <w:iCs/>
                <w:sz w:val="20"/>
                <w:szCs w:val="20"/>
              </w:rPr>
            </w:pPr>
            <w:r w:rsidRPr="00A8783E">
              <w:rPr>
                <w:rFonts w:ascii="Times New Roman" w:hAnsi="Times New Roman"/>
                <w:i/>
                <w:iCs/>
                <w:sz w:val="20"/>
                <w:szCs w:val="20"/>
              </w:rPr>
              <w:t>Mergus merganser</w:t>
            </w:r>
          </w:p>
        </w:tc>
        <w:tc>
          <w:tcPr>
            <w:tcW w:w="0" w:type="auto"/>
            <w:vAlign w:val="center"/>
          </w:tcPr>
          <w:p w:rsidR="00A8783E" w:rsidRPr="00A8783E" w:rsidRDefault="00A8783E" w:rsidP="00A8783E">
            <w:pPr>
              <w:spacing w:after="0" w:line="240" w:lineRule="auto"/>
              <w:rPr>
                <w:rFonts w:ascii="Times New Roman" w:hAnsi="Times New Roman"/>
                <w:sz w:val="20"/>
                <w:szCs w:val="20"/>
              </w:rPr>
            </w:pPr>
          </w:p>
        </w:tc>
        <w:tc>
          <w:tcPr>
            <w:tcW w:w="0" w:type="auto"/>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sz w:val="20"/>
                <w:szCs w:val="20"/>
                <w:lang w:val="en-US"/>
              </w:rPr>
              <w:t>w</w:t>
            </w:r>
          </w:p>
        </w:tc>
        <w:tc>
          <w:tcPr>
            <w:tcW w:w="0" w:type="auto"/>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0</w:t>
            </w:r>
          </w:p>
        </w:tc>
        <w:tc>
          <w:tcPr>
            <w:tcW w:w="0" w:type="auto"/>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2</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i</w:t>
            </w:r>
          </w:p>
        </w:tc>
        <w:tc>
          <w:tcPr>
            <w:tcW w:w="0" w:type="auto"/>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sz w:val="20"/>
                <w:szCs w:val="20"/>
                <w:lang w:val="en-US"/>
              </w:rPr>
              <w:t>G</w:t>
            </w:r>
          </w:p>
        </w:tc>
        <w:tc>
          <w:tcPr>
            <w:tcW w:w="0" w:type="auto"/>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color w:val="FF0000"/>
                <w:sz w:val="20"/>
                <w:szCs w:val="20"/>
                <w:lang w:val="en-US"/>
              </w:rPr>
              <w:t>A</w:t>
            </w:r>
          </w:p>
        </w:tc>
        <w:tc>
          <w:tcPr>
            <w:tcW w:w="0" w:type="auto"/>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sz w:val="20"/>
                <w:szCs w:val="20"/>
              </w:rPr>
              <w:t>А</w:t>
            </w:r>
          </w:p>
        </w:tc>
        <w:tc>
          <w:tcPr>
            <w:tcW w:w="0" w:type="auto"/>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sz w:val="20"/>
                <w:szCs w:val="20"/>
                <w:lang w:val="en-US"/>
              </w:rPr>
              <w:t>C</w:t>
            </w:r>
          </w:p>
        </w:tc>
        <w:tc>
          <w:tcPr>
            <w:tcW w:w="0" w:type="auto"/>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sz w:val="20"/>
                <w:szCs w:val="20"/>
              </w:rPr>
              <w:t>В</w:t>
            </w:r>
          </w:p>
        </w:tc>
      </w:tr>
    </w:tbl>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236" w:name="_Toc87467214"/>
      <w:bookmarkStart w:id="237" w:name="_Toc87513936"/>
      <w:bookmarkStart w:id="238" w:name="_Toc89106095"/>
      <w:bookmarkStart w:id="239" w:name="_Toc98741934"/>
      <w:bookmarkStart w:id="240" w:name="_Toc98838609"/>
      <w:r w:rsidRPr="00A8783E">
        <w:rPr>
          <w:rFonts w:ascii="Times New Roman" w:hAnsi="Times New Roman"/>
          <w:color w:val="1F497D"/>
          <w:sz w:val="28"/>
          <w:szCs w:val="28"/>
        </w:rPr>
        <w:t xml:space="preserve">Специфични цели за A072 </w:t>
      </w:r>
      <w:r w:rsidRPr="00A8783E">
        <w:rPr>
          <w:rFonts w:ascii="Times New Roman" w:hAnsi="Times New Roman"/>
          <w:i/>
          <w:iCs/>
          <w:color w:val="1F497D"/>
          <w:sz w:val="28"/>
          <w:szCs w:val="28"/>
        </w:rPr>
        <w:t>Pernis apivor</w:t>
      </w:r>
      <w:r w:rsidRPr="00A8783E">
        <w:rPr>
          <w:rFonts w:ascii="Times New Roman" w:hAnsi="Times New Roman"/>
          <w:i/>
          <w:iCs/>
          <w:color w:val="1F497D"/>
          <w:sz w:val="28"/>
          <w:szCs w:val="28"/>
          <w:lang w:val="en-US"/>
        </w:rPr>
        <w:t>u</w:t>
      </w:r>
      <w:r w:rsidRPr="00A8783E">
        <w:rPr>
          <w:rFonts w:ascii="Times New Roman" w:hAnsi="Times New Roman"/>
          <w:i/>
          <w:iCs/>
          <w:color w:val="1F497D"/>
          <w:sz w:val="28"/>
          <w:szCs w:val="28"/>
        </w:rPr>
        <w:t>s</w:t>
      </w:r>
      <w:r w:rsidRPr="00A8783E">
        <w:rPr>
          <w:rFonts w:ascii="Times New Roman" w:hAnsi="Times New Roman"/>
          <w:color w:val="1F497D"/>
          <w:sz w:val="28"/>
          <w:szCs w:val="28"/>
        </w:rPr>
        <w:t xml:space="preserve"> (осояд)</w:t>
      </w:r>
      <w:bookmarkEnd w:id="236"/>
      <w:bookmarkEnd w:id="237"/>
      <w:bookmarkEnd w:id="238"/>
      <w:bookmarkEnd w:id="239"/>
      <w:bookmarkEnd w:id="240"/>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 xml:space="preserve">Дължина на тялото: 55-60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135-145 </w:t>
      </w:r>
      <w:r w:rsidRPr="00A8783E">
        <w:rPr>
          <w:rFonts w:ascii="Times New Roman" w:hAnsi="Times New Roman"/>
          <w:sz w:val="24"/>
          <w:szCs w:val="24"/>
          <w:lang w:val="en-US"/>
        </w:rPr>
        <w:t>cm</w:t>
      </w:r>
      <w:r w:rsidRPr="00A8783E">
        <w:rPr>
          <w:rFonts w:ascii="Times New Roman" w:hAnsi="Times New Roman"/>
          <w:sz w:val="24"/>
          <w:szCs w:val="24"/>
        </w:rPr>
        <w:t>. Полиморфен вид, характерен със значителна индивидуална вариация на окраската. Челото и юздичката покрити с дребни люсповидни пера. Главата сиво пепелява до сиво кафява. Горната страна на тялото кафява с тъмни до черни надлъжни резки. Окраската на долната страна на тялото разнообразна: бяла с кафяви препаски, червено-кафява или тъмнокафява с многобройни или редки бели петна. Опашката сиво-кафява с 2-3 черни препаски - в основата, средата и края. Клюнът черен, восковицата тъмносива, краката жълти (Симеонов и др., 1990).</w:t>
      </w:r>
    </w:p>
    <w:p w:rsidR="00A8783E" w:rsidRPr="00A8783E" w:rsidRDefault="00A8783E" w:rsidP="00A8783E">
      <w:pPr>
        <w:spacing w:before="120" w:after="120" w:line="240" w:lineRule="auto"/>
        <w:ind w:hanging="11"/>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 xml:space="preserve">В България видът е гнездящо-прелетен. Пролетният прелет започва от средата на март до края на април, есенният започва в началото на август и продължава до края на октомври. Многоброен по време на миграции по Черноморското крайбрежие, особено в края на август и началото на септември. Гнездото разположено само по дървета, в основата на странични клони на височина 10-22 </w:t>
      </w:r>
      <w:r w:rsidRPr="00A8783E">
        <w:rPr>
          <w:rFonts w:ascii="Times New Roman" w:hAnsi="Times New Roman"/>
          <w:sz w:val="24"/>
          <w:szCs w:val="24"/>
          <w:lang w:val="en-US"/>
        </w:rPr>
        <w:t>m</w:t>
      </w:r>
      <w:r w:rsidRPr="00A8783E">
        <w:rPr>
          <w:rFonts w:ascii="Times New Roman" w:hAnsi="Times New Roman"/>
          <w:sz w:val="24"/>
          <w:szCs w:val="24"/>
        </w:rPr>
        <w:t xml:space="preserve">. Понякога заема стари гнезда на други птици (сива врана, обикновен мишелов и др.). Пълното мътило най-често 2 яйца (Симеонов и др., 1990).  Разпространението в България е разпръснато на почти цялата територия на страната, най-плътно в ниските и средно високи райони с гори до 1600 </w:t>
      </w:r>
      <w:r w:rsidRPr="00A8783E">
        <w:rPr>
          <w:rFonts w:ascii="Times New Roman" w:hAnsi="Times New Roman"/>
          <w:sz w:val="24"/>
          <w:szCs w:val="24"/>
          <w:lang w:val="en-US"/>
        </w:rPr>
        <w:t>m</w:t>
      </w:r>
      <w:r w:rsidRPr="00A8783E">
        <w:rPr>
          <w:rFonts w:ascii="Times New Roman" w:hAnsi="Times New Roman"/>
          <w:sz w:val="24"/>
          <w:szCs w:val="24"/>
        </w:rPr>
        <w:t xml:space="preserve"> надм. в. С най-висока плътност в Източни Родопи, Източна Стара планина и Странджа. Числеността се оценява на 450-550 двойки (Янков, ред., 2007). При плътност 1 двойка на 50–100 km</w:t>
      </w:r>
      <w:r w:rsidRPr="00A8783E">
        <w:rPr>
          <w:rFonts w:ascii="Times New Roman" w:hAnsi="Times New Roman"/>
          <w:sz w:val="24"/>
          <w:szCs w:val="24"/>
          <w:vertAlign w:val="superscript"/>
        </w:rPr>
        <w:t xml:space="preserve">2 </w:t>
      </w:r>
      <w:r w:rsidRPr="00A8783E">
        <w:rPr>
          <w:rFonts w:ascii="Times New Roman" w:hAnsi="Times New Roman"/>
          <w:sz w:val="24"/>
          <w:szCs w:val="24"/>
        </w:rPr>
        <w:t>числеността в страната най-вероятно е 300-400 гнездещи двойки. Уязвим вид VU (Домусчиев и Спиридонов в Червена книга, 2015).</w:t>
      </w:r>
    </w:p>
    <w:p w:rsidR="00A8783E" w:rsidRPr="00A8783E" w:rsidRDefault="00A8783E" w:rsidP="00A8783E">
      <w:pPr>
        <w:spacing w:before="120" w:after="120" w:line="240" w:lineRule="auto"/>
        <w:ind w:hanging="11"/>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 xml:space="preserve">През размножителния период обитава обширни гори в равнини и планини (предимно букови), изпъстрени с полянки или в близост до ливади и пасища (Симеонов и др., 1990). Предпочита високостъблени широколистни гори, но гнезди и в смесени и иглолистни гори до 1600-1700 </w:t>
      </w:r>
      <w:r w:rsidRPr="00A8783E">
        <w:rPr>
          <w:rFonts w:ascii="Times New Roman" w:hAnsi="Times New Roman"/>
          <w:sz w:val="24"/>
          <w:szCs w:val="24"/>
          <w:lang w:val="en-US"/>
        </w:rPr>
        <w:t>m</w:t>
      </w:r>
      <w:r w:rsidRPr="00A8783E">
        <w:rPr>
          <w:rFonts w:ascii="Times New Roman" w:hAnsi="Times New Roman"/>
          <w:sz w:val="24"/>
          <w:szCs w:val="24"/>
        </w:rPr>
        <w:t xml:space="preserve"> надм. в.  в близост до открити пространства. Гнездовия участък е над 1000 </w:t>
      </w:r>
      <w:r w:rsidRPr="00A8783E">
        <w:rPr>
          <w:rFonts w:ascii="Times New Roman" w:hAnsi="Times New Roman"/>
          <w:sz w:val="24"/>
          <w:szCs w:val="24"/>
          <w:lang w:val="en-US"/>
        </w:rPr>
        <w:t>ha</w:t>
      </w:r>
      <w:r w:rsidRPr="00A8783E">
        <w:rPr>
          <w:rFonts w:ascii="Times New Roman" w:hAnsi="Times New Roman"/>
          <w:sz w:val="24"/>
          <w:szCs w:val="24"/>
        </w:rPr>
        <w:t xml:space="preserve">, но търси храна до 7 </w:t>
      </w:r>
      <w:r w:rsidRPr="00A8783E">
        <w:rPr>
          <w:rFonts w:ascii="Times New Roman" w:hAnsi="Times New Roman"/>
          <w:sz w:val="24"/>
          <w:szCs w:val="24"/>
          <w:lang w:val="en-US"/>
        </w:rPr>
        <w:t>km</w:t>
      </w:r>
      <w:r w:rsidRPr="00A8783E">
        <w:rPr>
          <w:rFonts w:ascii="Times New Roman" w:hAnsi="Times New Roman"/>
          <w:sz w:val="24"/>
          <w:szCs w:val="24"/>
        </w:rPr>
        <w:t xml:space="preserve"> от гнездото. Проучване показва, че осояда има предпочитание към гората. Гнездовите територии варират между 13,5 и 25,8 km</w:t>
      </w:r>
      <w:r w:rsidRPr="00A8783E">
        <w:rPr>
          <w:rFonts w:ascii="Times New Roman" w:hAnsi="Times New Roman"/>
          <w:sz w:val="24"/>
          <w:szCs w:val="24"/>
          <w:vertAlign w:val="superscript"/>
        </w:rPr>
        <w:t>2</w:t>
      </w:r>
      <w:r w:rsidRPr="00A8783E">
        <w:rPr>
          <w:rFonts w:ascii="Times New Roman" w:hAnsi="Times New Roman"/>
          <w:sz w:val="24"/>
          <w:szCs w:val="24"/>
        </w:rPr>
        <w:t xml:space="preserve"> (</w:t>
      </w:r>
      <w:r w:rsidRPr="00A8783E">
        <w:rPr>
          <w:rFonts w:ascii="Times New Roman" w:hAnsi="Times New Roman"/>
          <w:sz w:val="24"/>
          <w:szCs w:val="24"/>
          <w:lang w:val="en-US"/>
        </w:rPr>
        <w:t>Ziesemer</w:t>
      </w:r>
      <w:r w:rsidRPr="00A8783E">
        <w:rPr>
          <w:rFonts w:ascii="Times New Roman" w:hAnsi="Times New Roman"/>
          <w:sz w:val="24"/>
          <w:szCs w:val="24"/>
        </w:rPr>
        <w:t xml:space="preserve">, </w:t>
      </w:r>
      <w:r w:rsidRPr="00A8783E">
        <w:rPr>
          <w:rFonts w:ascii="Times New Roman" w:hAnsi="Times New Roman"/>
          <w:sz w:val="24"/>
          <w:szCs w:val="24"/>
          <w:lang w:val="en-US"/>
        </w:rPr>
        <w:t>F</w:t>
      </w:r>
      <w:r w:rsidRPr="00A8783E">
        <w:rPr>
          <w:rFonts w:ascii="Times New Roman" w:hAnsi="Times New Roman"/>
          <w:sz w:val="24"/>
          <w:szCs w:val="24"/>
        </w:rPr>
        <w:t xml:space="preserve">. &amp; </w:t>
      </w:r>
      <w:r w:rsidRPr="00A8783E">
        <w:rPr>
          <w:rFonts w:ascii="Times New Roman" w:hAnsi="Times New Roman"/>
          <w:sz w:val="24"/>
          <w:szCs w:val="24"/>
          <w:lang w:val="en-US"/>
        </w:rPr>
        <w:t>B</w:t>
      </w:r>
      <w:r w:rsidRPr="00A8783E">
        <w:rPr>
          <w:rFonts w:ascii="Times New Roman" w:hAnsi="Times New Roman"/>
          <w:sz w:val="24"/>
          <w:szCs w:val="24"/>
        </w:rPr>
        <w:t>.-</w:t>
      </w:r>
      <w:r w:rsidRPr="00A8783E">
        <w:rPr>
          <w:rFonts w:ascii="Times New Roman" w:hAnsi="Times New Roman"/>
          <w:sz w:val="24"/>
          <w:szCs w:val="24"/>
          <w:lang w:val="en-US"/>
        </w:rPr>
        <w:t>U</w:t>
      </w:r>
      <w:r w:rsidRPr="00A8783E">
        <w:rPr>
          <w:rFonts w:ascii="Times New Roman" w:hAnsi="Times New Roman"/>
          <w:sz w:val="24"/>
          <w:szCs w:val="24"/>
        </w:rPr>
        <w:t xml:space="preserve">. </w:t>
      </w:r>
      <w:r w:rsidRPr="00A8783E">
        <w:rPr>
          <w:rFonts w:ascii="Times New Roman" w:hAnsi="Times New Roman"/>
          <w:sz w:val="24"/>
          <w:szCs w:val="24"/>
          <w:lang w:val="en-US"/>
        </w:rPr>
        <w:t>Meyburg</w:t>
      </w:r>
      <w:r w:rsidRPr="00A8783E">
        <w:rPr>
          <w:rFonts w:ascii="Times New Roman" w:hAnsi="Times New Roman"/>
          <w:sz w:val="24"/>
          <w:szCs w:val="24"/>
        </w:rPr>
        <w:t>, 2015). Подходящи местообитания за гнездене са окрайнини на гори (9110-91</w:t>
      </w:r>
      <w:r w:rsidRPr="00A8783E">
        <w:rPr>
          <w:rFonts w:ascii="Times New Roman" w:hAnsi="Times New Roman"/>
          <w:sz w:val="24"/>
          <w:szCs w:val="24"/>
          <w:lang w:val="en-US"/>
        </w:rPr>
        <w:t>CA</w:t>
      </w:r>
      <w:r w:rsidRPr="00A8783E">
        <w:rPr>
          <w:rFonts w:ascii="Times New Roman" w:hAnsi="Times New Roman"/>
          <w:sz w:val="24"/>
          <w:szCs w:val="24"/>
        </w:rPr>
        <w:t xml:space="preserve">), а за търсене на храна са открити пространства - ливади, пасища, обработваеми земи и вероятно повечето типове </w:t>
      </w:r>
      <w:r w:rsidRPr="00A8783E">
        <w:rPr>
          <w:rFonts w:ascii="Times New Roman" w:hAnsi="Times New Roman"/>
          <w:sz w:val="24"/>
          <w:szCs w:val="24"/>
        </w:rPr>
        <w:lastRenderedPageBreak/>
        <w:t>„Естествени и полуестествени тревни формации“ (6110-6520) според Директивата за хабитатите (Кавръкова и др., 2009).</w:t>
      </w:r>
    </w:p>
    <w:p w:rsidR="00A8783E" w:rsidRPr="00A8783E" w:rsidRDefault="00A8783E" w:rsidP="00A8783E">
      <w:pPr>
        <w:spacing w:before="120" w:after="120" w:line="240" w:lineRule="auto"/>
        <w:ind w:hanging="11"/>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Храни се с жилещи насекоми, техните яйца и ларви, гъсеници, едри бръмбари, рядко с гущери, дребни птици и гризачи (Симеонов и др., 1990).</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Разпространението в България е разпръснато на почти цялата територия на страната, най-плътно в ниските и средно високи райони с гори до 1600 m надм. в. С най-висока плътност в Източни Родопи, Източна Стара планина и Странджа (Янков отг. ред., 2007).</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Включен в Приложение 2 и 3 на ЗБР и в Приложение 1 на Директивата за птиците. Според IUCN в Европа видът е в категория LC (Least Concern) – „слабо засегнат“. Включен е в Червената книга на България в категория „уязвим“ (VU - vulnerable). Видът е включен също в приложението към Резолюция № 6 (1998) на Постоянния комитет на Бернската конвенция.</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2005-2018 г.), видът се опазва като </w:t>
      </w:r>
      <w:r w:rsidRPr="00A8783E">
        <w:rPr>
          <w:rFonts w:ascii="Times New Roman" w:hAnsi="Times New Roman"/>
          <w:b/>
          <w:bCs/>
          <w:sz w:val="24"/>
          <w:szCs w:val="24"/>
        </w:rPr>
        <w:t>гнездящ</w:t>
      </w:r>
      <w:r w:rsidRPr="00A8783E">
        <w:rPr>
          <w:rFonts w:ascii="Times New Roman" w:hAnsi="Times New Roman"/>
          <w:sz w:val="24"/>
          <w:szCs w:val="24"/>
        </w:rPr>
        <w:t xml:space="preserve"> с популация между 400 и 800 двойки. Краткосрочната популационна тенденция (2001-2018 г.) е стабилна, а дългосрочната (1980-2018 г.) е увеличаваща се. През последните 18 години краткосрочната тенденция (2000-2018) в разпространението на вида е стабилна, а дългосрочната е увеличаваща се. Посочени са следните заплахи: A02, A07, A08, B02, D02, F03, G01, D06.</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 xml:space="preserve">Осояда се опазва също така и като </w:t>
      </w:r>
      <w:r w:rsidRPr="00A8783E">
        <w:rPr>
          <w:rFonts w:ascii="Times New Roman" w:hAnsi="Times New Roman"/>
          <w:b/>
          <w:bCs/>
          <w:sz w:val="24"/>
          <w:szCs w:val="24"/>
        </w:rPr>
        <w:t>мигриращ</w:t>
      </w:r>
      <w:r w:rsidRPr="00A8783E">
        <w:rPr>
          <w:rFonts w:ascii="Times New Roman" w:hAnsi="Times New Roman"/>
          <w:sz w:val="24"/>
          <w:szCs w:val="24"/>
        </w:rPr>
        <w:t xml:space="preserve"> вид с численост 15 000-25 000 индивида. Краткосрочната популационна тенденция (2007-2018 г.) е увеличаваща се, а дългосрочната не е посочена. Посочени са следните заплахи: A02, A07, B02, F03, D06.</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В Червената книга (2015) е посочено като заплаха масовото изсичане на старите гори и безпокойството, бракониерството, използването на пестициди в земеделието.</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мигриращ</w:t>
      </w:r>
      <w:r w:rsidRPr="00A8783E">
        <w:rPr>
          <w:rFonts w:ascii="Times New Roman" w:hAnsi="Times New Roman"/>
          <w:sz w:val="24"/>
          <w:szCs w:val="24"/>
        </w:rPr>
        <w:t>, с популация, която се оценява на 1 - 10 индивида, което е 0,006 – 0,04 % от националната мигрираща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 xml:space="preserve">Според Костадинова, Граматиков (2007), видът присъства в зоната по време на миграция с 1-10 инд. Най-значимите концентрации по време на есенната миграция са Босфора (до 26 000 инд.) и Бургаския залив - до 24 000 инд. (Мичев и др., 2012). Не са провеждани теренни проучвания през 2021 г. по време на миграция. </w:t>
      </w:r>
    </w:p>
    <w:p w:rsidR="00A8783E" w:rsidRPr="00A8783E" w:rsidRDefault="00A8783E" w:rsidP="00A8783E">
      <w:pPr>
        <w:spacing w:before="120" w:after="120" w:line="240" w:lineRule="auto"/>
        <w:ind w:hanging="11"/>
        <w:jc w:val="both"/>
        <w:rPr>
          <w:rFonts w:ascii="Times New Roman" w:hAnsi="Times New Roman"/>
          <w:b/>
          <w:bCs/>
          <w:sz w:val="24"/>
          <w:szCs w:val="24"/>
        </w:rPr>
      </w:pPr>
      <w:r w:rsidRPr="00A8783E">
        <w:rPr>
          <w:rFonts w:ascii="Times New Roman" w:hAnsi="Times New Roman"/>
          <w:sz w:val="24"/>
          <w:szCs w:val="24"/>
        </w:rPr>
        <w:t xml:space="preserve">По данни  от https://ebird.org/,  видът е наблюдаван в зоната през септември 1986 г.- 2 инд., през май 1987 г.- 2 инд., през юни 1988 г. –1 инд., през септември 1988 г. – 1 инд., през септември 1989 г. – 4 инд., през август 1990 г. – 27 инд., през юли 2001 г. – 1 инд., през август 2005 г. –1 инд., през юни 2007 г. – 1 инд, юни 2008 г. – 2 инд., септември 2010 г. – 150 инд., през юни 2016 г. – 1 инд. По данни от https://observation.org, за 2020 и 2021 г., видът не е наблюдаван в зоната. Липсват публикувани данни за концентрацията </w:t>
      </w:r>
      <w:r w:rsidRPr="00A8783E">
        <w:rPr>
          <w:rFonts w:ascii="Times New Roman" w:hAnsi="Times New Roman"/>
          <w:sz w:val="24"/>
          <w:szCs w:val="24"/>
        </w:rPr>
        <w:lastRenderedPageBreak/>
        <w:t>на вида в зоната по време на миграция, поради което се налага поставяне на междинна цел до 2025, да се проведе мониторинг, който да изясни тази численост.</w:t>
      </w:r>
    </w:p>
    <w:p w:rsidR="00A8783E" w:rsidRPr="00A8783E" w:rsidRDefault="00A8783E" w:rsidP="00A8783E">
      <w:pPr>
        <w:spacing w:before="120" w:after="120" w:line="240" w:lineRule="auto"/>
        <w:ind w:hanging="11"/>
        <w:jc w:val="both"/>
        <w:rPr>
          <w:rFonts w:ascii="Times New Roman" w:hAnsi="Times New Roman"/>
          <w:sz w:val="24"/>
          <w:szCs w:val="24"/>
        </w:rPr>
      </w:pPr>
      <w:r w:rsidRPr="00A8783E">
        <w:rPr>
          <w:rFonts w:ascii="Times New Roman" w:hAnsi="Times New Roman"/>
          <w:sz w:val="24"/>
          <w:szCs w:val="24"/>
        </w:rPr>
        <w:t xml:space="preserve">Посочените заплахи </w:t>
      </w:r>
      <w:r w:rsidRPr="00A8783E">
        <w:rPr>
          <w:rFonts w:ascii="Times New Roman" w:hAnsi="Times New Roman"/>
          <w:sz w:val="24"/>
          <w:szCs w:val="24"/>
          <w:lang w:val="en-US"/>
        </w:rPr>
        <w:t>A</w:t>
      </w:r>
      <w:r w:rsidRPr="00A8783E">
        <w:rPr>
          <w:rFonts w:ascii="Times New Roman" w:hAnsi="Times New Roman"/>
          <w:sz w:val="24"/>
          <w:szCs w:val="24"/>
        </w:rPr>
        <w:t xml:space="preserve">02, </w:t>
      </w:r>
      <w:r w:rsidRPr="00A8783E">
        <w:rPr>
          <w:rFonts w:ascii="Times New Roman" w:hAnsi="Times New Roman"/>
          <w:sz w:val="24"/>
          <w:szCs w:val="24"/>
          <w:lang w:val="en-US"/>
        </w:rPr>
        <w:t>A</w:t>
      </w:r>
      <w:r w:rsidRPr="00A8783E">
        <w:rPr>
          <w:rFonts w:ascii="Times New Roman" w:hAnsi="Times New Roman"/>
          <w:sz w:val="24"/>
          <w:szCs w:val="24"/>
        </w:rPr>
        <w:t xml:space="preserve">07, </w:t>
      </w:r>
      <w:r w:rsidRPr="00A8783E">
        <w:rPr>
          <w:rFonts w:ascii="Times New Roman" w:hAnsi="Times New Roman"/>
          <w:sz w:val="24"/>
          <w:szCs w:val="24"/>
          <w:lang w:val="en-US"/>
        </w:rPr>
        <w:t>B</w:t>
      </w:r>
      <w:r w:rsidRPr="00A8783E">
        <w:rPr>
          <w:rFonts w:ascii="Times New Roman" w:hAnsi="Times New Roman"/>
          <w:sz w:val="24"/>
          <w:szCs w:val="24"/>
        </w:rPr>
        <w:t xml:space="preserve">02, F03 и </w:t>
      </w:r>
      <w:r w:rsidRPr="00A8783E">
        <w:rPr>
          <w:rFonts w:ascii="Times New Roman" w:hAnsi="Times New Roman"/>
          <w:sz w:val="24"/>
          <w:szCs w:val="24"/>
          <w:lang w:val="en-US"/>
        </w:rPr>
        <w:t>D</w:t>
      </w:r>
      <w:r w:rsidRPr="00A8783E">
        <w:rPr>
          <w:rFonts w:ascii="Times New Roman" w:hAnsi="Times New Roman"/>
          <w:sz w:val="24"/>
          <w:szCs w:val="24"/>
        </w:rPr>
        <w:t>06 в докладването по чл. 12 за вида могат да имат слабо отношение към вида в зоната.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245"/>
        <w:gridCol w:w="1239"/>
        <w:gridCol w:w="2659"/>
        <w:gridCol w:w="2392"/>
      </w:tblGrid>
      <w:tr w:rsidR="00A8783E" w:rsidRPr="00A8783E" w:rsidTr="005B5318">
        <w:trPr>
          <w:tblHeader/>
          <w:jc w:val="center"/>
        </w:trPr>
        <w:tc>
          <w:tcPr>
            <w:tcW w:w="1753"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Параметър</w:t>
            </w:r>
          </w:p>
        </w:tc>
        <w:tc>
          <w:tcPr>
            <w:tcW w:w="0" w:type="auto"/>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Мерна единица</w:t>
            </w:r>
          </w:p>
        </w:tc>
        <w:tc>
          <w:tcPr>
            <w:tcW w:w="0" w:type="auto"/>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Целева стойност</w:t>
            </w:r>
          </w:p>
        </w:tc>
        <w:tc>
          <w:tcPr>
            <w:tcW w:w="2659"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Допълнителна информация</w:t>
            </w:r>
          </w:p>
        </w:tc>
        <w:tc>
          <w:tcPr>
            <w:tcW w:w="2392"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jc w:val="center"/>
        </w:trPr>
        <w:tc>
          <w:tcPr>
            <w:tcW w:w="1753"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Популация: Размер на мигриращата популация</w:t>
            </w:r>
          </w:p>
        </w:tc>
        <w:tc>
          <w:tcPr>
            <w:tcW w:w="0" w:type="auto"/>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индивиди</w:t>
            </w:r>
          </w:p>
        </w:tc>
        <w:tc>
          <w:tcPr>
            <w:tcW w:w="0" w:type="auto"/>
          </w:tcPr>
          <w:p w:rsidR="00A8783E" w:rsidRPr="00A8783E" w:rsidRDefault="00A8783E" w:rsidP="00A8783E">
            <w:pPr>
              <w:spacing w:after="0" w:line="240" w:lineRule="auto"/>
              <w:rPr>
                <w:rFonts w:ascii="Times New Roman" w:hAnsi="Times New Roman"/>
              </w:rPr>
            </w:pPr>
            <w:r w:rsidRPr="00A8783E">
              <w:rPr>
                <w:rFonts w:ascii="Times New Roman" w:hAnsi="Times New Roman"/>
              </w:rPr>
              <w:t>Най-малко 1 инд.</w:t>
            </w:r>
          </w:p>
        </w:tc>
        <w:tc>
          <w:tcPr>
            <w:tcW w:w="2659"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В СФ за концентрацията на вида по време на миграция е посочена минимална и максимална концентрация от 1-10 инд. Няма друга актуална информация за количеството на птиците и районите с концентрация на вида в зоната по време на миграция. </w:t>
            </w:r>
          </w:p>
        </w:tc>
        <w:tc>
          <w:tcPr>
            <w:tcW w:w="2392"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jc w:val="center"/>
        </w:trPr>
        <w:tc>
          <w:tcPr>
            <w:tcW w:w="1753" w:type="dxa"/>
          </w:tcPr>
          <w:p w:rsidR="00A8783E" w:rsidRPr="00A8783E" w:rsidRDefault="00A8783E" w:rsidP="00A8783E">
            <w:pPr>
              <w:spacing w:after="0" w:line="240" w:lineRule="auto"/>
              <w:rPr>
                <w:rFonts w:ascii="Times New Roman" w:hAnsi="Times New Roman"/>
              </w:rPr>
            </w:pPr>
            <w:r w:rsidRPr="00A8783E">
              <w:rPr>
                <w:rFonts w:ascii="Times New Roman" w:hAnsi="Times New Roman"/>
                <w:b/>
                <w:bCs/>
              </w:rPr>
              <w:t>Местообитание на вида</w:t>
            </w:r>
            <w:r w:rsidRPr="00A8783E">
              <w:rPr>
                <w:rFonts w:ascii="Times New Roman" w:hAnsi="Times New Roman"/>
              </w:rPr>
              <w:t xml:space="preserve">: Площ на подходящите хранителни местообитания на вида </w:t>
            </w:r>
          </w:p>
        </w:tc>
        <w:tc>
          <w:tcPr>
            <w:tcW w:w="0" w:type="auto"/>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lang w:val="en-US"/>
              </w:rPr>
              <w:t>ha</w:t>
            </w:r>
          </w:p>
        </w:tc>
        <w:tc>
          <w:tcPr>
            <w:tcW w:w="0" w:type="auto"/>
          </w:tcPr>
          <w:p w:rsidR="00A8783E" w:rsidRPr="00A8783E" w:rsidRDefault="00A8783E" w:rsidP="00A8783E">
            <w:pPr>
              <w:spacing w:after="0" w:line="240" w:lineRule="auto"/>
              <w:rPr>
                <w:rFonts w:ascii="Times New Roman" w:hAnsi="Times New Roman"/>
              </w:rPr>
            </w:pPr>
            <w:r w:rsidRPr="00A8783E">
              <w:rPr>
                <w:rFonts w:ascii="Times New Roman" w:hAnsi="Times New Roman"/>
              </w:rPr>
              <w:t>Най-малко 318</w:t>
            </w:r>
          </w:p>
        </w:tc>
        <w:tc>
          <w:tcPr>
            <w:tcW w:w="2659"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Определена на база на % участие откритите местообитания в зоната: </w:t>
            </w:r>
            <w:r w:rsidRPr="00A8783E">
              <w:rPr>
                <w:rFonts w:ascii="Times New Roman" w:hAnsi="Times New Roman"/>
                <w:lang w:val="en-US"/>
              </w:rPr>
              <w:t>N</w:t>
            </w:r>
            <w:r w:rsidRPr="00A8783E">
              <w:rPr>
                <w:rFonts w:ascii="Times New Roman" w:hAnsi="Times New Roman"/>
              </w:rPr>
              <w:t xml:space="preserve">09-сухи ливади, степи, </w:t>
            </w:r>
            <w:r w:rsidRPr="00A8783E">
              <w:rPr>
                <w:rFonts w:ascii="Times New Roman" w:hAnsi="Times New Roman"/>
                <w:lang w:val="en-US"/>
              </w:rPr>
              <w:t>N</w:t>
            </w:r>
            <w:r w:rsidRPr="00A8783E">
              <w:rPr>
                <w:rFonts w:ascii="Times New Roman" w:hAnsi="Times New Roman"/>
              </w:rPr>
              <w:t xml:space="preserve">15-други обработваеми земи, </w:t>
            </w:r>
            <w:r w:rsidRPr="00A8783E">
              <w:rPr>
                <w:rFonts w:ascii="Times New Roman" w:hAnsi="Times New Roman"/>
                <w:lang w:val="en-US"/>
              </w:rPr>
              <w:t>N</w:t>
            </w:r>
            <w:r w:rsidRPr="00A8783E">
              <w:rPr>
                <w:rFonts w:ascii="Times New Roman" w:hAnsi="Times New Roman"/>
              </w:rPr>
              <w:t>08</w:t>
            </w:r>
            <w:r w:rsidRPr="00A8783E">
              <w:rPr>
                <w:rFonts w:ascii="Times New Roman" w:hAnsi="Times New Roman"/>
              </w:rPr>
              <w:noBreakHyphen/>
              <w:t>равнини, шубраци. Най-вероятно вида се храни и извън зоната.</w:t>
            </w:r>
          </w:p>
        </w:tc>
        <w:tc>
          <w:tcPr>
            <w:tcW w:w="2392"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най-малко 318 ha. чрез опасване, окосяване, премахване на дървесно-храстова растителност в западните части на резервата.</w:t>
            </w:r>
          </w:p>
        </w:tc>
      </w:tr>
    </w:tbl>
    <w:p w:rsidR="00A8783E" w:rsidRPr="00A8783E" w:rsidRDefault="00A8783E" w:rsidP="00A8783E">
      <w:pPr>
        <w:spacing w:after="160" w:line="259" w:lineRule="auto"/>
        <w:rPr>
          <w:rFonts w:ascii="Times New Roman" w:hAnsi="Times New Roman"/>
          <w:b/>
          <w:bCs/>
          <w:sz w:val="24"/>
          <w:szCs w:val="24"/>
        </w:rPr>
      </w:pPr>
    </w:p>
    <w:p w:rsidR="00A8783E" w:rsidRPr="00A8783E" w:rsidRDefault="00A8783E" w:rsidP="00A8783E">
      <w:pPr>
        <w:spacing w:after="16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Не е необходимо промени в СФ.</w:t>
      </w: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241" w:name="_Toc87467215"/>
      <w:bookmarkStart w:id="242" w:name="_Toc87513937"/>
      <w:bookmarkStart w:id="243" w:name="_Toc89106096"/>
      <w:bookmarkStart w:id="244" w:name="_Toc98741935"/>
      <w:bookmarkStart w:id="245" w:name="_Toc98838610"/>
      <w:r w:rsidRPr="00A8783E">
        <w:rPr>
          <w:rFonts w:ascii="Times New Roman" w:hAnsi="Times New Roman"/>
          <w:color w:val="1F497D"/>
          <w:sz w:val="28"/>
          <w:szCs w:val="28"/>
        </w:rPr>
        <w:t xml:space="preserve">Специфични цели за A073 </w:t>
      </w:r>
      <w:r w:rsidRPr="00A8783E">
        <w:rPr>
          <w:rFonts w:ascii="Times New Roman" w:hAnsi="Times New Roman"/>
          <w:i/>
          <w:iCs/>
          <w:color w:val="1F497D"/>
          <w:sz w:val="28"/>
          <w:szCs w:val="28"/>
        </w:rPr>
        <w:t>Milvus migrans</w:t>
      </w:r>
      <w:r w:rsidRPr="00A8783E">
        <w:rPr>
          <w:rFonts w:ascii="Times New Roman" w:hAnsi="Times New Roman"/>
          <w:color w:val="1F497D"/>
          <w:sz w:val="28"/>
          <w:szCs w:val="28"/>
        </w:rPr>
        <w:t xml:space="preserve"> (черна каня)</w:t>
      </w:r>
      <w:bookmarkEnd w:id="241"/>
      <w:bookmarkEnd w:id="242"/>
      <w:bookmarkEnd w:id="243"/>
      <w:bookmarkEnd w:id="244"/>
      <w:bookmarkEnd w:id="245"/>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Дължина на тялото: 55-60 сm, размах на крилата: 165-175 сm. Тъмнокафява, средно голяма птица с дълги тесни крила и дълга, слабо врязана опашка. Главата е белезникаво-сива, гърлото е белезникаво, а клюнът е черен.  Восковицата и краката са жълти. Когато опашката е широко разперена врязването не се забелязва. Лети с плавни махове. Често се рее и прави широки кръгове (Симеонов и др., 1990).</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Гнездещо-прелетнен, преминаващ и отчасти зимуващ вид за страната. Пролетния прелет е от началото на март до средата на май. Есенният прелет е от началото на август до първата десетдневка на октомври (Симеонов и др., 1990). През размножителния сезон е най-често по р. Дунав и притоците му, поречието на реките </w:t>
      </w:r>
      <w:r w:rsidRPr="00A8783E">
        <w:rPr>
          <w:rFonts w:ascii="Times New Roman" w:hAnsi="Times New Roman"/>
          <w:sz w:val="24"/>
          <w:szCs w:val="24"/>
        </w:rPr>
        <w:lastRenderedPageBreak/>
        <w:t>Марица, Тунджа и техните притоци, Сакар, Дервентски възвишения. По време на скитания и миграции е навсякъде из страната, но по-значима е миграцията по Черноморското крайбрежие. Гнезди поединично или в разредени колонии до 30 двойки. Събира се на групи по време на хранене, скитане, почивка и миграция (Марин и др., в Червена книга на Р България, 2015).</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Обитава гори и групи дървета в големи речни долини, по Черноморската крайбрежие и край изкуствени водоеми. През зимата се среща и в открити пространства в равнини (Симеонов и др., 1990). Според Стойчев и др. (в Янков, отг. ред., 2007) гнезди в алувиални и много влажни гори и храсталаци и широколистни листопадни гори, по-рядко – в ивици дървета, храсти и мозайки от тях, обикновено в близост до по-големи реки и други влажни зони.</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Средната гнездова плътност на вида варира между 1 и 20 дв./100 km</w:t>
      </w:r>
      <w:r w:rsidRPr="00A8783E">
        <w:rPr>
          <w:rFonts w:ascii="Times New Roman" w:hAnsi="Times New Roman"/>
          <w:sz w:val="24"/>
          <w:szCs w:val="24"/>
          <w:vertAlign w:val="superscript"/>
        </w:rPr>
        <w:t>2</w:t>
      </w:r>
      <w:r w:rsidRPr="00A8783E">
        <w:rPr>
          <w:rFonts w:ascii="Times New Roman" w:hAnsi="Times New Roman"/>
          <w:sz w:val="24"/>
          <w:szCs w:val="24"/>
        </w:rPr>
        <w:t xml:space="preserve"> (Maciorowski et al., 2021). Според едно изследване в южна Испания (Tanferna et al., 2013) средната територия на отделните индивиди е 153.3 km</w:t>
      </w:r>
      <w:r w:rsidRPr="00A8783E">
        <w:rPr>
          <w:rFonts w:ascii="Times New Roman" w:hAnsi="Times New Roman"/>
          <w:sz w:val="24"/>
          <w:szCs w:val="24"/>
          <w:vertAlign w:val="superscript"/>
        </w:rPr>
        <w:t>2</w:t>
      </w:r>
      <w:r w:rsidRPr="00A8783E">
        <w:rPr>
          <w:rFonts w:ascii="Times New Roman" w:hAnsi="Times New Roman"/>
          <w:sz w:val="24"/>
          <w:szCs w:val="24"/>
        </w:rPr>
        <w:t>. Гнездящите мъжки и женски индивиди предпочитат влажни зони, горско-земеделски местообитания (dehesa) и храсталаци. Подходящи местообитания за гнездене вероятно са 91D0, 91E0, 91F0 (може би и други широколистни гори); открити местообитания за търсене на храна – естествени и полуестествени тревни формации(6110-6520)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Полифаг, храни се с мърша, често отнема плячката на други птици, лови насекоми и дребни гръбначни животни (Марин и др., в Червена книга на Р България, 2015). В стомашното съдържание на български птици са установени: сива полевка, обикновена горска мишка, белокоремна белозъбка, водна жаба, зелен гущер, торен бръмбар, бръмбар бегач (Симеонов и др., 1990).</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Групирано основно по поречията на големите реки и притоците им – р. Тунджа, р. Марица, р. Дунав, р. Арда, по-разпръснато в Лудогорието и суходолията в Добруджа и др. С най-плътно разположени находища в района между Източните Родопи, Източна Стара планина и Странджа, където съществуването на по-големи реки е съчетано с наличието на над 1000 микроязовира, няколко язовира и други водоеми. Почти напълно отсъства от Западна България и Черноморското крайбрежие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Включен в Приложение 2 и 3 на ЗБР и Приложение 1 на Директивата за птиците. Според IUCN за територията на континентална Европа видът е в категория LC (Least Concern) – „слабо засегнат“. Включен в SPEC 3 Уязвим. Включен в Червената книга на България в категория „уязвим“ (VU – vulnerable).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 на 140 – 170 двойки. Краткосрочната тенденция на популацията (за периода 2001 – 2018 г.) е стабилна, а дългосрочната (за периода 1980 – 2018 г.) е намаляваща. Посочени са следните заплахи и влияния: A02, A04, D02, F03, G01, D06.</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Мигриращата</w:t>
      </w:r>
      <w:r w:rsidRPr="00A8783E">
        <w:rPr>
          <w:rFonts w:ascii="Times New Roman" w:hAnsi="Times New Roman"/>
          <w:sz w:val="24"/>
          <w:szCs w:val="24"/>
        </w:rPr>
        <w:t xml:space="preserve"> национална популация е оценена на 800 – 900 индивида. Краткосрочната тенденция на популацията в рамките на Натура 2000 е намаляваща. Посочени са следните заплахи и влияния: A02, B02, F03, F26, D06.</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lastRenderedPageBreak/>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(СФ)  на зоната вида е </w:t>
      </w:r>
      <w:r w:rsidRPr="00A8783E">
        <w:rPr>
          <w:rFonts w:ascii="Times New Roman" w:hAnsi="Times New Roman"/>
          <w:b/>
          <w:bCs/>
          <w:sz w:val="24"/>
          <w:szCs w:val="24"/>
        </w:rPr>
        <w:t>мигриращ</w:t>
      </w:r>
      <w:r w:rsidRPr="00A8783E">
        <w:rPr>
          <w:rFonts w:ascii="Times New Roman" w:hAnsi="Times New Roman"/>
          <w:sz w:val="24"/>
          <w:szCs w:val="24"/>
        </w:rPr>
        <w:t xml:space="preserve">, с популация, която се оценява на </w:t>
      </w:r>
      <w:r w:rsidRPr="00A8783E">
        <w:rPr>
          <w:rFonts w:ascii="Times New Roman" w:hAnsi="Times New Roman"/>
          <w:b/>
          <w:bCs/>
          <w:sz w:val="24"/>
          <w:szCs w:val="24"/>
        </w:rPr>
        <w:t>5 индивида</w:t>
      </w:r>
      <w:r w:rsidRPr="00A8783E">
        <w:rPr>
          <w:rFonts w:ascii="Times New Roman" w:hAnsi="Times New Roman"/>
          <w:sz w:val="24"/>
          <w:szCs w:val="24"/>
        </w:rPr>
        <w:t>, което е 0,55 – 0,62 % 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 време на скитания и миграции е навсякъде из страната, но по-значима е миграцията по Черноморското крайбрежие (Michev at al., 2011; Червена книга на Р България, 2015). Според Костадинова, Граматиков (2007), видът присъства в зоната по време на миграция, но с неустановена численост. Не са провеждани теренни проучвания през 2021 г. по време на миграция.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 данни  от https://ebird.org/,  видът е наблюдаван в зоната през април 1985 г.- 5 инд., през август 1991 г.- 1 инд., през май 2014 г. –1 инд., през май 2019 г. – 1 инд., през май 2020 г. – 1 инд. По данни от https://observation.org, за 2020 и 2021 г., видът не е наблюдаван в зоната. Липсват публикувани данни за концентрацията на вида в зоната по време на миграция, поради което се налага поставянето на междинна цел до 2025, да се проведе мониторинг, който да изясни тази численост.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Посочените заплахи </w:t>
      </w:r>
      <w:r w:rsidRPr="00A8783E">
        <w:rPr>
          <w:rFonts w:ascii="Times New Roman" w:hAnsi="Times New Roman"/>
          <w:sz w:val="24"/>
          <w:szCs w:val="24"/>
          <w:lang w:val="en-US"/>
        </w:rPr>
        <w:t>A</w:t>
      </w:r>
      <w:r w:rsidRPr="00A8783E">
        <w:rPr>
          <w:rFonts w:ascii="Times New Roman" w:hAnsi="Times New Roman"/>
          <w:sz w:val="24"/>
          <w:szCs w:val="24"/>
        </w:rPr>
        <w:t xml:space="preserve">02, </w:t>
      </w:r>
      <w:r w:rsidRPr="00A8783E">
        <w:rPr>
          <w:rFonts w:ascii="Times New Roman" w:hAnsi="Times New Roman"/>
          <w:sz w:val="24"/>
          <w:szCs w:val="24"/>
          <w:lang w:val="en-US"/>
        </w:rPr>
        <w:t>B</w:t>
      </w:r>
      <w:r w:rsidRPr="00A8783E">
        <w:rPr>
          <w:rFonts w:ascii="Times New Roman" w:hAnsi="Times New Roman"/>
          <w:sz w:val="24"/>
          <w:szCs w:val="24"/>
        </w:rPr>
        <w:t xml:space="preserve">02, F03, </w:t>
      </w:r>
      <w:r w:rsidRPr="00A8783E">
        <w:rPr>
          <w:rFonts w:ascii="Times New Roman" w:hAnsi="Times New Roman"/>
          <w:sz w:val="24"/>
          <w:szCs w:val="24"/>
          <w:lang w:val="en-US"/>
        </w:rPr>
        <w:t>F</w:t>
      </w:r>
      <w:r w:rsidRPr="00A8783E">
        <w:rPr>
          <w:rFonts w:ascii="Times New Roman" w:hAnsi="Times New Roman"/>
          <w:sz w:val="24"/>
          <w:szCs w:val="24"/>
        </w:rPr>
        <w:t xml:space="preserve">26 и </w:t>
      </w:r>
      <w:r w:rsidRPr="00A8783E">
        <w:rPr>
          <w:rFonts w:ascii="Times New Roman" w:hAnsi="Times New Roman"/>
          <w:sz w:val="24"/>
          <w:szCs w:val="24"/>
          <w:lang w:val="en-US"/>
        </w:rPr>
        <w:t>D</w:t>
      </w:r>
      <w:r w:rsidRPr="00A8783E">
        <w:rPr>
          <w:rFonts w:ascii="Times New Roman" w:hAnsi="Times New Roman"/>
          <w:sz w:val="24"/>
          <w:szCs w:val="24"/>
        </w:rPr>
        <w:t>06 в докладването по чл. 12 за вида, могат да имат слабо отношение към вида в зоната.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9"/>
        <w:gridCol w:w="1133"/>
        <w:gridCol w:w="1226"/>
        <w:gridCol w:w="2427"/>
        <w:gridCol w:w="2463"/>
      </w:tblGrid>
      <w:tr w:rsidR="00A8783E" w:rsidRPr="00A8783E" w:rsidTr="005B5318">
        <w:trPr>
          <w:tblHeader/>
          <w:jc w:val="center"/>
        </w:trPr>
        <w:tc>
          <w:tcPr>
            <w:tcW w:w="2039"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Параметър</w:t>
            </w:r>
          </w:p>
        </w:tc>
        <w:tc>
          <w:tcPr>
            <w:tcW w:w="1133"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Мерна единица</w:t>
            </w:r>
          </w:p>
        </w:tc>
        <w:tc>
          <w:tcPr>
            <w:tcW w:w="0" w:type="auto"/>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Целева стойност</w:t>
            </w:r>
          </w:p>
        </w:tc>
        <w:tc>
          <w:tcPr>
            <w:tcW w:w="2427"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Допълнителна информация</w:t>
            </w:r>
          </w:p>
        </w:tc>
        <w:tc>
          <w:tcPr>
            <w:tcW w:w="2463"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jc w:val="center"/>
        </w:trPr>
        <w:tc>
          <w:tcPr>
            <w:tcW w:w="2039"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Популация:</w:t>
            </w:r>
            <w:r w:rsidRPr="00A8783E">
              <w:rPr>
                <w:rFonts w:ascii="Times New Roman" w:hAnsi="Times New Roman"/>
              </w:rPr>
              <w:t xml:space="preserve"> Размер на мигриращата популация</w:t>
            </w:r>
          </w:p>
        </w:tc>
        <w:tc>
          <w:tcPr>
            <w:tcW w:w="1133"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индивиди</w:t>
            </w:r>
          </w:p>
        </w:tc>
        <w:tc>
          <w:tcPr>
            <w:tcW w:w="0" w:type="auto"/>
          </w:tcPr>
          <w:p w:rsidR="00A8783E" w:rsidRPr="00A8783E" w:rsidRDefault="00A8783E" w:rsidP="00A8783E">
            <w:pPr>
              <w:spacing w:after="0" w:line="240" w:lineRule="auto"/>
              <w:rPr>
                <w:rFonts w:ascii="Times New Roman" w:hAnsi="Times New Roman"/>
              </w:rPr>
            </w:pPr>
            <w:r w:rsidRPr="00A8783E">
              <w:rPr>
                <w:rFonts w:ascii="Times New Roman" w:hAnsi="Times New Roman"/>
              </w:rPr>
              <w:t>Най-малко 1 инд.</w:t>
            </w:r>
          </w:p>
        </w:tc>
        <w:tc>
          <w:tcPr>
            <w:tcW w:w="2427"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В СФ за концентрацията на вида по време на миграция в зоната е посочена минимална и максимална стойност от 5 инд. Няма друга актуална информация за количеството на птиците и районите с концентрация на вида в зоната по време на миграция.</w:t>
            </w:r>
          </w:p>
        </w:tc>
        <w:tc>
          <w:tcPr>
            <w:tcW w:w="2463"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Извършване на редовен мониторинг на пролетната и есеннната миграция на реещи се птици в СЗЗ.</w:t>
            </w:r>
          </w:p>
        </w:tc>
      </w:tr>
      <w:tr w:rsidR="00A8783E" w:rsidRPr="00A8783E" w:rsidTr="005B5318">
        <w:trPr>
          <w:jc w:val="center"/>
        </w:trPr>
        <w:tc>
          <w:tcPr>
            <w:tcW w:w="2039" w:type="dxa"/>
          </w:tcPr>
          <w:p w:rsidR="00A8783E" w:rsidRPr="00A8783E" w:rsidRDefault="00A8783E" w:rsidP="00A8783E">
            <w:pPr>
              <w:spacing w:after="0" w:line="240" w:lineRule="auto"/>
              <w:rPr>
                <w:rFonts w:ascii="Times New Roman" w:hAnsi="Times New Roman"/>
              </w:rPr>
            </w:pPr>
            <w:r w:rsidRPr="00A8783E">
              <w:rPr>
                <w:rFonts w:ascii="Times New Roman" w:hAnsi="Times New Roman"/>
                <w:b/>
                <w:bCs/>
              </w:rPr>
              <w:t>Местообитание на вида</w:t>
            </w:r>
            <w:r w:rsidRPr="00A8783E">
              <w:rPr>
                <w:rFonts w:ascii="Times New Roman" w:hAnsi="Times New Roman"/>
              </w:rPr>
              <w:t>: характеристика на местообитанието за търсене на храна</w:t>
            </w:r>
          </w:p>
        </w:tc>
        <w:tc>
          <w:tcPr>
            <w:tcW w:w="1133" w:type="dxa"/>
          </w:tcPr>
          <w:p w:rsidR="00A8783E" w:rsidRPr="00A8783E" w:rsidRDefault="00A8783E" w:rsidP="00A8783E">
            <w:pPr>
              <w:spacing w:after="0" w:line="240" w:lineRule="auto"/>
              <w:rPr>
                <w:rFonts w:ascii="Times New Roman" w:hAnsi="Times New Roman"/>
              </w:rPr>
            </w:pPr>
            <w:r w:rsidRPr="00A8783E">
              <w:rPr>
                <w:rFonts w:ascii="Times New Roman" w:hAnsi="Times New Roman"/>
                <w:lang w:val="en-US"/>
              </w:rPr>
              <w:t>ha</w:t>
            </w:r>
          </w:p>
        </w:tc>
        <w:tc>
          <w:tcPr>
            <w:tcW w:w="0" w:type="auto"/>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rPr>
              <w:t>Най-малко 318</w:t>
            </w:r>
          </w:p>
        </w:tc>
        <w:tc>
          <w:tcPr>
            <w:tcW w:w="2427" w:type="dxa"/>
            <w:vAlign w:val="center"/>
          </w:tcPr>
          <w:p w:rsidR="00A8783E" w:rsidRPr="00A8783E" w:rsidRDefault="00A8783E" w:rsidP="00A8783E">
            <w:pPr>
              <w:spacing w:after="0" w:line="240" w:lineRule="auto"/>
              <w:rPr>
                <w:rFonts w:ascii="Times New Roman" w:hAnsi="Times New Roman"/>
              </w:rPr>
            </w:pPr>
            <w:r w:rsidRPr="00A8783E">
              <w:rPr>
                <w:rFonts w:ascii="Times New Roman" w:hAnsi="Times New Roman"/>
              </w:rPr>
              <w:t>Определена на база на % участие откритите местообитания в зоната: N09-сухи ливади, степи, N15-други обработваеми земи, N08</w:t>
            </w:r>
            <w:r w:rsidRPr="00A8783E">
              <w:rPr>
                <w:rFonts w:ascii="Times New Roman" w:hAnsi="Times New Roman"/>
              </w:rPr>
              <w:noBreakHyphen/>
              <w:t>равнини, шубраци. Вида вероятно се храни и извън зоната.</w:t>
            </w:r>
          </w:p>
        </w:tc>
        <w:tc>
          <w:tcPr>
            <w:tcW w:w="2463" w:type="dxa"/>
            <w:vAlign w:val="center"/>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най-малко 318 ha. чрез опасване, окосяване, премахване на дървесно-храстова растителност в западните части на резервата.</w:t>
            </w:r>
          </w:p>
        </w:tc>
      </w:tr>
    </w:tbl>
    <w:p w:rsidR="00A8783E" w:rsidRPr="00A8783E" w:rsidRDefault="00A8783E" w:rsidP="00A8783E">
      <w:pPr>
        <w:spacing w:after="160" w:line="259" w:lineRule="auto"/>
        <w:rPr>
          <w:rFonts w:ascii="Times New Roman" w:hAnsi="Times New Roman"/>
          <w:sz w:val="24"/>
          <w:szCs w:val="24"/>
        </w:rPr>
      </w:pPr>
    </w:p>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lastRenderedPageBreak/>
        <w:t>6. Необходимост от промени в СФ</w:t>
      </w:r>
      <w:r w:rsidRPr="00A8783E">
        <w:rPr>
          <w:rFonts w:ascii="Times New Roman" w:hAnsi="Times New Roman"/>
          <w:b/>
          <w:bCs/>
          <w:sz w:val="24"/>
          <w:szCs w:val="24"/>
        </w:rPr>
        <w:t xml:space="preserve"> на СЗЗ</w:t>
      </w:r>
      <w:r w:rsidRPr="00A8783E">
        <w:rPr>
          <w:rFonts w:ascii="Times New Roman" w:hAnsi="Times New Roman"/>
          <w:b/>
          <w:bCs/>
          <w:color w:val="000000"/>
          <w:sz w:val="24"/>
          <w:szCs w:val="24"/>
        </w:rPr>
        <w:t xml:space="preserve"> BG0000241 „Сребърна“</w:t>
      </w:r>
    </w:p>
    <w:p w:rsidR="00A8783E" w:rsidRPr="00A8783E" w:rsidRDefault="00A8783E" w:rsidP="00A8783E">
      <w:pPr>
        <w:spacing w:before="120" w:after="120" w:line="259"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По отношение на мигриращата популация предлагаме промяна в минималната численост на популацията от 5 инд. на 1 инд., тъй като данните от </w:t>
      </w:r>
      <w:r w:rsidRPr="00A8783E">
        <w:rPr>
          <w:rFonts w:ascii="Times New Roman" w:hAnsi="Times New Roman"/>
          <w:color w:val="000000"/>
          <w:sz w:val="24"/>
          <w:szCs w:val="24"/>
          <w:lang w:val="en-US"/>
        </w:rPr>
        <w:t>eBird</w:t>
      </w:r>
      <w:r w:rsidRPr="00A8783E">
        <w:rPr>
          <w:rFonts w:ascii="Times New Roman" w:hAnsi="Times New Roman"/>
          <w:color w:val="000000"/>
          <w:sz w:val="24"/>
          <w:szCs w:val="24"/>
        </w:rPr>
        <w:t>.</w:t>
      </w:r>
      <w:r w:rsidRPr="00A8783E">
        <w:rPr>
          <w:rFonts w:ascii="Times New Roman" w:hAnsi="Times New Roman"/>
          <w:color w:val="000000"/>
          <w:sz w:val="24"/>
          <w:szCs w:val="24"/>
          <w:lang w:val="en-US"/>
        </w:rPr>
        <w:t>org</w:t>
      </w:r>
      <w:r w:rsidRPr="00A8783E">
        <w:rPr>
          <w:rFonts w:ascii="Times New Roman" w:hAnsi="Times New Roman"/>
          <w:color w:val="000000"/>
          <w:sz w:val="24"/>
          <w:szCs w:val="24"/>
        </w:rPr>
        <w:t xml:space="preserve"> показват, че по време на миграция видът се среща в зоната с най-малко 1 инд.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0" w:type="auto"/>
            <w:gridSpan w:val="5"/>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Species</w:t>
            </w:r>
          </w:p>
        </w:tc>
        <w:tc>
          <w:tcPr>
            <w:tcW w:w="0" w:type="auto"/>
            <w:gridSpan w:val="6"/>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Population in the site</w:t>
            </w:r>
          </w:p>
        </w:tc>
        <w:tc>
          <w:tcPr>
            <w:tcW w:w="0" w:type="auto"/>
            <w:gridSpan w:val="4"/>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G</w:t>
            </w:r>
          </w:p>
        </w:tc>
        <w:tc>
          <w:tcPr>
            <w:tcW w:w="0" w:type="auto"/>
            <w:vMerge w:val="restart"/>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Code</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Scientific Name</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NP</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T</w:t>
            </w:r>
          </w:p>
        </w:tc>
        <w:tc>
          <w:tcPr>
            <w:tcW w:w="0" w:type="auto"/>
            <w:gridSpan w:val="2"/>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Size</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Unit</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Cat.</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D.qual.</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A/B/C/D</w:t>
            </w:r>
          </w:p>
        </w:tc>
        <w:tc>
          <w:tcPr>
            <w:tcW w:w="0" w:type="auto"/>
            <w:gridSpan w:val="3"/>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Min</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Max</w:t>
            </w: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Pop.</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Con.</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Iso.</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Glo.</w:t>
            </w:r>
          </w:p>
        </w:tc>
      </w:tr>
      <w:tr w:rsidR="00A8783E" w:rsidRPr="00A8783E" w:rsidTr="005B5318">
        <w:trPr>
          <w:trHeight w:val="295"/>
          <w:jc w:val="center"/>
        </w:trPr>
        <w:tc>
          <w:tcPr>
            <w:tcW w:w="0" w:type="auto"/>
            <w:vAlign w:val="center"/>
          </w:tcPr>
          <w:p w:rsidR="00A8783E" w:rsidRPr="00A8783E" w:rsidRDefault="00A8783E" w:rsidP="00A8783E">
            <w:pPr>
              <w:spacing w:before="120" w:after="120" w:line="259" w:lineRule="auto"/>
              <w:rPr>
                <w:rFonts w:ascii="Times New Roman" w:hAnsi="Times New Roman"/>
                <w:color w:val="000000"/>
                <w:sz w:val="20"/>
                <w:szCs w:val="20"/>
              </w:rPr>
            </w:pPr>
            <w:r w:rsidRPr="00A8783E">
              <w:rPr>
                <w:rFonts w:ascii="Times New Roman" w:hAnsi="Times New Roman"/>
                <w:color w:val="000000"/>
                <w:sz w:val="20"/>
                <w:szCs w:val="20"/>
              </w:rPr>
              <w:t>В</w:t>
            </w:r>
          </w:p>
        </w:tc>
        <w:tc>
          <w:tcPr>
            <w:tcW w:w="0" w:type="auto"/>
            <w:vAlign w:val="center"/>
          </w:tcPr>
          <w:p w:rsidR="00A8783E" w:rsidRPr="00A8783E" w:rsidRDefault="00A8783E" w:rsidP="00A8783E">
            <w:pPr>
              <w:spacing w:before="120" w:after="120" w:line="259" w:lineRule="auto"/>
              <w:rPr>
                <w:rFonts w:ascii="Times New Roman" w:hAnsi="Times New Roman"/>
                <w:color w:val="000000"/>
                <w:sz w:val="20"/>
                <w:szCs w:val="20"/>
              </w:rPr>
            </w:pPr>
            <w:r w:rsidRPr="00A8783E">
              <w:rPr>
                <w:rFonts w:ascii="Times New Roman" w:hAnsi="Times New Roman"/>
                <w:color w:val="000000"/>
                <w:sz w:val="20"/>
                <w:szCs w:val="20"/>
                <w:lang w:val="en-US"/>
              </w:rPr>
              <w:t>A07</w:t>
            </w:r>
            <w:r w:rsidRPr="00A8783E">
              <w:rPr>
                <w:rFonts w:ascii="Times New Roman" w:hAnsi="Times New Roman"/>
                <w:color w:val="000000"/>
                <w:sz w:val="20"/>
                <w:szCs w:val="20"/>
              </w:rPr>
              <w:t>3</w:t>
            </w:r>
          </w:p>
        </w:tc>
        <w:tc>
          <w:tcPr>
            <w:tcW w:w="0" w:type="auto"/>
            <w:vAlign w:val="center"/>
          </w:tcPr>
          <w:p w:rsidR="00A8783E" w:rsidRPr="00A8783E" w:rsidRDefault="00A8783E" w:rsidP="00A8783E">
            <w:pPr>
              <w:spacing w:after="0" w:line="259" w:lineRule="auto"/>
              <w:rPr>
                <w:rFonts w:ascii="Times New Roman" w:hAnsi="Times New Roman"/>
                <w:i/>
                <w:iCs/>
                <w:color w:val="000000"/>
                <w:sz w:val="20"/>
                <w:szCs w:val="20"/>
                <w:lang w:val="en-US"/>
              </w:rPr>
            </w:pPr>
            <w:r w:rsidRPr="00A8783E">
              <w:rPr>
                <w:rFonts w:ascii="Times New Roman" w:hAnsi="Times New Roman"/>
                <w:i/>
                <w:iCs/>
                <w:color w:val="000000"/>
                <w:sz w:val="20"/>
                <w:szCs w:val="20"/>
                <w:lang w:val="en-US"/>
              </w:rPr>
              <w:t>Milvus migrans</w:t>
            </w: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rPr>
            </w:pP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rPr>
            </w:pP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c</w:t>
            </w:r>
          </w:p>
        </w:tc>
        <w:tc>
          <w:tcPr>
            <w:tcW w:w="0" w:type="auto"/>
            <w:vAlign w:val="center"/>
          </w:tcPr>
          <w:p w:rsidR="00A8783E" w:rsidRPr="00A8783E" w:rsidRDefault="00A8783E" w:rsidP="00A8783E">
            <w:pPr>
              <w:spacing w:after="0" w:line="259"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1</w:t>
            </w:r>
          </w:p>
        </w:tc>
        <w:tc>
          <w:tcPr>
            <w:tcW w:w="0" w:type="auto"/>
            <w:vAlign w:val="center"/>
          </w:tcPr>
          <w:p w:rsidR="00A8783E" w:rsidRPr="00A8783E" w:rsidRDefault="00A8783E" w:rsidP="00A8783E">
            <w:pPr>
              <w:spacing w:after="0" w:line="259" w:lineRule="auto"/>
              <w:rPr>
                <w:rFonts w:ascii="Times New Roman" w:hAnsi="Times New Roman"/>
                <w:color w:val="FF0000"/>
                <w:sz w:val="20"/>
                <w:szCs w:val="20"/>
                <w:lang w:val="en-US"/>
              </w:rPr>
            </w:pPr>
            <w:r w:rsidRPr="00A8783E">
              <w:rPr>
                <w:rFonts w:ascii="Times New Roman" w:hAnsi="Times New Roman"/>
                <w:sz w:val="20"/>
                <w:szCs w:val="20"/>
                <w:lang w:val="en-US"/>
              </w:rPr>
              <w:t>5</w:t>
            </w: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lang w:val="en-US"/>
              </w:rPr>
            </w:pP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rPr>
            </w:pP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G</w:t>
            </w: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C</w:t>
            </w: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B</w:t>
            </w: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C</w:t>
            </w: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C</w:t>
            </w:r>
          </w:p>
        </w:tc>
      </w:tr>
    </w:tbl>
    <w:p w:rsidR="00A8783E" w:rsidRPr="00A8783E" w:rsidRDefault="00A8783E" w:rsidP="00A8783E">
      <w:pPr>
        <w:spacing w:after="160" w:line="259" w:lineRule="auto"/>
        <w:rPr>
          <w:rFonts w:ascii="Times New Roman" w:hAnsi="Times New Roman"/>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val="ru-RU"/>
        </w:rPr>
      </w:pPr>
      <w:bookmarkStart w:id="246" w:name="_Toc87981181"/>
      <w:bookmarkStart w:id="247" w:name="_Toc88865713"/>
      <w:bookmarkStart w:id="248" w:name="_Toc89106097"/>
      <w:bookmarkStart w:id="249" w:name="_Toc98741936"/>
      <w:bookmarkStart w:id="250" w:name="_Toc98838611"/>
      <w:r w:rsidRPr="00A8783E">
        <w:rPr>
          <w:rFonts w:ascii="Times New Roman" w:hAnsi="Times New Roman"/>
          <w:color w:val="1F497D"/>
          <w:sz w:val="28"/>
          <w:szCs w:val="28"/>
        </w:rPr>
        <w:t xml:space="preserve">Специфични цели за </w:t>
      </w:r>
      <w:r w:rsidRPr="00A8783E">
        <w:rPr>
          <w:rFonts w:ascii="Times New Roman" w:hAnsi="Times New Roman"/>
          <w:color w:val="1F497D"/>
          <w:sz w:val="28"/>
          <w:szCs w:val="28"/>
          <w:lang w:val="en-US"/>
        </w:rPr>
        <w:t>A</w:t>
      </w:r>
      <w:r w:rsidRPr="00A8783E">
        <w:rPr>
          <w:rFonts w:ascii="Times New Roman" w:hAnsi="Times New Roman"/>
          <w:color w:val="1F497D"/>
          <w:sz w:val="28"/>
          <w:szCs w:val="28"/>
          <w:lang w:val="ru-RU"/>
        </w:rPr>
        <w:t xml:space="preserve">074 </w:t>
      </w:r>
      <w:r w:rsidRPr="00A8783E">
        <w:rPr>
          <w:rFonts w:ascii="Times New Roman" w:hAnsi="Times New Roman"/>
          <w:i/>
          <w:iCs/>
          <w:color w:val="1F497D"/>
          <w:sz w:val="28"/>
          <w:szCs w:val="28"/>
          <w:lang w:val="en-US"/>
        </w:rPr>
        <w:t>Milvus</w:t>
      </w:r>
      <w:r w:rsidRPr="00A8783E">
        <w:rPr>
          <w:rFonts w:ascii="Times New Roman" w:hAnsi="Times New Roman"/>
          <w:i/>
          <w:iCs/>
          <w:color w:val="1F497D"/>
          <w:sz w:val="28"/>
          <w:szCs w:val="28"/>
          <w:lang w:val="ru-RU"/>
        </w:rPr>
        <w:t xml:space="preserve"> </w:t>
      </w:r>
      <w:r w:rsidRPr="00A8783E">
        <w:rPr>
          <w:rFonts w:ascii="Times New Roman" w:hAnsi="Times New Roman"/>
          <w:i/>
          <w:iCs/>
          <w:color w:val="1F497D"/>
          <w:sz w:val="28"/>
          <w:szCs w:val="28"/>
          <w:lang w:val="en-US"/>
        </w:rPr>
        <w:t>milvus</w:t>
      </w:r>
      <w:r w:rsidRPr="00A8783E">
        <w:rPr>
          <w:rFonts w:ascii="Times New Roman" w:hAnsi="Times New Roman"/>
          <w:color w:val="1F497D"/>
          <w:sz w:val="28"/>
          <w:szCs w:val="28"/>
          <w:lang w:val="ru-RU"/>
        </w:rPr>
        <w:t xml:space="preserve"> (</w:t>
      </w:r>
      <w:r w:rsidRPr="00A8783E">
        <w:rPr>
          <w:rFonts w:ascii="Times New Roman" w:hAnsi="Times New Roman"/>
          <w:color w:val="1F497D"/>
          <w:sz w:val="28"/>
          <w:szCs w:val="28"/>
        </w:rPr>
        <w:t>червена каня</w:t>
      </w:r>
      <w:r w:rsidRPr="00A8783E">
        <w:rPr>
          <w:rFonts w:ascii="Times New Roman" w:hAnsi="Times New Roman"/>
          <w:color w:val="1F497D"/>
          <w:sz w:val="28"/>
          <w:szCs w:val="28"/>
          <w:lang w:val="ru-RU"/>
        </w:rPr>
        <w:t>)</w:t>
      </w:r>
      <w:bookmarkEnd w:id="246"/>
      <w:bookmarkEnd w:id="247"/>
      <w:bookmarkEnd w:id="248"/>
      <w:bookmarkEnd w:id="249"/>
      <w:bookmarkEnd w:id="250"/>
      <w:r w:rsidRPr="00A8783E">
        <w:rPr>
          <w:rFonts w:ascii="Times New Roman" w:hAnsi="Times New Roman"/>
          <w:color w:val="1F497D"/>
          <w:sz w:val="28"/>
          <w:szCs w:val="28"/>
          <w:lang w:val="ru-RU"/>
        </w:rPr>
        <w:t xml:space="preserve"> </w:t>
      </w:r>
    </w:p>
    <w:p w:rsidR="00A8783E" w:rsidRPr="00A8783E" w:rsidRDefault="00A8783E" w:rsidP="00A8783E">
      <w:pPr>
        <w:spacing w:before="120" w:after="120" w:line="259"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60-65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180-190 </w:t>
      </w:r>
      <w:r w:rsidRPr="00A8783E">
        <w:rPr>
          <w:rFonts w:ascii="Times New Roman" w:hAnsi="Times New Roman"/>
          <w:sz w:val="24"/>
          <w:szCs w:val="24"/>
          <w:lang w:val="en-US"/>
        </w:rPr>
        <w:t>cm</w:t>
      </w:r>
      <w:r w:rsidRPr="00A8783E">
        <w:rPr>
          <w:rFonts w:ascii="Times New Roman" w:hAnsi="Times New Roman"/>
          <w:sz w:val="24"/>
          <w:szCs w:val="24"/>
        </w:rPr>
        <w:t xml:space="preserve">. Средно голяма дневна граблива птица с дълги, тесни крила и дълга, дълбоко врязана опашка. Лети с бавни махове на крилата. От черната каня се различава по ръждиво червеникавата окраска и по-дълбоко врязаната опашка. Среща се поединично или на двойки, а по време на прелет и на малки ята </w:t>
      </w:r>
      <w:r w:rsidRPr="00A8783E">
        <w:rPr>
          <w:rFonts w:ascii="Times New Roman" w:hAnsi="Times New Roman"/>
          <w:sz w:val="24"/>
          <w:szCs w:val="24"/>
          <w:lang w:val="ru-RU"/>
        </w:rPr>
        <w:t>(</w:t>
      </w:r>
      <w:r w:rsidRPr="00A8783E">
        <w:rPr>
          <w:rFonts w:ascii="Times New Roman" w:hAnsi="Times New Roman"/>
          <w:sz w:val="24"/>
          <w:szCs w:val="24"/>
        </w:rPr>
        <w:t>Симеонов и др., 1990</w:t>
      </w:r>
      <w:r w:rsidRPr="00A8783E">
        <w:rPr>
          <w:rFonts w:ascii="Times New Roman" w:hAnsi="Times New Roman"/>
          <w:sz w:val="24"/>
          <w:szCs w:val="24"/>
          <w:lang w:val="ru-RU"/>
        </w:rPr>
        <w:t>)</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и разпространение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Постоянен и преминаващ вид. Гнезди главно на дървета с височина 12–15 m, в покрайнини на гори, като рядко използва стари гнезда на вранови птици или на обикновен мишелов (Игнатов в Червена книга на Р България, 2015).</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През размножителния период обитава гори в равнини в близост до открити пространства, обработваеми земи и пасища. По време на миграция се среща и в открити полета, а през зимата и в гори в предпланински райони до около 1200 м. н. в. (Симеонов и др., 1990; Игнатов в Червена книга на Р България, 2015).</w:t>
      </w:r>
      <w:r w:rsidRPr="00A8783E">
        <w:rPr>
          <w:rFonts w:ascii="Times New Roman" w:hAnsi="Times New Roman"/>
          <w:sz w:val="28"/>
          <w:szCs w:val="28"/>
        </w:rPr>
        <w:t xml:space="preserve"> </w:t>
      </w:r>
      <w:r w:rsidRPr="00A8783E">
        <w:rPr>
          <w:rFonts w:ascii="Times New Roman" w:hAnsi="Times New Roman"/>
          <w:sz w:val="24"/>
          <w:szCs w:val="24"/>
        </w:rPr>
        <w:t>Подходящи местообитания за търсене на храна вероятно са 6210, 6220, 6240, 6250, 6260, 62</w:t>
      </w:r>
      <w:r w:rsidRPr="00A8783E">
        <w:rPr>
          <w:rFonts w:ascii="Times New Roman" w:hAnsi="Times New Roman"/>
          <w:sz w:val="24"/>
          <w:szCs w:val="24"/>
          <w:lang w:val="en-US"/>
        </w:rPr>
        <w:t>C</w:t>
      </w:r>
      <w:r w:rsidRPr="00A8783E">
        <w:rPr>
          <w:rFonts w:ascii="Times New Roman" w:hAnsi="Times New Roman"/>
          <w:sz w:val="24"/>
          <w:szCs w:val="24"/>
          <w:lang w:val="ru-RU"/>
        </w:rPr>
        <w:t xml:space="preserve">0, 6510 </w:t>
      </w:r>
      <w:r w:rsidRPr="00A8783E">
        <w:rPr>
          <w:rFonts w:ascii="Times New Roman" w:hAnsi="Times New Roman"/>
          <w:sz w:val="24"/>
          <w:szCs w:val="24"/>
        </w:rPr>
        <w:t>според Директивата за хабитатите (Кавръкова и др.</w:t>
      </w:r>
      <w:r w:rsidRPr="00A8783E">
        <w:rPr>
          <w:rFonts w:ascii="Times New Roman" w:hAnsi="Times New Roman"/>
          <w:sz w:val="24"/>
          <w:szCs w:val="24"/>
          <w:lang w:val="ru-RU"/>
        </w:rPr>
        <w:t>,</w:t>
      </w:r>
      <w:r w:rsidRPr="00A8783E">
        <w:rPr>
          <w:rFonts w:ascii="Times New Roman" w:hAnsi="Times New Roman"/>
          <w:sz w:val="24"/>
          <w:szCs w:val="24"/>
        </w:rPr>
        <w:t xml:space="preserve"> 2009), обработваеми земи, пасища.</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Храни се с безгръбначни и гръбначни животни, включително и мърша, у нас предимно със земноводни, влечуги, гризачи (Игнатов в Червена книга на Р България, 2015).</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Единични индивиди се срещат спорадично в Добруджа и Хасковско. Среща се главно по време на миграция или като зимуващ вид, основно единични птици. През гнездовия период са наблюдавани двойка и единични индивиди в Източни Родопи, ез. Сребърна, по една двойка на р. Дунав, Черноморието, Сакар и Източни Родопи, единични птици по време на миграция и гнездовия период при яз. „Студен кладенец“, Сливенско, Ямболско и Добруджа. През зимата и по време на миграция се среща главно по Черноморското крайбрежие и откритите пространства</w:t>
      </w:r>
      <w:r w:rsidRPr="00A8783E">
        <w:rPr>
          <w:rFonts w:ascii="Times New Roman" w:hAnsi="Times New Roman"/>
          <w:sz w:val="24"/>
          <w:szCs w:val="24"/>
          <w:lang w:val="ru-RU"/>
        </w:rPr>
        <w:t xml:space="preserve"> </w:t>
      </w:r>
      <w:r w:rsidRPr="00A8783E">
        <w:rPr>
          <w:rFonts w:ascii="Times New Roman" w:hAnsi="Times New Roman"/>
          <w:sz w:val="24"/>
          <w:szCs w:val="24"/>
        </w:rPr>
        <w:t xml:space="preserve">(Игнатов в Червена книга на Р България, 2015).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A8783E">
        <w:rPr>
          <w:rFonts w:ascii="Times New Roman" w:hAnsi="Times New Roman"/>
          <w:sz w:val="24"/>
          <w:szCs w:val="24"/>
          <w:lang w:val="en-GB"/>
        </w:rPr>
        <w:t>IUCN</w:t>
      </w:r>
      <w:r w:rsidRPr="00A8783E">
        <w:rPr>
          <w:rFonts w:ascii="Times New Roman" w:hAnsi="Times New Roman"/>
          <w:sz w:val="24"/>
          <w:szCs w:val="24"/>
          <w:lang w:val="ru-RU"/>
        </w:rPr>
        <w:t xml:space="preserve"> </w:t>
      </w:r>
      <w:r w:rsidRPr="00A8783E">
        <w:rPr>
          <w:rFonts w:ascii="Times New Roman" w:hAnsi="Times New Roman"/>
          <w:sz w:val="24"/>
          <w:szCs w:val="24"/>
        </w:rPr>
        <w:t xml:space="preserve">за територията на континентална Европа видът е </w:t>
      </w:r>
      <w:r w:rsidRPr="00A8783E">
        <w:rPr>
          <w:rFonts w:ascii="Times New Roman" w:hAnsi="Times New Roman"/>
          <w:sz w:val="24"/>
          <w:szCs w:val="24"/>
        </w:rPr>
        <w:lastRenderedPageBreak/>
        <w:t>„почти застрашен“ -</w:t>
      </w:r>
      <w:r w:rsidRPr="00A8783E">
        <w:rPr>
          <w:rFonts w:ascii="Times New Roman" w:hAnsi="Times New Roman"/>
          <w:sz w:val="24"/>
          <w:szCs w:val="24"/>
          <w:lang w:val="ru-RU"/>
        </w:rPr>
        <w:t xml:space="preserve"> </w:t>
      </w:r>
      <w:r w:rsidRPr="00A8783E">
        <w:rPr>
          <w:rFonts w:ascii="Times New Roman" w:hAnsi="Times New Roman"/>
          <w:sz w:val="24"/>
          <w:szCs w:val="24"/>
          <w:lang w:val="en-GB"/>
        </w:rPr>
        <w:t>NT</w:t>
      </w:r>
      <w:r w:rsidRPr="00A8783E">
        <w:rPr>
          <w:rFonts w:ascii="Times New Roman" w:hAnsi="Times New Roman"/>
          <w:sz w:val="24"/>
          <w:szCs w:val="24"/>
          <w:lang w:val="ru-RU"/>
        </w:rPr>
        <w:t xml:space="preserve"> (</w:t>
      </w:r>
      <w:r w:rsidRPr="00A8783E">
        <w:rPr>
          <w:rFonts w:ascii="Times New Roman" w:hAnsi="Times New Roman"/>
          <w:sz w:val="24"/>
          <w:szCs w:val="24"/>
          <w:lang w:val="en-GB"/>
        </w:rPr>
        <w:t>Near</w:t>
      </w:r>
      <w:r w:rsidRPr="00A8783E">
        <w:rPr>
          <w:rFonts w:ascii="Times New Roman" w:hAnsi="Times New Roman"/>
          <w:sz w:val="24"/>
          <w:szCs w:val="24"/>
          <w:lang w:val="ru-RU"/>
        </w:rPr>
        <w:t xml:space="preserve"> </w:t>
      </w:r>
      <w:r w:rsidRPr="00A8783E">
        <w:rPr>
          <w:rFonts w:ascii="Times New Roman" w:hAnsi="Times New Roman"/>
          <w:sz w:val="24"/>
          <w:szCs w:val="24"/>
          <w:lang w:val="en-GB"/>
        </w:rPr>
        <w:t>Threatened</w:t>
      </w:r>
      <w:r w:rsidRPr="00A8783E">
        <w:rPr>
          <w:rFonts w:ascii="Times New Roman" w:hAnsi="Times New Roman"/>
          <w:sz w:val="24"/>
          <w:szCs w:val="24"/>
          <w:lang w:val="ru-RU"/>
        </w:rPr>
        <w:t xml:space="preserve">), а в </w:t>
      </w:r>
      <w:r w:rsidRPr="00A8783E">
        <w:rPr>
          <w:rFonts w:ascii="Times New Roman" w:hAnsi="Times New Roman"/>
          <w:sz w:val="24"/>
          <w:szCs w:val="24"/>
        </w:rPr>
        <w:t xml:space="preserve">света е „слабо засегнат“ </w:t>
      </w:r>
      <w:r w:rsidRPr="00A8783E">
        <w:rPr>
          <w:rFonts w:ascii="Times New Roman" w:hAnsi="Times New Roman"/>
          <w:sz w:val="24"/>
          <w:szCs w:val="24"/>
          <w:lang w:val="ru-RU"/>
        </w:rPr>
        <w:t xml:space="preserve">– </w:t>
      </w:r>
      <w:r w:rsidRPr="00A8783E">
        <w:rPr>
          <w:rFonts w:ascii="Times New Roman" w:hAnsi="Times New Roman"/>
          <w:sz w:val="24"/>
          <w:szCs w:val="24"/>
          <w:lang w:val="en-US"/>
        </w:rPr>
        <w:t>LC</w:t>
      </w:r>
      <w:r w:rsidRPr="00A8783E">
        <w:rPr>
          <w:rFonts w:ascii="Times New Roman" w:hAnsi="Times New Roman"/>
          <w:sz w:val="24"/>
          <w:szCs w:val="24"/>
          <w:lang w:val="ru-RU"/>
        </w:rPr>
        <w:t xml:space="preserve"> (</w:t>
      </w:r>
      <w:r w:rsidRPr="00A8783E">
        <w:rPr>
          <w:rFonts w:ascii="Times New Roman" w:hAnsi="Times New Roman"/>
          <w:sz w:val="24"/>
          <w:szCs w:val="24"/>
          <w:lang w:val="en-GB"/>
        </w:rPr>
        <w:t>Least</w:t>
      </w:r>
      <w:r w:rsidRPr="00A8783E">
        <w:rPr>
          <w:rFonts w:ascii="Times New Roman" w:hAnsi="Times New Roman"/>
          <w:sz w:val="24"/>
          <w:szCs w:val="24"/>
          <w:lang w:val="ru-RU"/>
        </w:rPr>
        <w:t xml:space="preserve"> </w:t>
      </w:r>
      <w:r w:rsidRPr="00A8783E">
        <w:rPr>
          <w:rFonts w:ascii="Times New Roman" w:hAnsi="Times New Roman"/>
          <w:sz w:val="24"/>
          <w:szCs w:val="24"/>
          <w:lang w:val="en-GB"/>
        </w:rPr>
        <w:t>Concern</w:t>
      </w:r>
      <w:r w:rsidRPr="00A8783E">
        <w:rPr>
          <w:rFonts w:ascii="Times New Roman" w:hAnsi="Times New Roman"/>
          <w:sz w:val="24"/>
          <w:szCs w:val="24"/>
          <w:lang w:val="ru-RU"/>
        </w:rPr>
        <w:t>)</w:t>
      </w:r>
      <w:r w:rsidRPr="00A8783E">
        <w:rPr>
          <w:rFonts w:ascii="Times New Roman" w:hAnsi="Times New Roman"/>
          <w:sz w:val="24"/>
          <w:szCs w:val="24"/>
        </w:rPr>
        <w:t xml:space="preserve"> Включен в </w:t>
      </w:r>
      <w:r w:rsidRPr="00A8783E">
        <w:rPr>
          <w:rFonts w:ascii="Times New Roman" w:hAnsi="Times New Roman"/>
          <w:sz w:val="24"/>
          <w:szCs w:val="24"/>
          <w:lang w:val="en-GB"/>
        </w:rPr>
        <w:t>SPEC</w:t>
      </w:r>
      <w:r w:rsidRPr="00A8783E">
        <w:rPr>
          <w:rFonts w:ascii="Times New Roman" w:hAnsi="Times New Roman"/>
          <w:sz w:val="24"/>
          <w:szCs w:val="24"/>
        </w:rPr>
        <w:t xml:space="preserve"> </w:t>
      </w:r>
      <w:r w:rsidRPr="00A8783E">
        <w:rPr>
          <w:rFonts w:ascii="Times New Roman" w:hAnsi="Times New Roman"/>
          <w:sz w:val="24"/>
          <w:szCs w:val="24"/>
          <w:lang w:val="ru-RU"/>
        </w:rPr>
        <w:t xml:space="preserve">2 </w:t>
      </w:r>
      <w:r w:rsidRPr="00A8783E">
        <w:rPr>
          <w:rFonts w:ascii="Times New Roman" w:hAnsi="Times New Roman"/>
          <w:sz w:val="24"/>
          <w:szCs w:val="24"/>
        </w:rPr>
        <w:t xml:space="preserve">Намаляващ. Включен в Червената книга на Р България със статус „критично застрашен“ </w:t>
      </w:r>
      <w:r w:rsidRPr="00A8783E">
        <w:rPr>
          <w:rFonts w:ascii="Times New Roman" w:hAnsi="Times New Roman"/>
          <w:sz w:val="24"/>
          <w:szCs w:val="24"/>
          <w:lang w:val="en-US"/>
        </w:rPr>
        <w:t>CR</w:t>
      </w:r>
      <w:r w:rsidRPr="00A8783E">
        <w:rPr>
          <w:rFonts w:ascii="Times New Roman" w:hAnsi="Times New Roman"/>
          <w:sz w:val="24"/>
          <w:szCs w:val="24"/>
          <w:lang w:val="ru-RU"/>
        </w:rPr>
        <w:t xml:space="preserve"> (</w:t>
      </w:r>
      <w:r w:rsidRPr="00A8783E">
        <w:rPr>
          <w:rFonts w:ascii="Times New Roman" w:hAnsi="Times New Roman"/>
          <w:sz w:val="24"/>
          <w:szCs w:val="24"/>
          <w:lang w:val="en-US"/>
        </w:rPr>
        <w:t>Critically</w:t>
      </w:r>
      <w:r w:rsidRPr="00A8783E">
        <w:rPr>
          <w:rFonts w:ascii="Times New Roman" w:hAnsi="Times New Roman"/>
          <w:sz w:val="24"/>
          <w:szCs w:val="24"/>
          <w:lang w:val="ru-RU"/>
        </w:rPr>
        <w:t xml:space="preserve"> </w:t>
      </w:r>
      <w:r w:rsidRPr="00A8783E">
        <w:rPr>
          <w:rFonts w:ascii="Times New Roman" w:hAnsi="Times New Roman"/>
          <w:sz w:val="24"/>
          <w:szCs w:val="24"/>
          <w:lang w:val="en-US"/>
        </w:rPr>
        <w:t>Endangered</w:t>
      </w:r>
      <w:r w:rsidRPr="00A8783E">
        <w:rPr>
          <w:rFonts w:ascii="Times New Roman" w:hAnsi="Times New Roman"/>
          <w:sz w:val="24"/>
          <w:szCs w:val="24"/>
          <w:lang w:val="ru-RU"/>
        </w:rPr>
        <w:t>)</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Съгласно Докладването от 2019 г. (за периода 200</w:t>
      </w:r>
      <w:r w:rsidRPr="00A8783E">
        <w:rPr>
          <w:rFonts w:ascii="Times New Roman" w:hAnsi="Times New Roman"/>
          <w:sz w:val="24"/>
          <w:szCs w:val="24"/>
          <w:lang w:val="ru-RU"/>
        </w:rPr>
        <w:t>1</w:t>
      </w:r>
      <w:r w:rsidRPr="00A8783E">
        <w:rPr>
          <w:rFonts w:ascii="Times New Roman" w:hAnsi="Times New Roman"/>
          <w:sz w:val="24"/>
          <w:szCs w:val="24"/>
        </w:rPr>
        <w:t xml:space="preserve"> – 2018 г.) националната </w:t>
      </w:r>
      <w:r w:rsidRPr="00A8783E">
        <w:rPr>
          <w:rFonts w:ascii="Times New Roman" w:hAnsi="Times New Roman"/>
          <w:b/>
          <w:bCs/>
          <w:sz w:val="24"/>
          <w:szCs w:val="24"/>
        </w:rPr>
        <w:t>мигрираща</w:t>
      </w:r>
      <w:r w:rsidRPr="00A8783E">
        <w:rPr>
          <w:rFonts w:ascii="Times New Roman" w:hAnsi="Times New Roman"/>
          <w:sz w:val="24"/>
          <w:szCs w:val="24"/>
        </w:rPr>
        <w:t xml:space="preserve"> популация на вида се оценя на 0 – 15 индивиди. Не са посочени краткосрочна и дългосрочна тенденция в развитието на популацията. Посочени са следните заплахи: </w:t>
      </w:r>
      <w:r w:rsidRPr="00A8783E">
        <w:rPr>
          <w:rFonts w:ascii="Times New Roman" w:hAnsi="Times New Roman"/>
          <w:sz w:val="24"/>
          <w:szCs w:val="24"/>
          <w:lang w:val="en-US"/>
        </w:rPr>
        <w:t>A</w:t>
      </w:r>
      <w:r w:rsidRPr="00A8783E">
        <w:rPr>
          <w:rFonts w:ascii="Times New Roman" w:hAnsi="Times New Roman"/>
          <w:sz w:val="24"/>
          <w:szCs w:val="24"/>
          <w:lang w:val="ru-RU"/>
        </w:rPr>
        <w:t xml:space="preserve">02, </w:t>
      </w:r>
      <w:r w:rsidRPr="00A8783E">
        <w:rPr>
          <w:rFonts w:ascii="Times New Roman" w:hAnsi="Times New Roman"/>
          <w:sz w:val="24"/>
          <w:szCs w:val="24"/>
          <w:lang w:val="en-US"/>
        </w:rPr>
        <w:t>A</w:t>
      </w:r>
      <w:r w:rsidRPr="00A8783E">
        <w:rPr>
          <w:rFonts w:ascii="Times New Roman" w:hAnsi="Times New Roman"/>
          <w:sz w:val="24"/>
          <w:szCs w:val="24"/>
          <w:lang w:val="ru-RU"/>
        </w:rPr>
        <w:t xml:space="preserve">07, </w:t>
      </w:r>
      <w:r w:rsidRPr="00A8783E">
        <w:rPr>
          <w:rFonts w:ascii="Times New Roman" w:hAnsi="Times New Roman"/>
          <w:sz w:val="24"/>
          <w:szCs w:val="24"/>
          <w:lang w:val="en-US"/>
        </w:rPr>
        <w:t>A</w:t>
      </w:r>
      <w:r w:rsidRPr="00A8783E">
        <w:rPr>
          <w:rFonts w:ascii="Times New Roman" w:hAnsi="Times New Roman"/>
          <w:sz w:val="24"/>
          <w:szCs w:val="24"/>
          <w:lang w:val="ru-RU"/>
        </w:rPr>
        <w:t xml:space="preserve">08, </w:t>
      </w:r>
      <w:r w:rsidRPr="00A8783E">
        <w:rPr>
          <w:rFonts w:ascii="Times New Roman" w:hAnsi="Times New Roman"/>
          <w:sz w:val="24"/>
          <w:szCs w:val="24"/>
          <w:lang w:val="en-US"/>
        </w:rPr>
        <w:t>A</w:t>
      </w:r>
      <w:r w:rsidRPr="00A8783E">
        <w:rPr>
          <w:rFonts w:ascii="Times New Roman" w:hAnsi="Times New Roman"/>
          <w:sz w:val="24"/>
          <w:szCs w:val="24"/>
          <w:lang w:val="ru-RU"/>
        </w:rPr>
        <w:t xml:space="preserve">09, </w:t>
      </w:r>
      <w:r w:rsidRPr="00A8783E">
        <w:rPr>
          <w:rFonts w:ascii="Times New Roman" w:hAnsi="Times New Roman"/>
          <w:sz w:val="24"/>
          <w:szCs w:val="24"/>
          <w:lang w:val="en-US"/>
        </w:rPr>
        <w:t>F</w:t>
      </w:r>
      <w:r w:rsidRPr="00A8783E">
        <w:rPr>
          <w:rFonts w:ascii="Times New Roman" w:hAnsi="Times New Roman"/>
          <w:sz w:val="24"/>
          <w:szCs w:val="24"/>
          <w:lang w:val="ru-RU"/>
        </w:rPr>
        <w:t xml:space="preserve">03, </w:t>
      </w:r>
      <w:r w:rsidRPr="00A8783E">
        <w:rPr>
          <w:rFonts w:ascii="Times New Roman" w:hAnsi="Times New Roman"/>
          <w:sz w:val="24"/>
          <w:szCs w:val="24"/>
          <w:lang w:val="en-US"/>
        </w:rPr>
        <w:t>D</w:t>
      </w:r>
      <w:r w:rsidRPr="00A8783E">
        <w:rPr>
          <w:rFonts w:ascii="Times New Roman" w:hAnsi="Times New Roman"/>
          <w:sz w:val="24"/>
          <w:szCs w:val="24"/>
          <w:lang w:val="ru-RU"/>
        </w:rPr>
        <w:t>06</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Зимуващата</w:t>
      </w:r>
      <w:r w:rsidRPr="00A8783E">
        <w:rPr>
          <w:rFonts w:ascii="Times New Roman" w:hAnsi="Times New Roman"/>
          <w:sz w:val="24"/>
          <w:szCs w:val="24"/>
        </w:rPr>
        <w:t xml:space="preserve"> популация е оценена на 0–1 индивида. Краткосрочната тенденция на популацията (за периода 2007 – 2018 г.) е неизвестна, а дългосрочната (за периода 1980 – 2018 г.) също е неизвестна. </w:t>
      </w:r>
    </w:p>
    <w:p w:rsidR="00A8783E" w:rsidRPr="00A8783E" w:rsidRDefault="00A8783E" w:rsidP="00A8783E">
      <w:pPr>
        <w:spacing w:before="120" w:after="120" w:line="240" w:lineRule="auto"/>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СФ на зоната вида е само мигриращ. </w:t>
      </w:r>
      <w:r w:rsidRPr="00A8783E">
        <w:rPr>
          <w:rFonts w:ascii="Times New Roman" w:hAnsi="Times New Roman"/>
          <w:b/>
          <w:bCs/>
          <w:sz w:val="24"/>
          <w:szCs w:val="24"/>
        </w:rPr>
        <w:t>Мигриращата</w:t>
      </w:r>
      <w:r w:rsidRPr="00A8783E">
        <w:rPr>
          <w:rFonts w:ascii="Times New Roman" w:hAnsi="Times New Roman"/>
          <w:sz w:val="24"/>
          <w:szCs w:val="24"/>
        </w:rPr>
        <w:t xml:space="preserve"> популация се оценява на </w:t>
      </w:r>
      <w:r w:rsidRPr="00A8783E">
        <w:rPr>
          <w:rFonts w:ascii="Times New Roman" w:hAnsi="Times New Roman"/>
          <w:b/>
          <w:bCs/>
          <w:sz w:val="24"/>
          <w:szCs w:val="24"/>
        </w:rPr>
        <w:t>1 индивид</w:t>
      </w:r>
      <w:r w:rsidRPr="00A8783E">
        <w:rPr>
          <w:rFonts w:ascii="Times New Roman" w:hAnsi="Times New Roman"/>
          <w:sz w:val="24"/>
          <w:szCs w:val="24"/>
        </w:rPr>
        <w:t>, което представлява</w:t>
      </w:r>
      <w:r w:rsidRPr="00A8783E">
        <w:rPr>
          <w:rFonts w:ascii="Times New Roman" w:hAnsi="Times New Roman"/>
          <w:b/>
          <w:bCs/>
          <w:sz w:val="24"/>
          <w:szCs w:val="24"/>
        </w:rPr>
        <w:t xml:space="preserve"> </w:t>
      </w:r>
      <w:r w:rsidRPr="00A8783E">
        <w:rPr>
          <w:rFonts w:ascii="Times New Roman" w:hAnsi="Times New Roman"/>
          <w:sz w:val="24"/>
          <w:szCs w:val="24"/>
        </w:rPr>
        <w:t>0–6,6 % от</w:t>
      </w:r>
      <w:r w:rsidRPr="00A8783E">
        <w:rPr>
          <w:rFonts w:ascii="Times New Roman" w:hAnsi="Times New Roman"/>
          <w:b/>
          <w:bCs/>
          <w:sz w:val="24"/>
          <w:szCs w:val="24"/>
        </w:rPr>
        <w:t xml:space="preserve"> </w:t>
      </w:r>
      <w:r w:rsidRPr="00A8783E">
        <w:rPr>
          <w:rFonts w:ascii="Times New Roman" w:hAnsi="Times New Roman"/>
          <w:sz w:val="24"/>
          <w:szCs w:val="24"/>
        </w:rPr>
        <w:t>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 xml:space="preserve">По поречието на р. Дунав червената каня е доста рядък вид. Установена е само два пъти за периода 2006-2013 г. в блатото Кайкуша </w:t>
      </w:r>
      <w:r w:rsidRPr="00A8783E">
        <w:rPr>
          <w:rFonts w:ascii="Times New Roman" w:hAnsi="Times New Roman"/>
          <w:sz w:val="24"/>
          <w:szCs w:val="24"/>
          <w:lang w:val="ru-RU"/>
        </w:rPr>
        <w:t>(</w:t>
      </w:r>
      <w:r w:rsidRPr="00A8783E">
        <w:rPr>
          <w:rFonts w:ascii="Times New Roman" w:hAnsi="Times New Roman"/>
          <w:sz w:val="24"/>
          <w:szCs w:val="24"/>
        </w:rPr>
        <w:t>20.09.2009 г.</w:t>
      </w:r>
      <w:r w:rsidRPr="00A8783E">
        <w:rPr>
          <w:rFonts w:ascii="Times New Roman" w:hAnsi="Times New Roman"/>
          <w:sz w:val="24"/>
          <w:szCs w:val="24"/>
          <w:lang w:val="ru-RU"/>
        </w:rPr>
        <w:t>)</w:t>
      </w:r>
      <w:r w:rsidRPr="00A8783E">
        <w:rPr>
          <w:rFonts w:ascii="Times New Roman" w:hAnsi="Times New Roman"/>
          <w:sz w:val="24"/>
          <w:szCs w:val="24"/>
        </w:rPr>
        <w:t xml:space="preserve"> и при с. Вабел, Никополско  </w:t>
      </w:r>
      <w:r w:rsidRPr="00A8783E">
        <w:rPr>
          <w:rFonts w:ascii="Times New Roman" w:hAnsi="Times New Roman"/>
          <w:sz w:val="24"/>
          <w:szCs w:val="24"/>
          <w:lang w:val="ru-RU"/>
        </w:rPr>
        <w:t>(</w:t>
      </w:r>
      <w:r w:rsidRPr="00A8783E">
        <w:rPr>
          <w:rFonts w:ascii="Times New Roman" w:hAnsi="Times New Roman"/>
          <w:sz w:val="24"/>
          <w:szCs w:val="24"/>
        </w:rPr>
        <w:t>26.04.2010 г.</w:t>
      </w:r>
      <w:r w:rsidRPr="00A8783E">
        <w:rPr>
          <w:rFonts w:ascii="Times New Roman" w:hAnsi="Times New Roman"/>
          <w:sz w:val="24"/>
          <w:szCs w:val="24"/>
          <w:lang w:val="ru-RU"/>
        </w:rPr>
        <w:t>)</w:t>
      </w:r>
      <w:r w:rsidRPr="00A8783E">
        <w:rPr>
          <w:rFonts w:ascii="Times New Roman" w:hAnsi="Times New Roman"/>
          <w:sz w:val="24"/>
          <w:szCs w:val="24"/>
        </w:rPr>
        <w:t xml:space="preserve"> </w:t>
      </w:r>
      <w:r w:rsidRPr="00A8783E">
        <w:rPr>
          <w:rFonts w:ascii="Times New Roman" w:hAnsi="Times New Roman"/>
          <w:sz w:val="24"/>
          <w:szCs w:val="24"/>
          <w:lang w:val="ru-RU"/>
        </w:rPr>
        <w:t>(</w:t>
      </w:r>
      <w:r w:rsidRPr="00A8783E">
        <w:rPr>
          <w:rFonts w:ascii="Times New Roman" w:hAnsi="Times New Roman"/>
          <w:sz w:val="24"/>
          <w:szCs w:val="24"/>
          <w:lang w:val="en-US"/>
        </w:rPr>
        <w:t>Cheshmedzhiev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xml:space="preserve">., </w:t>
      </w:r>
      <w:r w:rsidRPr="00A8783E">
        <w:rPr>
          <w:rFonts w:ascii="Times New Roman" w:hAnsi="Times New Roman"/>
          <w:sz w:val="24"/>
          <w:szCs w:val="24"/>
          <w:lang w:val="en-US"/>
        </w:rPr>
        <w:t>in</w:t>
      </w:r>
      <w:r w:rsidRPr="00A8783E">
        <w:rPr>
          <w:rFonts w:ascii="Times New Roman" w:hAnsi="Times New Roman"/>
          <w:sz w:val="24"/>
          <w:szCs w:val="24"/>
          <w:lang w:val="ru-RU"/>
        </w:rPr>
        <w:t xml:space="preserve"> </w:t>
      </w:r>
      <w:r w:rsidRPr="00A8783E">
        <w:rPr>
          <w:rFonts w:ascii="Times New Roman" w:hAnsi="Times New Roman"/>
          <w:sz w:val="24"/>
          <w:szCs w:val="24"/>
          <w:lang w:val="en-US"/>
        </w:rPr>
        <w:t>Shurulinkov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2019)</w:t>
      </w:r>
      <w:r w:rsidRPr="00A8783E">
        <w:rPr>
          <w:rFonts w:ascii="Times New Roman" w:hAnsi="Times New Roman"/>
          <w:sz w:val="24"/>
          <w:szCs w:val="24"/>
        </w:rPr>
        <w:t xml:space="preserve">. Според Костадинова и Граматиков (2007), видът присъства в зоната по време на миграция, но не е посочена численост. Червената каня е рядък мигриращ вид през територията на България, като прелитат до 30 индивида, основно по Западночерноморския прелетен път </w:t>
      </w:r>
      <w:r w:rsidRPr="00A8783E">
        <w:rPr>
          <w:rFonts w:ascii="Times New Roman" w:hAnsi="Times New Roman"/>
          <w:i/>
          <w:iCs/>
          <w:sz w:val="24"/>
          <w:szCs w:val="24"/>
        </w:rPr>
        <w:t>Via Pontica</w:t>
      </w:r>
      <w:r w:rsidRPr="00A8783E">
        <w:rPr>
          <w:rFonts w:ascii="Times New Roman" w:hAnsi="Times New Roman"/>
          <w:sz w:val="24"/>
          <w:szCs w:val="24"/>
        </w:rPr>
        <w:t>. По време на пролетна миграция през България са установени да прелитат единични птици, основно по Черноморското крайбрежие, най-общо от линията Суходол – Провадия – Силистра на изток до Бургаския залив в Южна България и Преселенци в Добруджа. Единично наблюдение има и в Централната Дунавска равнина в района на Никополско плато (Въбел). По време на есенна миграция прелитащи червени кани са наблюдавани и в Дунавската ранина – в Свищовско-Беленската низина и при Галиче</w:t>
      </w:r>
      <w:r w:rsidRPr="00A8783E">
        <w:rPr>
          <w:sz w:val="24"/>
          <w:szCs w:val="24"/>
          <w:lang w:val="ru-RU"/>
        </w:rPr>
        <w:t xml:space="preserve"> </w:t>
      </w:r>
      <w:r w:rsidRPr="00A8783E">
        <w:rPr>
          <w:rFonts w:ascii="Times New Roman" w:hAnsi="Times New Roman"/>
          <w:sz w:val="24"/>
          <w:szCs w:val="24"/>
        </w:rPr>
        <w:t>(Костадинова и Граматиков, 2007).</w:t>
      </w:r>
      <w:r w:rsidRPr="00A8783E">
        <w:rPr>
          <w:rFonts w:ascii="Times New Roman" w:hAnsi="Times New Roman"/>
          <w:sz w:val="24"/>
          <w:szCs w:val="24"/>
          <w:lang w:val="ru-RU"/>
        </w:rPr>
        <w:t xml:space="preserve"> </w:t>
      </w:r>
      <w:r w:rsidRPr="00A8783E">
        <w:rPr>
          <w:rFonts w:ascii="Times New Roman" w:hAnsi="Times New Roman"/>
          <w:sz w:val="24"/>
          <w:szCs w:val="24"/>
        </w:rPr>
        <w:t xml:space="preserve">Липсват други публикувани данни за концентрацията на вида в зоната по време на миграция, поради което се налага поставянето на междинна цел до 2025, да се проведе мониторинг, който да изясни тази численост. Данните от </w:t>
      </w:r>
      <w:r w:rsidRPr="00A8783E">
        <w:rPr>
          <w:rFonts w:ascii="Times New Roman" w:hAnsi="Times New Roman"/>
          <w:sz w:val="24"/>
          <w:szCs w:val="24"/>
          <w:lang w:val="en-US"/>
        </w:rPr>
        <w:t>eBird</w:t>
      </w:r>
      <w:r w:rsidRPr="00A8783E">
        <w:rPr>
          <w:rFonts w:ascii="Times New Roman" w:hAnsi="Times New Roman"/>
          <w:sz w:val="24"/>
          <w:szCs w:val="24"/>
        </w:rPr>
        <w:t xml:space="preserve"> не дават данни за птици от вида в района на зоната и около нея. </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От заплахите за мигриращата популация на вида, посочени в Докладването по чл. 12, следните могат да имат отношение към зоната: A02-„Преминаване от един вид земеделско ползване към друг вид земеделско ползване“, А07-„Изоставяне на традиционното стопанисване/ползване на други земеделски или агро-горски системи“, D06-„Изграждане, експлоатация и поддръжка на съоръжения за пренос на електроенергия и комуникационна инфраструктура (кабели)“.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134"/>
        <w:gridCol w:w="1134"/>
        <w:gridCol w:w="2693"/>
        <w:gridCol w:w="2551"/>
      </w:tblGrid>
      <w:tr w:rsidR="00A8783E" w:rsidRPr="00A8783E" w:rsidTr="005B5318">
        <w:trPr>
          <w:tblHeader/>
          <w:jc w:val="center"/>
        </w:trPr>
        <w:tc>
          <w:tcPr>
            <w:tcW w:w="1555" w:type="dxa"/>
            <w:shd w:val="clear" w:color="auto" w:fill="DBE5F1"/>
            <w:vAlign w:val="center"/>
          </w:tcPr>
          <w:p w:rsidR="00A8783E" w:rsidRPr="00A8783E" w:rsidRDefault="00A8783E" w:rsidP="00A8783E">
            <w:pPr>
              <w:spacing w:after="160" w:line="259" w:lineRule="auto"/>
              <w:rPr>
                <w:rFonts w:ascii="Times New Roman" w:hAnsi="Times New Roman"/>
                <w:b/>
                <w:bCs/>
              </w:rPr>
            </w:pPr>
            <w:r w:rsidRPr="00A8783E">
              <w:rPr>
                <w:rFonts w:ascii="Times New Roman" w:hAnsi="Times New Roman"/>
                <w:b/>
                <w:bCs/>
              </w:rPr>
              <w:t>Параметър</w:t>
            </w:r>
          </w:p>
        </w:tc>
        <w:tc>
          <w:tcPr>
            <w:tcW w:w="1134" w:type="dxa"/>
            <w:shd w:val="clear" w:color="auto" w:fill="DBE5F1"/>
            <w:vAlign w:val="center"/>
          </w:tcPr>
          <w:p w:rsidR="00A8783E" w:rsidRPr="00A8783E" w:rsidRDefault="00A8783E" w:rsidP="00A8783E">
            <w:pPr>
              <w:spacing w:after="160" w:line="259" w:lineRule="auto"/>
              <w:rPr>
                <w:rFonts w:ascii="Times New Roman" w:hAnsi="Times New Roman"/>
                <w:b/>
                <w:bCs/>
              </w:rPr>
            </w:pPr>
            <w:r w:rsidRPr="00A8783E">
              <w:rPr>
                <w:rFonts w:ascii="Times New Roman" w:hAnsi="Times New Roman"/>
                <w:b/>
                <w:bCs/>
              </w:rPr>
              <w:t>Мерна единица</w:t>
            </w:r>
          </w:p>
        </w:tc>
        <w:tc>
          <w:tcPr>
            <w:tcW w:w="1134" w:type="dxa"/>
            <w:shd w:val="clear" w:color="auto" w:fill="DBE5F1"/>
            <w:vAlign w:val="center"/>
          </w:tcPr>
          <w:p w:rsidR="00A8783E" w:rsidRPr="00A8783E" w:rsidRDefault="00A8783E" w:rsidP="00A8783E">
            <w:pPr>
              <w:spacing w:after="160" w:line="259" w:lineRule="auto"/>
              <w:rPr>
                <w:rFonts w:ascii="Times New Roman" w:hAnsi="Times New Roman"/>
                <w:b/>
                <w:bCs/>
              </w:rPr>
            </w:pPr>
            <w:r w:rsidRPr="00A8783E">
              <w:rPr>
                <w:rFonts w:ascii="Times New Roman" w:hAnsi="Times New Roman"/>
                <w:b/>
                <w:bCs/>
              </w:rPr>
              <w:t>Целева стойност</w:t>
            </w:r>
          </w:p>
        </w:tc>
        <w:tc>
          <w:tcPr>
            <w:tcW w:w="2693" w:type="dxa"/>
            <w:shd w:val="clear" w:color="auto" w:fill="DBE5F1"/>
            <w:vAlign w:val="center"/>
          </w:tcPr>
          <w:p w:rsidR="00A8783E" w:rsidRPr="00A8783E" w:rsidRDefault="00A8783E" w:rsidP="00A8783E">
            <w:pPr>
              <w:spacing w:after="160" w:line="259" w:lineRule="auto"/>
              <w:rPr>
                <w:rFonts w:ascii="Times New Roman" w:hAnsi="Times New Roman"/>
                <w:b/>
                <w:bCs/>
              </w:rPr>
            </w:pPr>
            <w:r w:rsidRPr="00A8783E">
              <w:rPr>
                <w:rFonts w:ascii="Times New Roman" w:hAnsi="Times New Roman"/>
                <w:b/>
                <w:bCs/>
              </w:rPr>
              <w:t>Допълнителна информация</w:t>
            </w:r>
          </w:p>
        </w:tc>
        <w:tc>
          <w:tcPr>
            <w:tcW w:w="2551" w:type="dxa"/>
            <w:shd w:val="clear" w:color="auto" w:fill="DBE5F1"/>
            <w:vAlign w:val="center"/>
          </w:tcPr>
          <w:p w:rsidR="00A8783E" w:rsidRPr="00A8783E" w:rsidRDefault="00A8783E" w:rsidP="00A8783E">
            <w:pPr>
              <w:spacing w:after="160" w:line="259" w:lineRule="auto"/>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jc w:val="center"/>
        </w:trPr>
        <w:tc>
          <w:tcPr>
            <w:tcW w:w="1555" w:type="dxa"/>
          </w:tcPr>
          <w:p w:rsidR="00A8783E" w:rsidRPr="00A8783E" w:rsidRDefault="00A8783E" w:rsidP="00A8783E">
            <w:pPr>
              <w:spacing w:after="160" w:line="259" w:lineRule="auto"/>
              <w:rPr>
                <w:rFonts w:ascii="Times New Roman" w:hAnsi="Times New Roman"/>
                <w:b/>
                <w:bCs/>
              </w:rPr>
            </w:pPr>
            <w:r w:rsidRPr="00A8783E">
              <w:rPr>
                <w:rFonts w:ascii="Times New Roman" w:hAnsi="Times New Roman"/>
                <w:b/>
                <w:bCs/>
              </w:rPr>
              <w:lastRenderedPageBreak/>
              <w:t xml:space="preserve">Популация: </w:t>
            </w:r>
            <w:r w:rsidRPr="00A8783E">
              <w:rPr>
                <w:rFonts w:ascii="Times New Roman" w:hAnsi="Times New Roman"/>
              </w:rPr>
              <w:t>Размер на мигриращата популация</w:t>
            </w:r>
          </w:p>
        </w:tc>
        <w:tc>
          <w:tcPr>
            <w:tcW w:w="1134" w:type="dxa"/>
          </w:tcPr>
          <w:p w:rsidR="00A8783E" w:rsidRPr="00A8783E" w:rsidRDefault="00A8783E" w:rsidP="00A8783E">
            <w:pPr>
              <w:spacing w:after="160" w:line="259" w:lineRule="auto"/>
              <w:rPr>
                <w:rFonts w:ascii="Times New Roman" w:hAnsi="Times New Roman"/>
              </w:rPr>
            </w:pPr>
            <w:r w:rsidRPr="00A8783E">
              <w:rPr>
                <w:rFonts w:ascii="Times New Roman" w:hAnsi="Times New Roman"/>
              </w:rPr>
              <w:t>Брой индивиди</w:t>
            </w:r>
          </w:p>
        </w:tc>
        <w:tc>
          <w:tcPr>
            <w:tcW w:w="1134" w:type="dxa"/>
          </w:tcPr>
          <w:p w:rsidR="00A8783E" w:rsidRPr="00A8783E" w:rsidRDefault="00A8783E" w:rsidP="00A8783E">
            <w:pPr>
              <w:spacing w:after="160" w:line="259" w:lineRule="auto"/>
              <w:rPr>
                <w:rFonts w:ascii="Times New Roman" w:hAnsi="Times New Roman"/>
              </w:rPr>
            </w:pPr>
            <w:r w:rsidRPr="00A8783E">
              <w:rPr>
                <w:rFonts w:ascii="Times New Roman" w:hAnsi="Times New Roman"/>
              </w:rPr>
              <w:t>0-1 инд.</w:t>
            </w:r>
          </w:p>
        </w:tc>
        <w:tc>
          <w:tcPr>
            <w:tcW w:w="2693" w:type="dxa"/>
          </w:tcPr>
          <w:p w:rsidR="00A8783E" w:rsidRPr="00A8783E" w:rsidRDefault="00A8783E" w:rsidP="00A8783E">
            <w:pPr>
              <w:spacing w:after="160" w:line="259" w:lineRule="auto"/>
              <w:rPr>
                <w:rFonts w:ascii="Times New Roman" w:hAnsi="Times New Roman"/>
              </w:rPr>
            </w:pPr>
            <w:r w:rsidRPr="00A8783E">
              <w:rPr>
                <w:rFonts w:ascii="Times New Roman" w:hAnsi="Times New Roman"/>
              </w:rPr>
              <w:t>Определена на базата на СФ и това, че вида е установен само два пъти по поречието на Дунав за периода 2006-2013 г. Вида не е наблюдаван в зоната по време на миграция.</w:t>
            </w:r>
          </w:p>
        </w:tc>
        <w:tc>
          <w:tcPr>
            <w:tcW w:w="2551" w:type="dxa"/>
          </w:tcPr>
          <w:p w:rsidR="00A8783E" w:rsidRPr="00A8783E" w:rsidRDefault="00A8783E" w:rsidP="00A8783E">
            <w:pPr>
              <w:spacing w:after="160" w:line="259" w:lineRule="auto"/>
              <w:rPr>
                <w:rFonts w:ascii="Times New Roman" w:hAnsi="Times New Roman"/>
              </w:rPr>
            </w:pPr>
            <w:r w:rsidRPr="00A8783E">
              <w:rPr>
                <w:rFonts w:ascii="Times New Roman" w:hAnsi="Times New Roman"/>
              </w:rPr>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jc w:val="center"/>
        </w:trPr>
        <w:tc>
          <w:tcPr>
            <w:tcW w:w="1555" w:type="dxa"/>
          </w:tcPr>
          <w:p w:rsidR="00A8783E" w:rsidRPr="00A8783E" w:rsidRDefault="00A8783E" w:rsidP="00A8783E">
            <w:pPr>
              <w:spacing w:after="160" w:line="259" w:lineRule="auto"/>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хранителни местообитания на вида</w:t>
            </w:r>
            <w:r w:rsidRPr="00A8783E">
              <w:rPr>
                <w:rFonts w:ascii="Times New Roman" w:hAnsi="Times New Roman"/>
                <w:b/>
                <w:bCs/>
              </w:rPr>
              <w:t xml:space="preserve"> </w:t>
            </w:r>
          </w:p>
        </w:tc>
        <w:tc>
          <w:tcPr>
            <w:tcW w:w="1134" w:type="dxa"/>
          </w:tcPr>
          <w:p w:rsidR="00A8783E" w:rsidRPr="00A8783E" w:rsidRDefault="00A8783E" w:rsidP="00A8783E">
            <w:pPr>
              <w:spacing w:after="160" w:line="259" w:lineRule="auto"/>
              <w:rPr>
                <w:rFonts w:ascii="Times New Roman" w:hAnsi="Times New Roman"/>
                <w:lang w:val="en-US"/>
              </w:rPr>
            </w:pPr>
            <w:r w:rsidRPr="00A8783E">
              <w:rPr>
                <w:rFonts w:ascii="Times New Roman" w:hAnsi="Times New Roman"/>
                <w:lang w:val="en-US"/>
              </w:rPr>
              <w:t>ha</w:t>
            </w:r>
          </w:p>
        </w:tc>
        <w:tc>
          <w:tcPr>
            <w:tcW w:w="1134" w:type="dxa"/>
          </w:tcPr>
          <w:p w:rsidR="00A8783E" w:rsidRPr="00A8783E" w:rsidRDefault="00A8783E" w:rsidP="00A8783E">
            <w:pPr>
              <w:spacing w:after="160" w:line="259" w:lineRule="auto"/>
              <w:rPr>
                <w:rFonts w:ascii="Times New Roman" w:hAnsi="Times New Roman"/>
              </w:rPr>
            </w:pPr>
            <w:r w:rsidRPr="00A8783E">
              <w:rPr>
                <w:rFonts w:ascii="Times New Roman" w:hAnsi="Times New Roman"/>
              </w:rPr>
              <w:t>най-малко 318</w:t>
            </w:r>
          </w:p>
        </w:tc>
        <w:tc>
          <w:tcPr>
            <w:tcW w:w="2693" w:type="dxa"/>
          </w:tcPr>
          <w:p w:rsidR="00A8783E" w:rsidRPr="00A8783E" w:rsidRDefault="00A8783E" w:rsidP="00A8783E">
            <w:pPr>
              <w:spacing w:after="160" w:line="259" w:lineRule="auto"/>
              <w:rPr>
                <w:rFonts w:ascii="Times New Roman" w:hAnsi="Times New Roman"/>
              </w:rPr>
            </w:pPr>
            <w:r w:rsidRPr="00A8783E">
              <w:rPr>
                <w:rFonts w:ascii="Times New Roman" w:hAnsi="Times New Roman"/>
              </w:rPr>
              <w:t xml:space="preserve">Определена на база на % участие на откритите местообитания в зоната: </w:t>
            </w:r>
            <w:r w:rsidRPr="00A8783E">
              <w:rPr>
                <w:rFonts w:ascii="Times New Roman" w:hAnsi="Times New Roman"/>
                <w:lang w:val="en-US"/>
              </w:rPr>
              <w:t>N</w:t>
            </w:r>
            <w:r w:rsidRPr="00A8783E">
              <w:rPr>
                <w:rFonts w:ascii="Times New Roman" w:hAnsi="Times New Roman"/>
                <w:lang w:val="ru-RU"/>
              </w:rPr>
              <w:t>08-</w:t>
            </w:r>
            <w:r w:rsidRPr="00A8783E">
              <w:rPr>
                <w:lang w:val="ru-RU"/>
              </w:rPr>
              <w:t xml:space="preserve"> </w:t>
            </w:r>
            <w:r w:rsidRPr="00A8783E">
              <w:rPr>
                <w:rFonts w:ascii="Times New Roman" w:hAnsi="Times New Roman"/>
                <w:lang w:val="ru-RU"/>
              </w:rPr>
              <w:t xml:space="preserve">Равнини, шубраци (130 </w:t>
            </w:r>
            <w:r w:rsidRPr="00A8783E">
              <w:rPr>
                <w:rFonts w:ascii="Times New Roman" w:hAnsi="Times New Roman"/>
                <w:lang w:val="en-US"/>
              </w:rPr>
              <w:t>ha</w:t>
            </w:r>
            <w:r w:rsidRPr="00A8783E">
              <w:rPr>
                <w:rFonts w:ascii="Times New Roman" w:hAnsi="Times New Roman"/>
                <w:lang w:val="ru-RU"/>
              </w:rPr>
              <w:t xml:space="preserve">), </w:t>
            </w:r>
            <w:r w:rsidRPr="00A8783E">
              <w:rPr>
                <w:rFonts w:ascii="Times New Roman" w:hAnsi="Times New Roman"/>
                <w:lang w:val="en-US"/>
              </w:rPr>
              <w:t>N</w:t>
            </w:r>
            <w:r w:rsidRPr="00A8783E">
              <w:rPr>
                <w:rFonts w:ascii="Times New Roman" w:hAnsi="Times New Roman"/>
                <w:lang w:val="ru-RU"/>
              </w:rPr>
              <w:t>09-</w:t>
            </w:r>
            <w:r w:rsidRPr="00A8783E">
              <w:rPr>
                <w:rFonts w:ascii="Times New Roman" w:hAnsi="Times New Roman"/>
              </w:rPr>
              <w:t>сухи ливади, степи</w:t>
            </w:r>
            <w:r w:rsidRPr="00A8783E">
              <w:rPr>
                <w:rFonts w:ascii="Times New Roman" w:hAnsi="Times New Roman"/>
                <w:lang w:val="ru-RU"/>
              </w:rPr>
              <w:t xml:space="preserve"> (116 </w:t>
            </w:r>
            <w:r w:rsidRPr="00A8783E">
              <w:rPr>
                <w:rFonts w:ascii="Times New Roman" w:hAnsi="Times New Roman"/>
                <w:lang w:val="en-US"/>
              </w:rPr>
              <w:t>ha</w:t>
            </w:r>
            <w:r w:rsidRPr="00A8783E">
              <w:rPr>
                <w:rFonts w:ascii="Times New Roman" w:hAnsi="Times New Roman"/>
                <w:lang w:val="ru-RU"/>
              </w:rPr>
              <w:t>)</w:t>
            </w:r>
            <w:r w:rsidRPr="00A8783E">
              <w:rPr>
                <w:rFonts w:ascii="Times New Roman" w:hAnsi="Times New Roman"/>
              </w:rPr>
              <w:t xml:space="preserve">, </w:t>
            </w:r>
            <w:r w:rsidRPr="00A8783E">
              <w:rPr>
                <w:rFonts w:ascii="Times New Roman" w:hAnsi="Times New Roman"/>
                <w:lang w:val="en-US"/>
              </w:rPr>
              <w:t>N</w:t>
            </w:r>
            <w:r w:rsidRPr="00A8783E">
              <w:rPr>
                <w:rFonts w:ascii="Times New Roman" w:hAnsi="Times New Roman"/>
                <w:lang w:val="ru-RU"/>
              </w:rPr>
              <w:t>15-</w:t>
            </w:r>
            <w:r w:rsidRPr="00A8783E">
              <w:rPr>
                <w:rFonts w:ascii="Times New Roman" w:hAnsi="Times New Roman"/>
              </w:rPr>
              <w:t>други обработваеми земи</w:t>
            </w:r>
            <w:r w:rsidRPr="00A8783E">
              <w:rPr>
                <w:rFonts w:ascii="Times New Roman" w:hAnsi="Times New Roman"/>
                <w:lang w:val="ru-RU"/>
              </w:rPr>
              <w:t xml:space="preserve"> (72 </w:t>
            </w:r>
            <w:r w:rsidRPr="00A8783E">
              <w:rPr>
                <w:rFonts w:ascii="Times New Roman" w:hAnsi="Times New Roman"/>
                <w:lang w:val="en-US"/>
              </w:rPr>
              <w:t>ha</w:t>
            </w:r>
            <w:r w:rsidRPr="00A8783E">
              <w:rPr>
                <w:rFonts w:ascii="Times New Roman" w:hAnsi="Times New Roman"/>
                <w:lang w:val="ru-RU"/>
              </w:rPr>
              <w:t>)</w:t>
            </w:r>
            <w:r w:rsidRPr="00A8783E">
              <w:rPr>
                <w:rFonts w:ascii="Times New Roman" w:hAnsi="Times New Roman"/>
              </w:rPr>
              <w:t xml:space="preserve">,   които вида използва за търсене на храна. Тяхната обща площ е </w:t>
            </w:r>
            <w:r w:rsidRPr="00A8783E">
              <w:rPr>
                <w:rFonts w:ascii="Times New Roman" w:hAnsi="Times New Roman"/>
                <w:lang w:val="en-US"/>
              </w:rPr>
              <w:t>318</w:t>
            </w:r>
            <w:r w:rsidRPr="00A8783E">
              <w:rPr>
                <w:rFonts w:ascii="Times New Roman" w:hAnsi="Times New Roman"/>
              </w:rPr>
              <w:t xml:space="preserve"> </w:t>
            </w:r>
            <w:r w:rsidRPr="00A8783E">
              <w:rPr>
                <w:rFonts w:ascii="Times New Roman" w:hAnsi="Times New Roman"/>
                <w:lang w:val="en-US"/>
              </w:rPr>
              <w:t>ha</w:t>
            </w:r>
            <w:r w:rsidRPr="00A8783E">
              <w:rPr>
                <w:rFonts w:ascii="Times New Roman" w:hAnsi="Times New Roman"/>
              </w:rPr>
              <w:t>.</w:t>
            </w:r>
          </w:p>
        </w:tc>
        <w:tc>
          <w:tcPr>
            <w:tcW w:w="2551" w:type="dxa"/>
          </w:tcPr>
          <w:p w:rsidR="00A8783E" w:rsidRPr="00A8783E" w:rsidRDefault="00A8783E" w:rsidP="00A8783E">
            <w:pPr>
              <w:spacing w:after="160" w:line="259" w:lineRule="auto"/>
              <w:rPr>
                <w:rFonts w:ascii="Times New Roman" w:hAnsi="Times New Roman"/>
              </w:rPr>
            </w:pPr>
            <w:r w:rsidRPr="00A8783E">
              <w:rPr>
                <w:rFonts w:ascii="Times New Roman" w:hAnsi="Times New Roman"/>
              </w:rPr>
              <w:t xml:space="preserve">Поддържане на площта на откритите местообитания в зоната в размер най-малко 318 ha чрез опасване, окосяване, премахване на дървесно-храстова растителност в западните части на резервата. </w:t>
            </w:r>
          </w:p>
        </w:tc>
      </w:tr>
    </w:tbl>
    <w:p w:rsidR="00A8783E" w:rsidRPr="00A8783E" w:rsidRDefault="00A8783E" w:rsidP="00A8783E">
      <w:pPr>
        <w:spacing w:after="160" w:line="259" w:lineRule="auto"/>
        <w:rPr>
          <w:rFonts w:ascii="Times New Roman" w:hAnsi="Times New Roman"/>
          <w:b/>
          <w:bCs/>
          <w:sz w:val="24"/>
          <w:szCs w:val="24"/>
        </w:rPr>
      </w:pPr>
    </w:p>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t>6. Необходимост от промени в СФ</w:t>
      </w:r>
      <w:r w:rsidRPr="00A8783E">
        <w:rPr>
          <w:rFonts w:ascii="Times New Roman" w:hAnsi="Times New Roman"/>
          <w:b/>
          <w:bCs/>
          <w:sz w:val="24"/>
          <w:szCs w:val="24"/>
        </w:rPr>
        <w:t xml:space="preserve"> на </w:t>
      </w:r>
      <w:r w:rsidRPr="00A8783E">
        <w:rPr>
          <w:rFonts w:ascii="Times New Roman" w:hAnsi="Times New Roman"/>
          <w:b/>
          <w:bCs/>
          <w:color w:val="000000"/>
          <w:sz w:val="24"/>
          <w:szCs w:val="24"/>
        </w:rPr>
        <w:t>специална защитена зона BG0000241 „Сребърна“</w:t>
      </w:r>
    </w:p>
    <w:p w:rsidR="00A8783E" w:rsidRPr="00A8783E" w:rsidRDefault="00A8783E" w:rsidP="00A8783E">
      <w:pPr>
        <w:spacing w:before="120" w:after="120" w:line="259"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По отношение на </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мигриращата популация предлагаме промяна в минималната численост на популацията от 1 инд. на 0 инд., тъй като вида е рядък мигрант за страната и по поречието на Дунав е установен само два пъти в периода 2006-2013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0" w:type="auto"/>
            <w:gridSpan w:val="5"/>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Species</w:t>
            </w:r>
          </w:p>
        </w:tc>
        <w:tc>
          <w:tcPr>
            <w:tcW w:w="0" w:type="auto"/>
            <w:gridSpan w:val="6"/>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Population in the site</w:t>
            </w:r>
          </w:p>
        </w:tc>
        <w:tc>
          <w:tcPr>
            <w:tcW w:w="0" w:type="auto"/>
            <w:gridSpan w:val="4"/>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G</w:t>
            </w:r>
          </w:p>
        </w:tc>
        <w:tc>
          <w:tcPr>
            <w:tcW w:w="0" w:type="auto"/>
            <w:vMerge w:val="restart"/>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Code</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Scientific Name</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NP</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T</w:t>
            </w:r>
          </w:p>
        </w:tc>
        <w:tc>
          <w:tcPr>
            <w:tcW w:w="0" w:type="auto"/>
            <w:gridSpan w:val="2"/>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Size</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Unit</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Cat.</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D.qual.</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A/B/C/D</w:t>
            </w:r>
          </w:p>
        </w:tc>
        <w:tc>
          <w:tcPr>
            <w:tcW w:w="0" w:type="auto"/>
            <w:gridSpan w:val="3"/>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Min</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Max</w:t>
            </w: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Pop.</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Con.</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Iso.</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Glo.</w:t>
            </w:r>
          </w:p>
        </w:tc>
      </w:tr>
      <w:tr w:rsidR="00A8783E" w:rsidRPr="00A8783E" w:rsidTr="005B5318">
        <w:trPr>
          <w:trHeight w:val="295"/>
          <w:jc w:val="center"/>
        </w:trPr>
        <w:tc>
          <w:tcPr>
            <w:tcW w:w="0" w:type="auto"/>
            <w:vAlign w:val="center"/>
          </w:tcPr>
          <w:p w:rsidR="00A8783E" w:rsidRPr="00A8783E" w:rsidRDefault="00A8783E" w:rsidP="00A8783E">
            <w:pPr>
              <w:spacing w:before="120" w:after="120" w:line="259" w:lineRule="auto"/>
              <w:rPr>
                <w:rFonts w:ascii="Times New Roman" w:hAnsi="Times New Roman"/>
                <w:color w:val="000000"/>
                <w:sz w:val="20"/>
                <w:szCs w:val="20"/>
              </w:rPr>
            </w:pPr>
            <w:r w:rsidRPr="00A8783E">
              <w:rPr>
                <w:rFonts w:ascii="Times New Roman" w:hAnsi="Times New Roman"/>
                <w:color w:val="000000"/>
                <w:sz w:val="20"/>
                <w:szCs w:val="20"/>
              </w:rPr>
              <w:t>В</w:t>
            </w:r>
          </w:p>
        </w:tc>
        <w:tc>
          <w:tcPr>
            <w:tcW w:w="0" w:type="auto"/>
            <w:vAlign w:val="center"/>
          </w:tcPr>
          <w:p w:rsidR="00A8783E" w:rsidRPr="00A8783E" w:rsidRDefault="00A8783E" w:rsidP="00A8783E">
            <w:pPr>
              <w:spacing w:before="120" w:after="120" w:line="259" w:lineRule="auto"/>
              <w:rPr>
                <w:rFonts w:ascii="Times New Roman" w:hAnsi="Times New Roman"/>
                <w:color w:val="000000"/>
                <w:sz w:val="20"/>
                <w:szCs w:val="20"/>
              </w:rPr>
            </w:pPr>
            <w:r w:rsidRPr="00A8783E">
              <w:rPr>
                <w:rFonts w:ascii="Times New Roman" w:hAnsi="Times New Roman"/>
                <w:color w:val="000000"/>
                <w:sz w:val="20"/>
                <w:szCs w:val="20"/>
                <w:lang w:val="en-US"/>
              </w:rPr>
              <w:t>A07</w:t>
            </w:r>
            <w:r w:rsidRPr="00A8783E">
              <w:rPr>
                <w:rFonts w:ascii="Times New Roman" w:hAnsi="Times New Roman"/>
                <w:color w:val="000000"/>
                <w:sz w:val="20"/>
                <w:szCs w:val="20"/>
              </w:rPr>
              <w:t>4</w:t>
            </w:r>
          </w:p>
        </w:tc>
        <w:tc>
          <w:tcPr>
            <w:tcW w:w="0" w:type="auto"/>
            <w:vAlign w:val="center"/>
          </w:tcPr>
          <w:p w:rsidR="00A8783E" w:rsidRPr="00A8783E" w:rsidRDefault="00A8783E" w:rsidP="00A8783E">
            <w:pPr>
              <w:spacing w:after="0" w:line="259" w:lineRule="auto"/>
              <w:rPr>
                <w:rFonts w:ascii="Times New Roman" w:hAnsi="Times New Roman"/>
                <w:i/>
                <w:iCs/>
                <w:color w:val="000000"/>
                <w:sz w:val="20"/>
                <w:szCs w:val="20"/>
                <w:lang w:val="en-US"/>
              </w:rPr>
            </w:pPr>
            <w:r w:rsidRPr="00A8783E">
              <w:rPr>
                <w:rFonts w:ascii="Times New Roman" w:hAnsi="Times New Roman"/>
                <w:i/>
                <w:iCs/>
                <w:color w:val="000000"/>
                <w:sz w:val="20"/>
                <w:szCs w:val="20"/>
                <w:lang w:val="en-US"/>
              </w:rPr>
              <w:t>Milvus milvus</w:t>
            </w: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rPr>
            </w:pP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rPr>
            </w:pP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c</w:t>
            </w:r>
          </w:p>
        </w:tc>
        <w:tc>
          <w:tcPr>
            <w:tcW w:w="0" w:type="auto"/>
            <w:vAlign w:val="center"/>
          </w:tcPr>
          <w:p w:rsidR="00A8783E" w:rsidRPr="00A8783E" w:rsidRDefault="00A8783E" w:rsidP="00A8783E">
            <w:pPr>
              <w:spacing w:after="0" w:line="259"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0</w:t>
            </w:r>
          </w:p>
        </w:tc>
        <w:tc>
          <w:tcPr>
            <w:tcW w:w="0" w:type="auto"/>
            <w:vAlign w:val="center"/>
          </w:tcPr>
          <w:p w:rsidR="00A8783E" w:rsidRPr="00A8783E" w:rsidRDefault="00A8783E" w:rsidP="00A8783E">
            <w:pPr>
              <w:spacing w:after="0" w:line="259" w:lineRule="auto"/>
              <w:rPr>
                <w:rFonts w:ascii="Times New Roman" w:hAnsi="Times New Roman"/>
                <w:color w:val="FF0000"/>
                <w:sz w:val="20"/>
                <w:szCs w:val="20"/>
                <w:lang w:val="en-US"/>
              </w:rPr>
            </w:pPr>
            <w:r w:rsidRPr="00A8783E">
              <w:rPr>
                <w:rFonts w:ascii="Times New Roman" w:hAnsi="Times New Roman"/>
                <w:sz w:val="20"/>
                <w:szCs w:val="20"/>
                <w:lang w:val="en-US"/>
              </w:rPr>
              <w:t>1</w:t>
            </w: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lang w:val="en-US"/>
              </w:rPr>
            </w:pP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rPr>
            </w:pP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G</w:t>
            </w: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C</w:t>
            </w: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B</w:t>
            </w: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C</w:t>
            </w:r>
          </w:p>
        </w:tc>
        <w:tc>
          <w:tcPr>
            <w:tcW w:w="0" w:type="auto"/>
            <w:vAlign w:val="center"/>
          </w:tcPr>
          <w:p w:rsidR="00A8783E" w:rsidRPr="00A8783E" w:rsidRDefault="00A8783E" w:rsidP="00A8783E">
            <w:pPr>
              <w:spacing w:after="0" w:line="259"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C</w:t>
            </w:r>
          </w:p>
        </w:tc>
      </w:tr>
    </w:tbl>
    <w:p w:rsidR="00A8783E" w:rsidRPr="00A8783E" w:rsidRDefault="00A8783E" w:rsidP="00A8783E">
      <w:pPr>
        <w:spacing w:before="120" w:after="120" w:line="259" w:lineRule="auto"/>
        <w:jc w:val="both"/>
        <w:rPr>
          <w:rFonts w:ascii="Times New Roman" w:hAnsi="Times New Roman"/>
          <w:color w:val="000000"/>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251" w:name="_Toc87487792"/>
      <w:bookmarkStart w:id="252" w:name="_Toc89106098"/>
      <w:bookmarkStart w:id="253" w:name="_Toc98741937"/>
      <w:bookmarkStart w:id="254" w:name="_Toc98838612"/>
      <w:r w:rsidRPr="00A8783E">
        <w:rPr>
          <w:rFonts w:ascii="Times New Roman" w:hAnsi="Times New Roman"/>
          <w:color w:val="1F497D"/>
          <w:sz w:val="28"/>
          <w:szCs w:val="28"/>
        </w:rPr>
        <w:t xml:space="preserve">Специфични цели за А075 </w:t>
      </w:r>
      <w:r w:rsidRPr="00A8783E">
        <w:rPr>
          <w:rFonts w:ascii="Times New Roman" w:hAnsi="Times New Roman"/>
          <w:i/>
          <w:iCs/>
          <w:color w:val="1F497D"/>
          <w:sz w:val="28"/>
          <w:szCs w:val="28"/>
          <w:lang w:val="en-GB"/>
        </w:rPr>
        <w:t>Haliaeetus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GB"/>
        </w:rPr>
        <w:t>albicilla</w:t>
      </w:r>
      <w:r w:rsidRPr="00A8783E">
        <w:rPr>
          <w:rFonts w:ascii="Times New Roman" w:hAnsi="Times New Roman"/>
          <w:color w:val="1F497D"/>
          <w:sz w:val="28"/>
          <w:szCs w:val="28"/>
        </w:rPr>
        <w:t xml:space="preserve"> (морски орел)</w:t>
      </w:r>
      <w:bookmarkEnd w:id="251"/>
      <w:bookmarkEnd w:id="252"/>
      <w:bookmarkEnd w:id="253"/>
      <w:bookmarkEnd w:id="254"/>
    </w:p>
    <w:p w:rsidR="00A8783E" w:rsidRPr="00A8783E" w:rsidRDefault="00A8783E" w:rsidP="00A8783E">
      <w:pPr>
        <w:spacing w:before="120" w:after="120" w:line="240" w:lineRule="auto"/>
        <w:rPr>
          <w:rFonts w:ascii="Times New Roman" w:hAnsi="Times New Roman"/>
          <w:b/>
          <w:bCs/>
          <w:color w:val="000000"/>
          <w:sz w:val="24"/>
          <w:szCs w:val="24"/>
        </w:rPr>
      </w:pPr>
      <w:r w:rsidRPr="00A8783E">
        <w:rPr>
          <w:rFonts w:ascii="Times New Roman" w:hAnsi="Times New Roman"/>
          <w:b/>
          <w:bCs/>
          <w:color w:val="000000"/>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Дължината на тялото: 80-85 </w:t>
      </w:r>
      <w:r w:rsidRPr="00A8783E">
        <w:rPr>
          <w:rFonts w:ascii="Times New Roman" w:hAnsi="Times New Roman"/>
          <w:color w:val="000000"/>
          <w:sz w:val="24"/>
          <w:szCs w:val="24"/>
          <w:lang w:val="en-US"/>
        </w:rPr>
        <w:t>cm</w:t>
      </w:r>
      <w:r w:rsidRPr="00A8783E">
        <w:rPr>
          <w:rFonts w:ascii="Times New Roman" w:hAnsi="Times New Roman"/>
          <w:color w:val="000000"/>
          <w:sz w:val="24"/>
          <w:szCs w:val="24"/>
        </w:rPr>
        <w:t xml:space="preserve">. и размах на крилата – 215-225 </w:t>
      </w:r>
      <w:r w:rsidRPr="00A8783E">
        <w:rPr>
          <w:rFonts w:ascii="Times New Roman" w:hAnsi="Times New Roman"/>
          <w:color w:val="000000"/>
          <w:sz w:val="24"/>
          <w:szCs w:val="24"/>
          <w:lang w:val="en-US"/>
        </w:rPr>
        <w:t>cm</w:t>
      </w:r>
      <w:r w:rsidRPr="00A8783E">
        <w:rPr>
          <w:rFonts w:ascii="Times New Roman" w:hAnsi="Times New Roman"/>
          <w:color w:val="000000"/>
          <w:sz w:val="24"/>
          <w:szCs w:val="24"/>
        </w:rPr>
        <w:t>. Едър орел с широки дълги крила. Горната страна на тялото е сиво-кафява, а главата и шията – светложълти. Опашката е къса, слабо клиновидна, при възрастните е бяла, а при младите – тъмна. При полет първостепенните махови пера са разтворени като пръсти. Среща се поединично или на двойки, често в близост до водоеми (Симеонов и др., 1990).</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Постоянен вид, със зимуващи предимно млади птици от по-северни райони (делтата на р. Дунав). От началото на 90-те години на миналия век се наблюдава бавно възстановяване на популацията, най-вече по р. Дунав (сега има най-малко 12 двойки, 6 </w:t>
      </w:r>
      <w:r w:rsidRPr="00A8783E">
        <w:rPr>
          <w:rFonts w:ascii="Times New Roman" w:hAnsi="Times New Roman"/>
          <w:color w:val="000000"/>
          <w:sz w:val="24"/>
          <w:szCs w:val="24"/>
        </w:rPr>
        <w:lastRenderedPageBreak/>
        <w:t>от които на българска територия). По Черноморското крайбрежие засега има само 3 двойки. Новост е задържането на двойка във вътрешността на страната при яз. „Ивайловград“ (Иванов и др. в Червена книга на Р България, 2015). Общата численост на гнездящите и потенциално гнездещи двойки е 23, като по Дунавското крайбрежие са 11 дв., а в Тракия и Източните Родопи – 9 дв. (</w:t>
      </w:r>
      <w:r w:rsidRPr="00A8783E">
        <w:rPr>
          <w:rFonts w:ascii="Times New Roman" w:hAnsi="Times New Roman"/>
          <w:color w:val="000000"/>
          <w:sz w:val="24"/>
          <w:szCs w:val="24"/>
          <w:lang w:val="en-US"/>
        </w:rPr>
        <w:t>Todorov</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et</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al</w:t>
      </w:r>
      <w:r w:rsidRPr="00A8783E">
        <w:rPr>
          <w:rFonts w:ascii="Times New Roman" w:hAnsi="Times New Roman"/>
          <w:color w:val="000000"/>
          <w:sz w:val="24"/>
          <w:szCs w:val="24"/>
        </w:rPr>
        <w:t>., 2015). През зимата числеността се увеличава за сметка на скитащи и разселващи се млади птици основно от делтата на р. Дунав и се колебае вероятно между 30 и 40 индивиди. През януари 2005 г. по р. Дунав между Сомовит и Силистра са отбелязани 25 птици. Двойката има няколко гнезда, построени главно на бяла топола, които сменя през отделните години (Иванов и др. в Червена книга на Р България, 2015). В Дунавската делта (</w:t>
      </w:r>
      <w:r w:rsidRPr="00A8783E">
        <w:rPr>
          <w:rFonts w:ascii="Times New Roman" w:hAnsi="Times New Roman"/>
          <w:color w:val="000000"/>
          <w:sz w:val="24"/>
          <w:szCs w:val="24"/>
          <w:lang w:val="en-US"/>
        </w:rPr>
        <w:t>S</w:t>
      </w:r>
      <w:r w:rsidRPr="00A8783E">
        <w:rPr>
          <w:rFonts w:ascii="Times New Roman" w:hAnsi="Times New Roman"/>
          <w:color w:val="000000"/>
          <w:sz w:val="24"/>
          <w:szCs w:val="24"/>
        </w:rPr>
        <w:t>б</w:t>
      </w:r>
      <w:r w:rsidRPr="00A8783E">
        <w:rPr>
          <w:rFonts w:ascii="Times New Roman" w:hAnsi="Times New Roman"/>
          <w:color w:val="000000"/>
          <w:sz w:val="24"/>
          <w:szCs w:val="24"/>
          <w:lang w:val="en-US"/>
        </w:rPr>
        <w:t>ndor</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et</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al</w:t>
      </w:r>
      <w:r w:rsidRPr="00A8783E">
        <w:rPr>
          <w:rFonts w:ascii="Times New Roman" w:hAnsi="Times New Roman"/>
          <w:color w:val="000000"/>
          <w:sz w:val="24"/>
          <w:szCs w:val="24"/>
        </w:rPr>
        <w:t>., 2014) е установена гнездова плътност от 0,048 дв./к</w:t>
      </w:r>
      <w:r w:rsidRPr="00A8783E">
        <w:rPr>
          <w:rFonts w:ascii="Times New Roman" w:hAnsi="Times New Roman"/>
          <w:color w:val="000000"/>
          <w:sz w:val="24"/>
          <w:szCs w:val="24"/>
          <w:lang w:val="en-US"/>
        </w:rPr>
        <w:t>m</w:t>
      </w:r>
      <w:r w:rsidRPr="00A8783E">
        <w:rPr>
          <w:rFonts w:ascii="Times New Roman" w:hAnsi="Times New Roman"/>
          <w:color w:val="000000"/>
          <w:sz w:val="24"/>
          <w:szCs w:val="24"/>
          <w:vertAlign w:val="superscript"/>
        </w:rPr>
        <w:t>2</w:t>
      </w:r>
      <w:r w:rsidRPr="00A8783E">
        <w:rPr>
          <w:rFonts w:ascii="Times New Roman" w:hAnsi="Times New Roman"/>
          <w:color w:val="000000"/>
          <w:sz w:val="24"/>
          <w:szCs w:val="24"/>
        </w:rPr>
        <w:t xml:space="preserve">. В Германия териториите на птиците варират между 2,7 и 669,7 </w:t>
      </w:r>
      <w:r w:rsidRPr="00A8783E">
        <w:rPr>
          <w:rFonts w:ascii="Times New Roman" w:hAnsi="Times New Roman"/>
          <w:color w:val="000000"/>
          <w:sz w:val="24"/>
          <w:szCs w:val="24"/>
          <w:lang w:val="en-US"/>
        </w:rPr>
        <w:t>km</w:t>
      </w:r>
      <w:r w:rsidRPr="00A8783E">
        <w:rPr>
          <w:rFonts w:ascii="Times New Roman" w:hAnsi="Times New Roman"/>
          <w:color w:val="000000"/>
          <w:sz w:val="24"/>
          <w:szCs w:val="24"/>
          <w:vertAlign w:val="superscript"/>
        </w:rPr>
        <w:t>2</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Krone</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and</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Treu</w:t>
      </w:r>
      <w:r w:rsidRPr="00A8783E">
        <w:rPr>
          <w:rFonts w:ascii="Times New Roman" w:hAnsi="Times New Roman"/>
          <w:color w:val="000000"/>
          <w:sz w:val="24"/>
          <w:szCs w:val="24"/>
        </w:rPr>
        <w:t>, 2018).</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Крайбрежия на морета, реки и езера, богати на риба и водоплаващи птици, с високи и удобни за гнездене дървета при надморска височина от 0 до 140 м. През зимата обитава и места около изкуствени водоеми – язовири, рибарници и др. Подходящи местообитания за гнездене вероятно са 91</w:t>
      </w:r>
      <w:r w:rsidRPr="00A8783E">
        <w:rPr>
          <w:rFonts w:ascii="Times New Roman" w:hAnsi="Times New Roman"/>
          <w:color w:val="000000"/>
          <w:sz w:val="24"/>
          <w:szCs w:val="24"/>
          <w:lang w:val="en-US"/>
        </w:rPr>
        <w:t>D</w:t>
      </w:r>
      <w:r w:rsidRPr="00A8783E">
        <w:rPr>
          <w:rFonts w:ascii="Times New Roman" w:hAnsi="Times New Roman"/>
          <w:color w:val="000000"/>
          <w:sz w:val="24"/>
          <w:szCs w:val="24"/>
        </w:rPr>
        <w:t>0, 91</w:t>
      </w:r>
      <w:r w:rsidRPr="00A8783E">
        <w:rPr>
          <w:rFonts w:ascii="Times New Roman" w:hAnsi="Times New Roman"/>
          <w:color w:val="000000"/>
          <w:sz w:val="24"/>
          <w:szCs w:val="24"/>
          <w:lang w:val="en-US"/>
        </w:rPr>
        <w:t>E</w:t>
      </w:r>
      <w:r w:rsidRPr="00A8783E">
        <w:rPr>
          <w:rFonts w:ascii="Times New Roman" w:hAnsi="Times New Roman"/>
          <w:color w:val="000000"/>
          <w:sz w:val="24"/>
          <w:szCs w:val="24"/>
        </w:rPr>
        <w:t>0, 91</w:t>
      </w:r>
      <w:r w:rsidRPr="00A8783E">
        <w:rPr>
          <w:rFonts w:ascii="Times New Roman" w:hAnsi="Times New Roman"/>
          <w:color w:val="000000"/>
          <w:sz w:val="24"/>
          <w:szCs w:val="24"/>
          <w:lang w:val="en-US"/>
        </w:rPr>
        <w:t>F</w:t>
      </w:r>
      <w:r w:rsidRPr="00A8783E">
        <w:rPr>
          <w:rFonts w:ascii="Times New Roman" w:hAnsi="Times New Roman"/>
          <w:color w:val="000000"/>
          <w:sz w:val="24"/>
          <w:szCs w:val="24"/>
        </w:rPr>
        <w:t>0, 92</w:t>
      </w:r>
      <w:r w:rsidRPr="00A8783E">
        <w:rPr>
          <w:rFonts w:ascii="Times New Roman" w:hAnsi="Times New Roman"/>
          <w:color w:val="000000"/>
          <w:sz w:val="24"/>
          <w:szCs w:val="24"/>
          <w:lang w:val="en-US"/>
        </w:rPr>
        <w:t>A</w:t>
      </w:r>
      <w:r w:rsidRPr="00A8783E">
        <w:rPr>
          <w:rFonts w:ascii="Times New Roman" w:hAnsi="Times New Roman"/>
          <w:color w:val="000000"/>
          <w:sz w:val="24"/>
          <w:szCs w:val="24"/>
        </w:rPr>
        <w:t>0, а за търсене на храна – 3130, 3140, 3150, 3160, 1110, 1130, 1150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Хранене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Храни се с риба, водоплаващи птици, дребни бозайници и др.</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С отделни гнездовища, съсредоточени покрай р. Дунав и по Черноморското крайбрежие, а отделни находища – и по долното течение на р. Арда. Част от двойките по Дунавското крайбрежие през отделни години гнездят на румънския бряг. В редица квадрати установен с ниска степен на достоверност за гнездене и вероятно се касае за скитащи или не гнездящи индивиди (Янков отг. ред., 2007).</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Включен в Приложение 1 на Директивата за птиците и в Приложение 2 и 3 на ЗБР. Видът е включен също в приложението към Резолюция № 6 (1998) на Постоянния комитет на Бернската конвенция. Според </w:t>
      </w:r>
      <w:r w:rsidRPr="00A8783E">
        <w:rPr>
          <w:rFonts w:ascii="Times New Roman" w:hAnsi="Times New Roman"/>
          <w:color w:val="000000"/>
          <w:sz w:val="24"/>
          <w:szCs w:val="24"/>
          <w:lang w:val="en-GB"/>
        </w:rPr>
        <w:t>IUCN</w:t>
      </w:r>
      <w:r w:rsidRPr="00A8783E">
        <w:rPr>
          <w:rFonts w:ascii="Times New Roman" w:hAnsi="Times New Roman"/>
          <w:color w:val="000000"/>
          <w:sz w:val="24"/>
          <w:szCs w:val="24"/>
        </w:rPr>
        <w:t xml:space="preserve"> видът е с категория „слабо засегнат“ - </w:t>
      </w:r>
      <w:r w:rsidRPr="00A8783E">
        <w:rPr>
          <w:rFonts w:ascii="Times New Roman" w:hAnsi="Times New Roman"/>
          <w:color w:val="000000"/>
          <w:sz w:val="24"/>
          <w:szCs w:val="24"/>
          <w:lang w:val="en-GB"/>
        </w:rPr>
        <w:t>LC</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GB"/>
        </w:rPr>
        <w:t>Least</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GB"/>
        </w:rPr>
        <w:t>Concern</w:t>
      </w:r>
      <w:r w:rsidRPr="00A8783E">
        <w:rPr>
          <w:rFonts w:ascii="Times New Roman" w:hAnsi="Times New Roman"/>
          <w:color w:val="000000"/>
          <w:sz w:val="24"/>
          <w:szCs w:val="24"/>
        </w:rPr>
        <w:t xml:space="preserve">) за територията на континентална Европа и за света. Включен в </w:t>
      </w:r>
      <w:r w:rsidRPr="00A8783E">
        <w:rPr>
          <w:rFonts w:ascii="Times New Roman" w:hAnsi="Times New Roman"/>
          <w:color w:val="000000"/>
          <w:sz w:val="24"/>
          <w:szCs w:val="24"/>
          <w:lang w:val="en-GB"/>
        </w:rPr>
        <w:t>SPEC</w:t>
      </w:r>
      <w:r w:rsidRPr="00A8783E">
        <w:rPr>
          <w:rFonts w:ascii="Times New Roman" w:hAnsi="Times New Roman"/>
          <w:color w:val="000000"/>
          <w:sz w:val="24"/>
          <w:szCs w:val="24"/>
        </w:rPr>
        <w:t xml:space="preserve"> 1 Рядък. Включен в Червената книга на Р България със статус „застрашен“ </w:t>
      </w:r>
      <w:r w:rsidRPr="00A8783E">
        <w:rPr>
          <w:rFonts w:ascii="Times New Roman" w:hAnsi="Times New Roman"/>
          <w:color w:val="000000"/>
          <w:sz w:val="24"/>
          <w:szCs w:val="24"/>
          <w:lang w:val="en-US"/>
        </w:rPr>
        <w:t>VU</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Vulnerable</w:t>
      </w:r>
      <w:r w:rsidRPr="00A8783E">
        <w:rPr>
          <w:rFonts w:ascii="Times New Roman" w:hAnsi="Times New Roman"/>
          <w:color w:val="000000"/>
          <w:sz w:val="24"/>
          <w:szCs w:val="24"/>
        </w:rPr>
        <w:t>).</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Съгласно Докладването от 2019 г. (за периода 2013 – 2018 г.) националната </w:t>
      </w:r>
      <w:r w:rsidRPr="00A8783E">
        <w:rPr>
          <w:rFonts w:ascii="Times New Roman" w:hAnsi="Times New Roman"/>
          <w:b/>
          <w:bCs/>
          <w:color w:val="000000"/>
          <w:sz w:val="24"/>
          <w:szCs w:val="24"/>
        </w:rPr>
        <w:t>гнездяща</w:t>
      </w:r>
      <w:r w:rsidRPr="00A8783E">
        <w:rPr>
          <w:rFonts w:ascii="Times New Roman" w:hAnsi="Times New Roman"/>
          <w:color w:val="000000"/>
          <w:sz w:val="24"/>
          <w:szCs w:val="24"/>
        </w:rPr>
        <w:t xml:space="preserve"> популация на вида се оценя на 23 – 45 двойки. Краткосрочната тенденция на популацията (за периода 2000 – 2018 г.) е увеличаваща се, а дългосрочната (за периода 1980 – 2018 г.) също е увеличаваща се. Посочени са следните заплахи и влияния: </w:t>
      </w:r>
      <w:r w:rsidRPr="00A8783E">
        <w:rPr>
          <w:rFonts w:ascii="Times New Roman" w:hAnsi="Times New Roman"/>
          <w:color w:val="000000"/>
          <w:sz w:val="24"/>
          <w:szCs w:val="24"/>
          <w:lang w:val="en-US"/>
        </w:rPr>
        <w:t>A</w:t>
      </w:r>
      <w:r w:rsidRPr="00A8783E">
        <w:rPr>
          <w:rFonts w:ascii="Times New Roman" w:hAnsi="Times New Roman"/>
          <w:color w:val="000000"/>
          <w:sz w:val="24"/>
          <w:szCs w:val="24"/>
        </w:rPr>
        <w:t xml:space="preserve">02, </w:t>
      </w:r>
      <w:r w:rsidRPr="00A8783E">
        <w:rPr>
          <w:rFonts w:ascii="Times New Roman" w:hAnsi="Times New Roman"/>
          <w:color w:val="000000"/>
          <w:sz w:val="24"/>
          <w:szCs w:val="24"/>
          <w:lang w:val="en-US"/>
        </w:rPr>
        <w:t>B</w:t>
      </w:r>
      <w:r w:rsidRPr="00A8783E">
        <w:rPr>
          <w:rFonts w:ascii="Times New Roman" w:hAnsi="Times New Roman"/>
          <w:color w:val="000000"/>
          <w:sz w:val="24"/>
          <w:szCs w:val="24"/>
        </w:rPr>
        <w:t xml:space="preserve">02, </w:t>
      </w:r>
      <w:r w:rsidRPr="00A8783E">
        <w:rPr>
          <w:rFonts w:ascii="Times New Roman" w:hAnsi="Times New Roman"/>
          <w:color w:val="000000"/>
          <w:sz w:val="24"/>
          <w:szCs w:val="24"/>
          <w:lang w:val="en-US"/>
        </w:rPr>
        <w:t>B</w:t>
      </w:r>
      <w:r w:rsidRPr="00A8783E">
        <w:rPr>
          <w:rFonts w:ascii="Times New Roman" w:hAnsi="Times New Roman"/>
          <w:color w:val="000000"/>
          <w:sz w:val="24"/>
          <w:szCs w:val="24"/>
        </w:rPr>
        <w:t xml:space="preserve">03, </w:t>
      </w:r>
      <w:r w:rsidRPr="00A8783E">
        <w:rPr>
          <w:rFonts w:ascii="Times New Roman" w:hAnsi="Times New Roman"/>
          <w:color w:val="000000"/>
          <w:sz w:val="24"/>
          <w:szCs w:val="24"/>
          <w:lang w:val="en-US"/>
        </w:rPr>
        <w:t>C</w:t>
      </w:r>
      <w:r w:rsidRPr="00A8783E">
        <w:rPr>
          <w:rFonts w:ascii="Times New Roman" w:hAnsi="Times New Roman"/>
          <w:color w:val="000000"/>
          <w:sz w:val="24"/>
          <w:szCs w:val="24"/>
        </w:rPr>
        <w:t xml:space="preserve">03, </w:t>
      </w:r>
      <w:r w:rsidRPr="00A8783E">
        <w:rPr>
          <w:rFonts w:ascii="Times New Roman" w:hAnsi="Times New Roman"/>
          <w:color w:val="000000"/>
          <w:sz w:val="24"/>
          <w:szCs w:val="24"/>
          <w:lang w:val="en-US"/>
        </w:rPr>
        <w:t>D</w:t>
      </w:r>
      <w:r w:rsidRPr="00A8783E">
        <w:rPr>
          <w:rFonts w:ascii="Times New Roman" w:hAnsi="Times New Roman"/>
          <w:color w:val="000000"/>
          <w:sz w:val="24"/>
          <w:szCs w:val="24"/>
        </w:rPr>
        <w:t xml:space="preserve">02, </w:t>
      </w:r>
      <w:r w:rsidRPr="00A8783E">
        <w:rPr>
          <w:rFonts w:ascii="Times New Roman" w:hAnsi="Times New Roman"/>
          <w:color w:val="000000"/>
          <w:sz w:val="24"/>
          <w:szCs w:val="24"/>
          <w:lang w:val="en-US"/>
        </w:rPr>
        <w:t>E</w:t>
      </w:r>
      <w:r w:rsidRPr="00A8783E">
        <w:rPr>
          <w:rFonts w:ascii="Times New Roman" w:hAnsi="Times New Roman"/>
          <w:color w:val="000000"/>
          <w:sz w:val="24"/>
          <w:szCs w:val="24"/>
        </w:rPr>
        <w:t xml:space="preserve">01, </w:t>
      </w:r>
      <w:r w:rsidRPr="00A8783E">
        <w:rPr>
          <w:rFonts w:ascii="Times New Roman" w:hAnsi="Times New Roman"/>
          <w:color w:val="000000"/>
          <w:sz w:val="24"/>
          <w:szCs w:val="24"/>
          <w:lang w:val="en-US"/>
        </w:rPr>
        <w:t>F</w:t>
      </w:r>
      <w:r w:rsidRPr="00A8783E">
        <w:rPr>
          <w:rFonts w:ascii="Times New Roman" w:hAnsi="Times New Roman"/>
          <w:color w:val="000000"/>
          <w:sz w:val="24"/>
          <w:szCs w:val="24"/>
        </w:rPr>
        <w:t xml:space="preserve">03, </w:t>
      </w:r>
      <w:r w:rsidRPr="00A8783E">
        <w:rPr>
          <w:rFonts w:ascii="Times New Roman" w:hAnsi="Times New Roman"/>
          <w:color w:val="000000"/>
          <w:sz w:val="24"/>
          <w:szCs w:val="24"/>
          <w:lang w:val="en-US"/>
        </w:rPr>
        <w:t>H</w:t>
      </w:r>
      <w:r w:rsidRPr="00A8783E">
        <w:rPr>
          <w:rFonts w:ascii="Times New Roman" w:hAnsi="Times New Roman"/>
          <w:color w:val="000000"/>
          <w:sz w:val="24"/>
          <w:szCs w:val="24"/>
        </w:rPr>
        <w:t xml:space="preserve">01, </w:t>
      </w:r>
      <w:r w:rsidRPr="00A8783E">
        <w:rPr>
          <w:rFonts w:ascii="Times New Roman" w:hAnsi="Times New Roman"/>
          <w:color w:val="000000"/>
          <w:sz w:val="24"/>
          <w:szCs w:val="24"/>
          <w:lang w:val="en-US"/>
        </w:rPr>
        <w:t>J</w:t>
      </w:r>
      <w:r w:rsidRPr="00A8783E">
        <w:rPr>
          <w:rFonts w:ascii="Times New Roman" w:hAnsi="Times New Roman"/>
          <w:color w:val="000000"/>
          <w:sz w:val="24"/>
          <w:szCs w:val="24"/>
        </w:rPr>
        <w:t xml:space="preserve">03, </w:t>
      </w:r>
      <w:r w:rsidRPr="00A8783E">
        <w:rPr>
          <w:rFonts w:ascii="Times New Roman" w:hAnsi="Times New Roman"/>
          <w:color w:val="000000"/>
          <w:sz w:val="24"/>
          <w:szCs w:val="24"/>
          <w:lang w:val="en-US"/>
        </w:rPr>
        <w:t>L</w:t>
      </w:r>
      <w:r w:rsidRPr="00A8783E">
        <w:rPr>
          <w:rFonts w:ascii="Times New Roman" w:hAnsi="Times New Roman"/>
          <w:color w:val="000000"/>
          <w:sz w:val="24"/>
          <w:szCs w:val="24"/>
        </w:rPr>
        <w:t>07.</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b/>
          <w:bCs/>
          <w:color w:val="000000"/>
          <w:sz w:val="24"/>
          <w:szCs w:val="24"/>
        </w:rPr>
        <w:t>Зимуващата</w:t>
      </w:r>
      <w:r w:rsidRPr="00A8783E">
        <w:rPr>
          <w:rFonts w:ascii="Times New Roman" w:hAnsi="Times New Roman"/>
          <w:color w:val="000000"/>
          <w:sz w:val="24"/>
          <w:szCs w:val="24"/>
        </w:rPr>
        <w:t xml:space="preserve"> популация е оценена на 20 – 35 индивида (за периода 2013-2018 г.). Краткосрочната тенденция на популацията (за периода 2000 – 2018 г.) е стабилна, а дългосрочната (за периода 1980 – 2018 г.) е увеличаваща се. Тук са посочени същите заплахи както при гнездовата популация.</w:t>
      </w:r>
    </w:p>
    <w:p w:rsidR="00A8783E" w:rsidRPr="00A8783E" w:rsidRDefault="00A8783E" w:rsidP="00A8783E">
      <w:pPr>
        <w:spacing w:before="120" w:after="120" w:line="240" w:lineRule="auto"/>
        <w:rPr>
          <w:rFonts w:ascii="Times New Roman" w:hAnsi="Times New Roman"/>
          <w:color w:val="000000"/>
          <w:sz w:val="24"/>
          <w:szCs w:val="24"/>
        </w:rPr>
      </w:pPr>
      <w:r w:rsidRPr="00A8783E">
        <w:rPr>
          <w:rFonts w:ascii="Times New Roman" w:hAnsi="Times New Roman"/>
          <w:b/>
          <w:bCs/>
          <w:color w:val="000000"/>
          <w:sz w:val="24"/>
          <w:szCs w:val="24"/>
        </w:rPr>
        <w:t>Мигриращата</w:t>
      </w:r>
      <w:r w:rsidRPr="00A8783E">
        <w:rPr>
          <w:rFonts w:ascii="Times New Roman" w:hAnsi="Times New Roman"/>
          <w:color w:val="000000"/>
          <w:sz w:val="24"/>
          <w:szCs w:val="24"/>
        </w:rPr>
        <w:t xml:space="preserve"> национална популация е оценена на 10 – 40 индивида (за периода 2001-2018 г.). Не са посочени тенденции в развитието на популацията. Посочени са следните заплахи: </w:t>
      </w:r>
      <w:r w:rsidRPr="00A8783E">
        <w:rPr>
          <w:rFonts w:ascii="Times New Roman" w:hAnsi="Times New Roman"/>
          <w:color w:val="000000"/>
          <w:sz w:val="24"/>
          <w:szCs w:val="24"/>
          <w:lang w:val="en-US"/>
        </w:rPr>
        <w:t>C</w:t>
      </w:r>
      <w:r w:rsidRPr="00A8783E">
        <w:rPr>
          <w:rFonts w:ascii="Times New Roman" w:hAnsi="Times New Roman"/>
          <w:color w:val="000000"/>
          <w:sz w:val="24"/>
          <w:szCs w:val="24"/>
        </w:rPr>
        <w:t xml:space="preserve">03, </w:t>
      </w:r>
      <w:r w:rsidRPr="00A8783E">
        <w:rPr>
          <w:rFonts w:ascii="Times New Roman" w:hAnsi="Times New Roman"/>
          <w:color w:val="000000"/>
          <w:sz w:val="24"/>
          <w:szCs w:val="24"/>
          <w:lang w:val="en-US"/>
        </w:rPr>
        <w:t>D</w:t>
      </w:r>
      <w:r w:rsidRPr="00A8783E">
        <w:rPr>
          <w:rFonts w:ascii="Times New Roman" w:hAnsi="Times New Roman"/>
          <w:color w:val="000000"/>
          <w:sz w:val="24"/>
          <w:szCs w:val="24"/>
        </w:rPr>
        <w:t xml:space="preserve">02, </w:t>
      </w:r>
      <w:r w:rsidRPr="00A8783E">
        <w:rPr>
          <w:rFonts w:ascii="Times New Roman" w:hAnsi="Times New Roman"/>
          <w:color w:val="000000"/>
          <w:sz w:val="24"/>
          <w:szCs w:val="24"/>
          <w:lang w:val="en-US"/>
        </w:rPr>
        <w:t>E</w:t>
      </w:r>
      <w:r w:rsidRPr="00A8783E">
        <w:rPr>
          <w:rFonts w:ascii="Times New Roman" w:hAnsi="Times New Roman"/>
          <w:color w:val="000000"/>
          <w:sz w:val="24"/>
          <w:szCs w:val="24"/>
        </w:rPr>
        <w:t xml:space="preserve">01, </w:t>
      </w:r>
      <w:r w:rsidRPr="00A8783E">
        <w:rPr>
          <w:rFonts w:ascii="Times New Roman" w:hAnsi="Times New Roman"/>
          <w:color w:val="000000"/>
          <w:sz w:val="24"/>
          <w:szCs w:val="24"/>
          <w:lang w:val="en-US"/>
        </w:rPr>
        <w:t>F</w:t>
      </w:r>
      <w:r w:rsidRPr="00A8783E">
        <w:rPr>
          <w:rFonts w:ascii="Times New Roman" w:hAnsi="Times New Roman"/>
          <w:color w:val="000000"/>
          <w:sz w:val="24"/>
          <w:szCs w:val="24"/>
        </w:rPr>
        <w:t xml:space="preserve">03, </w:t>
      </w:r>
      <w:r w:rsidRPr="00A8783E">
        <w:rPr>
          <w:rFonts w:ascii="Times New Roman" w:hAnsi="Times New Roman"/>
          <w:color w:val="000000"/>
          <w:sz w:val="24"/>
          <w:szCs w:val="24"/>
          <w:lang w:val="en-US"/>
        </w:rPr>
        <w:t>D</w:t>
      </w:r>
      <w:r w:rsidRPr="00A8783E">
        <w:rPr>
          <w:rFonts w:ascii="Times New Roman" w:hAnsi="Times New Roman"/>
          <w:color w:val="000000"/>
          <w:sz w:val="24"/>
          <w:szCs w:val="24"/>
        </w:rPr>
        <w:t>06.</w:t>
      </w:r>
    </w:p>
    <w:p w:rsidR="00A8783E" w:rsidRPr="00A8783E" w:rsidRDefault="00A8783E" w:rsidP="00A8783E">
      <w:pPr>
        <w:spacing w:before="120" w:after="120" w:line="240" w:lineRule="auto"/>
        <w:rPr>
          <w:rFonts w:ascii="Times New Roman" w:hAnsi="Times New Roman"/>
          <w:sz w:val="24"/>
          <w:szCs w:val="24"/>
        </w:rPr>
      </w:pPr>
      <w:r w:rsidRPr="00A8783E">
        <w:rPr>
          <w:rFonts w:ascii="Times New Roman" w:hAnsi="Times New Roman"/>
          <w:b/>
          <w:bCs/>
          <w:sz w:val="24"/>
          <w:szCs w:val="24"/>
        </w:rPr>
        <w:lastRenderedPageBreak/>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 xml:space="preserve">гнездящ (постоянен) и зимуващ. Гнездовата </w:t>
      </w:r>
      <w:r w:rsidRPr="00A8783E">
        <w:rPr>
          <w:rFonts w:ascii="Times New Roman" w:hAnsi="Times New Roman"/>
          <w:sz w:val="24"/>
          <w:szCs w:val="24"/>
        </w:rPr>
        <w:t xml:space="preserve">популация се оценява на </w:t>
      </w:r>
      <w:r w:rsidRPr="00A8783E">
        <w:rPr>
          <w:rFonts w:ascii="Times New Roman" w:hAnsi="Times New Roman"/>
          <w:b/>
          <w:bCs/>
          <w:sz w:val="24"/>
          <w:szCs w:val="24"/>
        </w:rPr>
        <w:t xml:space="preserve">до 1 двойка, </w:t>
      </w:r>
      <w:r w:rsidRPr="00A8783E">
        <w:rPr>
          <w:rFonts w:ascii="Times New Roman" w:hAnsi="Times New Roman"/>
          <w:sz w:val="24"/>
          <w:szCs w:val="24"/>
        </w:rPr>
        <w:t>което представлява 0-2,2% от националната гнездяща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Зимуващата</w:t>
      </w:r>
      <w:r w:rsidRPr="00A8783E">
        <w:rPr>
          <w:rFonts w:ascii="Times New Roman" w:hAnsi="Times New Roman"/>
          <w:sz w:val="24"/>
          <w:szCs w:val="24"/>
        </w:rPr>
        <w:t xml:space="preserve"> популация се оценява на </w:t>
      </w:r>
      <w:r w:rsidRPr="00A8783E">
        <w:rPr>
          <w:rFonts w:ascii="Times New Roman" w:hAnsi="Times New Roman"/>
          <w:b/>
          <w:bCs/>
          <w:sz w:val="24"/>
          <w:szCs w:val="24"/>
        </w:rPr>
        <w:t>1-5 индивида</w:t>
      </w:r>
      <w:r w:rsidRPr="00A8783E">
        <w:rPr>
          <w:rFonts w:ascii="Times New Roman" w:hAnsi="Times New Roman"/>
          <w:sz w:val="24"/>
          <w:szCs w:val="24"/>
        </w:rPr>
        <w:t>, което е 5–14,2 % от националната зимуваща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ind w:firstLine="11"/>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Гнездяща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 поречието на р. Дунав морският орел гнезди върху черна топола (</w:t>
      </w:r>
      <w:r w:rsidRPr="00A8783E">
        <w:rPr>
          <w:rFonts w:ascii="Times New Roman" w:hAnsi="Times New Roman"/>
          <w:i/>
          <w:iCs/>
          <w:sz w:val="24"/>
          <w:szCs w:val="24"/>
          <w:lang w:val="en-US"/>
        </w:rPr>
        <w:t>Populus</w:t>
      </w:r>
      <w:r w:rsidRPr="00A8783E">
        <w:rPr>
          <w:rFonts w:ascii="Times New Roman" w:hAnsi="Times New Roman"/>
          <w:i/>
          <w:iCs/>
          <w:sz w:val="24"/>
          <w:szCs w:val="24"/>
        </w:rPr>
        <w:t xml:space="preserve"> </w:t>
      </w:r>
      <w:r w:rsidRPr="00A8783E">
        <w:rPr>
          <w:rFonts w:ascii="Times New Roman" w:hAnsi="Times New Roman"/>
          <w:i/>
          <w:iCs/>
          <w:sz w:val="24"/>
          <w:szCs w:val="24"/>
          <w:lang w:val="en-US"/>
        </w:rPr>
        <w:t>nigra</w:t>
      </w:r>
      <w:r w:rsidRPr="00A8783E">
        <w:rPr>
          <w:rFonts w:ascii="Times New Roman" w:hAnsi="Times New Roman"/>
          <w:sz w:val="24"/>
          <w:szCs w:val="24"/>
        </w:rPr>
        <w:t>) и то основно на Дунавски острови. За периода 2006-2012 г. по поречието на Дунав вида е отчетен с гнездова численост 11 двойки (Todorov et al., 2015; Cheshmedzhiev et al., 2019). Според Костадинова, Граматиков (2007), видът присъства в зоната по време на гнездене с 1 двойка. Морският орел е мътил в миналото в непосредствена близост до езерото Сребърна. Една двойка е имала гнездо на бяла топола, в горната част на дунавския остров „Бялата пръст“. Едната птица е намерена застреляна (Мичев, 1999, in litt.). През 90-те години на 20 в. на о. Бялата пръст беше построено изкуствено гнездо за морски орли, обаче то не беше заето (Актуализиран план на ПР „Сребърна“, 2015). През гнездовия период на 2021 г. вида е наблюдаван на 7 юли на 700 м от северната граница на зоната. Не беше доказано сигурно гнездене на вида. За привличане на морския орел към гнездене в резервата или в близост е необходимо: 1/ провеждане на широкообхватни информационни кампании сред ловците и рибарите; 2/ построяване на 4-5 изкуствени гнезда на стари бели тополи по дунавските острови срещу Сребърна.</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Зимуваща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 време на зимуване морските орли се концентрират по местата, където има струпване на водолюбиви птици, които са и потенциална плячка. Това са предимно СЗЗ „Комплекс Беленски острови“, СЗЗ „Комплекс Калимок“ и СЗЗ „Сребърна“ (Cheshmedzhiev et al., 2019). По време на СЗП на 2019 г. са наблюдавани 11 индивида по поречието на река Дунав, като не са наблюдавани птици от вида в близост до зоната. През зимния период на 2020 г. са наблюдавани 5 индивида по поречието на р. Дунав, като 1 инд. от тях е отчетен западно от зоната. По всяка вероятност количеството на зимуващите птици по р. Дунав ще зависи от средните температури през януари. При средни температури около 0°С или с отрицателен знак, се очаква числеността на зимуващите птици да е по-голяма. През 2019 г. средните месечни температури през януари по р. Дунав са били между -0,8 и 0,5° С (stringmeteo.com) с установени 11 инд., а през 2020 г. са били между 1,1 и 1,9° С (stringmeteo.com) при установени 5 инд., или два пъти по малко зимуващи птици от вида. Според Костадинова, Граматиков (2007), видът присъства в зоната по време на зимуване с численост 1-5 инд. Не са извършвани теренни проучвания през зимния сезон на 2021 г.</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Основните заплахи за морския орел са безпокойството, провеждането на горско-стопанските дейности и практики,</w:t>
      </w:r>
      <w:r w:rsidRPr="00A8783E">
        <w:rPr>
          <w:rFonts w:ascii="Times New Roman" w:hAnsi="Times New Roman"/>
          <w:sz w:val="24"/>
          <w:szCs w:val="24"/>
        </w:rPr>
        <w:t xml:space="preserve"> включително монокултурни (B02-Превръщане на едни видове гори в други; B03-</w:t>
      </w:r>
      <w:r w:rsidRPr="00A8783E">
        <w:rPr>
          <w:rFonts w:cs="Calibri"/>
        </w:rPr>
        <w:t xml:space="preserve"> </w:t>
      </w:r>
      <w:r w:rsidRPr="00A8783E">
        <w:rPr>
          <w:rFonts w:ascii="Times New Roman" w:hAnsi="Times New Roman"/>
          <w:sz w:val="24"/>
          <w:szCs w:val="24"/>
        </w:rPr>
        <w:t xml:space="preserve">Повторно заселяване с неместни или нетипични видове или интродуциране на такива видове (включително нови видове и ГМО), </w:t>
      </w:r>
      <w:r w:rsidRPr="00A8783E">
        <w:rPr>
          <w:rFonts w:ascii="Times New Roman" w:hAnsi="Times New Roman"/>
          <w:color w:val="000000"/>
          <w:sz w:val="24"/>
          <w:szCs w:val="24"/>
        </w:rPr>
        <w:t xml:space="preserve">най-вече по </w:t>
      </w:r>
      <w:r w:rsidRPr="00A8783E">
        <w:rPr>
          <w:rFonts w:ascii="Times New Roman" w:hAnsi="Times New Roman"/>
          <w:color w:val="000000"/>
          <w:sz w:val="24"/>
          <w:szCs w:val="24"/>
        </w:rPr>
        <w:lastRenderedPageBreak/>
        <w:t>време на размножителния сезон, както и химизацията в селското стопанство (</w:t>
      </w:r>
      <w:r w:rsidRPr="00A8783E">
        <w:rPr>
          <w:rFonts w:ascii="Times New Roman" w:hAnsi="Times New Roman"/>
          <w:color w:val="000000"/>
          <w:sz w:val="24"/>
          <w:szCs w:val="24"/>
          <w:lang w:val="en-US"/>
        </w:rPr>
        <w:t>A</w:t>
      </w:r>
      <w:r w:rsidRPr="00A8783E">
        <w:rPr>
          <w:rFonts w:ascii="Times New Roman" w:hAnsi="Times New Roman"/>
          <w:color w:val="000000"/>
          <w:sz w:val="24"/>
          <w:szCs w:val="24"/>
        </w:rPr>
        <w:t>26-</w:t>
      </w:r>
      <w:r w:rsidRPr="00A8783E">
        <w:rPr>
          <w:rFonts w:cs="Calibri"/>
        </w:rPr>
        <w:t xml:space="preserve"> </w:t>
      </w:r>
      <w:r w:rsidRPr="00A8783E">
        <w:rPr>
          <w:rFonts w:ascii="Times New Roman" w:hAnsi="Times New Roman"/>
          <w:color w:val="000000"/>
          <w:sz w:val="24"/>
          <w:szCs w:val="24"/>
        </w:rPr>
        <w:t>Земеделски дейности, причиняващи дифузно замърсяване на повърхностни или подземни води).</w:t>
      </w:r>
      <w:r w:rsidRPr="00A8783E">
        <w:rPr>
          <w:rFonts w:ascii="Times New Roman" w:hAnsi="Times New Roman"/>
          <w:sz w:val="24"/>
          <w:szCs w:val="24"/>
        </w:rPr>
        <w:t xml:space="preserve"> Заплахите </w:t>
      </w:r>
      <w:r w:rsidRPr="00A8783E">
        <w:rPr>
          <w:rFonts w:ascii="Times New Roman" w:hAnsi="Times New Roman"/>
          <w:sz w:val="24"/>
          <w:szCs w:val="24"/>
          <w:lang w:val="en-US"/>
        </w:rPr>
        <w:t>C</w:t>
      </w:r>
      <w:r w:rsidRPr="00A8783E">
        <w:rPr>
          <w:rFonts w:ascii="Times New Roman" w:hAnsi="Times New Roman"/>
          <w:sz w:val="24"/>
          <w:szCs w:val="24"/>
        </w:rPr>
        <w:t xml:space="preserve">03, </w:t>
      </w:r>
      <w:r w:rsidRPr="00A8783E">
        <w:rPr>
          <w:rFonts w:ascii="Times New Roman" w:hAnsi="Times New Roman"/>
          <w:sz w:val="24"/>
          <w:szCs w:val="24"/>
          <w:lang w:val="en-US"/>
        </w:rPr>
        <w:t>D</w:t>
      </w:r>
      <w:r w:rsidRPr="00A8783E">
        <w:rPr>
          <w:rFonts w:ascii="Times New Roman" w:hAnsi="Times New Roman"/>
          <w:sz w:val="24"/>
          <w:szCs w:val="24"/>
        </w:rPr>
        <w:t xml:space="preserve">02, </w:t>
      </w:r>
      <w:r w:rsidRPr="00A8783E">
        <w:rPr>
          <w:rFonts w:ascii="Times New Roman" w:hAnsi="Times New Roman"/>
          <w:sz w:val="24"/>
          <w:szCs w:val="24"/>
          <w:lang w:val="en-US"/>
        </w:rPr>
        <w:t>E</w:t>
      </w:r>
      <w:r w:rsidRPr="00A8783E">
        <w:rPr>
          <w:rFonts w:ascii="Times New Roman" w:hAnsi="Times New Roman"/>
          <w:sz w:val="24"/>
          <w:szCs w:val="24"/>
        </w:rPr>
        <w:t xml:space="preserve">01, </w:t>
      </w:r>
      <w:r w:rsidRPr="00A8783E">
        <w:rPr>
          <w:rFonts w:ascii="Times New Roman" w:hAnsi="Times New Roman"/>
          <w:sz w:val="24"/>
          <w:szCs w:val="24"/>
          <w:lang w:val="en-US"/>
        </w:rPr>
        <w:t>H</w:t>
      </w:r>
      <w:r w:rsidRPr="00A8783E">
        <w:rPr>
          <w:rFonts w:ascii="Times New Roman" w:hAnsi="Times New Roman"/>
          <w:sz w:val="24"/>
          <w:szCs w:val="24"/>
        </w:rPr>
        <w:t>01, J03, A02, F03, L07 в докладването по чл. 12 нямат отношение към вида в зоната.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190"/>
        <w:gridCol w:w="1276"/>
        <w:gridCol w:w="2693"/>
        <w:gridCol w:w="2376"/>
      </w:tblGrid>
      <w:tr w:rsidR="00A8783E" w:rsidRPr="00A8783E" w:rsidTr="005B5318">
        <w:trPr>
          <w:tblHeader/>
          <w:jc w:val="center"/>
        </w:trPr>
        <w:tc>
          <w:tcPr>
            <w:tcW w:w="1753" w:type="dxa"/>
            <w:shd w:val="clear" w:color="auto" w:fill="DBE5F1"/>
            <w:vAlign w:val="center"/>
          </w:tcPr>
          <w:p w:rsidR="00A8783E" w:rsidRPr="00A8783E" w:rsidRDefault="00A8783E" w:rsidP="00A8783E">
            <w:pPr>
              <w:spacing w:after="160" w:line="259" w:lineRule="auto"/>
              <w:jc w:val="center"/>
              <w:rPr>
                <w:rFonts w:ascii="Times New Roman" w:hAnsi="Times New Roman"/>
                <w:b/>
                <w:bCs/>
              </w:rPr>
            </w:pPr>
            <w:r w:rsidRPr="00A8783E">
              <w:rPr>
                <w:rFonts w:ascii="Times New Roman" w:hAnsi="Times New Roman"/>
                <w:b/>
                <w:bCs/>
              </w:rPr>
              <w:t>Параметър</w:t>
            </w:r>
          </w:p>
        </w:tc>
        <w:tc>
          <w:tcPr>
            <w:tcW w:w="1190" w:type="dxa"/>
            <w:shd w:val="clear" w:color="auto" w:fill="DBE5F1"/>
            <w:vAlign w:val="center"/>
          </w:tcPr>
          <w:p w:rsidR="00A8783E" w:rsidRPr="00A8783E" w:rsidRDefault="00A8783E" w:rsidP="00A8783E">
            <w:pPr>
              <w:spacing w:after="160" w:line="259" w:lineRule="auto"/>
              <w:jc w:val="center"/>
              <w:rPr>
                <w:rFonts w:ascii="Times New Roman" w:hAnsi="Times New Roman"/>
                <w:b/>
                <w:bCs/>
              </w:rPr>
            </w:pPr>
            <w:r w:rsidRPr="00A8783E">
              <w:rPr>
                <w:rFonts w:ascii="Times New Roman" w:hAnsi="Times New Roman"/>
                <w:b/>
                <w:bCs/>
              </w:rPr>
              <w:t>Мерна единица</w:t>
            </w:r>
          </w:p>
        </w:tc>
        <w:tc>
          <w:tcPr>
            <w:tcW w:w="1276" w:type="dxa"/>
            <w:shd w:val="clear" w:color="auto" w:fill="DBE5F1"/>
            <w:vAlign w:val="center"/>
          </w:tcPr>
          <w:p w:rsidR="00A8783E" w:rsidRPr="00A8783E" w:rsidRDefault="00A8783E" w:rsidP="00A8783E">
            <w:pPr>
              <w:spacing w:after="160" w:line="259" w:lineRule="auto"/>
              <w:jc w:val="center"/>
              <w:rPr>
                <w:rFonts w:ascii="Times New Roman" w:hAnsi="Times New Roman"/>
                <w:b/>
                <w:bCs/>
              </w:rPr>
            </w:pPr>
            <w:r w:rsidRPr="00A8783E">
              <w:rPr>
                <w:rFonts w:ascii="Times New Roman" w:hAnsi="Times New Roman"/>
                <w:b/>
                <w:bCs/>
              </w:rPr>
              <w:t>Целева стойност</w:t>
            </w:r>
          </w:p>
        </w:tc>
        <w:tc>
          <w:tcPr>
            <w:tcW w:w="2693" w:type="dxa"/>
            <w:shd w:val="clear" w:color="auto" w:fill="DBE5F1"/>
            <w:vAlign w:val="center"/>
          </w:tcPr>
          <w:p w:rsidR="00A8783E" w:rsidRPr="00A8783E" w:rsidRDefault="00A8783E" w:rsidP="00A8783E">
            <w:pPr>
              <w:spacing w:after="160" w:line="259" w:lineRule="auto"/>
              <w:jc w:val="center"/>
              <w:rPr>
                <w:rFonts w:ascii="Times New Roman" w:hAnsi="Times New Roman"/>
                <w:b/>
                <w:bCs/>
              </w:rPr>
            </w:pPr>
            <w:r w:rsidRPr="00A8783E">
              <w:rPr>
                <w:rFonts w:ascii="Times New Roman" w:hAnsi="Times New Roman"/>
                <w:b/>
                <w:bCs/>
              </w:rPr>
              <w:t>Допълнителна информация</w:t>
            </w:r>
          </w:p>
        </w:tc>
        <w:tc>
          <w:tcPr>
            <w:tcW w:w="2376" w:type="dxa"/>
            <w:shd w:val="clear" w:color="auto" w:fill="DBE5F1"/>
            <w:vAlign w:val="center"/>
          </w:tcPr>
          <w:p w:rsidR="00A8783E" w:rsidRPr="00A8783E" w:rsidRDefault="00A8783E" w:rsidP="00A8783E">
            <w:pPr>
              <w:spacing w:after="160" w:line="259" w:lineRule="auto"/>
              <w:jc w:val="center"/>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jc w:val="center"/>
        </w:trPr>
        <w:tc>
          <w:tcPr>
            <w:tcW w:w="1753" w:type="dxa"/>
          </w:tcPr>
          <w:p w:rsidR="00A8783E" w:rsidRPr="00A8783E" w:rsidRDefault="00A8783E" w:rsidP="00A8783E">
            <w:pPr>
              <w:spacing w:after="120" w:line="240" w:lineRule="auto"/>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гнездящата популация</w:t>
            </w:r>
          </w:p>
        </w:tc>
        <w:tc>
          <w:tcPr>
            <w:tcW w:w="1190"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Брой двойки</w:t>
            </w:r>
          </w:p>
        </w:tc>
        <w:tc>
          <w:tcPr>
            <w:tcW w:w="1276"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Най-малко 1 дв.</w:t>
            </w:r>
          </w:p>
        </w:tc>
        <w:tc>
          <w:tcPr>
            <w:tcW w:w="2693"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Определена на база СФ и наблюденията на вида в близост до зоната през гнездовия период на 2021 г. с численост 1 инд.</w:t>
            </w:r>
          </w:p>
        </w:tc>
        <w:tc>
          <w:tcPr>
            <w:tcW w:w="2376"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Поддържане гнездовата популация на вида в размер от най-малко 1 дв. чрез построяване на изкуствени гнезда върху стари тополови дървета за привличането му към гнездене в зоната.</w:t>
            </w:r>
          </w:p>
        </w:tc>
      </w:tr>
      <w:tr w:rsidR="00A8783E" w:rsidRPr="00A8783E" w:rsidTr="005B5318">
        <w:trPr>
          <w:jc w:val="center"/>
        </w:trPr>
        <w:tc>
          <w:tcPr>
            <w:tcW w:w="1753"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b/>
                <w:bCs/>
              </w:rPr>
              <w:t>Популация</w:t>
            </w:r>
            <w:r w:rsidRPr="00A8783E">
              <w:rPr>
                <w:rFonts w:ascii="Times New Roman" w:hAnsi="Times New Roman"/>
              </w:rPr>
              <w:t>: Размер на зимуващата популация</w:t>
            </w:r>
          </w:p>
        </w:tc>
        <w:tc>
          <w:tcPr>
            <w:tcW w:w="1190"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Брой индивиди</w:t>
            </w:r>
          </w:p>
        </w:tc>
        <w:tc>
          <w:tcPr>
            <w:tcW w:w="1276"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Най-малко 1 инд.</w:t>
            </w:r>
          </w:p>
        </w:tc>
        <w:tc>
          <w:tcPr>
            <w:tcW w:w="2693"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Определена на база данните от СЗП през 2019 и 2020 г. Количеството на зимуващите птици силно зависи от метеорологичните условия и най-вече от температурните стойности през януари. При средни температури около 0° С или с отрицателен знак, се очаква целевата стойност да бъде изпълнена.</w:t>
            </w:r>
          </w:p>
        </w:tc>
        <w:tc>
          <w:tcPr>
            <w:tcW w:w="2376"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При средни температури около 0°С или с отрицателен знак, се очаква зимуващата популация да е ≥ 1 инд.</w:t>
            </w:r>
          </w:p>
        </w:tc>
      </w:tr>
      <w:tr w:rsidR="00A8783E" w:rsidRPr="00A8783E" w:rsidTr="005B5318">
        <w:trPr>
          <w:jc w:val="center"/>
        </w:trPr>
        <w:tc>
          <w:tcPr>
            <w:tcW w:w="1753"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b/>
                <w:bCs/>
              </w:rPr>
              <w:t>Местообитание на вида</w:t>
            </w:r>
            <w:r w:rsidRPr="00A8783E">
              <w:rPr>
                <w:rFonts w:ascii="Times New Roman" w:hAnsi="Times New Roman"/>
              </w:rPr>
              <w:t xml:space="preserve">: Площ на подходящите хранителни местообитания на вида </w:t>
            </w:r>
          </w:p>
        </w:tc>
        <w:tc>
          <w:tcPr>
            <w:tcW w:w="1190" w:type="dxa"/>
          </w:tcPr>
          <w:p w:rsidR="00A8783E" w:rsidRPr="00A8783E" w:rsidRDefault="00A8783E" w:rsidP="00A8783E">
            <w:pPr>
              <w:spacing w:after="120" w:line="240" w:lineRule="auto"/>
              <w:rPr>
                <w:rFonts w:ascii="Times New Roman" w:hAnsi="Times New Roman"/>
                <w:lang w:val="en-US"/>
              </w:rPr>
            </w:pPr>
            <w:r w:rsidRPr="00A8783E">
              <w:rPr>
                <w:rFonts w:ascii="Times New Roman" w:hAnsi="Times New Roman"/>
                <w:lang w:val="en-US"/>
              </w:rPr>
              <w:t>ha</w:t>
            </w:r>
          </w:p>
        </w:tc>
        <w:tc>
          <w:tcPr>
            <w:tcW w:w="1276"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Най-малко 840</w:t>
            </w:r>
          </w:p>
        </w:tc>
        <w:tc>
          <w:tcPr>
            <w:tcW w:w="2693"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 xml:space="preserve">Определена въз основа на  % от общата площ на СЗЗ с местообитания </w:t>
            </w:r>
            <w:r w:rsidRPr="00A8783E">
              <w:rPr>
                <w:rFonts w:ascii="Times New Roman" w:hAnsi="Times New Roman"/>
                <w:lang w:val="en-US"/>
              </w:rPr>
              <w:t>N</w:t>
            </w:r>
            <w:r w:rsidRPr="00A8783E">
              <w:rPr>
                <w:rFonts w:ascii="Times New Roman" w:hAnsi="Times New Roman"/>
              </w:rPr>
              <w:t xml:space="preserve">06-вътрешни водни тела, </w:t>
            </w:r>
            <w:r w:rsidRPr="00A8783E">
              <w:rPr>
                <w:rFonts w:ascii="Times New Roman" w:hAnsi="Times New Roman"/>
                <w:lang w:val="en-US"/>
              </w:rPr>
              <w:t>N</w:t>
            </w:r>
            <w:r w:rsidRPr="00A8783E">
              <w:rPr>
                <w:rFonts w:ascii="Times New Roman" w:hAnsi="Times New Roman"/>
              </w:rPr>
              <w:t>07-мочурища и блата, където се очаква да има струпване на водолюбиви птици (плячка).</w:t>
            </w:r>
          </w:p>
        </w:tc>
        <w:tc>
          <w:tcPr>
            <w:tcW w:w="2376"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най-малко 840 ha чрез поддържане на оптимално ниво на водата в езерото.</w:t>
            </w:r>
          </w:p>
        </w:tc>
      </w:tr>
      <w:tr w:rsidR="00A8783E" w:rsidRPr="00A8783E" w:rsidTr="005B5318">
        <w:trPr>
          <w:jc w:val="center"/>
        </w:trPr>
        <w:tc>
          <w:tcPr>
            <w:tcW w:w="1753"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b/>
                <w:bCs/>
              </w:rPr>
              <w:t>Местообитание на вида</w:t>
            </w:r>
            <w:r w:rsidRPr="00A8783E">
              <w:rPr>
                <w:rFonts w:ascii="Times New Roman" w:hAnsi="Times New Roman"/>
              </w:rPr>
              <w:t>: Наличие на едроразмерни/ биотопни дървета, в групи</w:t>
            </w:r>
          </w:p>
        </w:tc>
        <w:tc>
          <w:tcPr>
            <w:tcW w:w="1190"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Брой дървета на ha, в група</w:t>
            </w:r>
          </w:p>
        </w:tc>
        <w:tc>
          <w:tcPr>
            <w:tcW w:w="1276"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Най-малко 5 броя на ha, в група</w:t>
            </w:r>
          </w:p>
        </w:tc>
        <w:tc>
          <w:tcPr>
            <w:tcW w:w="2693"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Целевата стойност на показателя е съобразена с посочената в Наредба № 8 от 05.08.2011 г. за сечите в горите, обновена от 29.09.2020 г.</w:t>
            </w:r>
          </w:p>
        </w:tc>
        <w:tc>
          <w:tcPr>
            <w:tcW w:w="2376"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Поддържане на състоянието по този параметър. Запазване на стари тополови дървета в рамките на зоната. Редовен мониторинг.</w:t>
            </w:r>
          </w:p>
        </w:tc>
      </w:tr>
    </w:tbl>
    <w:p w:rsidR="00A8783E" w:rsidRPr="00A8783E" w:rsidRDefault="00A8783E" w:rsidP="00A8783E">
      <w:pPr>
        <w:spacing w:after="160" w:line="259" w:lineRule="auto"/>
        <w:jc w:val="both"/>
        <w:rPr>
          <w:rFonts w:ascii="Times New Roman" w:hAnsi="Times New Roman"/>
          <w:color w:val="000000"/>
          <w:sz w:val="24"/>
          <w:szCs w:val="24"/>
        </w:rPr>
      </w:pPr>
    </w:p>
    <w:p w:rsidR="00A8783E" w:rsidRPr="00A8783E" w:rsidRDefault="00A8783E" w:rsidP="00A8783E">
      <w:pPr>
        <w:spacing w:after="160" w:line="259" w:lineRule="auto"/>
        <w:rPr>
          <w:rFonts w:ascii="Times New Roman" w:hAnsi="Times New Roman"/>
          <w:b/>
          <w:bCs/>
          <w:sz w:val="24"/>
          <w:szCs w:val="24"/>
        </w:rPr>
      </w:pPr>
      <w:r w:rsidRPr="00A8783E">
        <w:rPr>
          <w:rFonts w:ascii="Times New Roman" w:hAnsi="Times New Roman"/>
          <w:b/>
          <w:bCs/>
          <w:sz w:val="24"/>
          <w:szCs w:val="24"/>
        </w:rPr>
        <w:lastRenderedPageBreak/>
        <w:t>6. Необходимост от промени в СФ за (СЗЗ) BG0000241 „Сребърна“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Не е необходимо промени в СФ.</w:t>
      </w:r>
    </w:p>
    <w:p w:rsidR="00A8783E" w:rsidRPr="00A8783E" w:rsidRDefault="00A8783E" w:rsidP="00A8783E">
      <w:pPr>
        <w:spacing w:after="160" w:line="259" w:lineRule="auto"/>
      </w:pPr>
    </w:p>
    <w:p w:rsidR="00A8783E" w:rsidRPr="00A8783E" w:rsidRDefault="00A8783E" w:rsidP="00A8783E">
      <w:pPr>
        <w:keepNext/>
        <w:keepLines/>
        <w:spacing w:before="120" w:after="120" w:line="240" w:lineRule="auto"/>
        <w:outlineLvl w:val="1"/>
        <w:rPr>
          <w:rFonts w:ascii="Times New Roman" w:hAnsi="Times New Roman"/>
          <w:color w:val="1F497D"/>
          <w:sz w:val="28"/>
          <w:szCs w:val="28"/>
        </w:rPr>
      </w:pPr>
      <w:bookmarkStart w:id="255" w:name="_Toc89106099"/>
      <w:bookmarkStart w:id="256" w:name="_Toc98741938"/>
      <w:bookmarkStart w:id="257" w:name="_Toc98838613"/>
      <w:r w:rsidRPr="00A8783E">
        <w:rPr>
          <w:rFonts w:ascii="Times New Roman" w:hAnsi="Times New Roman"/>
          <w:color w:val="1F497D"/>
          <w:sz w:val="28"/>
          <w:szCs w:val="28"/>
        </w:rPr>
        <w:t xml:space="preserve">Специфични цели за A080 </w:t>
      </w:r>
      <w:r w:rsidRPr="00A8783E">
        <w:rPr>
          <w:rFonts w:ascii="Times New Roman" w:hAnsi="Times New Roman"/>
          <w:i/>
          <w:iCs/>
          <w:color w:val="1F497D"/>
          <w:sz w:val="28"/>
          <w:szCs w:val="28"/>
        </w:rPr>
        <w:t>Circaetus gallicus</w:t>
      </w:r>
      <w:r w:rsidRPr="00A8783E">
        <w:rPr>
          <w:rFonts w:ascii="Times New Roman" w:hAnsi="Times New Roman"/>
          <w:color w:val="1F497D"/>
          <w:sz w:val="28"/>
          <w:szCs w:val="28"/>
        </w:rPr>
        <w:t xml:space="preserve"> (орел змияр)</w:t>
      </w:r>
      <w:bookmarkEnd w:id="255"/>
      <w:bookmarkEnd w:id="256"/>
      <w:bookmarkEnd w:id="257"/>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Дължина на тялото: 62 – 68 </w:t>
      </w:r>
      <w:r w:rsidRPr="00A8783E">
        <w:rPr>
          <w:rFonts w:ascii="Times New Roman" w:hAnsi="Times New Roman"/>
          <w:color w:val="000000"/>
          <w:sz w:val="24"/>
          <w:szCs w:val="24"/>
          <w:lang w:val="en-US"/>
        </w:rPr>
        <w:t>cm</w:t>
      </w:r>
      <w:r w:rsidRPr="00A8783E">
        <w:rPr>
          <w:rFonts w:ascii="Times New Roman" w:hAnsi="Times New Roman"/>
          <w:color w:val="000000"/>
          <w:sz w:val="24"/>
          <w:szCs w:val="24"/>
        </w:rPr>
        <w:t xml:space="preserve">. Размах на крилата: 185 – 195 </w:t>
      </w:r>
      <w:r w:rsidRPr="00A8783E">
        <w:rPr>
          <w:rFonts w:ascii="Times New Roman" w:hAnsi="Times New Roman"/>
          <w:color w:val="000000"/>
          <w:sz w:val="24"/>
          <w:szCs w:val="24"/>
          <w:lang w:val="en-US"/>
        </w:rPr>
        <w:t>cm</w:t>
      </w:r>
      <w:r w:rsidRPr="00A8783E">
        <w:rPr>
          <w:rFonts w:ascii="Times New Roman" w:hAnsi="Times New Roman"/>
          <w:color w:val="000000"/>
          <w:sz w:val="24"/>
          <w:szCs w:val="24"/>
        </w:rPr>
        <w:t>. Едра граблива птица с дълги и широки крила и голяма глава. Опашката е дълга с няколко тъмни напречни препаски. Гръбната страна на тялото тъмна, а долната бяла с тъмни напетнявания по гушата и гърдите. При някои млади индивиди отдолу липсват напетняванията и гушата също е по-светла, поради което изглеждат изцяло бели. Среща се по единично или на двойки. При ловуване често „увисва“ във въздуха (Симеонов и др., 1990).</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За България видът е гнездящо-прелетен и преминаващ. Числеността му е оценена на 50–100 двойки, което вероятно е занижена оценка предвид откритите голям брой нови находища след 1990 г. Числеността му се оценява на 300–360 двойки. Гнезди по дървета, основно широколистни (Стойчев и др., в Червена книга на Р България, 2015; Симеонов и др., 1990). Орелът змияр е прелетен вид с разтеглена във времето миграция, но с най-голям брой прелитащи индивиди през септември и април. Пролетната миграция започва от средата на  март и продължава до средата на май, а есенната – от втората половина на август до края на октомври. Като се има в предвид, че видът мигрира през територията на цялата страна, то общият брой на прелетниците по време на пролетна миграция може да се оцени на около 600 индивида. По време на есенна миграция през България са установени да прелитат поне 1100 орли змияри (2012 г.), от които 250 – при Атанасовско езеро (Матеева, 2013). </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Гнезди в стари разредени широколистни и рядко в иглолистни гори с малки поляни в близост до сухи пустеещи терени, ерозирани склонове, пасища, ливади. Откритите местообитания се използват за търсене на плячка, а в горите видът гнезди. По време на миграция се среща и в открити обработваеми площи с единични дървета в равнини (Симеонов и др., 1990). Характеристики на гнездовото местообитание: широколистни, иглолистни или смесени гори с дървета на възраст по-голяма от 80 години, с южно изложени; горските участъци трябва да са с площ по-голяма от 0,1 </w:t>
      </w:r>
      <w:r w:rsidRPr="00A8783E">
        <w:rPr>
          <w:rFonts w:ascii="Times New Roman" w:hAnsi="Times New Roman"/>
          <w:color w:val="000000"/>
          <w:sz w:val="24"/>
          <w:szCs w:val="24"/>
          <w:lang w:val="en-US"/>
        </w:rPr>
        <w:t>ha</w:t>
      </w:r>
      <w:r w:rsidRPr="00A8783E">
        <w:rPr>
          <w:rFonts w:ascii="Times New Roman" w:hAnsi="Times New Roman"/>
          <w:color w:val="000000"/>
          <w:sz w:val="24"/>
          <w:szCs w:val="24"/>
        </w:rPr>
        <w:t xml:space="preserve"> и гъстотата на дърветата да не е голяма (около 146 дървета на 0,4 </w:t>
      </w:r>
      <w:r w:rsidRPr="00A8783E">
        <w:rPr>
          <w:rFonts w:ascii="Times New Roman" w:hAnsi="Times New Roman"/>
          <w:color w:val="000000"/>
          <w:sz w:val="24"/>
          <w:szCs w:val="24"/>
          <w:lang w:val="en-US"/>
        </w:rPr>
        <w:t>ha</w:t>
      </w:r>
      <w:r w:rsidRPr="00A8783E">
        <w:rPr>
          <w:rFonts w:ascii="Times New Roman" w:hAnsi="Times New Roman"/>
          <w:color w:val="000000"/>
          <w:sz w:val="24"/>
          <w:szCs w:val="24"/>
        </w:rPr>
        <w:t xml:space="preserve">); 12,7 </w:t>
      </w:r>
      <w:r w:rsidRPr="00A8783E">
        <w:rPr>
          <w:rFonts w:ascii="Times New Roman" w:hAnsi="Times New Roman"/>
          <w:color w:val="000000"/>
          <w:sz w:val="24"/>
          <w:szCs w:val="24"/>
          <w:lang w:val="en-US"/>
        </w:rPr>
        <w:t>m</w:t>
      </w:r>
      <w:r w:rsidRPr="00A8783E">
        <w:rPr>
          <w:rFonts w:ascii="Times New Roman" w:hAnsi="Times New Roman"/>
          <w:color w:val="000000"/>
          <w:sz w:val="24"/>
          <w:szCs w:val="24"/>
        </w:rPr>
        <w:t xml:space="preserve">. средна височина на дърветата, където се разполагат гнездата; повече от 40 см. дебелина на ствола на дърветата измерена на височината на гърдите. Разстоянието между две активни гнезда е 2 </w:t>
      </w:r>
      <w:r w:rsidRPr="00A8783E">
        <w:rPr>
          <w:rFonts w:ascii="Times New Roman" w:hAnsi="Times New Roman"/>
          <w:color w:val="000000"/>
          <w:sz w:val="24"/>
          <w:szCs w:val="24"/>
          <w:lang w:val="en-US"/>
        </w:rPr>
        <w:t>km</w:t>
      </w:r>
      <w:r w:rsidRPr="00A8783E">
        <w:rPr>
          <w:rFonts w:ascii="Times New Roman" w:hAnsi="Times New Roman"/>
          <w:color w:val="000000"/>
          <w:sz w:val="24"/>
          <w:szCs w:val="24"/>
        </w:rPr>
        <w:t xml:space="preserve">. В територията на гнездото трябва да се намират и подходящи места за търсене на храна. Характеристики на мястото за хранене: открити местообитания – сухи тревисти места, пасища, обработваеми земи с площ повече от 0,5 </w:t>
      </w:r>
      <w:r w:rsidRPr="00A8783E">
        <w:rPr>
          <w:rFonts w:ascii="Times New Roman" w:hAnsi="Times New Roman"/>
          <w:color w:val="000000"/>
          <w:sz w:val="24"/>
          <w:szCs w:val="24"/>
          <w:lang w:val="en-US"/>
        </w:rPr>
        <w:t>ha</w:t>
      </w:r>
      <w:r w:rsidRPr="00A8783E">
        <w:rPr>
          <w:rFonts w:ascii="Times New Roman" w:hAnsi="Times New Roman"/>
          <w:color w:val="000000"/>
          <w:sz w:val="24"/>
          <w:szCs w:val="24"/>
        </w:rPr>
        <w:t xml:space="preserve">, където видът ловува влечуги, с които се изхранва (Barrientos and Arroyo, 2014; Vlachos and Papageorgiou, 1994; Bakaloudis et al., 2001; Bakaloudis, 2009; Cauli et al., 2021). В редица Европейски държави е отчетена различна гнездова плътност: в Гърция в гората Дадя е установена гнездова плътност от 5,9-7,3 дв./100 </w:t>
      </w:r>
      <w:r w:rsidRPr="00A8783E">
        <w:rPr>
          <w:rFonts w:ascii="Times New Roman" w:hAnsi="Times New Roman"/>
          <w:color w:val="000000"/>
          <w:sz w:val="24"/>
          <w:szCs w:val="24"/>
          <w:lang w:val="en-US"/>
        </w:rPr>
        <w:t>km</w:t>
      </w:r>
      <w:r w:rsidRPr="00A8783E">
        <w:rPr>
          <w:rFonts w:ascii="Times New Roman" w:hAnsi="Times New Roman"/>
          <w:color w:val="000000"/>
          <w:sz w:val="24"/>
          <w:szCs w:val="24"/>
          <w:vertAlign w:val="superscript"/>
        </w:rPr>
        <w:t>2</w:t>
      </w:r>
      <w:r w:rsidRPr="00A8783E">
        <w:rPr>
          <w:rFonts w:ascii="Times New Roman" w:hAnsi="Times New Roman"/>
          <w:color w:val="000000"/>
          <w:sz w:val="24"/>
          <w:szCs w:val="24"/>
        </w:rPr>
        <w:t xml:space="preserve"> (Vlachos and Papageorgiou, 1994); в Южна Македония е установена гнездова плътност от 1 дв./20,3 </w:t>
      </w:r>
      <w:r w:rsidRPr="00A8783E">
        <w:rPr>
          <w:rFonts w:ascii="Times New Roman" w:hAnsi="Times New Roman"/>
          <w:color w:val="000000"/>
          <w:sz w:val="24"/>
          <w:szCs w:val="24"/>
          <w:lang w:val="en-US"/>
        </w:rPr>
        <w:t>km</w:t>
      </w:r>
      <w:r w:rsidRPr="00A8783E">
        <w:rPr>
          <w:rFonts w:ascii="Times New Roman" w:hAnsi="Times New Roman"/>
          <w:color w:val="000000"/>
          <w:sz w:val="24"/>
          <w:szCs w:val="24"/>
          <w:vertAlign w:val="superscript"/>
        </w:rPr>
        <w:t>2</w:t>
      </w:r>
      <w:r w:rsidRPr="00A8783E">
        <w:rPr>
          <w:rFonts w:ascii="Times New Roman" w:hAnsi="Times New Roman"/>
          <w:color w:val="000000"/>
          <w:sz w:val="24"/>
          <w:szCs w:val="24"/>
        </w:rPr>
        <w:t xml:space="preserve"> (Velevski and Grubaи, 2008); в Испания – 11,8 дв./100 </w:t>
      </w:r>
      <w:r w:rsidRPr="00A8783E">
        <w:rPr>
          <w:rFonts w:ascii="Times New Roman" w:hAnsi="Times New Roman"/>
          <w:color w:val="000000"/>
          <w:sz w:val="24"/>
          <w:szCs w:val="24"/>
          <w:lang w:val="en-US"/>
        </w:rPr>
        <w:t>km</w:t>
      </w:r>
      <w:r w:rsidRPr="00A8783E">
        <w:rPr>
          <w:rFonts w:ascii="Times New Roman" w:hAnsi="Times New Roman"/>
          <w:color w:val="000000"/>
          <w:sz w:val="24"/>
          <w:szCs w:val="24"/>
          <w:vertAlign w:val="superscript"/>
        </w:rPr>
        <w:t>2</w:t>
      </w:r>
      <w:r w:rsidRPr="00A8783E">
        <w:rPr>
          <w:rFonts w:ascii="Times New Roman" w:hAnsi="Times New Roman"/>
          <w:color w:val="000000"/>
          <w:sz w:val="24"/>
          <w:szCs w:val="24"/>
        </w:rPr>
        <w:t xml:space="preserve">; в Италия – 2,1 дв./100 </w:t>
      </w:r>
      <w:r w:rsidRPr="00A8783E">
        <w:rPr>
          <w:rFonts w:ascii="Times New Roman" w:hAnsi="Times New Roman"/>
          <w:color w:val="000000"/>
          <w:sz w:val="24"/>
          <w:szCs w:val="24"/>
          <w:lang w:val="en-US"/>
        </w:rPr>
        <w:t>km</w:t>
      </w:r>
      <w:r w:rsidRPr="00A8783E">
        <w:rPr>
          <w:rFonts w:ascii="Times New Roman" w:hAnsi="Times New Roman"/>
          <w:color w:val="000000"/>
          <w:sz w:val="24"/>
          <w:szCs w:val="24"/>
          <w:vertAlign w:val="superscript"/>
        </w:rPr>
        <w:t>2</w:t>
      </w:r>
      <w:r w:rsidRPr="00A8783E">
        <w:rPr>
          <w:rFonts w:ascii="Times New Roman" w:hAnsi="Times New Roman"/>
          <w:color w:val="000000"/>
          <w:sz w:val="24"/>
          <w:szCs w:val="24"/>
        </w:rPr>
        <w:t xml:space="preserve">; </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Хранене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lastRenderedPageBreak/>
        <w:t xml:space="preserve">Храни се предимно със змии, гущери и жаби, по-рядко с дребни бозайници и насекоми (Симеонов и др., 1990).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b/>
          <w:bCs/>
          <w:color w:val="000000"/>
          <w:sz w:val="24"/>
          <w:szCs w:val="24"/>
        </w:rPr>
        <w:t>2.</w:t>
      </w:r>
      <w:r w:rsidRPr="00A8783E">
        <w:rPr>
          <w:rFonts w:ascii="Times New Roman" w:hAnsi="Times New Roman"/>
          <w:color w:val="000000"/>
          <w:sz w:val="24"/>
          <w:szCs w:val="24"/>
        </w:rPr>
        <w:t xml:space="preserve"> </w:t>
      </w:r>
      <w:r w:rsidRPr="00A8783E">
        <w:rPr>
          <w:rFonts w:ascii="Times New Roman" w:hAnsi="Times New Roman"/>
          <w:b/>
          <w:bCs/>
          <w:color w:val="000000"/>
          <w:sz w:val="24"/>
          <w:szCs w:val="24"/>
        </w:rPr>
        <w:t>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Разпръснато и групово в цялата страна, по-плътно в откритите, сухи и богати на влечуги райони. Основно в хълмистите и нископланински части на страната – Източните Родoпи, Сакар, Дервентски възвишения, Странджа, Средна гора, Източна Стара планина, Предбалкана, Лудогорието. Единични двойки са регистрирани и в по-високите планини и равнините – Рила, Пирин, Западните гранични планини, Тракийската низина, Дунавската равнина (Янков, отг. ред., 2007; Стойчев и др., в Червена книга на Р България, 2015).</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IUCN за територията на континентална Европа както и за света видът е „слабо засегнат“ – LC (Least Concern). Включен в Червената книга на Р България със статус „застрашен“ VU (Vulnerable).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Съгласно докладването през 2019 г. (за периода 2013-2018 г.), видът се опазва като </w:t>
      </w:r>
      <w:r w:rsidRPr="00A8783E">
        <w:rPr>
          <w:rFonts w:ascii="Times New Roman" w:hAnsi="Times New Roman"/>
          <w:b/>
          <w:bCs/>
          <w:color w:val="000000"/>
          <w:sz w:val="24"/>
          <w:szCs w:val="24"/>
        </w:rPr>
        <w:t>гнездящ</w:t>
      </w:r>
      <w:r w:rsidRPr="00A8783E">
        <w:rPr>
          <w:rFonts w:ascii="Times New Roman" w:hAnsi="Times New Roman"/>
          <w:color w:val="000000"/>
          <w:sz w:val="24"/>
          <w:szCs w:val="24"/>
        </w:rPr>
        <w:t xml:space="preserve"> с популация между 300 и 450 двойки. Краткосрочната (2000-2018 г.) и дългосрочната (1980-2018 г.) популационни тенденции са увеличаващи се. Посочени са следните заплахи: B02, G05.</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b/>
          <w:bCs/>
          <w:color w:val="000000"/>
          <w:sz w:val="24"/>
          <w:szCs w:val="24"/>
        </w:rPr>
        <w:t>Мигриращата</w:t>
      </w:r>
      <w:r w:rsidRPr="00A8783E">
        <w:rPr>
          <w:rFonts w:ascii="Times New Roman" w:hAnsi="Times New Roman"/>
          <w:color w:val="000000"/>
          <w:sz w:val="24"/>
          <w:szCs w:val="24"/>
        </w:rPr>
        <w:t xml:space="preserve"> популация е оценена на 600 – 1500 индивида. Не са посочени тенденции в развитието на популацията. Посочени са следните заплахи: F03, B02, D06.</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В Червената книга (2015) като отрицателно действащи фактори са посочени едромащабното залесяване, голата сеч и пожарите; добиване на птици за изготвяне на препарати; смъртност, причинена от сблъскване с електрически стълбове и електропроводи, пряко преследване, безпокойство.</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 xml:space="preserve">3. Състояние в специална защитена зона </w:t>
      </w:r>
      <w:r w:rsidRPr="00A8783E">
        <w:rPr>
          <w:rFonts w:ascii="Times New Roman" w:hAnsi="Times New Roman"/>
          <w:b/>
          <w:bCs/>
          <w:sz w:val="24"/>
          <w:szCs w:val="24"/>
        </w:rPr>
        <w:t>BG0000241 „Сребърна“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Съгласно стандартния формуляр за данни на зоната вида е </w:t>
      </w:r>
      <w:r w:rsidRPr="00A8783E">
        <w:rPr>
          <w:rFonts w:ascii="Times New Roman" w:hAnsi="Times New Roman"/>
          <w:b/>
          <w:bCs/>
          <w:color w:val="000000"/>
          <w:sz w:val="24"/>
          <w:szCs w:val="24"/>
        </w:rPr>
        <w:t>мигриращ</w:t>
      </w:r>
      <w:r w:rsidRPr="00A8783E">
        <w:rPr>
          <w:rFonts w:ascii="Times New Roman" w:hAnsi="Times New Roman"/>
          <w:color w:val="000000"/>
          <w:sz w:val="24"/>
          <w:szCs w:val="24"/>
        </w:rPr>
        <w:t xml:space="preserve">, като популацията се оценява на </w:t>
      </w:r>
      <w:r w:rsidRPr="00A8783E">
        <w:rPr>
          <w:rFonts w:ascii="Times New Roman" w:hAnsi="Times New Roman"/>
          <w:b/>
          <w:bCs/>
          <w:color w:val="000000"/>
          <w:sz w:val="24"/>
          <w:szCs w:val="24"/>
        </w:rPr>
        <w:t>10 индивида</w:t>
      </w:r>
      <w:r w:rsidRPr="00A8783E">
        <w:rPr>
          <w:rFonts w:ascii="Times New Roman" w:hAnsi="Times New Roman"/>
          <w:color w:val="000000"/>
          <w:sz w:val="24"/>
          <w:szCs w:val="24"/>
        </w:rPr>
        <w:t>, което представлява 0,66 – 1,66%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Според Шурулинков и кол. (2005),</w:t>
      </w:r>
      <w:r w:rsidRPr="00A8783E">
        <w:rPr>
          <w:rFonts w:ascii="Times New Roman" w:hAnsi="Times New Roman"/>
          <w:color w:val="000000"/>
          <w:sz w:val="24"/>
          <w:szCs w:val="24"/>
        </w:rPr>
        <w:t xml:space="preserve"> в средна Дунавска равнина е по-чест по време на миграция.</w:t>
      </w:r>
      <w:r w:rsidRPr="00A8783E">
        <w:rPr>
          <w:rFonts w:ascii="Times New Roman" w:hAnsi="Times New Roman"/>
          <w:sz w:val="24"/>
          <w:szCs w:val="24"/>
        </w:rPr>
        <w:t xml:space="preserve"> Според Костадинова, Граматиков (2007), видът също присъства в зоната по време на миграция с 0-2 инд. </w:t>
      </w:r>
      <w:r w:rsidRPr="00A8783E">
        <w:rPr>
          <w:rFonts w:ascii="Times New Roman" w:hAnsi="Times New Roman"/>
          <w:color w:val="000000"/>
          <w:sz w:val="24"/>
          <w:szCs w:val="24"/>
        </w:rPr>
        <w:t>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е установено, че орела змияр мигрира на широк фронт над Северна България, като разпределението на птиците е относително равномерно, но не са установили птици от вида в зоната (Матеева и Янков, 2013).</w:t>
      </w:r>
      <w:r w:rsidRPr="00A8783E">
        <w:rPr>
          <w:rFonts w:ascii="Times New Roman" w:hAnsi="Times New Roman"/>
          <w:sz w:val="24"/>
          <w:szCs w:val="24"/>
        </w:rPr>
        <w:t xml:space="preserve"> Не са провеждани теренни проучвания по време на миграцианият сезон на 2021 г.</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По данни от eBird, видът е наблюдаван в зоната през юни 1985 г.- 1 инд., през септември 1985 г.- 2 инд., през септември 1986 г. – 1 инд., през септември 1988 г. – 1 инд., август 1991 г. -1 инд., май 2019 г. – 1 инд. и през юни 2019 г. – 1 инд. По данни от https://observation.org за 2020 и 2021 г., видът не е наблюдаван в зоната. Липсват други </w:t>
      </w:r>
      <w:r w:rsidRPr="00A8783E">
        <w:rPr>
          <w:rFonts w:ascii="Times New Roman" w:hAnsi="Times New Roman"/>
          <w:color w:val="000000"/>
          <w:sz w:val="24"/>
          <w:szCs w:val="24"/>
        </w:rPr>
        <w:lastRenderedPageBreak/>
        <w:t xml:space="preserve">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От посочените заплахи в докладването по чл. 12 от 2019 г. за мигриращата популация на вида в зоната единствено </w:t>
      </w:r>
      <w:r w:rsidRPr="00A8783E">
        <w:rPr>
          <w:rFonts w:ascii="Times New Roman" w:hAnsi="Times New Roman"/>
          <w:color w:val="000000"/>
          <w:sz w:val="24"/>
          <w:szCs w:val="24"/>
          <w:lang w:val="en-US"/>
        </w:rPr>
        <w:t>D</w:t>
      </w:r>
      <w:r w:rsidRPr="00A8783E">
        <w:rPr>
          <w:rFonts w:ascii="Times New Roman" w:hAnsi="Times New Roman"/>
          <w:color w:val="000000"/>
          <w:sz w:val="24"/>
          <w:szCs w:val="24"/>
        </w:rPr>
        <w:t>06-„Изграждане, експлоатация и поддръжка на съоръжения за пренос на електроенергия и комуникационна инфраструктура (кабели)“ може да има отношение към вида в зоната.</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5. Параметри за определяне на специфичните природозащитни цели за вида в зоната</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3"/>
        <w:gridCol w:w="1134"/>
        <w:gridCol w:w="1202"/>
        <w:gridCol w:w="2976"/>
        <w:gridCol w:w="2273"/>
      </w:tblGrid>
      <w:tr w:rsidR="00A8783E" w:rsidRPr="00A8783E" w:rsidTr="005B5318">
        <w:trPr>
          <w:tblHeader/>
          <w:jc w:val="center"/>
        </w:trPr>
        <w:tc>
          <w:tcPr>
            <w:tcW w:w="1633"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Мерна единица </w:t>
            </w:r>
          </w:p>
        </w:tc>
        <w:tc>
          <w:tcPr>
            <w:tcW w:w="1202"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Целева стойност </w:t>
            </w:r>
          </w:p>
        </w:tc>
        <w:tc>
          <w:tcPr>
            <w:tcW w:w="2976"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Допълнителна информация </w:t>
            </w:r>
          </w:p>
        </w:tc>
        <w:tc>
          <w:tcPr>
            <w:tcW w:w="2273"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Специфични за зоната цели за опазване </w:t>
            </w:r>
          </w:p>
        </w:tc>
      </w:tr>
      <w:tr w:rsidR="00A8783E" w:rsidRPr="00A8783E" w:rsidTr="005B5318">
        <w:trPr>
          <w:jc w:val="center"/>
        </w:trPr>
        <w:tc>
          <w:tcPr>
            <w:tcW w:w="1633"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Популация: Размер на мигриращата популацията</w:t>
            </w:r>
          </w:p>
        </w:tc>
        <w:tc>
          <w:tcPr>
            <w:tcW w:w="1134"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Брой индивиди</w:t>
            </w:r>
          </w:p>
        </w:tc>
        <w:tc>
          <w:tcPr>
            <w:tcW w:w="1202"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rPr>
              <w:t>Най-малко 10 инд.</w:t>
            </w:r>
          </w:p>
        </w:tc>
        <w:tc>
          <w:tcPr>
            <w:tcW w:w="2976"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rPr>
              <w:t xml:space="preserve">В СФ за концентрацията на вида по време на миграция в зоната е посочена минимална и максимална численост от 10 инд. Няма друга актуална информация за количеството на птиците и районите с концентрация на вида в зоната по време на миграция. </w:t>
            </w:r>
          </w:p>
        </w:tc>
        <w:tc>
          <w:tcPr>
            <w:tcW w:w="2273"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rPr>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jc w:val="center"/>
        </w:trPr>
        <w:tc>
          <w:tcPr>
            <w:tcW w:w="1633"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хранителни местообитания на вида</w:t>
            </w:r>
            <w:r w:rsidRPr="00A8783E">
              <w:rPr>
                <w:rFonts w:ascii="Times New Roman" w:hAnsi="Times New Roman"/>
                <w:b/>
                <w:bCs/>
              </w:rPr>
              <w:t xml:space="preserve"> </w:t>
            </w:r>
          </w:p>
        </w:tc>
        <w:tc>
          <w:tcPr>
            <w:tcW w:w="113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ha</w:t>
            </w:r>
          </w:p>
        </w:tc>
        <w:tc>
          <w:tcPr>
            <w:tcW w:w="1202"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най-малко 318</w:t>
            </w:r>
          </w:p>
        </w:tc>
        <w:tc>
          <w:tcPr>
            <w:tcW w:w="29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Определена на база на % участие на откритите местообитания в зоната: N</w:t>
            </w:r>
            <w:r w:rsidRPr="00A8783E">
              <w:rPr>
                <w:rFonts w:ascii="Times New Roman" w:hAnsi="Times New Roman"/>
                <w:lang w:val="ru-RU"/>
              </w:rPr>
              <w:t>08-</w:t>
            </w:r>
            <w:r w:rsidRPr="00A8783E">
              <w:rPr>
                <w:lang w:val="ru-RU"/>
              </w:rPr>
              <w:t xml:space="preserve"> </w:t>
            </w:r>
            <w:r w:rsidRPr="00A8783E">
              <w:rPr>
                <w:rFonts w:ascii="Times New Roman" w:hAnsi="Times New Roman"/>
                <w:lang w:val="ru-RU"/>
              </w:rPr>
              <w:t xml:space="preserve">Равнини, шубраци (130 </w:t>
            </w:r>
            <w:r w:rsidRPr="00A8783E">
              <w:rPr>
                <w:rFonts w:ascii="Times New Roman" w:hAnsi="Times New Roman"/>
              </w:rPr>
              <w:t>ha</w:t>
            </w:r>
            <w:r w:rsidRPr="00A8783E">
              <w:rPr>
                <w:rFonts w:ascii="Times New Roman" w:hAnsi="Times New Roman"/>
                <w:lang w:val="ru-RU"/>
              </w:rPr>
              <w:t xml:space="preserve">), </w:t>
            </w:r>
            <w:r w:rsidRPr="00A8783E">
              <w:rPr>
                <w:rFonts w:ascii="Times New Roman" w:hAnsi="Times New Roman"/>
              </w:rPr>
              <w:t>N</w:t>
            </w:r>
            <w:r w:rsidRPr="00A8783E">
              <w:rPr>
                <w:rFonts w:ascii="Times New Roman" w:hAnsi="Times New Roman"/>
                <w:lang w:val="ru-RU"/>
              </w:rPr>
              <w:t>09-</w:t>
            </w:r>
            <w:r w:rsidRPr="00A8783E">
              <w:rPr>
                <w:rFonts w:ascii="Times New Roman" w:hAnsi="Times New Roman"/>
              </w:rPr>
              <w:t>сухи ливади, степи</w:t>
            </w:r>
            <w:r w:rsidRPr="00A8783E">
              <w:rPr>
                <w:rFonts w:ascii="Times New Roman" w:hAnsi="Times New Roman"/>
                <w:lang w:val="ru-RU"/>
              </w:rPr>
              <w:t xml:space="preserve"> (116 </w:t>
            </w:r>
            <w:r w:rsidRPr="00A8783E">
              <w:rPr>
                <w:rFonts w:ascii="Times New Roman" w:hAnsi="Times New Roman"/>
              </w:rPr>
              <w:t>ha</w:t>
            </w:r>
            <w:r w:rsidRPr="00A8783E">
              <w:rPr>
                <w:rFonts w:ascii="Times New Roman" w:hAnsi="Times New Roman"/>
                <w:lang w:val="ru-RU"/>
              </w:rPr>
              <w:t>)</w:t>
            </w:r>
            <w:r w:rsidRPr="00A8783E">
              <w:rPr>
                <w:rFonts w:ascii="Times New Roman" w:hAnsi="Times New Roman"/>
              </w:rPr>
              <w:t>, N</w:t>
            </w:r>
            <w:r w:rsidRPr="00A8783E">
              <w:rPr>
                <w:rFonts w:ascii="Times New Roman" w:hAnsi="Times New Roman"/>
                <w:lang w:val="ru-RU"/>
              </w:rPr>
              <w:t>15-</w:t>
            </w:r>
            <w:r w:rsidRPr="00A8783E">
              <w:rPr>
                <w:rFonts w:ascii="Times New Roman" w:hAnsi="Times New Roman"/>
              </w:rPr>
              <w:t>други обработваеми земи</w:t>
            </w:r>
            <w:r w:rsidRPr="00A8783E">
              <w:rPr>
                <w:rFonts w:ascii="Times New Roman" w:hAnsi="Times New Roman"/>
                <w:lang w:val="ru-RU"/>
              </w:rPr>
              <w:t xml:space="preserve"> (72 </w:t>
            </w:r>
            <w:r w:rsidRPr="00A8783E">
              <w:rPr>
                <w:rFonts w:ascii="Times New Roman" w:hAnsi="Times New Roman"/>
              </w:rPr>
              <w:t>ha</w:t>
            </w:r>
            <w:r w:rsidRPr="00A8783E">
              <w:rPr>
                <w:rFonts w:ascii="Times New Roman" w:hAnsi="Times New Roman"/>
                <w:lang w:val="ru-RU"/>
              </w:rPr>
              <w:t>)</w:t>
            </w:r>
            <w:r w:rsidRPr="00A8783E">
              <w:rPr>
                <w:rFonts w:ascii="Times New Roman" w:hAnsi="Times New Roman"/>
              </w:rPr>
              <w:t>,   които вида използва за търсене на храна. Тяхната обща площ е 318 ha.</w:t>
            </w:r>
          </w:p>
        </w:tc>
        <w:tc>
          <w:tcPr>
            <w:tcW w:w="227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площта на откритите местообитания в зоната в размер най-малко 318 ha чрез опасване, окосяване, премахване на дървесно-храстова растителност в западните части на резервата. </w:t>
            </w:r>
          </w:p>
        </w:tc>
      </w:tr>
    </w:tbl>
    <w:p w:rsidR="00A8783E" w:rsidRPr="00A8783E" w:rsidRDefault="00A8783E" w:rsidP="00A8783E">
      <w:pPr>
        <w:spacing w:before="120" w:after="120" w:line="259" w:lineRule="auto"/>
        <w:jc w:val="both"/>
        <w:rPr>
          <w:rFonts w:ascii="Times New Roman" w:hAnsi="Times New Roman"/>
          <w:b/>
          <w:bCs/>
          <w:color w:val="000000"/>
          <w:sz w:val="24"/>
          <w:szCs w:val="24"/>
        </w:rPr>
      </w:pPr>
    </w:p>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t xml:space="preserve">6. Необходимост от промени в СФ </w:t>
      </w:r>
      <w:r w:rsidRPr="00A8783E">
        <w:rPr>
          <w:rFonts w:ascii="Times New Roman" w:hAnsi="Times New Roman"/>
          <w:b/>
          <w:bCs/>
          <w:sz w:val="24"/>
          <w:szCs w:val="24"/>
        </w:rPr>
        <w:t>BG0000241 „Сребърна“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Не е необходимо промени в СФ.</w:t>
      </w:r>
    </w:p>
    <w:p w:rsidR="00A8783E" w:rsidRPr="00A8783E" w:rsidRDefault="00A8783E" w:rsidP="00A8783E">
      <w:pPr>
        <w:keepNext/>
        <w:keepLines/>
        <w:spacing w:before="120" w:after="120" w:line="240" w:lineRule="auto"/>
        <w:outlineLvl w:val="1"/>
        <w:rPr>
          <w:rFonts w:ascii="Times New Roman" w:hAnsi="Times New Roman"/>
          <w:color w:val="1F497D"/>
          <w:sz w:val="28"/>
          <w:szCs w:val="28"/>
        </w:rPr>
      </w:pPr>
      <w:bookmarkStart w:id="258" w:name="_Toc89106100"/>
      <w:bookmarkStart w:id="259" w:name="_Toc98741939"/>
      <w:bookmarkStart w:id="260" w:name="_Toc98838614"/>
      <w:r w:rsidRPr="00A8783E">
        <w:rPr>
          <w:rFonts w:ascii="Times New Roman" w:hAnsi="Times New Roman"/>
          <w:color w:val="1F497D"/>
          <w:sz w:val="28"/>
          <w:szCs w:val="28"/>
        </w:rPr>
        <w:t xml:space="preserve">Специфични цели за </w:t>
      </w:r>
      <w:r w:rsidRPr="00A8783E">
        <w:rPr>
          <w:rFonts w:ascii="Times New Roman" w:hAnsi="Times New Roman"/>
          <w:color w:val="1F497D"/>
          <w:sz w:val="28"/>
          <w:szCs w:val="28"/>
          <w:lang w:val="en-US"/>
        </w:rPr>
        <w:t>A</w:t>
      </w:r>
      <w:r w:rsidRPr="00A8783E">
        <w:rPr>
          <w:rFonts w:ascii="Times New Roman" w:hAnsi="Times New Roman"/>
          <w:color w:val="1F497D"/>
          <w:sz w:val="28"/>
          <w:szCs w:val="28"/>
        </w:rPr>
        <w:t xml:space="preserve">081 </w:t>
      </w:r>
      <w:r w:rsidRPr="00A8783E">
        <w:rPr>
          <w:rFonts w:ascii="Times New Roman" w:hAnsi="Times New Roman"/>
          <w:i/>
          <w:iCs/>
          <w:color w:val="1F497D"/>
          <w:sz w:val="28"/>
          <w:szCs w:val="28"/>
          <w:lang w:val="en-US"/>
        </w:rPr>
        <w:t>Circus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aeruginosus</w:t>
      </w:r>
      <w:r w:rsidRPr="00A8783E">
        <w:rPr>
          <w:rFonts w:ascii="Times New Roman" w:hAnsi="Times New Roman"/>
          <w:color w:val="1F497D"/>
          <w:sz w:val="28"/>
          <w:szCs w:val="28"/>
        </w:rPr>
        <w:t xml:space="preserve"> (тръстиков блатар)</w:t>
      </w:r>
      <w:bookmarkEnd w:id="258"/>
      <w:bookmarkEnd w:id="259"/>
      <w:bookmarkEnd w:id="260"/>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50-55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120-130 </w:t>
      </w:r>
      <w:r w:rsidRPr="00A8783E">
        <w:rPr>
          <w:rFonts w:ascii="Times New Roman" w:hAnsi="Times New Roman"/>
          <w:sz w:val="24"/>
          <w:szCs w:val="24"/>
          <w:lang w:val="en-US"/>
        </w:rPr>
        <w:t>cm</w:t>
      </w:r>
      <w:r w:rsidRPr="00A8783E">
        <w:rPr>
          <w:rFonts w:ascii="Times New Roman" w:hAnsi="Times New Roman"/>
          <w:sz w:val="24"/>
          <w:szCs w:val="24"/>
        </w:rPr>
        <w:t>. Това е най-едрият блатар. Има полов и възрастов диморфизъм. Женската и младото са едноцветни, тъмни, със светла глава, а мъжкият отгоре кафяв със сива опашка и тъмни върхове на крилата. Лети с бавен, плавен махов полет, понякога планира (Симеонов и др., 1990).</w:t>
      </w:r>
    </w:p>
    <w:p w:rsidR="00A8783E" w:rsidRPr="00A8783E" w:rsidRDefault="00A8783E" w:rsidP="00A8783E">
      <w:pPr>
        <w:spacing w:before="120" w:after="120" w:line="259"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 xml:space="preserve">За България видът е гнездящо-прелетен, преминаващ и зимуващ. С петнисто и разпръснато разпространение в ниските части на по-голямата част от страната, по-концентрирано в централната част на Тракийската низина, поречието на р. Тунджа, </w:t>
      </w:r>
      <w:r w:rsidRPr="00A8783E">
        <w:rPr>
          <w:rFonts w:ascii="Times New Roman" w:hAnsi="Times New Roman"/>
          <w:sz w:val="24"/>
          <w:szCs w:val="24"/>
        </w:rPr>
        <w:lastRenderedPageBreak/>
        <w:t xml:space="preserve">Бургаската низина, на места по Черноморското и Дунавското крайбрежия и прилежащите им райони и в Софийското поле. Отделни изолирани находища и на други места в страната. През периода след 1985 г. националната популация показва постепенно възстановяване. Преобладават единично гнездещи двойки, но са познати и малки гнездови колонии. Гнездото е трудно достъпно, разположено ниско сред гъста блатна растителност (Мичев и др., в Червена книга на Р България, 2015).  </w:t>
      </w:r>
    </w:p>
    <w:p w:rsidR="00A8783E" w:rsidRPr="00A8783E" w:rsidRDefault="00A8783E" w:rsidP="00A8783E">
      <w:pPr>
        <w:spacing w:before="120" w:after="120" w:line="259"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 xml:space="preserve">Предпочитана храна са водоплаващи и блатни птици (белочела водна кокошка, зимно бърне, зеленоглава патица, калугерица, малък червеноног водобегач), бозайници (воден плъх), земноводни и влечуги (водна жаба, обикновена водна змия) (Симеонов и др., 1990). </w:t>
      </w:r>
    </w:p>
    <w:p w:rsidR="00A8783E" w:rsidRPr="00A8783E" w:rsidRDefault="00A8783E" w:rsidP="00A8783E">
      <w:pPr>
        <w:spacing w:before="120" w:after="120" w:line="259" w:lineRule="auto"/>
        <w:jc w:val="both"/>
        <w:rPr>
          <w:rFonts w:ascii="Times New Roman" w:hAnsi="Times New Roman"/>
          <w:i/>
          <w:iCs/>
          <w:sz w:val="24"/>
          <w:szCs w:val="24"/>
        </w:rPr>
      </w:pPr>
      <w:r w:rsidRPr="00A8783E">
        <w:rPr>
          <w:rFonts w:ascii="Times New Roman" w:hAnsi="Times New Roman"/>
          <w:i/>
          <w:iCs/>
          <w:sz w:val="24"/>
          <w:szCs w:val="24"/>
        </w:rPr>
        <w:t>Характеристика на местообитанието</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В България гнезди в блата, в растителност по периферията на водоеми и крайречни и приизворни мочурища, а през последните години наблюдаван и в посеви и други (едногодишни) тревни култури. Установен да гнезди както в приморски, крайречни и вътрешни естествени влажни зони, така и в изкуствени водоеми, като рибарници, микроязовири и язовири. Гнездата си разполага предимно в тръстикови масиви. Разпространен на надморска височина до 600 м. По време на миграции и зимуване обитава различни естествени и изкуствени влажни зони в ниските части на страната (Симеонов и др., 1990). Проучване в Португалия разкрива, че важно местообитание са тръстиковите масиви, в които се случва гнезденето и изхранването. Факторите, допринасящи за качеството на местообитанието са сезонните наводнения, които предпазват гнездата от сухоземни хищници; гъстотата и височината на тръстиката, предпазваща от вятър; наличието на храна (дребни бозайници и птици) (</w:t>
      </w:r>
      <w:r w:rsidRPr="00A8783E">
        <w:rPr>
          <w:rFonts w:ascii="Times New Roman" w:hAnsi="Times New Roman"/>
          <w:sz w:val="24"/>
          <w:szCs w:val="24"/>
          <w:lang w:val="en-US"/>
        </w:rPr>
        <w:t>Alves</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2014). Най-често тръстиковия блатар ловува на разстояние около 3 </w:t>
      </w:r>
      <w:r w:rsidRPr="00A8783E">
        <w:rPr>
          <w:rFonts w:ascii="Times New Roman" w:hAnsi="Times New Roman"/>
          <w:sz w:val="24"/>
          <w:szCs w:val="24"/>
          <w:lang w:val="en-US"/>
        </w:rPr>
        <w:t>km</w:t>
      </w:r>
      <w:r w:rsidRPr="00A8783E">
        <w:rPr>
          <w:rFonts w:ascii="Times New Roman" w:hAnsi="Times New Roman"/>
          <w:sz w:val="24"/>
          <w:szCs w:val="24"/>
        </w:rPr>
        <w:t xml:space="preserve"> от гнездото, т.е. гнездовата територия на 1 дв. е около 2800 </w:t>
      </w:r>
      <w:r w:rsidRPr="00A8783E">
        <w:rPr>
          <w:rFonts w:ascii="Times New Roman" w:hAnsi="Times New Roman"/>
          <w:sz w:val="24"/>
          <w:szCs w:val="24"/>
          <w:lang w:val="en-US"/>
        </w:rPr>
        <w:t>ha</w:t>
      </w:r>
      <w:r w:rsidRPr="00A8783E">
        <w:rPr>
          <w:rFonts w:ascii="Times New Roman" w:hAnsi="Times New Roman"/>
          <w:sz w:val="24"/>
          <w:szCs w:val="24"/>
        </w:rPr>
        <w:t xml:space="preserve">. Предпочита да ловува в обработваеми земи, в които растенията са с височина до 10 </w:t>
      </w:r>
      <w:r w:rsidRPr="00A8783E">
        <w:rPr>
          <w:rFonts w:ascii="Times New Roman" w:hAnsi="Times New Roman"/>
          <w:sz w:val="24"/>
          <w:szCs w:val="24"/>
          <w:lang w:val="en-US"/>
        </w:rPr>
        <w:t>cm</w:t>
      </w:r>
      <w:r w:rsidRPr="00A8783E">
        <w:rPr>
          <w:rFonts w:ascii="Times New Roman" w:hAnsi="Times New Roman"/>
          <w:sz w:val="24"/>
          <w:szCs w:val="24"/>
        </w:rPr>
        <w:t xml:space="preserve"> (</w:t>
      </w:r>
      <w:r w:rsidRPr="00A8783E">
        <w:rPr>
          <w:rFonts w:ascii="Times New Roman" w:hAnsi="Times New Roman"/>
          <w:sz w:val="24"/>
          <w:szCs w:val="24"/>
          <w:lang w:val="en-US"/>
        </w:rPr>
        <w:t>Cardador</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Manosa</w:t>
      </w:r>
      <w:r w:rsidRPr="00A8783E">
        <w:rPr>
          <w:rFonts w:ascii="Times New Roman" w:hAnsi="Times New Roman"/>
          <w:sz w:val="24"/>
          <w:szCs w:val="24"/>
        </w:rPr>
        <w:t>, 2011).</w:t>
      </w:r>
    </w:p>
    <w:p w:rsidR="00A8783E" w:rsidRPr="00A8783E" w:rsidRDefault="00A8783E" w:rsidP="00A8783E">
      <w:pPr>
        <w:spacing w:before="120" w:after="120" w:line="259"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Среща се в цялата равнинна и полупланинска част на страната, където има макар и малки влажни зони, обрасли с висша водна растителност. Основната част от популацията е концентрирана в Тракийската низина, по Дунавското и Черноморското крайбрежие, в Дунавската равнина, Софийското поле и по долините на по-големите реки (Янков, отг.ред., 2007).</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A8783E">
        <w:rPr>
          <w:rFonts w:ascii="Times New Roman" w:hAnsi="Times New Roman"/>
          <w:sz w:val="24"/>
          <w:szCs w:val="24"/>
          <w:lang w:val="en-GB"/>
        </w:rPr>
        <w:t>IUCN</w:t>
      </w:r>
      <w:r w:rsidRPr="00A8783E">
        <w:rPr>
          <w:rFonts w:ascii="Times New Roman" w:hAnsi="Times New Roman"/>
          <w:sz w:val="24"/>
          <w:szCs w:val="24"/>
        </w:rPr>
        <w:t xml:space="preserve"> за територията на континентална Европа както и за света видът е „слабо засегнат“ – </w:t>
      </w:r>
      <w:r w:rsidRPr="00A8783E">
        <w:rPr>
          <w:rFonts w:ascii="Times New Roman" w:hAnsi="Times New Roman"/>
          <w:sz w:val="24"/>
          <w:szCs w:val="24"/>
          <w:lang w:val="en-US"/>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rPr>
        <w:t xml:space="preserve"> </w:t>
      </w:r>
      <w:r w:rsidRPr="00A8783E">
        <w:rPr>
          <w:rFonts w:ascii="Times New Roman" w:hAnsi="Times New Roman"/>
          <w:sz w:val="24"/>
          <w:szCs w:val="24"/>
          <w:lang w:val="en-GB"/>
        </w:rPr>
        <w:t>Concern</w:t>
      </w:r>
      <w:r w:rsidRPr="00A8783E">
        <w:rPr>
          <w:rFonts w:ascii="Times New Roman" w:hAnsi="Times New Roman"/>
          <w:sz w:val="24"/>
          <w:szCs w:val="24"/>
        </w:rPr>
        <w:t>). Включен е в Червената книга на Р България (2011) в категория „застрашен“.</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2013-2019 г.), видът се опазва като </w:t>
      </w:r>
      <w:r w:rsidRPr="00A8783E">
        <w:rPr>
          <w:rFonts w:ascii="Times New Roman" w:hAnsi="Times New Roman"/>
          <w:b/>
          <w:bCs/>
          <w:sz w:val="24"/>
          <w:szCs w:val="24"/>
        </w:rPr>
        <w:t>гнездящ</w:t>
      </w:r>
      <w:r w:rsidRPr="00A8783E">
        <w:rPr>
          <w:rFonts w:ascii="Times New Roman" w:hAnsi="Times New Roman"/>
          <w:sz w:val="24"/>
          <w:szCs w:val="24"/>
        </w:rPr>
        <w:t xml:space="preserve"> с популация между 220 и 260 двойки. Краткосрочната популационна тенденция (2000-2018 г.) е стабилна, а дългосрочната (1980-2018 г.) е увеличаваща се. Посочени са следните заплахи: A02, A03, A04, C03, D02, F03, J01, J02, J03, M07.</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lastRenderedPageBreak/>
        <w:t xml:space="preserve">Съгласно докладването през 2019 г. (за периода 2013-2019 г.), видът се опазва и като </w:t>
      </w:r>
      <w:r w:rsidRPr="00A8783E">
        <w:rPr>
          <w:rFonts w:ascii="Times New Roman" w:hAnsi="Times New Roman"/>
          <w:b/>
          <w:bCs/>
          <w:sz w:val="24"/>
          <w:szCs w:val="24"/>
        </w:rPr>
        <w:t>мигриращ</w:t>
      </w:r>
      <w:r w:rsidRPr="00A8783E">
        <w:rPr>
          <w:rFonts w:ascii="Times New Roman" w:hAnsi="Times New Roman"/>
          <w:sz w:val="24"/>
          <w:szCs w:val="24"/>
        </w:rPr>
        <w:t xml:space="preserve"> с численост 3300 – 5000 индивида. Не са посочени краткосрочна и дългосрочна тенденции в развитието на популацията. Посочени са следните заплахи: A02, </w:t>
      </w:r>
      <w:r w:rsidRPr="00A8783E">
        <w:rPr>
          <w:rFonts w:ascii="Times New Roman" w:hAnsi="Times New Roman"/>
          <w:sz w:val="24"/>
          <w:szCs w:val="24"/>
          <w:lang w:val="en-US"/>
        </w:rPr>
        <w:t>A</w:t>
      </w:r>
      <w:r w:rsidRPr="00A8783E">
        <w:rPr>
          <w:rFonts w:ascii="Times New Roman" w:hAnsi="Times New Roman"/>
          <w:sz w:val="24"/>
          <w:szCs w:val="24"/>
        </w:rPr>
        <w:t xml:space="preserve">03, </w:t>
      </w:r>
      <w:r w:rsidRPr="00A8783E">
        <w:rPr>
          <w:rFonts w:ascii="Times New Roman" w:hAnsi="Times New Roman"/>
          <w:sz w:val="24"/>
          <w:szCs w:val="24"/>
          <w:lang w:val="en-US"/>
        </w:rPr>
        <w:t>A</w:t>
      </w:r>
      <w:r w:rsidRPr="00A8783E">
        <w:rPr>
          <w:rFonts w:ascii="Times New Roman" w:hAnsi="Times New Roman"/>
          <w:sz w:val="24"/>
          <w:szCs w:val="24"/>
        </w:rPr>
        <w:t>04,</w:t>
      </w:r>
      <w:r w:rsidRPr="00A8783E">
        <w:rPr>
          <w:rFonts w:ascii="Times New Roman" w:hAnsi="Times New Roman"/>
          <w:sz w:val="24"/>
          <w:szCs w:val="24"/>
          <w:lang w:val="en-US"/>
        </w:rPr>
        <w:t> </w:t>
      </w:r>
      <w:r w:rsidRPr="00A8783E">
        <w:rPr>
          <w:rFonts w:ascii="Times New Roman" w:hAnsi="Times New Roman"/>
          <w:sz w:val="24"/>
          <w:szCs w:val="24"/>
        </w:rPr>
        <w:t xml:space="preserve">F03, </w:t>
      </w:r>
      <w:r w:rsidRPr="00A8783E">
        <w:rPr>
          <w:rFonts w:ascii="Times New Roman" w:hAnsi="Times New Roman"/>
          <w:sz w:val="24"/>
          <w:szCs w:val="24"/>
          <w:lang w:val="en-US"/>
        </w:rPr>
        <w:t>F</w:t>
      </w:r>
      <w:r w:rsidRPr="00A8783E">
        <w:rPr>
          <w:rFonts w:ascii="Times New Roman" w:hAnsi="Times New Roman"/>
          <w:sz w:val="24"/>
          <w:szCs w:val="24"/>
        </w:rPr>
        <w:t xml:space="preserve">26, </w:t>
      </w:r>
      <w:r w:rsidRPr="00A8783E">
        <w:rPr>
          <w:rFonts w:ascii="Times New Roman" w:hAnsi="Times New Roman"/>
          <w:sz w:val="24"/>
          <w:szCs w:val="24"/>
          <w:lang w:val="en-US"/>
        </w:rPr>
        <w:t>D</w:t>
      </w:r>
      <w:r w:rsidRPr="00A8783E">
        <w:rPr>
          <w:rFonts w:ascii="Times New Roman" w:hAnsi="Times New Roman"/>
          <w:sz w:val="24"/>
          <w:szCs w:val="24"/>
        </w:rPr>
        <w:t>06.</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Червената книга (Големански ред., 2015) основните посочени заплахи за вида са пресушаване и деградация на естествените влажни зони със стоящи води. Използването на отрови за борба срещу гризачи; безпокойство от рибари.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гнездящ, мигриращ и зимуващ. </w:t>
      </w:r>
      <w:r w:rsidRPr="00A8783E">
        <w:rPr>
          <w:rFonts w:ascii="Times New Roman" w:hAnsi="Times New Roman"/>
          <w:b/>
          <w:bCs/>
          <w:sz w:val="24"/>
          <w:szCs w:val="24"/>
        </w:rPr>
        <w:t>Гнездящата</w:t>
      </w:r>
      <w:r w:rsidRPr="00A8783E">
        <w:rPr>
          <w:rFonts w:ascii="Times New Roman" w:hAnsi="Times New Roman"/>
          <w:sz w:val="24"/>
          <w:szCs w:val="24"/>
        </w:rPr>
        <w:t xml:space="preserve"> популация е оценена на </w:t>
      </w:r>
      <w:r w:rsidRPr="00A8783E">
        <w:rPr>
          <w:rFonts w:ascii="Times New Roman" w:hAnsi="Times New Roman"/>
          <w:b/>
          <w:bCs/>
          <w:sz w:val="24"/>
          <w:szCs w:val="24"/>
        </w:rPr>
        <w:t>1-2 двойки</w:t>
      </w:r>
      <w:r w:rsidRPr="00A8783E">
        <w:rPr>
          <w:rFonts w:ascii="Times New Roman" w:hAnsi="Times New Roman"/>
          <w:sz w:val="24"/>
          <w:szCs w:val="24"/>
        </w:rPr>
        <w:t>, което представлява 0,45-0,77% от националната гнездяща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 xml:space="preserve">Съгласно СФ на зоната вида е също </w:t>
      </w:r>
      <w:r w:rsidRPr="00A8783E">
        <w:rPr>
          <w:rFonts w:ascii="Times New Roman" w:hAnsi="Times New Roman"/>
          <w:b/>
          <w:bCs/>
          <w:sz w:val="24"/>
          <w:szCs w:val="24"/>
        </w:rPr>
        <w:t>мигриращ</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rPr>
        <w:t>2-7 индивида</w:t>
      </w:r>
      <w:r w:rsidRPr="00A8783E">
        <w:rPr>
          <w:rFonts w:ascii="Times New Roman" w:hAnsi="Times New Roman"/>
          <w:sz w:val="24"/>
          <w:szCs w:val="24"/>
        </w:rPr>
        <w:t>, което представлява 0,06 – 0,14 % от националната мигрираща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 xml:space="preserve">Зимуващата популация се оценява на </w:t>
      </w:r>
      <w:r w:rsidRPr="00A8783E">
        <w:rPr>
          <w:rFonts w:ascii="Times New Roman" w:hAnsi="Times New Roman"/>
          <w:b/>
          <w:bCs/>
          <w:sz w:val="24"/>
          <w:szCs w:val="24"/>
        </w:rPr>
        <w:t>1 индивид</w:t>
      </w:r>
      <w:r w:rsidRPr="00A8783E">
        <w:rPr>
          <w:rFonts w:ascii="Times New Roman" w:hAnsi="Times New Roman"/>
          <w:sz w:val="24"/>
          <w:szCs w:val="24"/>
        </w:rPr>
        <w:t>. Вида не се докладва от страната като зимуващ. За размер и плътност на популацията -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59"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59" w:lineRule="auto"/>
        <w:jc w:val="both"/>
        <w:rPr>
          <w:rFonts w:ascii="Times New Roman" w:hAnsi="Times New Roman"/>
          <w:i/>
          <w:iCs/>
          <w:sz w:val="24"/>
          <w:szCs w:val="24"/>
        </w:rPr>
      </w:pPr>
      <w:r w:rsidRPr="00A8783E">
        <w:rPr>
          <w:rFonts w:ascii="Times New Roman" w:hAnsi="Times New Roman"/>
          <w:i/>
          <w:iCs/>
          <w:sz w:val="24"/>
          <w:szCs w:val="24"/>
        </w:rPr>
        <w:t>Гнездяща популация</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 xml:space="preserve">Гнезди по поречието на р. Дунав и притоците </w:t>
      </w:r>
      <w:r w:rsidRPr="00A8783E">
        <w:rPr>
          <w:rFonts w:ascii="Tahoma" w:hAnsi="Tahoma"/>
          <w:sz w:val="24"/>
          <w:szCs w:val="24"/>
        </w:rPr>
        <w:t>ѝ</w:t>
      </w:r>
      <w:r w:rsidRPr="00A8783E">
        <w:rPr>
          <w:rFonts w:ascii="Times New Roman" w:hAnsi="Times New Roman"/>
          <w:sz w:val="24"/>
          <w:szCs w:val="24"/>
        </w:rPr>
        <w:t>, но не е наблюдаван в зоната (Шурулинков и др., 2005). Според Костадинова, Граматиков (2007), видът присъства в зоната по време на гнездене с численост 1-3 двойки. По Дунавското крайбрежие вида гнезди основно в по-големите влажни зони като вида е установен да гнезди в Сребърна (</w:t>
      </w:r>
      <w:r w:rsidRPr="00A8783E">
        <w:rPr>
          <w:rFonts w:ascii="Times New Roman" w:hAnsi="Times New Roman"/>
          <w:sz w:val="24"/>
          <w:szCs w:val="24"/>
          <w:lang w:val="en-US"/>
        </w:rPr>
        <w:t>Cheshmedzhiev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w:t>
      </w:r>
      <w:r w:rsidRPr="00A8783E">
        <w:rPr>
          <w:rFonts w:ascii="Times New Roman" w:hAnsi="Times New Roman"/>
          <w:sz w:val="24"/>
          <w:szCs w:val="24"/>
          <w:lang w:val="en-US"/>
        </w:rPr>
        <w:t>in</w:t>
      </w:r>
      <w:r w:rsidRPr="00A8783E">
        <w:rPr>
          <w:rFonts w:ascii="Times New Roman" w:hAnsi="Times New Roman"/>
          <w:sz w:val="24"/>
          <w:szCs w:val="24"/>
        </w:rPr>
        <w:t xml:space="preserve">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2019). През 2012 г. в защитената зона е наблюдавана една гнездяща двойка (Матеева и др., 2013). По време на теренното проучване на 18.05.2021 г. са установени 2 женски и 1 мъжки индивид в зоната, а на 20.05.2021 г. – също 2 женски и 1 мъжки индивиди. През юни 2021 г. също са наблюдавани 2 женски индивида. По време на проучване на зоните по р. Дунав с лодка през месец юли, не е наблюдаван в зоната.</w:t>
      </w:r>
    </w:p>
    <w:p w:rsidR="00A8783E" w:rsidRPr="00A8783E" w:rsidRDefault="00A8783E" w:rsidP="00A8783E">
      <w:pPr>
        <w:spacing w:before="120" w:after="120" w:line="259"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 xml:space="preserve">Според Костадинова, Граматиков (2007), видът присъства в зоната по време на миграция с численост 2-7 инд. и по време на зимуване с неуточнена численост. Миграцията на тръстиковия блатар през страната е на широк фронт като по-интензивен е прелета в източните части на Лудогорието и централните части на Дунавската равнина. По време на миграция вида е обикновен, като по време на есенния прелет дори е многоброен в централните части на Дунавското крайбрежие, като не е </w:t>
      </w:r>
      <w:r w:rsidRPr="00A8783E">
        <w:rPr>
          <w:rFonts w:ascii="Times New Roman" w:hAnsi="Times New Roman"/>
          <w:sz w:val="24"/>
          <w:szCs w:val="24"/>
        </w:rPr>
        <w:lastRenderedPageBreak/>
        <w:t>наблюдаван в зоната (</w:t>
      </w:r>
      <w:r w:rsidRPr="00A8783E">
        <w:rPr>
          <w:rFonts w:ascii="Times New Roman" w:hAnsi="Times New Roman"/>
          <w:sz w:val="24"/>
          <w:szCs w:val="24"/>
          <w:lang w:val="en-US"/>
        </w:rPr>
        <w:t>Cheshmedzhiev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w:t>
      </w:r>
      <w:r w:rsidRPr="00A8783E">
        <w:rPr>
          <w:rFonts w:ascii="Times New Roman" w:hAnsi="Times New Roman"/>
          <w:sz w:val="24"/>
          <w:szCs w:val="24"/>
          <w:lang w:val="en-US"/>
        </w:rPr>
        <w:t>in</w:t>
      </w:r>
      <w:r w:rsidRPr="00A8783E">
        <w:rPr>
          <w:rFonts w:ascii="Times New Roman" w:hAnsi="Times New Roman"/>
          <w:sz w:val="24"/>
          <w:szCs w:val="24"/>
        </w:rPr>
        <w:t xml:space="preserve">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2019). По данни  от eBird, видът е наблюдаван в зоната през 05.2011 г. – 1 инд., 10.2011 г. – 1 инд., 10. 2012 г.- 2 инд., 05.2014 г. – 1 инд., 03.2015 г. – 2 инд., 04. 2015 г. – 2 инд., 05.2015 г. – 30 инд., 09. 2017 г. – 7 инд., 05. 2018 г. – 4 инд., 09. 2018 г. – 6 инд., 04.2019 г.- 3 инд., 05. 2019 г.- 8 инд., 06.2019 г.-2 инд., 09. 2019 г.- 5 инд., 05.2020 г.-6 инд., 05.2021 г.-1 инд., 07.2021 г.-3 инд., 09.2021 г. – 29 инд. Данните от https://observation.org  съобщават за 1 инд. през май месец 2021 г. в района на зоната.</w:t>
      </w:r>
    </w:p>
    <w:p w:rsidR="00A8783E" w:rsidRPr="00A8783E" w:rsidRDefault="00A8783E" w:rsidP="00A8783E">
      <w:pPr>
        <w:spacing w:before="120" w:after="120" w:line="259" w:lineRule="auto"/>
        <w:jc w:val="both"/>
        <w:rPr>
          <w:rFonts w:ascii="Times New Roman" w:hAnsi="Times New Roman"/>
          <w:i/>
          <w:iCs/>
          <w:sz w:val="24"/>
          <w:szCs w:val="24"/>
        </w:rPr>
      </w:pPr>
      <w:r w:rsidRPr="00A8783E">
        <w:rPr>
          <w:rFonts w:ascii="Times New Roman" w:hAnsi="Times New Roman"/>
          <w:i/>
          <w:iCs/>
          <w:sz w:val="24"/>
          <w:szCs w:val="24"/>
        </w:rPr>
        <w:t>Зимуваща популация</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 xml:space="preserve">През зимният сезон тръстиковият блатар се наблюдава регулярно в зоната или в близост до нея (Cheshmedzhiev et al., in Shurulinkov et al., 2019). Данните за зимуването на вида в зоната са от средно зимните преброявания през 2019 и 2020 г., не са наблюдавани  индивиди по поречието на река Дунав и в зоната.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 гнездящата популация са посочени следните заплахи и влияния (от Докладване по чл. 12, 2019 г.): A02, A03, A04</w:t>
      </w:r>
      <w:r w:rsidRPr="00A8783E">
        <w:rPr>
          <w:rFonts w:ascii="Times New Roman" w:hAnsi="Times New Roman"/>
          <w:b/>
          <w:bCs/>
          <w:sz w:val="24"/>
          <w:szCs w:val="24"/>
        </w:rPr>
        <w:t>,</w:t>
      </w:r>
      <w:r w:rsidRPr="00A8783E">
        <w:rPr>
          <w:rFonts w:ascii="Times New Roman" w:hAnsi="Times New Roman"/>
          <w:sz w:val="24"/>
          <w:szCs w:val="24"/>
        </w:rPr>
        <w:t xml:space="preserve"> C03, D02, F03, J01, J02, J03, M07. От тях потенциално валидни за СЗЗ „Сребърна” могат да бъдат тези, които са свързани с промяна в ползването на земите и земеделските площи - A02, A03, A04, тъй като в такиве местообитания вида търси храна</w:t>
      </w:r>
      <w:r w:rsidRPr="00A8783E">
        <w:rPr>
          <w:rFonts w:ascii="Times New Roman" w:hAnsi="Times New Roman"/>
          <w:color w:val="FF0000"/>
          <w:sz w:val="24"/>
          <w:szCs w:val="24"/>
        </w:rPr>
        <w:t xml:space="preserve">. </w:t>
      </w:r>
      <w:r w:rsidRPr="00A8783E">
        <w:rPr>
          <w:rFonts w:ascii="Times New Roman" w:hAnsi="Times New Roman"/>
          <w:sz w:val="24"/>
          <w:szCs w:val="24"/>
        </w:rPr>
        <w:t>За мигриращата популация са посочени следните заплахи: A02, A03, A04, F03, F26, D06. От тях потенциално валидни за СЗЗ „Сребърна” могат да бъдат тези, които са свързани с промяна в ползването на земите и земеделските площи - A02, A03, A04, тъй като в такиве местообитания вида търси храна.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5"/>
        <w:gridCol w:w="1134"/>
        <w:gridCol w:w="1134"/>
        <w:gridCol w:w="3017"/>
        <w:gridCol w:w="2260"/>
      </w:tblGrid>
      <w:tr w:rsidR="00A8783E" w:rsidRPr="00A8783E" w:rsidTr="005B5318">
        <w:trPr>
          <w:tblHeader/>
          <w:jc w:val="center"/>
        </w:trPr>
        <w:tc>
          <w:tcPr>
            <w:tcW w:w="187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3017"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26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875" w:type="dxa"/>
          </w:tcPr>
          <w:p w:rsidR="00A8783E" w:rsidRPr="00A8783E" w:rsidRDefault="00A8783E" w:rsidP="00A8783E">
            <w:pPr>
              <w:spacing w:after="120" w:line="240" w:lineRule="auto"/>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гнездящата популация</w:t>
            </w:r>
          </w:p>
        </w:tc>
        <w:tc>
          <w:tcPr>
            <w:tcW w:w="1134"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Брой двойки</w:t>
            </w:r>
          </w:p>
        </w:tc>
        <w:tc>
          <w:tcPr>
            <w:tcW w:w="1134"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Най-малко 1 дв.</w:t>
            </w:r>
          </w:p>
        </w:tc>
        <w:tc>
          <w:tcPr>
            <w:tcW w:w="3017" w:type="dxa"/>
          </w:tcPr>
          <w:p w:rsidR="00A8783E" w:rsidRPr="00A8783E" w:rsidRDefault="00A8783E" w:rsidP="00A8783E">
            <w:pPr>
              <w:spacing w:after="120" w:line="240" w:lineRule="auto"/>
              <w:jc w:val="both"/>
              <w:rPr>
                <w:rFonts w:ascii="Times New Roman" w:hAnsi="Times New Roman"/>
              </w:rPr>
            </w:pPr>
            <w:r w:rsidRPr="00A8783E">
              <w:rPr>
                <w:rFonts w:ascii="Times New Roman" w:hAnsi="Times New Roman"/>
              </w:rPr>
              <w:t>Определена на база СФ и наблюденията на вида в  зоната през гнездовия период на 2021 г. По време на теренното проучване на 18.05.2021 г. са установени 2 женски и 1 мъжки индивид в зоната, а на 20.05.2021 г. – също 2 женски и 1 мъжки индивиди. През юни 2021 г. също са наблюдавани 2 женски индивида.</w:t>
            </w:r>
          </w:p>
        </w:tc>
        <w:tc>
          <w:tcPr>
            <w:tcW w:w="2260" w:type="dxa"/>
          </w:tcPr>
          <w:p w:rsidR="00A8783E" w:rsidRPr="00A8783E" w:rsidRDefault="00A8783E" w:rsidP="00A8783E">
            <w:pPr>
              <w:spacing w:after="120" w:line="240" w:lineRule="auto"/>
              <w:rPr>
                <w:rFonts w:ascii="Times New Roman" w:hAnsi="Times New Roman"/>
              </w:rPr>
            </w:pPr>
            <w:r w:rsidRPr="00A8783E">
              <w:rPr>
                <w:rFonts w:ascii="Times New Roman" w:hAnsi="Times New Roman"/>
              </w:rPr>
              <w:t>Поддържане гнездовата популация на вида в размер от най-малко 1 дв. чрез запазване на подходящите местообитания в зоната.</w:t>
            </w:r>
          </w:p>
        </w:tc>
      </w:tr>
      <w:tr w:rsidR="00A8783E" w:rsidRPr="00A8783E" w:rsidTr="005B5318">
        <w:trPr>
          <w:jc w:val="center"/>
        </w:trPr>
        <w:tc>
          <w:tcPr>
            <w:tcW w:w="18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Популация</w:t>
            </w:r>
            <w:r w:rsidRPr="00A8783E">
              <w:rPr>
                <w:rFonts w:ascii="Times New Roman" w:hAnsi="Times New Roman"/>
              </w:rPr>
              <w:t>: Размер на мигриращата популация</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2 инд.</w:t>
            </w:r>
          </w:p>
        </w:tc>
        <w:tc>
          <w:tcPr>
            <w:tcW w:w="3017" w:type="dxa"/>
          </w:tcPr>
          <w:p w:rsidR="00A8783E" w:rsidRPr="00A8783E" w:rsidRDefault="00A8783E" w:rsidP="00A8783E">
            <w:pPr>
              <w:spacing w:after="0" w:line="240" w:lineRule="auto"/>
              <w:jc w:val="both"/>
              <w:rPr>
                <w:rFonts w:ascii="Times New Roman" w:hAnsi="Times New Roman"/>
                <w:color w:val="0070C0"/>
              </w:rPr>
            </w:pPr>
            <w:r w:rsidRPr="00A8783E">
              <w:rPr>
                <w:rFonts w:ascii="Times New Roman" w:hAnsi="Times New Roman"/>
              </w:rPr>
              <w:t xml:space="preserve">В СФ за концентрацията на вида в зоната е посочена численост 2-7 инд. По публикуванr данни (Cheshmedzhiev et al., in Shurulinkov et al., 2019; </w:t>
            </w:r>
            <w:r w:rsidRPr="00A8783E">
              <w:rPr>
                <w:rFonts w:ascii="Times New Roman" w:hAnsi="Times New Roman"/>
                <w:lang w:val="en-US"/>
              </w:rPr>
              <w:t>eBird</w:t>
            </w:r>
            <w:r w:rsidRPr="00A8783E">
              <w:rPr>
                <w:rFonts w:ascii="Times New Roman" w:hAnsi="Times New Roman"/>
              </w:rPr>
              <w:t>.</w:t>
            </w:r>
            <w:r w:rsidRPr="00A8783E">
              <w:rPr>
                <w:rFonts w:ascii="Times New Roman" w:hAnsi="Times New Roman"/>
                <w:lang w:val="en-US"/>
              </w:rPr>
              <w:t>com</w:t>
            </w:r>
            <w:r w:rsidRPr="00A8783E">
              <w:rPr>
                <w:rFonts w:ascii="Times New Roman" w:hAnsi="Times New Roman"/>
              </w:rPr>
              <w:t>) видът редовно се наблюдава в зоната по време на миграция.</w:t>
            </w:r>
          </w:p>
        </w:tc>
        <w:tc>
          <w:tcPr>
            <w:tcW w:w="226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A8783E" w:rsidRPr="00A8783E" w:rsidTr="005B5318">
        <w:trPr>
          <w:jc w:val="center"/>
        </w:trPr>
        <w:tc>
          <w:tcPr>
            <w:tcW w:w="1875" w:type="dxa"/>
          </w:tcPr>
          <w:p w:rsidR="00A8783E" w:rsidRPr="00A8783E" w:rsidRDefault="00A8783E" w:rsidP="00A8783E">
            <w:pPr>
              <w:spacing w:after="0" w:line="240" w:lineRule="auto"/>
              <w:rPr>
                <w:rFonts w:ascii="Times New Roman" w:hAnsi="Times New Roman"/>
              </w:rPr>
            </w:pPr>
            <w:r w:rsidRPr="00A8783E">
              <w:rPr>
                <w:rFonts w:ascii="Times New Roman" w:hAnsi="Times New Roman"/>
                <w:b/>
                <w:bCs/>
              </w:rPr>
              <w:t>Популация:</w:t>
            </w:r>
            <w:r w:rsidRPr="00A8783E">
              <w:rPr>
                <w:rFonts w:ascii="Times New Roman" w:hAnsi="Times New Roman"/>
              </w:rPr>
              <w:t xml:space="preserve"> </w:t>
            </w:r>
            <w:r w:rsidRPr="00A8783E">
              <w:rPr>
                <w:rFonts w:ascii="Times New Roman" w:hAnsi="Times New Roman"/>
              </w:rPr>
              <w:lastRenderedPageBreak/>
              <w:t>Размер на зимуващата популация</w:t>
            </w:r>
          </w:p>
        </w:tc>
        <w:tc>
          <w:tcPr>
            <w:tcW w:w="1134" w:type="dxa"/>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rPr>
              <w:lastRenderedPageBreak/>
              <w:t xml:space="preserve">Брой </w:t>
            </w:r>
            <w:r w:rsidRPr="00A8783E">
              <w:rPr>
                <w:rFonts w:ascii="Times New Roman" w:hAnsi="Times New Roman"/>
              </w:rPr>
              <w:lastRenderedPageBreak/>
              <w:t>индивиди</w:t>
            </w:r>
          </w:p>
        </w:tc>
        <w:tc>
          <w:tcPr>
            <w:tcW w:w="113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lastRenderedPageBreak/>
              <w:t>Най-</w:t>
            </w:r>
            <w:r w:rsidRPr="00A8783E">
              <w:rPr>
                <w:rFonts w:ascii="Times New Roman" w:hAnsi="Times New Roman"/>
              </w:rPr>
              <w:lastRenderedPageBreak/>
              <w:t>малко 1 инд.</w:t>
            </w:r>
          </w:p>
        </w:tc>
        <w:tc>
          <w:tcPr>
            <w:tcW w:w="301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 Определена на база СФ. </w:t>
            </w:r>
            <w:r w:rsidRPr="00A8783E">
              <w:rPr>
                <w:rFonts w:ascii="Times New Roman" w:hAnsi="Times New Roman"/>
              </w:rPr>
              <w:lastRenderedPageBreak/>
              <w:t>През СЗП 2019 и 2020 г. вида не е наблюдаван в зоната. Количеството на зимуващите птици силно зависи от метеорологичните условия и най-вече от температурните стойности през януари. При средни температури около 0°С или с отрицателен знак, се очаква целевата стойност да бъде изпълнена.</w:t>
            </w:r>
          </w:p>
        </w:tc>
        <w:tc>
          <w:tcPr>
            <w:tcW w:w="2260"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lastRenderedPageBreak/>
              <w:t xml:space="preserve">При средни </w:t>
            </w:r>
            <w:r w:rsidRPr="00A8783E">
              <w:rPr>
                <w:rFonts w:ascii="Times New Roman" w:hAnsi="Times New Roman"/>
              </w:rPr>
              <w:lastRenderedPageBreak/>
              <w:t>температури около 0° С или с отрицателен знак, се очаква зимуващата популация да е ≥ 1 инд.</w:t>
            </w:r>
          </w:p>
        </w:tc>
      </w:tr>
      <w:tr w:rsidR="00A8783E" w:rsidRPr="00A8783E" w:rsidTr="005B5318">
        <w:trPr>
          <w:jc w:val="center"/>
        </w:trPr>
        <w:tc>
          <w:tcPr>
            <w:tcW w:w="1875"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lastRenderedPageBreak/>
              <w:t xml:space="preserve">Местообитание на вида: </w:t>
            </w:r>
            <w:r w:rsidRPr="00A8783E">
              <w:rPr>
                <w:rFonts w:ascii="Times New Roman" w:hAnsi="Times New Roman"/>
              </w:rPr>
              <w:t>характеристика на местообитанието за гнездене</w:t>
            </w:r>
          </w:p>
        </w:tc>
        <w:tc>
          <w:tcPr>
            <w:tcW w:w="1134" w:type="dxa"/>
          </w:tcPr>
          <w:p w:rsidR="00A8783E" w:rsidRPr="00A8783E" w:rsidRDefault="00A8783E" w:rsidP="00A8783E">
            <w:pPr>
              <w:spacing w:after="0" w:line="240" w:lineRule="auto"/>
              <w:rPr>
                <w:rFonts w:ascii="Times New Roman" w:hAnsi="Times New Roman"/>
              </w:rPr>
            </w:pPr>
            <w:r w:rsidRPr="00A8783E">
              <w:rPr>
                <w:rFonts w:ascii="Times New Roman" w:hAnsi="Times New Roman"/>
                <w:lang w:val="en-US"/>
              </w:rPr>
              <w:t>ha</w:t>
            </w:r>
            <w:r w:rsidRPr="00A8783E">
              <w:rPr>
                <w:rFonts w:ascii="Times New Roman" w:hAnsi="Times New Roman"/>
              </w:rPr>
              <w:t xml:space="preserve"> </w:t>
            </w:r>
          </w:p>
        </w:tc>
        <w:tc>
          <w:tcPr>
            <w:tcW w:w="1134" w:type="dxa"/>
          </w:tcPr>
          <w:p w:rsidR="00A8783E" w:rsidRPr="00A8783E" w:rsidRDefault="00A8783E" w:rsidP="00A8783E">
            <w:pPr>
              <w:spacing w:after="0" w:line="240" w:lineRule="auto"/>
              <w:rPr>
                <w:rFonts w:ascii="Times New Roman" w:hAnsi="Times New Roman"/>
              </w:rPr>
            </w:pPr>
            <w:r w:rsidRPr="00A8783E">
              <w:rPr>
                <w:rFonts w:ascii="Times New Roman" w:hAnsi="Times New Roman"/>
                <w:lang w:val="en-US"/>
              </w:rPr>
              <w:t xml:space="preserve">Най-малко </w:t>
            </w:r>
            <w:r w:rsidRPr="00A8783E">
              <w:rPr>
                <w:rFonts w:ascii="Times New Roman" w:hAnsi="Times New Roman"/>
              </w:rPr>
              <w:t>370</w:t>
            </w:r>
          </w:p>
        </w:tc>
        <w:tc>
          <w:tcPr>
            <w:tcW w:w="301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Определена приблизително на база площта на тръстиковите масиви в зоната, тъй като вида гнезди в тръстика. Смятаме, че в зоната може да гнезди не повече от 1 дв., тъй като гнездовата територия на една двойка е над 1000-2000 </w:t>
            </w:r>
            <w:r w:rsidRPr="00A8783E">
              <w:rPr>
                <w:rFonts w:ascii="Times New Roman" w:hAnsi="Times New Roman"/>
                <w:lang w:val="en-US"/>
              </w:rPr>
              <w:t>ha</w:t>
            </w:r>
            <w:r w:rsidRPr="00A8783E">
              <w:rPr>
                <w:rFonts w:ascii="Times New Roman" w:hAnsi="Times New Roman"/>
              </w:rPr>
              <w:t>.</w:t>
            </w:r>
          </w:p>
        </w:tc>
        <w:tc>
          <w:tcPr>
            <w:tcW w:w="2260"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Поддържане и увеличаване на площта на тръстиковите масиви в зоната в размер най-малко от 370 </w:t>
            </w:r>
            <w:r w:rsidRPr="00A8783E">
              <w:rPr>
                <w:rFonts w:ascii="Times New Roman" w:hAnsi="Times New Roman"/>
                <w:lang w:val="en-US"/>
              </w:rPr>
              <w:t>ha</w:t>
            </w:r>
            <w:r w:rsidRPr="00A8783E">
              <w:rPr>
                <w:rFonts w:ascii="Times New Roman" w:hAnsi="Times New Roman"/>
              </w:rPr>
              <w:t xml:space="preserve"> чрез поддържане на оптимално ниво на водата в езерото.</w:t>
            </w:r>
          </w:p>
        </w:tc>
      </w:tr>
      <w:tr w:rsidR="00A8783E" w:rsidRPr="00A8783E" w:rsidTr="005B5318">
        <w:trPr>
          <w:trHeight w:val="1273"/>
          <w:jc w:val="center"/>
        </w:trPr>
        <w:tc>
          <w:tcPr>
            <w:tcW w:w="1875"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характеристика на местообитанието за търсене на храна</w:t>
            </w:r>
          </w:p>
        </w:tc>
        <w:tc>
          <w:tcPr>
            <w:tcW w:w="1134" w:type="dxa"/>
          </w:tcPr>
          <w:p w:rsidR="00A8783E" w:rsidRPr="00A8783E" w:rsidRDefault="00A8783E" w:rsidP="00A8783E">
            <w:pPr>
              <w:spacing w:after="0" w:line="240" w:lineRule="auto"/>
              <w:rPr>
                <w:rFonts w:ascii="Times New Roman" w:hAnsi="Times New Roman"/>
              </w:rPr>
            </w:pPr>
            <w:r w:rsidRPr="00A8783E">
              <w:rPr>
                <w:rFonts w:ascii="Times New Roman" w:hAnsi="Times New Roman"/>
                <w:lang w:val="en-US"/>
              </w:rPr>
              <w:t>ha</w:t>
            </w:r>
            <w:r w:rsidRPr="00A8783E">
              <w:rPr>
                <w:rFonts w:ascii="Times New Roman" w:hAnsi="Times New Roman"/>
              </w:rPr>
              <w:t xml:space="preserve"> </w:t>
            </w:r>
          </w:p>
        </w:tc>
        <w:tc>
          <w:tcPr>
            <w:tcW w:w="1134" w:type="dxa"/>
          </w:tcPr>
          <w:p w:rsidR="00A8783E" w:rsidRPr="00A8783E" w:rsidRDefault="00A8783E" w:rsidP="00A8783E">
            <w:pPr>
              <w:spacing w:after="0" w:line="240" w:lineRule="auto"/>
              <w:rPr>
                <w:rFonts w:ascii="Times New Roman" w:hAnsi="Times New Roman"/>
              </w:rPr>
            </w:pPr>
            <w:r w:rsidRPr="00A8783E">
              <w:rPr>
                <w:rFonts w:ascii="Times New Roman" w:hAnsi="Times New Roman"/>
                <w:lang w:val="en-US"/>
              </w:rPr>
              <w:t xml:space="preserve">Най-малко </w:t>
            </w:r>
            <w:r w:rsidRPr="00A8783E">
              <w:rPr>
                <w:rFonts w:ascii="Times New Roman" w:hAnsi="Times New Roman"/>
              </w:rPr>
              <w:t>753</w:t>
            </w:r>
          </w:p>
        </w:tc>
        <w:tc>
          <w:tcPr>
            <w:tcW w:w="301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Определена на база на % участие на откритите местообитания в зоната: N07- мочурища и блата (565 ha), N09-сухи ливади, степи (116 ha), N15-други обработваеми земи (72 ha),   които вида използва за търсене на храна. Тяхната обща площ е 753 ha.</w:t>
            </w:r>
          </w:p>
        </w:tc>
        <w:tc>
          <w:tcPr>
            <w:tcW w:w="2260"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подходящи  земеделски култури (пшеница, люцерна) в близост до обширни тръстикови масиви, тъй като в тях търси храна.</w:t>
            </w:r>
          </w:p>
        </w:tc>
      </w:tr>
    </w:tbl>
    <w:p w:rsidR="00A8783E" w:rsidRPr="00A8783E" w:rsidRDefault="00A8783E" w:rsidP="00A8783E">
      <w:pPr>
        <w:spacing w:before="120" w:after="120" w:line="259" w:lineRule="auto"/>
        <w:jc w:val="both"/>
        <w:rPr>
          <w:rFonts w:ascii="Times New Roman" w:hAnsi="Times New Roman"/>
          <w:b/>
          <w:bCs/>
          <w:sz w:val="24"/>
          <w:szCs w:val="24"/>
        </w:rPr>
      </w:pPr>
    </w:p>
    <w:p w:rsidR="00A8783E" w:rsidRPr="00A8783E" w:rsidRDefault="00A8783E" w:rsidP="00A8783E">
      <w:pPr>
        <w:spacing w:before="120" w:after="120" w:line="259" w:lineRule="auto"/>
        <w:jc w:val="both"/>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Не са необходимо промени в СФ.</w:t>
      </w:r>
    </w:p>
    <w:p w:rsidR="00A8783E" w:rsidRPr="00A8783E" w:rsidRDefault="00A8783E" w:rsidP="00A8783E">
      <w:pPr>
        <w:spacing w:after="160" w:line="259" w:lineRule="auto"/>
      </w:pPr>
    </w:p>
    <w:p w:rsidR="00A8783E" w:rsidRPr="00A8783E" w:rsidRDefault="00A8783E" w:rsidP="00A8783E">
      <w:pPr>
        <w:keepNext/>
        <w:keepLines/>
        <w:spacing w:before="120" w:after="120" w:line="240" w:lineRule="auto"/>
        <w:outlineLvl w:val="1"/>
        <w:rPr>
          <w:rFonts w:ascii="Times New Roman" w:hAnsi="Times New Roman"/>
          <w:color w:val="1F497D"/>
          <w:sz w:val="28"/>
          <w:szCs w:val="28"/>
        </w:rPr>
      </w:pPr>
      <w:bookmarkStart w:id="261" w:name="_Toc86409833"/>
      <w:bookmarkStart w:id="262" w:name="_Toc89106101"/>
      <w:bookmarkStart w:id="263" w:name="_Toc98741940"/>
      <w:bookmarkStart w:id="264" w:name="_Toc98838615"/>
      <w:r w:rsidRPr="00A8783E">
        <w:rPr>
          <w:rFonts w:ascii="Times New Roman" w:hAnsi="Times New Roman"/>
          <w:color w:val="1F497D"/>
          <w:sz w:val="28"/>
          <w:szCs w:val="28"/>
        </w:rPr>
        <w:t xml:space="preserve">Специфични цели за А082 </w:t>
      </w:r>
      <w:r w:rsidRPr="00A8783E">
        <w:rPr>
          <w:rFonts w:ascii="Times New Roman" w:hAnsi="Times New Roman"/>
          <w:i/>
          <w:iCs/>
          <w:color w:val="1F497D"/>
          <w:sz w:val="28"/>
          <w:szCs w:val="28"/>
        </w:rPr>
        <w:t>Circus cyaneus</w:t>
      </w:r>
      <w:r w:rsidRPr="00A8783E">
        <w:rPr>
          <w:rFonts w:ascii="Times New Roman" w:hAnsi="Times New Roman"/>
          <w:color w:val="1F497D"/>
          <w:sz w:val="28"/>
          <w:szCs w:val="28"/>
        </w:rPr>
        <w:t xml:space="preserve"> (полски блатар)</w:t>
      </w:r>
      <w:bookmarkEnd w:id="261"/>
      <w:bookmarkEnd w:id="262"/>
      <w:bookmarkEnd w:id="263"/>
      <w:bookmarkEnd w:id="264"/>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45-50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110-120 </w:t>
      </w:r>
      <w:r w:rsidRPr="00A8783E">
        <w:rPr>
          <w:rFonts w:ascii="Times New Roman" w:hAnsi="Times New Roman"/>
          <w:sz w:val="24"/>
          <w:szCs w:val="24"/>
          <w:lang w:val="en-US"/>
        </w:rPr>
        <w:t>cm</w:t>
      </w:r>
      <w:r w:rsidRPr="00A8783E">
        <w:rPr>
          <w:rFonts w:ascii="Times New Roman" w:hAnsi="Times New Roman"/>
          <w:sz w:val="24"/>
          <w:szCs w:val="24"/>
        </w:rPr>
        <w:t>. Средно голяма граблива птица с дребно тяло, дълги тесни крила и дълга, права опашка. Полетът е плавен с бавни махове на крилата. Често лети ниско над земята, увисва във въздуха, като слабо размахва повдигнати нагоре крила. Мъжкият се отличава от останалите блатари по широката ивица на над опашката. Женската и младото са трудно различими от другите видове – бялата ивица на над опашката е малко по-широка и добре очертана и размерите на тялото са по-големи (Симеонов и др., 1990).</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sz w:val="24"/>
          <w:szCs w:val="24"/>
        </w:rPr>
        <w:t xml:space="preserve"> </w:t>
      </w: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Преминаващ, зимуващ и вероятно гнездящ вид. Пролетния прелет е от началото на март до средата на април, а есенният – от началото на август до края на ноември. Сега </w:t>
      </w:r>
      <w:r w:rsidRPr="00A8783E">
        <w:rPr>
          <w:rFonts w:ascii="Times New Roman" w:hAnsi="Times New Roman"/>
          <w:sz w:val="24"/>
          <w:szCs w:val="24"/>
        </w:rPr>
        <w:lastRenderedPageBreak/>
        <w:t>през размножителния период има наблюдения в Горнотракийската низина, Дунавската равнина и Добруджа, но без доказателства за гнездене. Възможната гнездова популация в страната се оценява на 0–6 двойки. Броят на зимуващите в България индивиди през отделните години варира от няколко десетки до няколко стотици. Гнездото е на земята, сред гъста тревна или блатна растителност, храсталаци, житни култури (Спасов и Николов в Червена книга на Р България, 2015; Симеонов и др., 1990).</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Тревни съобщества – ливади, пасища, обработваеми земи, стоящи сладководни водоеми с постоянен или сезонен характер, широки речни долини (Спасов и Николов в Червена книга на Р България, 2015; Симеонов и др., 1990). В Ирландия е установена гнездова плътност между 0,25 и 4,24 дв./100 </w:t>
      </w:r>
      <w:r w:rsidRPr="00A8783E">
        <w:rPr>
          <w:rFonts w:ascii="Times New Roman" w:hAnsi="Times New Roman"/>
          <w:sz w:val="24"/>
          <w:szCs w:val="24"/>
          <w:lang w:val="en-US"/>
        </w:rPr>
        <w:t>km</w:t>
      </w:r>
      <w:r w:rsidRPr="00A8783E">
        <w:rPr>
          <w:rFonts w:ascii="Times New Roman" w:hAnsi="Times New Roman"/>
          <w:sz w:val="24"/>
          <w:szCs w:val="24"/>
          <w:vertAlign w:val="superscript"/>
        </w:rPr>
        <w:t>2</w:t>
      </w:r>
      <w:r w:rsidRPr="00A8783E">
        <w:rPr>
          <w:rFonts w:ascii="Times New Roman" w:hAnsi="Times New Roman"/>
          <w:sz w:val="24"/>
          <w:szCs w:val="24"/>
        </w:rPr>
        <w:t xml:space="preserve"> (</w:t>
      </w:r>
      <w:r w:rsidRPr="00A8783E">
        <w:rPr>
          <w:rFonts w:ascii="Times New Roman" w:hAnsi="Times New Roman"/>
          <w:sz w:val="24"/>
          <w:szCs w:val="24"/>
          <w:lang w:val="en-US"/>
        </w:rPr>
        <w:t>Wilson</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2017). Според </w:t>
      </w:r>
      <w:r w:rsidRPr="00A8783E">
        <w:rPr>
          <w:rFonts w:ascii="Times New Roman" w:hAnsi="Times New Roman"/>
          <w:sz w:val="24"/>
          <w:szCs w:val="24"/>
          <w:lang w:val="en-US"/>
        </w:rPr>
        <w:t>Madders</w:t>
      </w:r>
      <w:r w:rsidRPr="00A8783E">
        <w:rPr>
          <w:rFonts w:ascii="Times New Roman" w:hAnsi="Times New Roman"/>
          <w:sz w:val="24"/>
          <w:szCs w:val="24"/>
        </w:rPr>
        <w:t xml:space="preserve"> (2003) полският блатар в Шотландия предпочита тревисто-храстови местообитания, които са богати на неговата плячка – тъмната полевка, </w:t>
      </w:r>
      <w:r w:rsidRPr="00A8783E">
        <w:rPr>
          <w:rFonts w:ascii="Times New Roman" w:hAnsi="Times New Roman"/>
          <w:i/>
          <w:iCs/>
          <w:sz w:val="24"/>
          <w:szCs w:val="24"/>
          <w:lang w:val="en-US"/>
        </w:rPr>
        <w:t>Microtus</w:t>
      </w:r>
      <w:r w:rsidRPr="00A8783E">
        <w:rPr>
          <w:rFonts w:ascii="Times New Roman" w:hAnsi="Times New Roman"/>
          <w:i/>
          <w:iCs/>
          <w:sz w:val="24"/>
          <w:szCs w:val="24"/>
        </w:rPr>
        <w:t xml:space="preserve"> </w:t>
      </w:r>
      <w:r w:rsidRPr="00A8783E">
        <w:rPr>
          <w:rFonts w:ascii="Times New Roman" w:hAnsi="Times New Roman"/>
          <w:i/>
          <w:iCs/>
          <w:sz w:val="24"/>
          <w:szCs w:val="24"/>
          <w:lang w:val="en-US"/>
        </w:rPr>
        <w:t>agrestis</w:t>
      </w:r>
      <w:r w:rsidRPr="00A8783E">
        <w:rPr>
          <w:rFonts w:ascii="Times New Roman" w:hAnsi="Times New Roman"/>
          <w:i/>
          <w:iCs/>
          <w:sz w:val="24"/>
          <w:szCs w:val="24"/>
        </w:rPr>
        <w:t xml:space="preserve"> </w:t>
      </w:r>
      <w:r w:rsidRPr="00A8783E">
        <w:rPr>
          <w:rFonts w:ascii="Times New Roman" w:hAnsi="Times New Roman"/>
          <w:sz w:val="24"/>
          <w:szCs w:val="24"/>
        </w:rPr>
        <w:t xml:space="preserve">и ливадна бъбрица, </w:t>
      </w:r>
      <w:r w:rsidRPr="00A8783E">
        <w:rPr>
          <w:rFonts w:ascii="Times New Roman" w:hAnsi="Times New Roman"/>
          <w:i/>
          <w:iCs/>
          <w:sz w:val="24"/>
          <w:szCs w:val="24"/>
          <w:lang w:val="en-US"/>
        </w:rPr>
        <w:t>Anthus</w:t>
      </w:r>
      <w:r w:rsidRPr="00A8783E">
        <w:rPr>
          <w:rFonts w:ascii="Times New Roman" w:hAnsi="Times New Roman"/>
          <w:i/>
          <w:iCs/>
          <w:sz w:val="24"/>
          <w:szCs w:val="24"/>
        </w:rPr>
        <w:t xml:space="preserve"> </w:t>
      </w:r>
      <w:r w:rsidRPr="00A8783E">
        <w:rPr>
          <w:rFonts w:ascii="Times New Roman" w:hAnsi="Times New Roman"/>
          <w:i/>
          <w:iCs/>
          <w:sz w:val="24"/>
          <w:szCs w:val="24"/>
          <w:lang w:val="en-US"/>
        </w:rPr>
        <w:t>pratensis</w:t>
      </w:r>
      <w:r w:rsidRPr="00A8783E">
        <w:rPr>
          <w:rFonts w:ascii="Times New Roman" w:hAnsi="Times New Roman"/>
          <w:sz w:val="24"/>
          <w:szCs w:val="24"/>
        </w:rPr>
        <w:t>. Подходящи местообитания са ливади, пасища, обработваеми земи и вероятно повечето типове „Естествени и полуестествени тревни формации“ (6110-6520), а може би и някои от „Преовлажнени тресавища, калища и мочурища“ (7140-7230)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През размножителния период се храни основно с дребни бозайници (полевки, мишки) и птици, в по-малка степен с насекоми (скакалци), влечуги и земноводни, през зимата и с мърша (Спасов и Николов в Червена книга на Р България, 2015; Симеонов и др., 1990).</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Установен в Тракийската низина, района на бившето Стралджанско блато, Северното Черноморско крайбрежие и Дунавската равнина. Отделни индивиди и двойка са наблюдавани неколкократно през периода 1994–1996 г. между селата Къшин, Къртожабене и Търнене, Плевенско. Брачни игри при 2 двойки са регистрирани на 09.06.1997 г. до с. Оризово, Пловдивско. На 31.05.2002 г. са наблюдавани 2 отделни птици, съответно до гр. Раковски и до с. Момино село, Пловдивско (Игнатов в Янков, отг. ред., 2007). </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A8783E">
        <w:rPr>
          <w:rFonts w:ascii="Times New Roman" w:hAnsi="Times New Roman"/>
          <w:sz w:val="24"/>
          <w:szCs w:val="24"/>
          <w:lang w:val="en-GB"/>
        </w:rPr>
        <w:t>IUCN</w:t>
      </w:r>
      <w:r w:rsidRPr="00A8783E">
        <w:rPr>
          <w:rFonts w:ascii="Times New Roman" w:hAnsi="Times New Roman"/>
          <w:sz w:val="24"/>
          <w:szCs w:val="24"/>
        </w:rPr>
        <w:t xml:space="preserve"> за територията на континентална Европа видът е „почти застрашен“ - </w:t>
      </w:r>
      <w:r w:rsidRPr="00A8783E">
        <w:rPr>
          <w:rFonts w:ascii="Times New Roman" w:hAnsi="Times New Roman"/>
          <w:sz w:val="24"/>
          <w:szCs w:val="24"/>
          <w:lang w:val="en-GB"/>
        </w:rPr>
        <w:t>NT</w:t>
      </w:r>
      <w:r w:rsidRPr="00A8783E">
        <w:rPr>
          <w:rFonts w:ascii="Times New Roman" w:hAnsi="Times New Roman"/>
          <w:sz w:val="24"/>
          <w:szCs w:val="24"/>
        </w:rPr>
        <w:t xml:space="preserve"> (</w:t>
      </w:r>
      <w:r w:rsidRPr="00A8783E">
        <w:rPr>
          <w:rFonts w:ascii="Times New Roman" w:hAnsi="Times New Roman"/>
          <w:sz w:val="24"/>
          <w:szCs w:val="24"/>
          <w:lang w:val="en-GB"/>
        </w:rPr>
        <w:t>Near</w:t>
      </w:r>
      <w:r w:rsidRPr="00A8783E">
        <w:rPr>
          <w:rFonts w:ascii="Times New Roman" w:hAnsi="Times New Roman"/>
          <w:sz w:val="24"/>
          <w:szCs w:val="24"/>
        </w:rPr>
        <w:t xml:space="preserve"> </w:t>
      </w:r>
      <w:r w:rsidRPr="00A8783E">
        <w:rPr>
          <w:rFonts w:ascii="Times New Roman" w:hAnsi="Times New Roman"/>
          <w:sz w:val="24"/>
          <w:szCs w:val="24"/>
          <w:lang w:val="en-GB"/>
        </w:rPr>
        <w:t>Threatened</w:t>
      </w:r>
      <w:r w:rsidRPr="00A8783E">
        <w:rPr>
          <w:rFonts w:ascii="Times New Roman" w:hAnsi="Times New Roman"/>
          <w:sz w:val="24"/>
          <w:szCs w:val="24"/>
        </w:rPr>
        <w:t xml:space="preserve">), а в света е „слабо засегнат“ – </w:t>
      </w:r>
      <w:r w:rsidRPr="00A8783E">
        <w:rPr>
          <w:rFonts w:ascii="Times New Roman" w:hAnsi="Times New Roman"/>
          <w:sz w:val="24"/>
          <w:szCs w:val="24"/>
          <w:lang w:val="en-US"/>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rPr>
        <w:t xml:space="preserve"> </w:t>
      </w:r>
      <w:r w:rsidRPr="00A8783E">
        <w:rPr>
          <w:rFonts w:ascii="Times New Roman" w:hAnsi="Times New Roman"/>
          <w:sz w:val="24"/>
          <w:szCs w:val="24"/>
          <w:lang w:val="en-GB"/>
        </w:rPr>
        <w:t>Concern</w:t>
      </w:r>
      <w:r w:rsidRPr="00A8783E">
        <w:rPr>
          <w:rFonts w:ascii="Times New Roman" w:hAnsi="Times New Roman"/>
          <w:sz w:val="24"/>
          <w:szCs w:val="24"/>
        </w:rPr>
        <w:t xml:space="preserve">). Включен в </w:t>
      </w:r>
      <w:r w:rsidRPr="00A8783E">
        <w:rPr>
          <w:rFonts w:ascii="Times New Roman" w:hAnsi="Times New Roman"/>
          <w:sz w:val="24"/>
          <w:szCs w:val="24"/>
          <w:lang w:val="en-GB"/>
        </w:rPr>
        <w:t>SPEC</w:t>
      </w:r>
      <w:r w:rsidRPr="00A8783E">
        <w:rPr>
          <w:rFonts w:ascii="Times New Roman" w:hAnsi="Times New Roman"/>
          <w:sz w:val="24"/>
          <w:szCs w:val="24"/>
        </w:rPr>
        <w:t xml:space="preserve"> 3 Изтощен. Включен в Червената книга на Р България със статус „критично застрашен“ </w:t>
      </w:r>
      <w:r w:rsidRPr="00A8783E">
        <w:rPr>
          <w:rFonts w:ascii="Times New Roman" w:hAnsi="Times New Roman"/>
          <w:sz w:val="24"/>
          <w:szCs w:val="24"/>
          <w:lang w:val="en-US"/>
        </w:rPr>
        <w:t>CR</w:t>
      </w:r>
      <w:r w:rsidRPr="00A8783E">
        <w:rPr>
          <w:rFonts w:ascii="Times New Roman" w:hAnsi="Times New Roman"/>
          <w:sz w:val="24"/>
          <w:szCs w:val="24"/>
        </w:rPr>
        <w:t xml:space="preserve"> (</w:t>
      </w:r>
      <w:r w:rsidRPr="00A8783E">
        <w:rPr>
          <w:rFonts w:ascii="Times New Roman" w:hAnsi="Times New Roman"/>
          <w:sz w:val="24"/>
          <w:szCs w:val="24"/>
          <w:lang w:val="en-US"/>
        </w:rPr>
        <w:t>Critically</w:t>
      </w:r>
      <w:r w:rsidRPr="00A8783E">
        <w:rPr>
          <w:rFonts w:ascii="Times New Roman" w:hAnsi="Times New Roman"/>
          <w:sz w:val="24"/>
          <w:szCs w:val="24"/>
        </w:rPr>
        <w:t xml:space="preserve"> </w:t>
      </w:r>
      <w:r w:rsidRPr="00A8783E">
        <w:rPr>
          <w:rFonts w:ascii="Times New Roman" w:hAnsi="Times New Roman"/>
          <w:sz w:val="24"/>
          <w:szCs w:val="24"/>
          <w:lang w:val="en-US"/>
        </w:rPr>
        <w:t>Endangered</w:t>
      </w:r>
      <w:r w:rsidRPr="00A8783E">
        <w:rPr>
          <w:rFonts w:ascii="Times New Roman" w:hAnsi="Times New Roman"/>
          <w:sz w:val="24"/>
          <w:szCs w:val="24"/>
        </w:rPr>
        <w:t xml:space="preserve">). </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bCs/>
          <w:sz w:val="24"/>
          <w:szCs w:val="24"/>
        </w:rPr>
        <w:t>мигрираща</w:t>
      </w:r>
      <w:r w:rsidRPr="00A8783E">
        <w:rPr>
          <w:rFonts w:ascii="Times New Roman" w:hAnsi="Times New Roman"/>
          <w:sz w:val="24"/>
          <w:szCs w:val="24"/>
        </w:rPr>
        <w:t xml:space="preserve"> популация на вида се оценя на 480 – 700 индивиди. Не са посочени краткосрочна и дългосрочна тенденции в развитието на популацията. Посочени са следните заплахи: </w:t>
      </w:r>
      <w:r w:rsidRPr="00A8783E">
        <w:rPr>
          <w:rFonts w:ascii="Times New Roman" w:hAnsi="Times New Roman"/>
          <w:sz w:val="24"/>
          <w:szCs w:val="24"/>
          <w:lang w:val="en-US"/>
        </w:rPr>
        <w:t>A</w:t>
      </w:r>
      <w:r w:rsidRPr="00A8783E">
        <w:rPr>
          <w:rFonts w:ascii="Times New Roman" w:hAnsi="Times New Roman"/>
          <w:sz w:val="24"/>
          <w:szCs w:val="24"/>
        </w:rPr>
        <w:t xml:space="preserve">01, </w:t>
      </w:r>
      <w:r w:rsidRPr="00A8783E">
        <w:rPr>
          <w:rFonts w:ascii="Times New Roman" w:hAnsi="Times New Roman"/>
          <w:sz w:val="24"/>
          <w:szCs w:val="24"/>
          <w:lang w:val="en-US"/>
        </w:rPr>
        <w:t>A</w:t>
      </w:r>
      <w:r w:rsidRPr="00A8783E">
        <w:rPr>
          <w:rFonts w:ascii="Times New Roman" w:hAnsi="Times New Roman"/>
          <w:sz w:val="24"/>
          <w:szCs w:val="24"/>
        </w:rPr>
        <w:t xml:space="preserve">02, </w:t>
      </w:r>
      <w:r w:rsidRPr="00A8783E">
        <w:rPr>
          <w:rFonts w:ascii="Times New Roman" w:hAnsi="Times New Roman"/>
          <w:sz w:val="24"/>
          <w:szCs w:val="24"/>
          <w:lang w:val="en-US"/>
        </w:rPr>
        <w:t>D</w:t>
      </w:r>
      <w:r w:rsidRPr="00A8783E">
        <w:rPr>
          <w:rFonts w:ascii="Times New Roman" w:hAnsi="Times New Roman"/>
          <w:sz w:val="24"/>
          <w:szCs w:val="24"/>
        </w:rPr>
        <w:t xml:space="preserve">02, </w:t>
      </w:r>
      <w:r w:rsidRPr="00A8783E">
        <w:rPr>
          <w:rFonts w:ascii="Times New Roman" w:hAnsi="Times New Roman"/>
          <w:sz w:val="24"/>
          <w:szCs w:val="24"/>
          <w:lang w:val="en-US"/>
        </w:rPr>
        <w:t>F</w:t>
      </w:r>
      <w:r w:rsidRPr="00A8783E">
        <w:rPr>
          <w:rFonts w:ascii="Times New Roman" w:hAnsi="Times New Roman"/>
          <w:sz w:val="24"/>
          <w:szCs w:val="24"/>
        </w:rPr>
        <w:t xml:space="preserve">03, </w:t>
      </w:r>
      <w:r w:rsidRPr="00A8783E">
        <w:rPr>
          <w:rFonts w:ascii="Times New Roman" w:hAnsi="Times New Roman"/>
          <w:sz w:val="24"/>
          <w:szCs w:val="24"/>
          <w:lang w:val="en-US"/>
        </w:rPr>
        <w:t>D</w:t>
      </w:r>
      <w:r w:rsidRPr="00A8783E">
        <w:rPr>
          <w:rFonts w:ascii="Times New Roman" w:hAnsi="Times New Roman"/>
          <w:sz w:val="24"/>
          <w:szCs w:val="24"/>
        </w:rPr>
        <w:t>06.</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b/>
          <w:bCs/>
          <w:sz w:val="24"/>
          <w:szCs w:val="24"/>
        </w:rPr>
        <w:t>Зимуващат</w:t>
      </w:r>
      <w:r w:rsidRPr="00A8783E">
        <w:rPr>
          <w:rFonts w:ascii="Times New Roman" w:hAnsi="Times New Roman"/>
          <w:sz w:val="24"/>
          <w:szCs w:val="24"/>
        </w:rPr>
        <w:t xml:space="preserve">а популация е оценена на 250 – 400 индивида. Краткосрочната тенденция на популацията (за периода 2000 – 2018 г.) е стабилна, а дългосрочната (за периода 1980 – 2018 г.) е увеличаваща се. Посочени са следните заплахи: </w:t>
      </w:r>
      <w:r w:rsidRPr="00A8783E">
        <w:rPr>
          <w:rFonts w:ascii="Times New Roman" w:hAnsi="Times New Roman"/>
          <w:sz w:val="24"/>
          <w:szCs w:val="24"/>
          <w:lang w:val="en-US"/>
        </w:rPr>
        <w:t>A</w:t>
      </w:r>
      <w:r w:rsidRPr="00A8783E">
        <w:rPr>
          <w:rFonts w:ascii="Times New Roman" w:hAnsi="Times New Roman"/>
          <w:sz w:val="24"/>
          <w:szCs w:val="24"/>
        </w:rPr>
        <w:t xml:space="preserve">01, </w:t>
      </w:r>
      <w:r w:rsidRPr="00A8783E">
        <w:rPr>
          <w:rFonts w:ascii="Times New Roman" w:hAnsi="Times New Roman"/>
          <w:sz w:val="24"/>
          <w:szCs w:val="24"/>
          <w:lang w:val="en-US"/>
        </w:rPr>
        <w:t>A</w:t>
      </w:r>
      <w:r w:rsidRPr="00A8783E">
        <w:rPr>
          <w:rFonts w:ascii="Times New Roman" w:hAnsi="Times New Roman"/>
          <w:sz w:val="24"/>
          <w:szCs w:val="24"/>
        </w:rPr>
        <w:t xml:space="preserve">02, </w:t>
      </w:r>
      <w:r w:rsidRPr="00A8783E">
        <w:rPr>
          <w:rFonts w:ascii="Times New Roman" w:hAnsi="Times New Roman"/>
          <w:sz w:val="24"/>
          <w:szCs w:val="24"/>
          <w:lang w:val="en-US"/>
        </w:rPr>
        <w:t>C</w:t>
      </w:r>
      <w:r w:rsidRPr="00A8783E">
        <w:rPr>
          <w:rFonts w:ascii="Times New Roman" w:hAnsi="Times New Roman"/>
          <w:sz w:val="24"/>
          <w:szCs w:val="24"/>
        </w:rPr>
        <w:t xml:space="preserve">03, </w:t>
      </w:r>
      <w:r w:rsidRPr="00A8783E">
        <w:rPr>
          <w:rFonts w:ascii="Times New Roman" w:hAnsi="Times New Roman"/>
          <w:sz w:val="24"/>
          <w:szCs w:val="24"/>
          <w:lang w:val="en-US"/>
        </w:rPr>
        <w:t>D</w:t>
      </w:r>
      <w:r w:rsidRPr="00A8783E">
        <w:rPr>
          <w:rFonts w:ascii="Times New Roman" w:hAnsi="Times New Roman"/>
          <w:sz w:val="24"/>
          <w:szCs w:val="24"/>
        </w:rPr>
        <w:t>02.</w:t>
      </w:r>
    </w:p>
    <w:p w:rsidR="00A8783E" w:rsidRPr="00A8783E" w:rsidRDefault="00A8783E" w:rsidP="00A8783E">
      <w:pPr>
        <w:spacing w:before="120" w:after="120" w:line="259"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Съгласно стандартния формуляр за данни на зоната вида е </w:t>
      </w:r>
      <w:r w:rsidRPr="00A8783E">
        <w:rPr>
          <w:rFonts w:ascii="Times New Roman" w:hAnsi="Times New Roman"/>
          <w:b/>
          <w:bCs/>
          <w:sz w:val="24"/>
          <w:szCs w:val="24"/>
        </w:rPr>
        <w:t>мигриращ</w:t>
      </w:r>
      <w:r w:rsidRPr="00A8783E">
        <w:rPr>
          <w:rFonts w:ascii="Times New Roman" w:hAnsi="Times New Roman"/>
          <w:sz w:val="24"/>
          <w:szCs w:val="24"/>
        </w:rPr>
        <w:t xml:space="preserve">, като популацията се оценява на до </w:t>
      </w:r>
      <w:r w:rsidRPr="00A8783E">
        <w:rPr>
          <w:rFonts w:ascii="Times New Roman" w:hAnsi="Times New Roman"/>
          <w:b/>
          <w:bCs/>
          <w:sz w:val="24"/>
          <w:szCs w:val="24"/>
        </w:rPr>
        <w:t>1 индивид</w:t>
      </w:r>
      <w:r w:rsidRPr="00A8783E">
        <w:rPr>
          <w:rFonts w:ascii="Times New Roman" w:hAnsi="Times New Roman"/>
          <w:sz w:val="24"/>
          <w:szCs w:val="24"/>
        </w:rPr>
        <w:t>, което представлява 0,14 – 0,21%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и </w:t>
      </w:r>
      <w:r w:rsidRPr="00A8783E">
        <w:rPr>
          <w:rFonts w:ascii="Times New Roman" w:hAnsi="Times New Roman"/>
          <w:b/>
          <w:bCs/>
          <w:sz w:val="24"/>
          <w:szCs w:val="24"/>
        </w:rPr>
        <w:t>зимуващ</w:t>
      </w:r>
      <w:r w:rsidRPr="00A8783E">
        <w:rPr>
          <w:rFonts w:ascii="Times New Roman" w:hAnsi="Times New Roman"/>
          <w:sz w:val="24"/>
          <w:szCs w:val="24"/>
        </w:rPr>
        <w:t xml:space="preserve">, като популацията се оценява на до </w:t>
      </w:r>
      <w:r w:rsidRPr="00A8783E">
        <w:rPr>
          <w:rFonts w:ascii="Times New Roman" w:hAnsi="Times New Roman"/>
          <w:b/>
          <w:bCs/>
          <w:sz w:val="24"/>
          <w:szCs w:val="24"/>
        </w:rPr>
        <w:t>3 индивида</w:t>
      </w:r>
      <w:r w:rsidRPr="00A8783E">
        <w:rPr>
          <w:rFonts w:ascii="Times New Roman" w:hAnsi="Times New Roman"/>
          <w:sz w:val="24"/>
          <w:szCs w:val="24"/>
        </w:rPr>
        <w:t>, което представлява 0,75 – 1,2%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средна Дунавска равнина най-висока е числеността на вида през есенния прелет – от края на октомври до декември. Среща се повсеместно в полските райони (Шурулинков и др., 2005). Според Костадинова, Граматиков (2007), видът присъства в зоната по време на миграция с 0-1 инд. и по време на зимуване – 0-3 инд. Миграцията на полския блатар през страната е на широк фронт, но по-голяма част от птиците преминават през източната част на страната (Матеева и Янков, 2013).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rsidR="00A8783E" w:rsidRPr="00A8783E" w:rsidRDefault="00A8783E" w:rsidP="00A8783E">
      <w:pPr>
        <w:spacing w:before="120" w:after="120" w:line="259" w:lineRule="auto"/>
        <w:jc w:val="both"/>
        <w:rPr>
          <w:rFonts w:ascii="Times New Roman" w:hAnsi="Times New Roman"/>
          <w:i/>
          <w:iCs/>
          <w:sz w:val="24"/>
          <w:szCs w:val="24"/>
        </w:rPr>
      </w:pPr>
      <w:r w:rsidRPr="00A8783E">
        <w:rPr>
          <w:rFonts w:ascii="Times New Roman" w:hAnsi="Times New Roman"/>
          <w:i/>
          <w:iCs/>
          <w:sz w:val="24"/>
          <w:szCs w:val="24"/>
        </w:rPr>
        <w:t>Зимуваща популация</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Данните за зимуването на вида в зоната са от средно зимните преброявания през 2019 и 2020 г. През зимния период на 2019 г. са наблюдавани 5 индивида по поречието на река Дунав, като 1 инд. от тях близо до зоната. През зимния период на 2020 г. са наблюдавани 3 индивида по поречието на река Дунав, като не са наблюдавани птици от вида в зоната. През 2021 г. не са извършвани теренни проучвания по време на миграция и зимуване в зоната. По данни  от eBird, видът е наблюдаван в зоната през март 1985 г.- 3 инд., през април  1985 г.- 1 инд., през февруари 1987 г. – 3 инд., през януари 1988 г. – 1 инд., през септември 1988 г. – 2 инд., февруари 1991 г. – 1 инд., януари 1992 г. – 3 инд., декември 1997 г. – 2 инд., октомври 2019 г.- 1 инд. Данните от https://observation.org  за 2020 и 2021 г., видът не е наблюдаван в зоната.</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 xml:space="preserve">За мигриращата популация, съгласно Докладването по чл. 12 от 2019 г., са посочени следните </w:t>
      </w:r>
      <w:r w:rsidRPr="00A8783E">
        <w:rPr>
          <w:rFonts w:ascii="Times New Roman" w:hAnsi="Times New Roman"/>
          <w:b/>
          <w:bCs/>
          <w:sz w:val="24"/>
          <w:szCs w:val="24"/>
        </w:rPr>
        <w:t>заплахи</w:t>
      </w:r>
      <w:r w:rsidRPr="00A8783E">
        <w:rPr>
          <w:rFonts w:ascii="Times New Roman" w:hAnsi="Times New Roman"/>
          <w:sz w:val="24"/>
          <w:szCs w:val="24"/>
        </w:rPr>
        <w:t>: A01, A02, D02, F03, D06. От тях потенциално валидни за СЗЗ „Сребърна” могат да бъдат тези, които са свързани с промяна в ползването на земите и земеделските площи – А1, A02, A03, A04, тъй като в такива местообитания вида търси храна.</w:t>
      </w:r>
    </w:p>
    <w:p w:rsidR="00A8783E" w:rsidRPr="00A8783E" w:rsidRDefault="00A8783E" w:rsidP="00A8783E">
      <w:pPr>
        <w:spacing w:before="120" w:after="120" w:line="259"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7"/>
        <w:gridCol w:w="1276"/>
        <w:gridCol w:w="1134"/>
        <w:gridCol w:w="2693"/>
        <w:gridCol w:w="2199"/>
      </w:tblGrid>
      <w:tr w:rsidR="00A8783E" w:rsidRPr="00A8783E" w:rsidTr="005B5318">
        <w:trPr>
          <w:tblHeader/>
          <w:jc w:val="center"/>
        </w:trPr>
        <w:tc>
          <w:tcPr>
            <w:tcW w:w="1917" w:type="dxa"/>
            <w:shd w:val="clear" w:color="auto" w:fill="DBE5F1"/>
            <w:vAlign w:val="center"/>
          </w:tcPr>
          <w:p w:rsidR="00A8783E" w:rsidRPr="00A8783E" w:rsidRDefault="00A8783E" w:rsidP="00A8783E">
            <w:pPr>
              <w:spacing w:before="120" w:after="120" w:line="259" w:lineRule="auto"/>
              <w:jc w:val="both"/>
              <w:rPr>
                <w:rFonts w:ascii="Times New Roman" w:hAnsi="Times New Roman"/>
                <w:b/>
                <w:bCs/>
              </w:rPr>
            </w:pPr>
            <w:r w:rsidRPr="00A8783E">
              <w:rPr>
                <w:rFonts w:ascii="Times New Roman" w:hAnsi="Times New Roman"/>
                <w:b/>
                <w:bCs/>
              </w:rPr>
              <w:t>Параметър</w:t>
            </w:r>
          </w:p>
        </w:tc>
        <w:tc>
          <w:tcPr>
            <w:tcW w:w="1276" w:type="dxa"/>
            <w:shd w:val="clear" w:color="auto" w:fill="DBE5F1"/>
            <w:vAlign w:val="center"/>
          </w:tcPr>
          <w:p w:rsidR="00A8783E" w:rsidRPr="00A8783E" w:rsidRDefault="00A8783E" w:rsidP="00A8783E">
            <w:pPr>
              <w:spacing w:before="120" w:after="120" w:line="259" w:lineRule="auto"/>
              <w:jc w:val="both"/>
              <w:rPr>
                <w:rFonts w:ascii="Times New Roman" w:hAnsi="Times New Roman"/>
                <w:b/>
                <w:bCs/>
              </w:rPr>
            </w:pPr>
            <w:r w:rsidRPr="00A8783E">
              <w:rPr>
                <w:rFonts w:ascii="Times New Roman" w:hAnsi="Times New Roman"/>
                <w:b/>
                <w:bCs/>
              </w:rPr>
              <w:t xml:space="preserve">Мерна единица </w:t>
            </w:r>
          </w:p>
        </w:tc>
        <w:tc>
          <w:tcPr>
            <w:tcW w:w="1134" w:type="dxa"/>
            <w:shd w:val="clear" w:color="auto" w:fill="DBE5F1"/>
            <w:vAlign w:val="center"/>
          </w:tcPr>
          <w:p w:rsidR="00A8783E" w:rsidRPr="00A8783E" w:rsidRDefault="00A8783E" w:rsidP="00A8783E">
            <w:pPr>
              <w:spacing w:before="120" w:after="120" w:line="259" w:lineRule="auto"/>
              <w:jc w:val="both"/>
              <w:rPr>
                <w:rFonts w:ascii="Times New Roman" w:hAnsi="Times New Roman"/>
                <w:b/>
                <w:bCs/>
              </w:rPr>
            </w:pPr>
            <w:r w:rsidRPr="00A8783E">
              <w:rPr>
                <w:rFonts w:ascii="Times New Roman" w:hAnsi="Times New Roman"/>
                <w:b/>
                <w:bCs/>
              </w:rPr>
              <w:t xml:space="preserve">Целева стойност </w:t>
            </w:r>
          </w:p>
        </w:tc>
        <w:tc>
          <w:tcPr>
            <w:tcW w:w="2693" w:type="dxa"/>
            <w:shd w:val="clear" w:color="auto" w:fill="DBE5F1"/>
            <w:vAlign w:val="center"/>
          </w:tcPr>
          <w:p w:rsidR="00A8783E" w:rsidRPr="00A8783E" w:rsidRDefault="00A8783E" w:rsidP="00A8783E">
            <w:pPr>
              <w:spacing w:before="120" w:after="120" w:line="259"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199" w:type="dxa"/>
            <w:shd w:val="clear" w:color="auto" w:fill="DBE5F1"/>
            <w:vAlign w:val="center"/>
          </w:tcPr>
          <w:p w:rsidR="00A8783E" w:rsidRPr="00A8783E" w:rsidRDefault="00A8783E" w:rsidP="00A8783E">
            <w:pPr>
              <w:spacing w:before="120" w:after="120" w:line="259"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91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Популация</w:t>
            </w:r>
            <w:r w:rsidRPr="00A8783E">
              <w:rPr>
                <w:rFonts w:ascii="Times New Roman" w:hAnsi="Times New Roman"/>
              </w:rPr>
              <w:t xml:space="preserve">: Размер мигриращата </w:t>
            </w:r>
            <w:r w:rsidRPr="00A8783E">
              <w:rPr>
                <w:rFonts w:ascii="Times New Roman" w:hAnsi="Times New Roman"/>
              </w:rPr>
              <w:lastRenderedPageBreak/>
              <w:t>популация</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Брой индивиди</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 инд.</w:t>
            </w:r>
          </w:p>
        </w:tc>
        <w:tc>
          <w:tcPr>
            <w:tcW w:w="2693" w:type="dxa"/>
          </w:tcPr>
          <w:p w:rsidR="00A8783E" w:rsidRPr="00A8783E" w:rsidRDefault="00A8783E" w:rsidP="00A8783E">
            <w:pPr>
              <w:spacing w:after="0" w:line="240" w:lineRule="auto"/>
              <w:jc w:val="both"/>
              <w:rPr>
                <w:rFonts w:ascii="Times New Roman" w:hAnsi="Times New Roman"/>
                <w:color w:val="0070C0"/>
              </w:rPr>
            </w:pPr>
            <w:r w:rsidRPr="00A8783E">
              <w:rPr>
                <w:rFonts w:ascii="Times New Roman" w:hAnsi="Times New Roman"/>
              </w:rPr>
              <w:t xml:space="preserve">В СФ за концентрацията на вида в зоната е посочена численост 1 </w:t>
            </w:r>
            <w:r w:rsidRPr="00A8783E">
              <w:rPr>
                <w:rFonts w:ascii="Times New Roman" w:hAnsi="Times New Roman"/>
              </w:rPr>
              <w:lastRenderedPageBreak/>
              <w:t>инд.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tc>
        <w:tc>
          <w:tcPr>
            <w:tcW w:w="219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Междинна цел до 2025 г.: провеждане на проучване за </w:t>
            </w:r>
            <w:r w:rsidRPr="00A8783E">
              <w:rPr>
                <w:rFonts w:ascii="Times New Roman" w:hAnsi="Times New Roman"/>
              </w:rPr>
              <w:lastRenderedPageBreak/>
              <w:t>установяване на текущата миграционна численост на вида в зоната в подходящите местообитания.</w:t>
            </w:r>
          </w:p>
        </w:tc>
      </w:tr>
      <w:tr w:rsidR="00A8783E" w:rsidRPr="00A8783E" w:rsidTr="005B5318">
        <w:trPr>
          <w:jc w:val="center"/>
        </w:trPr>
        <w:tc>
          <w:tcPr>
            <w:tcW w:w="191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lastRenderedPageBreak/>
              <w:t>Популация</w:t>
            </w:r>
            <w:r w:rsidRPr="00A8783E">
              <w:rPr>
                <w:rFonts w:ascii="Times New Roman" w:hAnsi="Times New Roman"/>
              </w:rPr>
              <w:t>: Размер на зимуващата популация</w:t>
            </w:r>
          </w:p>
        </w:tc>
        <w:tc>
          <w:tcPr>
            <w:tcW w:w="1276"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rPr>
              <w:t>Брой индивиди</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 инд.</w:t>
            </w:r>
          </w:p>
        </w:tc>
        <w:tc>
          <w:tcPr>
            <w:tcW w:w="269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Определена на база данните от СЗП през 2019 и 2020 г. Количеството на зимуващите птици силно зависи от метеорологичните условия и най-вече от температурните стойности през януари. При средни температури около 0° С или с отрицателен знак, се очаква целевата стойност да бъде изпълнена.</w:t>
            </w:r>
          </w:p>
        </w:tc>
        <w:tc>
          <w:tcPr>
            <w:tcW w:w="219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При средни температури около 0°С или с отрицателен знак, се очаква зимуващата популация да е ≥ 1 инд.</w:t>
            </w:r>
          </w:p>
        </w:tc>
      </w:tr>
      <w:tr w:rsidR="00A8783E" w:rsidRPr="00A8783E" w:rsidTr="005B5318">
        <w:trPr>
          <w:jc w:val="center"/>
        </w:trPr>
        <w:tc>
          <w:tcPr>
            <w:tcW w:w="1917"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характеристика на местообитанието за търсене на храна</w:t>
            </w:r>
          </w:p>
        </w:tc>
        <w:tc>
          <w:tcPr>
            <w:tcW w:w="12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lang w:val="en-US"/>
              </w:rPr>
              <w:t>ha</w:t>
            </w:r>
            <w:r w:rsidRPr="00A8783E">
              <w:rPr>
                <w:rFonts w:ascii="Times New Roman" w:hAnsi="Times New Roman"/>
              </w:rPr>
              <w:t xml:space="preserve"> </w:t>
            </w:r>
          </w:p>
        </w:tc>
        <w:tc>
          <w:tcPr>
            <w:tcW w:w="1134" w:type="dxa"/>
          </w:tcPr>
          <w:p w:rsidR="00A8783E" w:rsidRPr="00A8783E" w:rsidRDefault="00A8783E" w:rsidP="00A8783E">
            <w:pPr>
              <w:spacing w:after="0" w:line="240" w:lineRule="auto"/>
              <w:rPr>
                <w:rFonts w:ascii="Times New Roman" w:hAnsi="Times New Roman"/>
              </w:rPr>
            </w:pPr>
            <w:r w:rsidRPr="00A8783E">
              <w:rPr>
                <w:rFonts w:ascii="Times New Roman" w:hAnsi="Times New Roman"/>
                <w:lang w:val="en-US"/>
              </w:rPr>
              <w:t xml:space="preserve">Най-малко </w:t>
            </w:r>
            <w:r w:rsidRPr="00A8783E">
              <w:rPr>
                <w:rFonts w:ascii="Times New Roman" w:hAnsi="Times New Roman"/>
              </w:rPr>
              <w:t>753</w:t>
            </w:r>
          </w:p>
        </w:tc>
        <w:tc>
          <w:tcPr>
            <w:tcW w:w="269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Определена на база на % участие на откритите местообитания в зоната: N07- мочурища и блата (565 ha), N09-сухи ливади, степи (116 ha), N15-други обработваеми земи (72 ha),   които вида използва за търсене на храна. Тяхната обща площ е 753 ha.</w:t>
            </w:r>
          </w:p>
        </w:tc>
        <w:tc>
          <w:tcPr>
            <w:tcW w:w="2199"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подходящи  земеделски култури (пшеница, люцерна) в близост до обширни тръстикови масиви, тъй като в тях търси храна.</w:t>
            </w:r>
          </w:p>
        </w:tc>
      </w:tr>
    </w:tbl>
    <w:p w:rsidR="00A8783E" w:rsidRPr="00A8783E" w:rsidRDefault="00A8783E" w:rsidP="00A8783E">
      <w:pPr>
        <w:spacing w:before="120" w:after="120" w:line="259" w:lineRule="auto"/>
        <w:jc w:val="both"/>
        <w:rPr>
          <w:rFonts w:ascii="Times New Roman" w:hAnsi="Times New Roman"/>
          <w:b/>
          <w:bCs/>
          <w:sz w:val="24"/>
          <w:szCs w:val="24"/>
        </w:rPr>
      </w:pPr>
    </w:p>
    <w:p w:rsidR="00A8783E" w:rsidRPr="00A8783E" w:rsidRDefault="00A8783E" w:rsidP="00A8783E">
      <w:pPr>
        <w:spacing w:after="0" w:line="240" w:lineRule="auto"/>
        <w:jc w:val="both"/>
        <w:rPr>
          <w:rFonts w:ascii="Times New Roman" w:hAnsi="Times New Roman"/>
          <w:sz w:val="24"/>
          <w:szCs w:val="24"/>
          <w:lang w:eastAsia="bg-BG"/>
        </w:rPr>
      </w:pPr>
      <w:r w:rsidRPr="00A8783E">
        <w:rPr>
          <w:rFonts w:ascii="Times New Roman" w:hAnsi="Times New Roman"/>
          <w:b/>
          <w:bCs/>
          <w:sz w:val="24"/>
          <w:szCs w:val="24"/>
          <w:lang w:eastAsia="bg-BG"/>
        </w:rPr>
        <w:t>6. Необходимост от промени в СФ за СЗЗ  BG0000241 „Сребърна“</w:t>
      </w:r>
    </w:p>
    <w:p w:rsidR="00A8783E" w:rsidRPr="00A8783E" w:rsidRDefault="00A8783E" w:rsidP="00A8783E">
      <w:pPr>
        <w:numPr>
          <w:ilvl w:val="0"/>
          <w:numId w:val="26"/>
        </w:numPr>
        <w:spacing w:after="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По отношение на зимуващата популация предлагаме промяна на минималната численост от 0 на 1 инд., на база на това, че през 2019 г. вида е отчетен в близост до зоната с численост 1 индивид. Данните от </w:t>
      </w:r>
      <w:r w:rsidRPr="00A8783E">
        <w:rPr>
          <w:rFonts w:ascii="Times New Roman" w:hAnsi="Times New Roman"/>
          <w:sz w:val="24"/>
          <w:szCs w:val="24"/>
          <w:lang w:val="en-US" w:eastAsia="bg-BG"/>
        </w:rPr>
        <w:t>eBird</w:t>
      </w:r>
      <w:r w:rsidRPr="00A8783E">
        <w:rPr>
          <w:rFonts w:ascii="Times New Roman" w:hAnsi="Times New Roman"/>
          <w:sz w:val="24"/>
          <w:szCs w:val="24"/>
          <w:lang w:eastAsia="bg-BG"/>
        </w:rPr>
        <w:t>.</w:t>
      </w:r>
      <w:r w:rsidRPr="00A8783E">
        <w:rPr>
          <w:rFonts w:ascii="Times New Roman" w:hAnsi="Times New Roman"/>
          <w:sz w:val="24"/>
          <w:szCs w:val="24"/>
          <w:lang w:val="en-US" w:eastAsia="bg-BG"/>
        </w:rPr>
        <w:t>com</w:t>
      </w:r>
      <w:r w:rsidRPr="00A8783E">
        <w:rPr>
          <w:rFonts w:ascii="Times New Roman" w:hAnsi="Times New Roman"/>
          <w:sz w:val="24"/>
          <w:szCs w:val="24"/>
          <w:lang w:eastAsia="bg-BG"/>
        </w:rPr>
        <w:t xml:space="preserve"> също показват, че редовно вида се среща през зимата в зоната или в нейна близост. </w:t>
      </w:r>
    </w:p>
    <w:p w:rsidR="00A8783E" w:rsidRPr="00A8783E" w:rsidRDefault="00A8783E" w:rsidP="00A8783E">
      <w:pPr>
        <w:spacing w:after="0" w:line="240" w:lineRule="auto"/>
        <w:rPr>
          <w:rFonts w:ascii="Times New Roman" w:hAnsi="Times New Roman"/>
          <w:sz w:val="20"/>
          <w:szCs w:val="20"/>
          <w:lang w:eastAsia="bg-B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
        <w:gridCol w:w="670"/>
        <w:gridCol w:w="1023"/>
        <w:gridCol w:w="329"/>
        <w:gridCol w:w="488"/>
        <w:gridCol w:w="215"/>
        <w:gridCol w:w="213"/>
        <w:gridCol w:w="572"/>
        <w:gridCol w:w="615"/>
        <w:gridCol w:w="604"/>
        <w:gridCol w:w="585"/>
        <w:gridCol w:w="853"/>
        <w:gridCol w:w="501"/>
        <w:gridCol w:w="499"/>
        <w:gridCol w:w="632"/>
        <w:gridCol w:w="528"/>
        <w:gridCol w:w="586"/>
      </w:tblGrid>
      <w:tr w:rsidR="00A8783E" w:rsidRPr="00A8783E" w:rsidTr="005B5318">
        <w:trPr>
          <w:jc w:val="center"/>
        </w:trPr>
        <w:tc>
          <w:tcPr>
            <w:tcW w:w="1676" w:type="pct"/>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Species</w:t>
            </w:r>
          </w:p>
        </w:tc>
        <w:tc>
          <w:tcPr>
            <w:tcW w:w="2113" w:type="pct"/>
            <w:gridSpan w:val="7"/>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Population in the site</w:t>
            </w:r>
          </w:p>
        </w:tc>
        <w:tc>
          <w:tcPr>
            <w:tcW w:w="1211" w:type="pct"/>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Site assessment</w:t>
            </w:r>
          </w:p>
        </w:tc>
      </w:tr>
      <w:tr w:rsidR="00A8783E" w:rsidRPr="00A8783E" w:rsidTr="005B5318">
        <w:trPr>
          <w:jc w:val="center"/>
        </w:trPr>
        <w:tc>
          <w:tcPr>
            <w:tcW w:w="203"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G</w:t>
            </w:r>
          </w:p>
        </w:tc>
        <w:tc>
          <w:tcPr>
            <w:tcW w:w="362"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Code</w:t>
            </w:r>
          </w:p>
        </w:tc>
        <w:tc>
          <w:tcPr>
            <w:tcW w:w="552"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Scientific Name</w:t>
            </w:r>
          </w:p>
        </w:tc>
        <w:tc>
          <w:tcPr>
            <w:tcW w:w="178"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S</w:t>
            </w:r>
          </w:p>
        </w:tc>
        <w:tc>
          <w:tcPr>
            <w:tcW w:w="264"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NP</w:t>
            </w:r>
          </w:p>
        </w:tc>
        <w:tc>
          <w:tcPr>
            <w:tcW w:w="233" w:type="pct"/>
            <w:gridSpan w:val="2"/>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T</w:t>
            </w:r>
          </w:p>
        </w:tc>
        <w:tc>
          <w:tcPr>
            <w:tcW w:w="625"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Size</w:t>
            </w:r>
          </w:p>
        </w:tc>
        <w:tc>
          <w:tcPr>
            <w:tcW w:w="326"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Unit</w:t>
            </w:r>
          </w:p>
        </w:tc>
        <w:tc>
          <w:tcPr>
            <w:tcW w:w="316"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Cat.</w:t>
            </w:r>
          </w:p>
        </w:tc>
        <w:tc>
          <w:tcPr>
            <w:tcW w:w="460"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D.qual.</w:t>
            </w:r>
          </w:p>
        </w:tc>
        <w:tc>
          <w:tcPr>
            <w:tcW w:w="539"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A/B/C/D</w:t>
            </w:r>
          </w:p>
        </w:tc>
        <w:tc>
          <w:tcPr>
            <w:tcW w:w="942" w:type="pct"/>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A/B/C</w:t>
            </w:r>
          </w:p>
        </w:tc>
      </w:tr>
      <w:tr w:rsidR="00A8783E" w:rsidRPr="00A8783E" w:rsidTr="005B5318">
        <w:trPr>
          <w:jc w:val="center"/>
        </w:trPr>
        <w:tc>
          <w:tcPr>
            <w:tcW w:w="203"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bg-BG"/>
              </w:rPr>
            </w:pPr>
          </w:p>
        </w:tc>
        <w:tc>
          <w:tcPr>
            <w:tcW w:w="362"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bg-BG"/>
              </w:rPr>
            </w:pPr>
          </w:p>
        </w:tc>
        <w:tc>
          <w:tcPr>
            <w:tcW w:w="552"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bg-BG"/>
              </w:rPr>
            </w:pPr>
          </w:p>
        </w:tc>
        <w:tc>
          <w:tcPr>
            <w:tcW w:w="178"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bg-BG"/>
              </w:rPr>
            </w:pPr>
          </w:p>
        </w:tc>
        <w:tc>
          <w:tcPr>
            <w:tcW w:w="264"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233" w:type="pct"/>
            <w:gridSpan w:val="2"/>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293"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Min</w:t>
            </w:r>
          </w:p>
        </w:tc>
        <w:tc>
          <w:tcPr>
            <w:tcW w:w="332"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Max</w:t>
            </w:r>
          </w:p>
        </w:tc>
        <w:tc>
          <w:tcPr>
            <w:tcW w:w="326"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316"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460"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539"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Pop.</w:t>
            </w:r>
          </w:p>
        </w:tc>
        <w:tc>
          <w:tcPr>
            <w:tcW w:w="341"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Con.</w:t>
            </w:r>
          </w:p>
        </w:tc>
        <w:tc>
          <w:tcPr>
            <w:tcW w:w="285"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Iso.</w:t>
            </w:r>
          </w:p>
        </w:tc>
        <w:tc>
          <w:tcPr>
            <w:tcW w:w="316"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sz w:val="20"/>
                <w:szCs w:val="20"/>
                <w:lang w:eastAsia="bg-BG"/>
              </w:rPr>
              <w:t>Glo.</w:t>
            </w:r>
          </w:p>
        </w:tc>
      </w:tr>
      <w:tr w:rsidR="00A8783E" w:rsidRPr="00A8783E" w:rsidTr="005B5318">
        <w:trPr>
          <w:jc w:val="center"/>
        </w:trPr>
        <w:tc>
          <w:tcPr>
            <w:tcW w:w="203" w:type="pct"/>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B</w:t>
            </w:r>
          </w:p>
        </w:tc>
        <w:tc>
          <w:tcPr>
            <w:tcW w:w="362" w:type="pct"/>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A082</w:t>
            </w:r>
          </w:p>
        </w:tc>
        <w:tc>
          <w:tcPr>
            <w:tcW w:w="552" w:type="pct"/>
            <w:vAlign w:val="center"/>
          </w:tcPr>
          <w:p w:rsidR="00A8783E" w:rsidRPr="00A8783E" w:rsidRDefault="00A8783E" w:rsidP="00A8783E">
            <w:pPr>
              <w:spacing w:after="0" w:line="240" w:lineRule="auto"/>
              <w:rPr>
                <w:rFonts w:ascii="Times New Roman" w:hAnsi="Times New Roman"/>
                <w:i/>
                <w:iCs/>
                <w:sz w:val="20"/>
                <w:szCs w:val="20"/>
                <w:lang w:val="en-US" w:eastAsia="bg-BG"/>
              </w:rPr>
            </w:pPr>
            <w:r w:rsidRPr="00A8783E">
              <w:rPr>
                <w:rFonts w:ascii="Times New Roman" w:hAnsi="Times New Roman"/>
                <w:i/>
                <w:iCs/>
                <w:sz w:val="20"/>
                <w:szCs w:val="20"/>
                <w:lang w:val="en-US" w:eastAsia="bg-BG"/>
              </w:rPr>
              <w:t>Circus cyaneus</w:t>
            </w:r>
          </w:p>
        </w:tc>
        <w:tc>
          <w:tcPr>
            <w:tcW w:w="178" w:type="pct"/>
            <w:vAlign w:val="center"/>
          </w:tcPr>
          <w:p w:rsidR="00A8783E" w:rsidRPr="00A8783E" w:rsidRDefault="00A8783E" w:rsidP="00A8783E">
            <w:pPr>
              <w:spacing w:after="0" w:line="240" w:lineRule="auto"/>
              <w:rPr>
                <w:rFonts w:ascii="Times New Roman" w:hAnsi="Times New Roman"/>
                <w:sz w:val="20"/>
                <w:szCs w:val="20"/>
                <w:lang w:eastAsia="bg-BG"/>
              </w:rPr>
            </w:pPr>
          </w:p>
        </w:tc>
        <w:tc>
          <w:tcPr>
            <w:tcW w:w="264" w:type="pct"/>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233" w:type="pct"/>
            <w:gridSpan w:val="2"/>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w</w:t>
            </w:r>
          </w:p>
        </w:tc>
        <w:tc>
          <w:tcPr>
            <w:tcW w:w="293" w:type="pct"/>
            <w:vAlign w:val="center"/>
          </w:tcPr>
          <w:p w:rsidR="00A8783E" w:rsidRPr="00A8783E" w:rsidRDefault="00A8783E" w:rsidP="00A8783E">
            <w:pPr>
              <w:spacing w:after="0" w:line="240" w:lineRule="auto"/>
              <w:rPr>
                <w:rFonts w:ascii="Times New Roman" w:hAnsi="Times New Roman"/>
                <w:b/>
                <w:bCs/>
                <w:sz w:val="20"/>
                <w:szCs w:val="20"/>
                <w:lang w:eastAsia="bg-BG"/>
              </w:rPr>
            </w:pPr>
            <w:r w:rsidRPr="00A8783E">
              <w:rPr>
                <w:rFonts w:ascii="Times New Roman" w:hAnsi="Times New Roman"/>
                <w:b/>
                <w:bCs/>
                <w:color w:val="FF0000"/>
                <w:sz w:val="20"/>
                <w:szCs w:val="20"/>
                <w:lang w:eastAsia="bg-BG"/>
              </w:rPr>
              <w:t>1</w:t>
            </w:r>
          </w:p>
        </w:tc>
        <w:tc>
          <w:tcPr>
            <w:tcW w:w="332" w:type="pct"/>
            <w:vAlign w:val="center"/>
          </w:tcPr>
          <w:p w:rsidR="00A8783E" w:rsidRPr="00A8783E" w:rsidRDefault="00A8783E" w:rsidP="00A8783E">
            <w:pPr>
              <w:spacing w:after="0" w:line="240" w:lineRule="auto"/>
              <w:rPr>
                <w:rFonts w:ascii="Times New Roman" w:hAnsi="Times New Roman"/>
                <w:b/>
                <w:bCs/>
                <w:sz w:val="20"/>
                <w:szCs w:val="20"/>
                <w:lang w:val="en-US" w:eastAsia="bg-BG"/>
              </w:rPr>
            </w:pPr>
            <w:r w:rsidRPr="00A8783E">
              <w:rPr>
                <w:rFonts w:ascii="Times New Roman" w:hAnsi="Times New Roman"/>
                <w:b/>
                <w:bCs/>
                <w:sz w:val="20"/>
                <w:szCs w:val="20"/>
                <w:lang w:val="en-US" w:eastAsia="bg-BG"/>
              </w:rPr>
              <w:t>3</w:t>
            </w:r>
          </w:p>
        </w:tc>
        <w:tc>
          <w:tcPr>
            <w:tcW w:w="326" w:type="pct"/>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i</w:t>
            </w:r>
          </w:p>
        </w:tc>
        <w:tc>
          <w:tcPr>
            <w:tcW w:w="316" w:type="pct"/>
            <w:vAlign w:val="center"/>
          </w:tcPr>
          <w:p w:rsidR="00A8783E" w:rsidRPr="00A8783E" w:rsidRDefault="00A8783E" w:rsidP="00A8783E">
            <w:pPr>
              <w:spacing w:after="0" w:line="240" w:lineRule="auto"/>
              <w:rPr>
                <w:rFonts w:ascii="Times New Roman" w:hAnsi="Times New Roman"/>
                <w:b/>
                <w:bCs/>
                <w:sz w:val="20"/>
                <w:szCs w:val="20"/>
                <w:lang w:eastAsia="bg-BG"/>
              </w:rPr>
            </w:pPr>
          </w:p>
        </w:tc>
        <w:tc>
          <w:tcPr>
            <w:tcW w:w="460" w:type="pct"/>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G</w:t>
            </w:r>
          </w:p>
        </w:tc>
        <w:tc>
          <w:tcPr>
            <w:tcW w:w="539" w:type="pct"/>
            <w:gridSpan w:val="2"/>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C</w:t>
            </w:r>
          </w:p>
        </w:tc>
        <w:tc>
          <w:tcPr>
            <w:tcW w:w="341" w:type="pct"/>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B</w:t>
            </w:r>
          </w:p>
        </w:tc>
        <w:tc>
          <w:tcPr>
            <w:tcW w:w="285" w:type="pct"/>
            <w:vAlign w:val="center"/>
          </w:tcPr>
          <w:p w:rsidR="00A8783E" w:rsidRPr="00A8783E" w:rsidRDefault="00A8783E" w:rsidP="00A8783E">
            <w:pPr>
              <w:spacing w:after="0" w:line="240" w:lineRule="auto"/>
              <w:rPr>
                <w:rFonts w:ascii="Times New Roman" w:hAnsi="Times New Roman"/>
                <w:sz w:val="20"/>
                <w:szCs w:val="20"/>
                <w:lang w:eastAsia="bg-BG"/>
              </w:rPr>
            </w:pPr>
            <w:r w:rsidRPr="00A8783E">
              <w:rPr>
                <w:rFonts w:ascii="Times New Roman" w:hAnsi="Times New Roman"/>
                <w:sz w:val="20"/>
                <w:szCs w:val="20"/>
                <w:lang w:eastAsia="bg-BG"/>
              </w:rPr>
              <w:t>C</w:t>
            </w:r>
          </w:p>
        </w:tc>
        <w:tc>
          <w:tcPr>
            <w:tcW w:w="316" w:type="pct"/>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C</w:t>
            </w:r>
          </w:p>
        </w:tc>
      </w:tr>
    </w:tbl>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265" w:name="_Toc89106102"/>
      <w:bookmarkStart w:id="266" w:name="_Toc98741941"/>
      <w:bookmarkStart w:id="267" w:name="_Toc98838616"/>
      <w:r w:rsidRPr="00A8783E">
        <w:rPr>
          <w:rFonts w:ascii="Times New Roman" w:hAnsi="Times New Roman"/>
          <w:color w:val="1F497D"/>
          <w:sz w:val="28"/>
          <w:szCs w:val="28"/>
        </w:rPr>
        <w:lastRenderedPageBreak/>
        <w:t xml:space="preserve">Специфични цели за А083 </w:t>
      </w:r>
      <w:r w:rsidRPr="00A8783E">
        <w:rPr>
          <w:rFonts w:ascii="Times New Roman" w:hAnsi="Times New Roman"/>
          <w:i/>
          <w:iCs/>
          <w:color w:val="1F497D"/>
          <w:sz w:val="28"/>
          <w:szCs w:val="28"/>
        </w:rPr>
        <w:t xml:space="preserve">Circus </w:t>
      </w:r>
      <w:r w:rsidRPr="00A8783E">
        <w:rPr>
          <w:rFonts w:ascii="Times New Roman" w:hAnsi="Times New Roman"/>
          <w:i/>
          <w:iCs/>
          <w:color w:val="1F497D"/>
          <w:sz w:val="28"/>
          <w:szCs w:val="28"/>
          <w:lang w:val="en-US"/>
        </w:rPr>
        <w:t>macrourus</w:t>
      </w:r>
      <w:r w:rsidRPr="00A8783E">
        <w:rPr>
          <w:rFonts w:ascii="Times New Roman" w:hAnsi="Times New Roman"/>
          <w:color w:val="1F497D"/>
          <w:sz w:val="28"/>
          <w:szCs w:val="28"/>
        </w:rPr>
        <w:t xml:space="preserve"> (степен блатар)</w:t>
      </w:r>
      <w:bookmarkEnd w:id="265"/>
      <w:bookmarkEnd w:id="266"/>
      <w:bookmarkEnd w:id="267"/>
    </w:p>
    <w:p w:rsidR="00A8783E" w:rsidRPr="00A8783E" w:rsidRDefault="00A8783E" w:rsidP="00A8783E">
      <w:pPr>
        <w:spacing w:before="120" w:after="120" w:line="240" w:lineRule="auto"/>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42-46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105-110 </w:t>
      </w:r>
      <w:r w:rsidRPr="00A8783E">
        <w:rPr>
          <w:rFonts w:ascii="Times New Roman" w:hAnsi="Times New Roman"/>
          <w:sz w:val="24"/>
          <w:szCs w:val="24"/>
          <w:lang w:val="en-US"/>
        </w:rPr>
        <w:t>cm</w:t>
      </w:r>
      <w:r w:rsidRPr="00A8783E">
        <w:rPr>
          <w:rFonts w:ascii="Times New Roman" w:hAnsi="Times New Roman"/>
          <w:sz w:val="24"/>
          <w:szCs w:val="24"/>
        </w:rPr>
        <w:t>. Дребен, по-малък от полския блатар, със значително по-тесни и остри крила. Горната страна на тялото при мъжкия е светлосива, а долната бяла. Върховете на първостепенните махови пера са черни. Надопашката по-светла, но неясно очертана и нечисто бяла. При полет отдалеч изглежда бял и наподобява чайка. Женската и младото трудно се различават от другите видове блатари (Симеонов и др., 1990).</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Сега е преминаващ и отчасти зимуващ, в миналото е гнездил в Добруджа, в околностите на Ихтиман и Пазарджик, както и при с. Дъбравино, Варненско. През територията на страната преминава южната граница на ареала му. През последните десетилетия е регистриран само по време на миграция.</w:t>
      </w:r>
      <w:r w:rsidRPr="00A8783E">
        <w:rPr>
          <w:rFonts w:ascii="SPTimeML-Roman" w:hAnsi="SPTimeML-Roman"/>
          <w:sz w:val="20"/>
          <w:szCs w:val="20"/>
        </w:rPr>
        <w:t xml:space="preserve"> </w:t>
      </w:r>
      <w:r w:rsidRPr="00A8783E">
        <w:rPr>
          <w:rFonts w:ascii="Times New Roman" w:hAnsi="Times New Roman"/>
          <w:sz w:val="24"/>
          <w:szCs w:val="24"/>
        </w:rPr>
        <w:t xml:space="preserve">Подходящите местообитания, както и районите на миналото му разпространение напоследък са сравнително добре проучени в орнитологично отношение и резултатите сочат, че най-вероятно </w:t>
      </w:r>
      <w:r w:rsidRPr="00A8783E">
        <w:rPr>
          <w:rFonts w:ascii="Times New Roman" w:hAnsi="Times New Roman"/>
          <w:b/>
          <w:bCs/>
          <w:sz w:val="24"/>
          <w:szCs w:val="24"/>
        </w:rPr>
        <w:t>не гнезди на територията на страната</w:t>
      </w:r>
      <w:r w:rsidRPr="00A8783E">
        <w:rPr>
          <w:rFonts w:ascii="Times New Roman" w:hAnsi="Times New Roman"/>
          <w:sz w:val="24"/>
          <w:szCs w:val="24"/>
        </w:rPr>
        <w:t xml:space="preserve"> (Спасов в Червена книга на Р България, 2015). Пролетния прелет е през март-април. Есенният прелет започва последната десетдневка на август и продължава до края на октомври. По-многобройни са миграциите по Черноморското крайбрежие. През зимата е много рядък (Симеонов и др., 1990).</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Среща се в открити местности, степи, ливади, пустеещи земи, заблатени понижения, често в близост до вода, напоследък установен в житни култури. Гнезди поединично или в малобройни колонии (3–5 двойки) на земята в естествени тревни съобщества (ливади, пасища), по изключение в земеделски житни култури (Спасов в Червена книга на Р България, 2015; Симеонов и др., 1990). Подходящи местообитания са ливади, пасища, открити местности в близост до вода и вероятно повечето типове „Естествени и полуестествени тревни формации“ (6110-6520), а може би и някои от „Преовлажнени тресавища, калища и мочурища“ (7140-7230)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Храни се главно с дребни гризачи (мишки и полевки), гущери, дребни видове птици (предимно наземно гнездящи видове от разред Passeriformes), твърдокрили насекоми.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През ХХ в. степният блатар се е размножавал в България през отделни години и кратки периоди, като след 1970 г. няма индикации дори за епизодично гнездене. Изчезнал като гнездящ от страната. Редовно преминава при миграция (Янков и Иванов в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A8783E">
        <w:rPr>
          <w:rFonts w:ascii="Times New Roman" w:hAnsi="Times New Roman"/>
          <w:sz w:val="24"/>
          <w:szCs w:val="24"/>
          <w:lang w:val="en-GB"/>
        </w:rPr>
        <w:t>IUCN</w:t>
      </w:r>
      <w:r w:rsidRPr="00A8783E">
        <w:rPr>
          <w:rFonts w:ascii="Times New Roman" w:hAnsi="Times New Roman"/>
          <w:sz w:val="24"/>
          <w:szCs w:val="24"/>
        </w:rPr>
        <w:t xml:space="preserve"> за територията на континентална Европа, а също и за света  видът е „почти застрашен“ - </w:t>
      </w:r>
      <w:r w:rsidRPr="00A8783E">
        <w:rPr>
          <w:rFonts w:ascii="Times New Roman" w:hAnsi="Times New Roman"/>
          <w:sz w:val="24"/>
          <w:szCs w:val="24"/>
          <w:lang w:val="en-GB"/>
        </w:rPr>
        <w:t>NT</w:t>
      </w:r>
      <w:r w:rsidRPr="00A8783E">
        <w:rPr>
          <w:rFonts w:ascii="Times New Roman" w:hAnsi="Times New Roman"/>
          <w:sz w:val="24"/>
          <w:szCs w:val="24"/>
        </w:rPr>
        <w:t xml:space="preserve"> (</w:t>
      </w:r>
      <w:r w:rsidRPr="00A8783E">
        <w:rPr>
          <w:rFonts w:ascii="Times New Roman" w:hAnsi="Times New Roman"/>
          <w:sz w:val="24"/>
          <w:szCs w:val="24"/>
          <w:lang w:val="en-GB"/>
        </w:rPr>
        <w:t>Near</w:t>
      </w:r>
      <w:r w:rsidRPr="00A8783E">
        <w:rPr>
          <w:rFonts w:ascii="Times New Roman" w:hAnsi="Times New Roman"/>
          <w:sz w:val="24"/>
          <w:szCs w:val="24"/>
        </w:rPr>
        <w:t xml:space="preserve"> </w:t>
      </w:r>
      <w:r w:rsidRPr="00A8783E">
        <w:rPr>
          <w:rFonts w:ascii="Times New Roman" w:hAnsi="Times New Roman"/>
          <w:sz w:val="24"/>
          <w:szCs w:val="24"/>
          <w:lang w:val="en-GB"/>
        </w:rPr>
        <w:t>Threatened</w:t>
      </w:r>
      <w:r w:rsidRPr="00A8783E">
        <w:rPr>
          <w:rFonts w:ascii="Times New Roman" w:hAnsi="Times New Roman"/>
          <w:sz w:val="24"/>
          <w:szCs w:val="24"/>
        </w:rPr>
        <w:t xml:space="preserve">). Включен в </w:t>
      </w:r>
      <w:r w:rsidRPr="00A8783E">
        <w:rPr>
          <w:rFonts w:ascii="Times New Roman" w:hAnsi="Times New Roman"/>
          <w:sz w:val="24"/>
          <w:szCs w:val="24"/>
          <w:lang w:val="en-GB"/>
        </w:rPr>
        <w:t>SPEC</w:t>
      </w:r>
      <w:r w:rsidRPr="00A8783E">
        <w:rPr>
          <w:rFonts w:ascii="Times New Roman" w:hAnsi="Times New Roman"/>
          <w:sz w:val="24"/>
          <w:szCs w:val="24"/>
        </w:rPr>
        <w:t xml:space="preserve"> 1 Застрашен. Включен в Червената книга на Р България със статус „изчезнал“ </w:t>
      </w:r>
      <w:r w:rsidRPr="00A8783E">
        <w:rPr>
          <w:rFonts w:ascii="Times New Roman" w:hAnsi="Times New Roman"/>
          <w:sz w:val="24"/>
          <w:szCs w:val="24"/>
          <w:lang w:val="en-US"/>
        </w:rPr>
        <w:t>EX</w:t>
      </w:r>
      <w:r w:rsidRPr="00A8783E">
        <w:rPr>
          <w:rFonts w:ascii="Times New Roman" w:hAnsi="Times New Roman"/>
          <w:sz w:val="24"/>
          <w:szCs w:val="24"/>
        </w:rPr>
        <w:t xml:space="preserve"> (</w:t>
      </w:r>
      <w:r w:rsidRPr="00A8783E">
        <w:rPr>
          <w:rFonts w:ascii="Times New Roman" w:hAnsi="Times New Roman"/>
          <w:sz w:val="24"/>
          <w:szCs w:val="24"/>
          <w:lang w:val="en-US"/>
        </w:rPr>
        <w:t>Extinct</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Съгласно Докладването от 2019 г. (за периода 2001 – 2018 г.) националната </w:t>
      </w:r>
      <w:r w:rsidRPr="00A8783E">
        <w:rPr>
          <w:rFonts w:ascii="Times New Roman" w:hAnsi="Times New Roman"/>
          <w:b/>
          <w:bCs/>
          <w:sz w:val="24"/>
          <w:szCs w:val="24"/>
        </w:rPr>
        <w:t>мигрираща</w:t>
      </w:r>
      <w:r w:rsidRPr="00A8783E">
        <w:rPr>
          <w:rFonts w:ascii="Times New Roman" w:hAnsi="Times New Roman"/>
          <w:sz w:val="24"/>
          <w:szCs w:val="24"/>
        </w:rPr>
        <w:t xml:space="preserve"> популация на вида се оценя на 80 – 150 индивиди. Не са посочени краткосрочна и дългосрочна тенденции в развитието на популацията. Посочени са следните заплахи: </w:t>
      </w:r>
      <w:r w:rsidRPr="00A8783E">
        <w:rPr>
          <w:rFonts w:ascii="Times New Roman" w:hAnsi="Times New Roman"/>
          <w:sz w:val="24"/>
          <w:szCs w:val="24"/>
          <w:lang w:val="en-US"/>
        </w:rPr>
        <w:t>A</w:t>
      </w:r>
      <w:r w:rsidRPr="00A8783E">
        <w:rPr>
          <w:rFonts w:ascii="Times New Roman" w:hAnsi="Times New Roman"/>
          <w:sz w:val="24"/>
          <w:szCs w:val="24"/>
        </w:rPr>
        <w:t xml:space="preserve">02, </w:t>
      </w:r>
      <w:r w:rsidRPr="00A8783E">
        <w:rPr>
          <w:rFonts w:ascii="Times New Roman" w:hAnsi="Times New Roman"/>
          <w:sz w:val="24"/>
          <w:szCs w:val="24"/>
          <w:lang w:val="en-US"/>
        </w:rPr>
        <w:t>D</w:t>
      </w:r>
      <w:r w:rsidRPr="00A8783E">
        <w:rPr>
          <w:rFonts w:ascii="Times New Roman" w:hAnsi="Times New Roman"/>
          <w:sz w:val="24"/>
          <w:szCs w:val="24"/>
        </w:rPr>
        <w:t xml:space="preserve">02, </w:t>
      </w:r>
      <w:r w:rsidRPr="00A8783E">
        <w:rPr>
          <w:rFonts w:ascii="Times New Roman" w:hAnsi="Times New Roman"/>
          <w:sz w:val="24"/>
          <w:szCs w:val="24"/>
          <w:lang w:val="en-US"/>
        </w:rPr>
        <w:t>F</w:t>
      </w:r>
      <w:r w:rsidRPr="00A8783E">
        <w:rPr>
          <w:rFonts w:ascii="Times New Roman" w:hAnsi="Times New Roman"/>
          <w:sz w:val="24"/>
          <w:szCs w:val="24"/>
        </w:rPr>
        <w:t xml:space="preserve">03, </w:t>
      </w:r>
      <w:r w:rsidRPr="00A8783E">
        <w:rPr>
          <w:rFonts w:ascii="Times New Roman" w:hAnsi="Times New Roman"/>
          <w:sz w:val="24"/>
          <w:szCs w:val="24"/>
          <w:lang w:val="en-US"/>
        </w:rPr>
        <w:t>D</w:t>
      </w:r>
      <w:r w:rsidRPr="00A8783E">
        <w:rPr>
          <w:rFonts w:ascii="Times New Roman" w:hAnsi="Times New Roman"/>
          <w:sz w:val="24"/>
          <w:szCs w:val="24"/>
        </w:rPr>
        <w:t>06.</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мигриращ.</w:t>
      </w:r>
      <w:r w:rsidRPr="00A8783E">
        <w:rPr>
          <w:rFonts w:ascii="Times New Roman" w:hAnsi="Times New Roman"/>
          <w:sz w:val="24"/>
          <w:szCs w:val="24"/>
        </w:rPr>
        <w:t xml:space="preserve"> Вида присъства (категория Р) в зоната, но не е посочена численост (липсват данни, </w:t>
      </w:r>
      <w:r w:rsidRPr="00A8783E">
        <w:rPr>
          <w:rFonts w:ascii="Times New Roman" w:hAnsi="Times New Roman"/>
          <w:sz w:val="24"/>
          <w:szCs w:val="24"/>
          <w:lang w:val="en-US"/>
        </w:rPr>
        <w:t>DD</w:t>
      </w:r>
      <w:r w:rsidRPr="00A8783E">
        <w:rPr>
          <w:rFonts w:ascii="Times New Roman" w:hAnsi="Times New Roman"/>
          <w:sz w:val="24"/>
          <w:szCs w:val="24"/>
        </w:rPr>
        <w:t>) на популацията (оценка „С“), поради което не може и да се изчисли какъв процент от националната популация се опазва в зоната.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Според Костадинова, Граматиков (2007), видът присъства в зоната по време на миграция, но не е установена точна бройка. При проучване на есенната  миграция (Матеева и Янков, 2013) съобщават, че степните блатари в Северна България летят на относително широк фронт - през Дунавската равнина, Лудогорието и Добруджа. Относително по-голям брой индивиди мигрират през източните части на Лудогорието и през Добруджа. В Южна България прелетът е съсредоточен в източната част – между с. Александрово и Атанасовско езеро и през Източните Родопи. По Дунавското крайбрежие е много рядък вид, има малко наблюдения по време на прелетна и есенна миграция. Не е наблюдаван по време на миграция в района на зоната (Shurulinkov et al., 2019). През 2021 г. не са извършвани теренни проучвания по време на миграция в зоната.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 xml:space="preserve">За мигриращата популация, съгласно Докладването по чл. 12 от 2019 г., са посочени следните </w:t>
      </w:r>
      <w:r w:rsidRPr="00A8783E">
        <w:rPr>
          <w:rFonts w:ascii="Times New Roman" w:hAnsi="Times New Roman"/>
          <w:b/>
          <w:bCs/>
          <w:sz w:val="24"/>
          <w:szCs w:val="24"/>
        </w:rPr>
        <w:t>заплахи</w:t>
      </w:r>
      <w:r w:rsidRPr="00A8783E">
        <w:rPr>
          <w:rFonts w:ascii="Times New Roman" w:hAnsi="Times New Roman"/>
          <w:sz w:val="24"/>
          <w:szCs w:val="24"/>
        </w:rPr>
        <w:t>: A02, D02, F03, D06. От тях потенциално валидни за СЗЗ „Сребърна” могат да бъдат тези, които са свързани с промяна в ползването на земите и земеделските площи – A02, може да се добавят А02, А03, тъй като в такива местообитания вида търси храна.</w:t>
      </w:r>
    </w:p>
    <w:p w:rsidR="00A8783E" w:rsidRPr="00A8783E" w:rsidRDefault="00A8783E" w:rsidP="00A8783E">
      <w:pPr>
        <w:spacing w:before="120" w:after="120" w:line="259"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1133"/>
        <w:gridCol w:w="1419"/>
        <w:gridCol w:w="2624"/>
        <w:gridCol w:w="2337"/>
      </w:tblGrid>
      <w:tr w:rsidR="00A8783E" w:rsidRPr="00A8783E" w:rsidTr="005B5318">
        <w:trPr>
          <w:tblHeader/>
          <w:jc w:val="center"/>
        </w:trPr>
        <w:tc>
          <w:tcPr>
            <w:tcW w:w="1564" w:type="dxa"/>
            <w:shd w:val="clear" w:color="auto" w:fill="DBE5F1"/>
            <w:vAlign w:val="center"/>
          </w:tcPr>
          <w:p w:rsidR="00A8783E" w:rsidRPr="00A8783E" w:rsidRDefault="00A8783E" w:rsidP="00A8783E">
            <w:pPr>
              <w:spacing w:before="120" w:after="120" w:line="259" w:lineRule="auto"/>
              <w:jc w:val="both"/>
              <w:rPr>
                <w:rFonts w:ascii="Times New Roman" w:hAnsi="Times New Roman"/>
                <w:b/>
                <w:bCs/>
              </w:rPr>
            </w:pPr>
            <w:r w:rsidRPr="00A8783E">
              <w:rPr>
                <w:rFonts w:ascii="Times New Roman" w:hAnsi="Times New Roman"/>
                <w:b/>
                <w:bCs/>
              </w:rPr>
              <w:t>Параметър</w:t>
            </w:r>
          </w:p>
        </w:tc>
        <w:tc>
          <w:tcPr>
            <w:tcW w:w="1133" w:type="dxa"/>
            <w:shd w:val="clear" w:color="auto" w:fill="DBE5F1"/>
            <w:vAlign w:val="center"/>
          </w:tcPr>
          <w:p w:rsidR="00A8783E" w:rsidRPr="00A8783E" w:rsidRDefault="00A8783E" w:rsidP="00A8783E">
            <w:pPr>
              <w:spacing w:before="120" w:after="120" w:line="259" w:lineRule="auto"/>
              <w:jc w:val="both"/>
              <w:rPr>
                <w:rFonts w:ascii="Times New Roman" w:hAnsi="Times New Roman"/>
                <w:b/>
                <w:bCs/>
              </w:rPr>
            </w:pPr>
            <w:r w:rsidRPr="00A8783E">
              <w:rPr>
                <w:rFonts w:ascii="Times New Roman" w:hAnsi="Times New Roman"/>
                <w:b/>
                <w:bCs/>
              </w:rPr>
              <w:t xml:space="preserve">Мерна единица </w:t>
            </w:r>
          </w:p>
        </w:tc>
        <w:tc>
          <w:tcPr>
            <w:tcW w:w="1419" w:type="dxa"/>
            <w:shd w:val="clear" w:color="auto" w:fill="DBE5F1"/>
            <w:vAlign w:val="center"/>
          </w:tcPr>
          <w:p w:rsidR="00A8783E" w:rsidRPr="00A8783E" w:rsidRDefault="00A8783E" w:rsidP="00A8783E">
            <w:pPr>
              <w:spacing w:before="120" w:after="120" w:line="259" w:lineRule="auto"/>
              <w:jc w:val="both"/>
              <w:rPr>
                <w:rFonts w:ascii="Times New Roman" w:hAnsi="Times New Roman"/>
                <w:b/>
                <w:bCs/>
              </w:rPr>
            </w:pPr>
            <w:r w:rsidRPr="00A8783E">
              <w:rPr>
                <w:rFonts w:ascii="Times New Roman" w:hAnsi="Times New Roman"/>
                <w:b/>
                <w:bCs/>
              </w:rPr>
              <w:t xml:space="preserve">Целева стойност </w:t>
            </w:r>
          </w:p>
        </w:tc>
        <w:tc>
          <w:tcPr>
            <w:tcW w:w="2624" w:type="dxa"/>
            <w:shd w:val="clear" w:color="auto" w:fill="DBE5F1"/>
            <w:vAlign w:val="center"/>
          </w:tcPr>
          <w:p w:rsidR="00A8783E" w:rsidRPr="00A8783E" w:rsidRDefault="00A8783E" w:rsidP="00A8783E">
            <w:pPr>
              <w:spacing w:before="120" w:after="120" w:line="259"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337" w:type="dxa"/>
            <w:shd w:val="clear" w:color="auto" w:fill="DBE5F1"/>
            <w:vAlign w:val="center"/>
          </w:tcPr>
          <w:p w:rsidR="00A8783E" w:rsidRPr="00A8783E" w:rsidRDefault="00A8783E" w:rsidP="00A8783E">
            <w:pPr>
              <w:spacing w:before="120" w:after="120" w:line="259"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56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Популация</w:t>
            </w:r>
            <w:r w:rsidRPr="00A8783E">
              <w:rPr>
                <w:rFonts w:ascii="Times New Roman" w:hAnsi="Times New Roman"/>
              </w:rPr>
              <w:t>: Размер мигриращата популация</w:t>
            </w:r>
          </w:p>
        </w:tc>
        <w:tc>
          <w:tcPr>
            <w:tcW w:w="113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41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Неизвестна</w:t>
            </w:r>
          </w:p>
        </w:tc>
        <w:tc>
          <w:tcPr>
            <w:tcW w:w="2624" w:type="dxa"/>
          </w:tcPr>
          <w:p w:rsidR="00A8783E" w:rsidRPr="00A8783E" w:rsidRDefault="00A8783E" w:rsidP="00A8783E">
            <w:pPr>
              <w:spacing w:after="0" w:line="240" w:lineRule="auto"/>
              <w:jc w:val="both"/>
              <w:rPr>
                <w:rFonts w:ascii="Times New Roman" w:hAnsi="Times New Roman"/>
                <w:color w:val="0070C0"/>
              </w:rPr>
            </w:pPr>
            <w:r w:rsidRPr="00A8783E">
              <w:rPr>
                <w:rFonts w:ascii="Times New Roman" w:hAnsi="Times New Roman"/>
              </w:rPr>
              <w:t>В СФ за концентрацията на вида по време на миграция в зоната не е посочена численост. Няма друга актуална информация за количеството на птиците и районите с концентрация на вида в зоната по време на миграция.</w:t>
            </w:r>
          </w:p>
        </w:tc>
        <w:tc>
          <w:tcPr>
            <w:tcW w:w="233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Междинна цел</w:t>
            </w:r>
            <w:r w:rsidRPr="00A8783E">
              <w:rPr>
                <w:rFonts w:ascii="Times New Roman" w:hAnsi="Times New Roman"/>
              </w:rPr>
              <w:t xml:space="preserve"> до 2025 г.: провеждане на проучване за установяване на текущата миграционна численост на вида в зоната в подходящите местообитания.</w:t>
            </w:r>
          </w:p>
        </w:tc>
      </w:tr>
      <w:tr w:rsidR="00A8783E" w:rsidRPr="00A8783E" w:rsidTr="005B5318">
        <w:trPr>
          <w:jc w:val="center"/>
        </w:trPr>
        <w:tc>
          <w:tcPr>
            <w:tcW w:w="156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Местообитан</w:t>
            </w:r>
            <w:r w:rsidRPr="00A8783E">
              <w:rPr>
                <w:rFonts w:ascii="Times New Roman" w:hAnsi="Times New Roman"/>
                <w:b/>
                <w:bCs/>
              </w:rPr>
              <w:lastRenderedPageBreak/>
              <w:t>ие на вида</w:t>
            </w:r>
            <w:r w:rsidRPr="00A8783E">
              <w:rPr>
                <w:rFonts w:ascii="Times New Roman" w:hAnsi="Times New Roman"/>
              </w:rPr>
              <w:t>: характеристика на местообитанията за търсене на храна</w:t>
            </w:r>
          </w:p>
          <w:p w:rsidR="00A8783E" w:rsidRPr="00A8783E" w:rsidRDefault="00A8783E" w:rsidP="00A8783E">
            <w:pPr>
              <w:spacing w:after="0" w:line="240" w:lineRule="auto"/>
              <w:jc w:val="both"/>
              <w:rPr>
                <w:rFonts w:ascii="Times New Roman" w:hAnsi="Times New Roman"/>
              </w:rPr>
            </w:pPr>
          </w:p>
        </w:tc>
        <w:tc>
          <w:tcPr>
            <w:tcW w:w="1133"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lastRenderedPageBreak/>
              <w:t>ha</w:t>
            </w:r>
          </w:p>
          <w:p w:rsidR="00A8783E" w:rsidRPr="00A8783E" w:rsidRDefault="00A8783E" w:rsidP="00A8783E">
            <w:pPr>
              <w:spacing w:after="0" w:line="240" w:lineRule="auto"/>
              <w:jc w:val="both"/>
              <w:rPr>
                <w:rFonts w:ascii="Times New Roman" w:hAnsi="Times New Roman"/>
              </w:rPr>
            </w:pPr>
          </w:p>
        </w:tc>
        <w:tc>
          <w:tcPr>
            <w:tcW w:w="141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Най-малко </w:t>
            </w:r>
            <w:r w:rsidRPr="00A8783E">
              <w:rPr>
                <w:rFonts w:ascii="Times New Roman" w:hAnsi="Times New Roman"/>
              </w:rPr>
              <w:lastRenderedPageBreak/>
              <w:t>753</w:t>
            </w:r>
          </w:p>
        </w:tc>
        <w:tc>
          <w:tcPr>
            <w:tcW w:w="262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Определена на база на % </w:t>
            </w:r>
            <w:r w:rsidRPr="00A8783E">
              <w:rPr>
                <w:rFonts w:ascii="Times New Roman" w:hAnsi="Times New Roman"/>
              </w:rPr>
              <w:lastRenderedPageBreak/>
              <w:t>участие на откритите местообитания в зоната: N07- мочурища и блата (565 ha), N09-сухи ливади, степи (116 ha), N15-други обработваеми земи (72 ha),   които вида използва за търсене на храна. Тяхната обща площ е 753 ha.</w:t>
            </w:r>
          </w:p>
        </w:tc>
        <w:tc>
          <w:tcPr>
            <w:tcW w:w="233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Запазване и </w:t>
            </w:r>
            <w:r w:rsidRPr="00A8783E">
              <w:rPr>
                <w:rFonts w:ascii="Times New Roman" w:hAnsi="Times New Roman"/>
              </w:rPr>
              <w:lastRenderedPageBreak/>
              <w:t>поддържане на открити местообитания в защитената зона за търсене на храна по време на миграция и зимуване, в размер на най-малко 753 ha.</w:t>
            </w:r>
          </w:p>
        </w:tc>
      </w:tr>
    </w:tbl>
    <w:p w:rsidR="00A8783E" w:rsidRPr="00A8783E" w:rsidRDefault="00A8783E" w:rsidP="00A8783E">
      <w:pPr>
        <w:spacing w:before="120" w:after="120" w:line="259" w:lineRule="auto"/>
        <w:jc w:val="both"/>
        <w:rPr>
          <w:rFonts w:ascii="Times New Roman" w:hAnsi="Times New Roman"/>
          <w:b/>
          <w:bCs/>
          <w:sz w:val="24"/>
          <w:szCs w:val="24"/>
        </w:rPr>
      </w:pPr>
    </w:p>
    <w:p w:rsidR="00A8783E" w:rsidRPr="00A8783E" w:rsidRDefault="00A8783E" w:rsidP="00A8783E">
      <w:pPr>
        <w:spacing w:before="120" w:after="120" w:line="259" w:lineRule="auto"/>
        <w:jc w:val="both"/>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Не е необходимо промени в СФ.</w:t>
      </w:r>
    </w:p>
    <w:p w:rsidR="00A8783E" w:rsidRPr="00A8783E" w:rsidRDefault="00A8783E" w:rsidP="00A8783E">
      <w:pPr>
        <w:keepNext/>
        <w:keepLines/>
        <w:spacing w:before="40" w:after="0" w:line="259" w:lineRule="auto"/>
        <w:rPr>
          <w:rFonts w:ascii="Calibri Light" w:hAnsi="Calibri Light" w:cs="Calibri Light"/>
          <w:color w:val="2E74B5"/>
          <w:sz w:val="26"/>
          <w:szCs w:val="26"/>
        </w:rPr>
      </w:pPr>
      <w:bookmarkStart w:id="268" w:name="_Toc88865714"/>
    </w:p>
    <w:p w:rsidR="00A8783E" w:rsidRPr="00A8783E" w:rsidRDefault="00A8783E" w:rsidP="00A8783E">
      <w:pPr>
        <w:keepNext/>
        <w:keepLines/>
        <w:spacing w:before="40" w:after="0" w:line="259" w:lineRule="auto"/>
        <w:outlineLvl w:val="1"/>
        <w:rPr>
          <w:rFonts w:ascii="Times New Roman" w:hAnsi="Times New Roman"/>
          <w:color w:val="1F497D"/>
          <w:sz w:val="28"/>
          <w:szCs w:val="28"/>
          <w:lang w:val="ru-RU"/>
        </w:rPr>
      </w:pPr>
      <w:bookmarkStart w:id="269" w:name="_Toc89106103"/>
      <w:bookmarkStart w:id="270" w:name="_Toc98741942"/>
      <w:bookmarkStart w:id="271" w:name="_Toc98838617"/>
      <w:r w:rsidRPr="00A8783E">
        <w:rPr>
          <w:rFonts w:ascii="Times New Roman" w:hAnsi="Times New Roman"/>
          <w:color w:val="1F497D"/>
          <w:sz w:val="28"/>
          <w:szCs w:val="28"/>
        </w:rPr>
        <w:t xml:space="preserve">Специфични цели за А084 </w:t>
      </w:r>
      <w:r w:rsidRPr="00A8783E">
        <w:rPr>
          <w:rFonts w:ascii="Times New Roman" w:hAnsi="Times New Roman"/>
          <w:i/>
          <w:iCs/>
          <w:color w:val="1F497D"/>
          <w:sz w:val="28"/>
          <w:szCs w:val="28"/>
        </w:rPr>
        <w:t xml:space="preserve">Circus </w:t>
      </w:r>
      <w:r w:rsidRPr="00A8783E">
        <w:rPr>
          <w:rFonts w:ascii="Times New Roman" w:hAnsi="Times New Roman"/>
          <w:i/>
          <w:iCs/>
          <w:color w:val="1F497D"/>
          <w:sz w:val="28"/>
          <w:szCs w:val="28"/>
          <w:lang w:val="en-US"/>
        </w:rPr>
        <w:t>pygargus</w:t>
      </w:r>
      <w:r w:rsidRPr="00A8783E">
        <w:rPr>
          <w:rFonts w:ascii="Times New Roman" w:hAnsi="Times New Roman"/>
          <w:color w:val="1F497D"/>
          <w:sz w:val="28"/>
          <w:szCs w:val="28"/>
        </w:rPr>
        <w:t xml:space="preserve"> </w:t>
      </w:r>
      <w:r w:rsidRPr="00A8783E">
        <w:rPr>
          <w:rFonts w:ascii="Times New Roman" w:hAnsi="Times New Roman"/>
          <w:color w:val="1F497D"/>
          <w:sz w:val="28"/>
          <w:szCs w:val="28"/>
          <w:lang w:val="ru-RU"/>
        </w:rPr>
        <w:t>(</w:t>
      </w:r>
      <w:r w:rsidRPr="00A8783E">
        <w:rPr>
          <w:rFonts w:ascii="Times New Roman" w:hAnsi="Times New Roman"/>
          <w:color w:val="1F497D"/>
          <w:sz w:val="28"/>
          <w:szCs w:val="28"/>
        </w:rPr>
        <w:t>ливаден блатар</w:t>
      </w:r>
      <w:r w:rsidRPr="00A8783E">
        <w:rPr>
          <w:rFonts w:ascii="Times New Roman" w:hAnsi="Times New Roman"/>
          <w:color w:val="1F497D"/>
          <w:sz w:val="28"/>
          <w:szCs w:val="28"/>
          <w:lang w:val="ru-RU"/>
        </w:rPr>
        <w:t>)</w:t>
      </w:r>
      <w:bookmarkEnd w:id="268"/>
      <w:bookmarkEnd w:id="269"/>
      <w:bookmarkEnd w:id="270"/>
      <w:bookmarkEnd w:id="271"/>
    </w:p>
    <w:p w:rsidR="00A8783E" w:rsidRPr="00A8783E" w:rsidRDefault="00A8783E" w:rsidP="00A8783E">
      <w:pPr>
        <w:spacing w:before="120" w:after="120" w:line="240" w:lineRule="auto"/>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42-47 </w:t>
      </w:r>
      <w:r w:rsidRPr="00A8783E">
        <w:rPr>
          <w:rFonts w:ascii="Times New Roman" w:hAnsi="Times New Roman"/>
          <w:sz w:val="24"/>
          <w:szCs w:val="24"/>
          <w:lang w:val="en-US"/>
        </w:rPr>
        <w:t>cm</w:t>
      </w:r>
      <w:r w:rsidRPr="00A8783E">
        <w:rPr>
          <w:rFonts w:ascii="Times New Roman" w:hAnsi="Times New Roman"/>
          <w:sz w:val="24"/>
          <w:szCs w:val="24"/>
          <w:lang w:val="ru-RU"/>
        </w:rPr>
        <w:t xml:space="preserve">, </w:t>
      </w:r>
      <w:r w:rsidRPr="00A8783E">
        <w:rPr>
          <w:rFonts w:ascii="Times New Roman" w:hAnsi="Times New Roman"/>
          <w:sz w:val="24"/>
          <w:szCs w:val="24"/>
        </w:rPr>
        <w:t xml:space="preserve">размах на крилата – </w:t>
      </w:r>
      <w:r w:rsidRPr="00A8783E">
        <w:rPr>
          <w:rFonts w:ascii="Times New Roman" w:hAnsi="Times New Roman"/>
          <w:sz w:val="24"/>
          <w:szCs w:val="24"/>
          <w:lang w:val="ru-RU"/>
        </w:rPr>
        <w:t>110-1</w:t>
      </w:r>
      <w:r w:rsidRPr="00A8783E">
        <w:rPr>
          <w:rFonts w:ascii="Times New Roman" w:hAnsi="Times New Roman"/>
          <w:sz w:val="24"/>
          <w:szCs w:val="24"/>
        </w:rPr>
        <w:t>15</w:t>
      </w:r>
      <w:r w:rsidRPr="00A8783E">
        <w:rPr>
          <w:rFonts w:ascii="Times New Roman" w:hAnsi="Times New Roman"/>
          <w:sz w:val="24"/>
          <w:szCs w:val="24"/>
          <w:lang w:val="ru-RU"/>
        </w:rPr>
        <w:t xml:space="preserve"> </w:t>
      </w:r>
      <w:r w:rsidRPr="00A8783E">
        <w:rPr>
          <w:rFonts w:ascii="Times New Roman" w:hAnsi="Times New Roman"/>
          <w:sz w:val="24"/>
          <w:szCs w:val="24"/>
          <w:lang w:val="en-US"/>
        </w:rPr>
        <w:t>cm</w:t>
      </w:r>
      <w:r w:rsidRPr="00A8783E">
        <w:rPr>
          <w:rFonts w:ascii="Times New Roman" w:hAnsi="Times New Roman"/>
          <w:sz w:val="24"/>
          <w:szCs w:val="24"/>
          <w:lang w:val="ru-RU"/>
        </w:rPr>
        <w:t>.</w:t>
      </w:r>
      <w:r w:rsidRPr="00A8783E">
        <w:rPr>
          <w:rFonts w:ascii="Times New Roman" w:hAnsi="Times New Roman"/>
          <w:sz w:val="24"/>
          <w:szCs w:val="24"/>
        </w:rPr>
        <w:t xml:space="preserve"> Мъжкият наподобява полски блатар, но горната страна на тялото е по-тъмна, коремът е с надлъжни ръждиви шарки. Крилото отгоре с черна ивица и върховете на първостепенните махови пера са черни, а отдолу изглежда раирано. Женската и младото при полет практически не се различават от степния блатар. Почива като останалите блатари на земята </w:t>
      </w:r>
      <w:r w:rsidRPr="00A8783E">
        <w:rPr>
          <w:rFonts w:ascii="Times New Roman" w:hAnsi="Times New Roman"/>
          <w:sz w:val="24"/>
          <w:szCs w:val="24"/>
          <w:lang w:val="ru-RU"/>
        </w:rPr>
        <w:t>(</w:t>
      </w:r>
      <w:r w:rsidRPr="00A8783E">
        <w:rPr>
          <w:rFonts w:ascii="Times New Roman" w:hAnsi="Times New Roman"/>
          <w:sz w:val="24"/>
          <w:szCs w:val="24"/>
        </w:rPr>
        <w:t>Симеонов и др., 1990</w:t>
      </w:r>
      <w:r w:rsidRPr="00A8783E">
        <w:rPr>
          <w:rFonts w:ascii="Times New Roman" w:hAnsi="Times New Roman"/>
          <w:sz w:val="24"/>
          <w:szCs w:val="24"/>
          <w:lang w:val="ru-RU"/>
        </w:rPr>
        <w:t>)</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Гнездящо-прелетен, преминаващ и зимуващ вид.</w:t>
      </w:r>
      <w:r w:rsidRPr="00A8783E">
        <w:rPr>
          <w:rFonts w:ascii="Times New Roman" w:hAnsi="Times New Roman"/>
        </w:rPr>
        <w:t xml:space="preserve"> </w:t>
      </w:r>
      <w:r w:rsidRPr="00A8783E">
        <w:rPr>
          <w:rFonts w:ascii="Times New Roman" w:hAnsi="Times New Roman"/>
          <w:sz w:val="24"/>
          <w:szCs w:val="24"/>
        </w:rPr>
        <w:t xml:space="preserve">Сега гнезденето е доказано за редица райони от Западна България (включително Софийското поле), долината на Марица и Югоизточна България. Територии с най-висока гнездова плътност са Дервентските възвишения, районът на яз. „Малко Шарково“, Ямболското и Старозагорското поле. По време на прелет се среща из цялата страна, по-често по Черноморското крайбрежие. През зимата са наблюдавани рядко единични индивиди. Пролетния прелет е от средата на март до края на април, а есенният от средата на август до края на октомври </w:t>
      </w:r>
      <w:r w:rsidRPr="00A8783E">
        <w:rPr>
          <w:rFonts w:ascii="Times New Roman" w:hAnsi="Times New Roman"/>
          <w:sz w:val="24"/>
          <w:szCs w:val="24"/>
          <w:lang w:val="ru-RU"/>
        </w:rPr>
        <w:t>(</w:t>
      </w:r>
      <w:r w:rsidRPr="00A8783E">
        <w:rPr>
          <w:rFonts w:ascii="Times New Roman" w:hAnsi="Times New Roman"/>
          <w:sz w:val="24"/>
          <w:szCs w:val="24"/>
        </w:rPr>
        <w:t>Марин и др., в Червена книга на Р България, 2015; Симеонов и др., 1990</w:t>
      </w:r>
      <w:r w:rsidRPr="00A8783E">
        <w:rPr>
          <w:rFonts w:ascii="Times New Roman" w:hAnsi="Times New Roman"/>
          <w:sz w:val="24"/>
          <w:szCs w:val="24"/>
          <w:lang w:val="ru-RU"/>
        </w:rPr>
        <w:t>)</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sz w:val="24"/>
          <w:szCs w:val="24"/>
        </w:rPr>
        <w:t>Разнообразни влажни зони (включително влажни ливади, блата, торфища), към които проявява силно изразена привързаност. В България често гнезди в обработваеми площи, най-често засети с пшеница. Извън размножителния сезон връзката с влажните зони значително отслабва.</w:t>
      </w:r>
      <w:r w:rsidRPr="00A8783E">
        <w:rPr>
          <w:rFonts w:ascii="Times New Roman" w:hAnsi="Times New Roman"/>
          <w:lang w:val="ru-RU"/>
        </w:rPr>
        <w:t xml:space="preserve"> </w:t>
      </w:r>
      <w:r w:rsidRPr="00A8783E">
        <w:rPr>
          <w:rFonts w:ascii="Times New Roman" w:hAnsi="Times New Roman"/>
          <w:sz w:val="24"/>
          <w:szCs w:val="24"/>
        </w:rPr>
        <w:t>Гнезди поединично или в разредени колонии. Мигрира поединично или по двойки, особено през есента, понякога формира малки ята с други ястребови птици при пресичане на големи водни площи (Марин и др., в Червена книга на Р България, 2015</w:t>
      </w:r>
      <w:r w:rsidRPr="00A8783E">
        <w:rPr>
          <w:rFonts w:ascii="Times New Roman" w:hAnsi="Times New Roman"/>
          <w:sz w:val="24"/>
          <w:szCs w:val="24"/>
          <w:lang w:val="ru-RU"/>
        </w:rPr>
        <w:t>)</w:t>
      </w:r>
      <w:r w:rsidRPr="00A8783E">
        <w:rPr>
          <w:rFonts w:ascii="Times New Roman" w:hAnsi="Times New Roman"/>
          <w:sz w:val="24"/>
          <w:szCs w:val="24"/>
        </w:rPr>
        <w:t xml:space="preserve">. Изследванията в Моравия </w:t>
      </w:r>
      <w:r w:rsidRPr="00A8783E">
        <w:rPr>
          <w:rFonts w:ascii="Times New Roman" w:hAnsi="Times New Roman"/>
          <w:sz w:val="24"/>
          <w:szCs w:val="24"/>
          <w:lang w:val="ru-RU"/>
        </w:rPr>
        <w:t>(</w:t>
      </w:r>
      <w:r w:rsidRPr="00A8783E">
        <w:rPr>
          <w:rFonts w:ascii="Times New Roman" w:hAnsi="Times New Roman"/>
          <w:sz w:val="24"/>
          <w:szCs w:val="24"/>
        </w:rPr>
        <w:t>чешка Република</w:t>
      </w:r>
      <w:r w:rsidRPr="00A8783E">
        <w:rPr>
          <w:rFonts w:ascii="Times New Roman" w:hAnsi="Times New Roman"/>
          <w:sz w:val="24"/>
          <w:szCs w:val="24"/>
          <w:lang w:val="ru-RU"/>
        </w:rPr>
        <w:t>)</w:t>
      </w:r>
      <w:r w:rsidRPr="00A8783E">
        <w:rPr>
          <w:rFonts w:ascii="Times New Roman" w:hAnsi="Times New Roman"/>
          <w:sz w:val="24"/>
          <w:szCs w:val="24"/>
        </w:rPr>
        <w:t xml:space="preserve"> установяват гнездова плътност от 0,67 до 8,69 дв./100 </w:t>
      </w:r>
      <w:r w:rsidRPr="00A8783E">
        <w:rPr>
          <w:rFonts w:ascii="Times New Roman" w:hAnsi="Times New Roman"/>
          <w:sz w:val="24"/>
          <w:szCs w:val="24"/>
          <w:lang w:val="en-US"/>
        </w:rPr>
        <w:t>km</w:t>
      </w:r>
      <w:r w:rsidRPr="00A8783E">
        <w:rPr>
          <w:rFonts w:ascii="Times New Roman" w:hAnsi="Times New Roman"/>
          <w:sz w:val="24"/>
          <w:szCs w:val="24"/>
          <w:vertAlign w:val="superscript"/>
          <w:lang w:val="ru-RU"/>
        </w:rPr>
        <w:t>2</w:t>
      </w:r>
      <w:r w:rsidRPr="00A8783E">
        <w:rPr>
          <w:rFonts w:ascii="Times New Roman" w:hAnsi="Times New Roman"/>
          <w:sz w:val="24"/>
          <w:szCs w:val="24"/>
        </w:rPr>
        <w:t xml:space="preserve">, като гнездовата плътност може да достигне до 12,8 дв./100 </w:t>
      </w:r>
      <w:r w:rsidRPr="00A8783E">
        <w:rPr>
          <w:rFonts w:ascii="Times New Roman" w:hAnsi="Times New Roman"/>
          <w:sz w:val="24"/>
          <w:szCs w:val="24"/>
          <w:lang w:val="en-US"/>
        </w:rPr>
        <w:t>km</w:t>
      </w:r>
      <w:r w:rsidRPr="00A8783E">
        <w:rPr>
          <w:rFonts w:ascii="Times New Roman" w:hAnsi="Times New Roman"/>
          <w:sz w:val="24"/>
          <w:szCs w:val="24"/>
          <w:vertAlign w:val="superscript"/>
          <w:lang w:val="ru-RU"/>
        </w:rPr>
        <w:t>2</w:t>
      </w:r>
      <w:r w:rsidRPr="00A8783E">
        <w:rPr>
          <w:rFonts w:ascii="Times New Roman" w:hAnsi="Times New Roman"/>
          <w:sz w:val="24"/>
          <w:szCs w:val="24"/>
        </w:rPr>
        <w:t xml:space="preserve"> поради полуколониалния начин на гнездене на вида. Най-предпочитаното място за гнездене е зимната пшеница, където са разположени 78% от </w:t>
      </w:r>
      <w:r w:rsidRPr="00A8783E">
        <w:rPr>
          <w:rFonts w:ascii="Times New Roman" w:hAnsi="Times New Roman"/>
          <w:sz w:val="24"/>
          <w:szCs w:val="24"/>
        </w:rPr>
        <w:lastRenderedPageBreak/>
        <w:t xml:space="preserve">гнездата. От наблюдаваните 222 двойки </w:t>
      </w:r>
      <w:r w:rsidRPr="00A8783E">
        <w:rPr>
          <w:rFonts w:ascii="Times New Roman" w:hAnsi="Times New Roman"/>
          <w:sz w:val="24"/>
          <w:szCs w:val="24"/>
          <w:lang w:val="ru-RU"/>
        </w:rPr>
        <w:t>(</w:t>
      </w:r>
      <w:r w:rsidRPr="00A8783E">
        <w:rPr>
          <w:rFonts w:ascii="Times New Roman" w:hAnsi="Times New Roman"/>
          <w:sz w:val="24"/>
          <w:szCs w:val="24"/>
        </w:rPr>
        <w:t>1991-2013 г.</w:t>
      </w:r>
      <w:r w:rsidRPr="00A8783E">
        <w:rPr>
          <w:rFonts w:ascii="Times New Roman" w:hAnsi="Times New Roman"/>
          <w:sz w:val="24"/>
          <w:szCs w:val="24"/>
          <w:lang w:val="ru-RU"/>
        </w:rPr>
        <w:t>)</w:t>
      </w:r>
      <w:r w:rsidRPr="00A8783E">
        <w:rPr>
          <w:rFonts w:ascii="Times New Roman" w:hAnsi="Times New Roman"/>
          <w:sz w:val="24"/>
          <w:szCs w:val="24"/>
        </w:rPr>
        <w:t xml:space="preserve">, 34% гнездят индивидуално, а 65,7% </w:t>
      </w:r>
      <w:r w:rsidRPr="00A8783E">
        <w:rPr>
          <w:rFonts w:ascii="Times New Roman" w:hAnsi="Times New Roman"/>
          <w:sz w:val="24"/>
          <w:szCs w:val="24"/>
          <w:lang w:val="ru-RU"/>
        </w:rPr>
        <w:t>- полуколониално.</w:t>
      </w:r>
      <w:r w:rsidRPr="00A8783E">
        <w:rPr>
          <w:rFonts w:ascii="Times New Roman" w:hAnsi="Times New Roman"/>
          <w:sz w:val="24"/>
          <w:szCs w:val="24"/>
        </w:rPr>
        <w:t xml:space="preserve"> Най-често полуколониите са съставени от 2-5 двойки. Средното разстояние между гнездата в полуколониите е 221,4 </w:t>
      </w:r>
      <w:r w:rsidRPr="00A8783E">
        <w:rPr>
          <w:rFonts w:ascii="Times New Roman" w:hAnsi="Times New Roman"/>
          <w:sz w:val="24"/>
          <w:szCs w:val="24"/>
          <w:lang w:val="en-US"/>
        </w:rPr>
        <w:t>m</w:t>
      </w:r>
      <w:r w:rsidRPr="00A8783E">
        <w:rPr>
          <w:rFonts w:ascii="Times New Roman" w:hAnsi="Times New Roman"/>
          <w:sz w:val="24"/>
          <w:szCs w:val="24"/>
        </w:rPr>
        <w:t xml:space="preserve">. по време на отглеждане на малките височината на растителността около гнездото е обикновено между 60 и 100 cm. Гнездата са разположени в земеделски блокове с площ между 6,1 и 97,5 </w:t>
      </w:r>
      <w:r w:rsidRPr="00A8783E">
        <w:rPr>
          <w:rFonts w:ascii="Times New Roman" w:hAnsi="Times New Roman"/>
          <w:sz w:val="24"/>
          <w:szCs w:val="24"/>
          <w:lang w:val="en-US"/>
        </w:rPr>
        <w:t>ha</w:t>
      </w:r>
      <w:r w:rsidRPr="00A8783E">
        <w:rPr>
          <w:rFonts w:ascii="Times New Roman" w:hAnsi="Times New Roman"/>
          <w:sz w:val="24"/>
          <w:szCs w:val="24"/>
        </w:rPr>
        <w:t xml:space="preserve"> и обикновено са разположени в покрайнините на блока </w:t>
      </w:r>
      <w:r w:rsidRPr="00A8783E">
        <w:rPr>
          <w:rFonts w:ascii="Times New Roman" w:hAnsi="Times New Roman"/>
          <w:sz w:val="24"/>
          <w:szCs w:val="24"/>
          <w:lang w:val="ru-RU"/>
        </w:rPr>
        <w:t>(</w:t>
      </w:r>
      <w:r w:rsidRPr="00A8783E">
        <w:rPr>
          <w:rFonts w:ascii="Times New Roman" w:hAnsi="Times New Roman"/>
          <w:sz w:val="24"/>
          <w:szCs w:val="24"/>
          <w:lang w:val="en-US"/>
        </w:rPr>
        <w:t>Poprach</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2013)</w:t>
      </w:r>
      <w:r w:rsidRPr="00A8783E">
        <w:rPr>
          <w:rFonts w:ascii="Times New Roman" w:hAnsi="Times New Roman"/>
          <w:sz w:val="24"/>
          <w:szCs w:val="24"/>
        </w:rPr>
        <w:t xml:space="preserve">. </w:t>
      </w:r>
      <w:r w:rsidRPr="00A8783E">
        <w:rPr>
          <w:rFonts w:ascii="Times New Roman" w:hAnsi="Times New Roman"/>
          <w:sz w:val="24"/>
          <w:szCs w:val="24"/>
          <w:lang w:val="ru-RU"/>
        </w:rPr>
        <w:t xml:space="preserve"> </w:t>
      </w:r>
      <w:r w:rsidRPr="00A8783E">
        <w:rPr>
          <w:rFonts w:ascii="Times New Roman" w:hAnsi="Times New Roman"/>
          <w:color w:val="000000"/>
          <w:sz w:val="24"/>
          <w:szCs w:val="24"/>
        </w:rPr>
        <w:t xml:space="preserve">Подходящи местообитания за гнездене са обработваеми земи със зимна пшеница, а по време на миграция също селскостопански площи с житни култури и вероятно повечето типове „Естествени и полуестествени тревни формации“ </w:t>
      </w:r>
      <w:r w:rsidRPr="00A8783E">
        <w:rPr>
          <w:rFonts w:ascii="Times New Roman" w:hAnsi="Times New Roman"/>
          <w:color w:val="000000"/>
          <w:sz w:val="24"/>
          <w:szCs w:val="24"/>
          <w:lang w:val="ru-RU"/>
        </w:rPr>
        <w:t>(6110-6520)</w:t>
      </w:r>
      <w:r w:rsidRPr="00A8783E">
        <w:rPr>
          <w:rFonts w:ascii="Times New Roman" w:hAnsi="Times New Roman"/>
          <w:color w:val="000000"/>
          <w:sz w:val="24"/>
          <w:szCs w:val="24"/>
        </w:rPr>
        <w:t xml:space="preserve">, а може би и някои от „Преовлажнени тресавища, калища и мочурища“ </w:t>
      </w:r>
      <w:r w:rsidRPr="00A8783E">
        <w:rPr>
          <w:rFonts w:ascii="Times New Roman" w:hAnsi="Times New Roman"/>
          <w:color w:val="000000"/>
          <w:sz w:val="24"/>
          <w:szCs w:val="24"/>
          <w:lang w:val="ru-RU"/>
        </w:rPr>
        <w:t>(7140-7230)</w:t>
      </w:r>
      <w:r w:rsidRPr="00A8783E">
        <w:rPr>
          <w:rFonts w:ascii="Times New Roman" w:hAnsi="Times New Roman"/>
          <w:color w:val="000000"/>
          <w:sz w:val="24"/>
          <w:szCs w:val="24"/>
        </w:rPr>
        <w:t xml:space="preserve">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Хранене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Храни се с яйца и малки на наземно гнездящи птици, гризачи, малки зайци, гущери, едри насекоми (Марин и др., в Червена книга на Р България, 2015;</w:t>
      </w:r>
      <w:r w:rsidRPr="00A8783E">
        <w:rPr>
          <w:rFonts w:ascii="Times New Roman" w:hAnsi="Times New Roman"/>
          <w:sz w:val="24"/>
          <w:szCs w:val="24"/>
        </w:rPr>
        <w:t xml:space="preserve"> </w:t>
      </w:r>
      <w:r w:rsidRPr="00A8783E">
        <w:rPr>
          <w:rFonts w:ascii="Times New Roman" w:hAnsi="Times New Roman"/>
          <w:color w:val="000000"/>
          <w:sz w:val="24"/>
          <w:szCs w:val="24"/>
        </w:rPr>
        <w:t>Симеонов и др., 1990</w:t>
      </w:r>
      <w:r w:rsidRPr="00A8783E">
        <w:rPr>
          <w:rFonts w:ascii="Times New Roman" w:hAnsi="Times New Roman"/>
          <w:color w:val="000000"/>
          <w:sz w:val="24"/>
          <w:szCs w:val="24"/>
          <w:lang w:val="ru-RU"/>
        </w:rPr>
        <w:t>)</w:t>
      </w:r>
      <w:r w:rsidRPr="00A8783E">
        <w:rPr>
          <w:rFonts w:ascii="Times New Roman" w:hAnsi="Times New Roman"/>
          <w:color w:val="000000"/>
          <w:sz w:val="24"/>
          <w:szCs w:val="24"/>
        </w:rPr>
        <w:t>.</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С петнисто и разпръснато разпространение в цялата страна. по-плътно заета почти цялата територия на Югоизточна България между Сакар и Източна Стара планина, с изключение на гористия район на Странджа. Разпръснато в Добруджа, Софийското поле и други места.</w:t>
      </w:r>
      <w:r w:rsidRPr="00A8783E">
        <w:rPr>
          <w:rFonts w:ascii="Times New Roman" w:hAnsi="Times New Roman"/>
          <w:sz w:val="24"/>
          <w:szCs w:val="24"/>
          <w:lang w:val="ru-RU"/>
        </w:rPr>
        <w:t xml:space="preserve"> </w:t>
      </w:r>
      <w:r w:rsidRPr="00A8783E">
        <w:rPr>
          <w:rFonts w:ascii="Times New Roman" w:hAnsi="Times New Roman"/>
          <w:color w:val="000000"/>
          <w:sz w:val="24"/>
          <w:szCs w:val="24"/>
        </w:rPr>
        <w:t xml:space="preserve">Равномерно ниска на по-голямата част от заетата територия (по-малко от 10 дв./кв.). С най-висока плътност в района между р. Тунджа и Бургаската низина, където в някои квадрати гнездят повече от 10–15 дв. Там се размножава в рехави колонии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Ангелов и др., в Янков, отг. ред., 2007</w:t>
      </w:r>
      <w:r w:rsidRPr="00A8783E">
        <w:rPr>
          <w:rFonts w:ascii="Times New Roman" w:hAnsi="Times New Roman"/>
          <w:color w:val="000000"/>
          <w:sz w:val="24"/>
          <w:szCs w:val="24"/>
          <w:lang w:val="ru-RU"/>
        </w:rPr>
        <w:t>)</w:t>
      </w:r>
      <w:r w:rsidRPr="00A8783E">
        <w:rPr>
          <w:rFonts w:ascii="Times New Roman" w:hAnsi="Times New Roman"/>
          <w:color w:val="000000"/>
          <w:sz w:val="24"/>
          <w:szCs w:val="24"/>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A8783E">
        <w:rPr>
          <w:rFonts w:ascii="Times New Roman" w:hAnsi="Times New Roman"/>
          <w:sz w:val="24"/>
          <w:szCs w:val="24"/>
          <w:lang w:val="en-GB"/>
        </w:rPr>
        <w:t>IUCN</w:t>
      </w:r>
      <w:r w:rsidRPr="00A8783E">
        <w:rPr>
          <w:rFonts w:ascii="Times New Roman" w:hAnsi="Times New Roman"/>
          <w:sz w:val="24"/>
          <w:szCs w:val="24"/>
          <w:lang w:val="ru-RU"/>
        </w:rPr>
        <w:t xml:space="preserve"> </w:t>
      </w:r>
      <w:r w:rsidRPr="00A8783E">
        <w:rPr>
          <w:rFonts w:ascii="Times New Roman" w:hAnsi="Times New Roman"/>
          <w:sz w:val="24"/>
          <w:szCs w:val="24"/>
        </w:rPr>
        <w:t xml:space="preserve">за територията на континентална Европа както и за света видът е „слабо засегнат“ </w:t>
      </w:r>
      <w:r w:rsidRPr="00A8783E">
        <w:rPr>
          <w:rFonts w:ascii="Times New Roman" w:hAnsi="Times New Roman"/>
          <w:sz w:val="24"/>
          <w:szCs w:val="24"/>
          <w:lang w:val="ru-RU"/>
        </w:rPr>
        <w:t xml:space="preserve">– </w:t>
      </w:r>
      <w:r w:rsidRPr="00A8783E">
        <w:rPr>
          <w:rFonts w:ascii="Times New Roman" w:hAnsi="Times New Roman"/>
          <w:sz w:val="24"/>
          <w:szCs w:val="24"/>
          <w:lang w:val="en-US"/>
        </w:rPr>
        <w:t>LC</w:t>
      </w:r>
      <w:r w:rsidRPr="00A8783E">
        <w:rPr>
          <w:rFonts w:ascii="Times New Roman" w:hAnsi="Times New Roman"/>
          <w:sz w:val="24"/>
          <w:szCs w:val="24"/>
          <w:lang w:val="ru-RU"/>
        </w:rPr>
        <w:t xml:space="preserve"> (</w:t>
      </w:r>
      <w:r w:rsidRPr="00A8783E">
        <w:rPr>
          <w:rFonts w:ascii="Times New Roman" w:hAnsi="Times New Roman"/>
          <w:sz w:val="24"/>
          <w:szCs w:val="24"/>
          <w:lang w:val="en-GB"/>
        </w:rPr>
        <w:t>Least</w:t>
      </w:r>
      <w:r w:rsidRPr="00A8783E">
        <w:rPr>
          <w:rFonts w:ascii="Times New Roman" w:hAnsi="Times New Roman"/>
          <w:sz w:val="24"/>
          <w:szCs w:val="24"/>
          <w:lang w:val="ru-RU"/>
        </w:rPr>
        <w:t xml:space="preserve"> </w:t>
      </w:r>
      <w:r w:rsidRPr="00A8783E">
        <w:rPr>
          <w:rFonts w:ascii="Times New Roman" w:hAnsi="Times New Roman"/>
          <w:sz w:val="24"/>
          <w:szCs w:val="24"/>
          <w:lang w:val="en-GB"/>
        </w:rPr>
        <w:t>Concern</w:t>
      </w:r>
      <w:r w:rsidRPr="00A8783E">
        <w:rPr>
          <w:rFonts w:ascii="Times New Roman" w:hAnsi="Times New Roman"/>
          <w:sz w:val="24"/>
          <w:szCs w:val="24"/>
          <w:lang w:val="ru-RU"/>
        </w:rPr>
        <w:t>)</w:t>
      </w:r>
      <w:r w:rsidRPr="00A8783E">
        <w:rPr>
          <w:rFonts w:ascii="Times New Roman" w:hAnsi="Times New Roman"/>
          <w:sz w:val="24"/>
          <w:szCs w:val="24"/>
        </w:rPr>
        <w:t xml:space="preserve">. Включен в Червената книга на Р България със статус „застрашен“ </w:t>
      </w:r>
      <w:r w:rsidRPr="00A8783E">
        <w:rPr>
          <w:rFonts w:ascii="Times New Roman" w:hAnsi="Times New Roman"/>
          <w:sz w:val="24"/>
          <w:szCs w:val="24"/>
          <w:lang w:val="en-US"/>
        </w:rPr>
        <w:t>VU</w:t>
      </w:r>
      <w:r w:rsidRPr="00A8783E">
        <w:rPr>
          <w:rFonts w:ascii="Times New Roman" w:hAnsi="Times New Roman"/>
          <w:sz w:val="24"/>
          <w:szCs w:val="24"/>
          <w:lang w:val="ru-RU"/>
        </w:rPr>
        <w:t xml:space="preserve"> (</w:t>
      </w:r>
      <w:r w:rsidRPr="00A8783E">
        <w:rPr>
          <w:rFonts w:ascii="Times New Roman" w:hAnsi="Times New Roman"/>
          <w:sz w:val="24"/>
          <w:szCs w:val="24"/>
          <w:lang w:val="en-US"/>
        </w:rPr>
        <w:t>Vulnerable</w:t>
      </w:r>
      <w:r w:rsidRPr="00A8783E">
        <w:rPr>
          <w:rFonts w:ascii="Times New Roman" w:hAnsi="Times New Roman"/>
          <w:sz w:val="24"/>
          <w:szCs w:val="24"/>
          <w:lang w:val="ru-RU"/>
        </w:rPr>
        <w:t>)</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 xml:space="preserve">Съгласно Докладването от 2019 г. (за периода 2013 – 2018 г.) националната </w:t>
      </w:r>
      <w:r w:rsidRPr="00A8783E">
        <w:rPr>
          <w:rFonts w:ascii="Times New Roman" w:hAnsi="Times New Roman"/>
          <w:b/>
          <w:bCs/>
          <w:sz w:val="24"/>
          <w:szCs w:val="24"/>
        </w:rPr>
        <w:t>гнездова</w:t>
      </w:r>
      <w:r w:rsidRPr="00A8783E">
        <w:rPr>
          <w:rFonts w:ascii="Times New Roman" w:hAnsi="Times New Roman"/>
          <w:sz w:val="24"/>
          <w:szCs w:val="24"/>
        </w:rPr>
        <w:t xml:space="preserve"> популация на вида се оценя на 300 – 350 двойки. Краткосрочната тенденция на популацията (за периода 2000 – 2018 г.) е неизвестна, а дългосрочната (за периода 1980 – 2018 г.) е увеличаваща се. Посочените са следните заплахи и влияния: </w:t>
      </w:r>
      <w:r w:rsidRPr="00A8783E">
        <w:rPr>
          <w:rFonts w:ascii="Times New Roman" w:hAnsi="Times New Roman"/>
          <w:sz w:val="24"/>
          <w:szCs w:val="24"/>
          <w:lang w:val="en-US"/>
        </w:rPr>
        <w:t>A</w:t>
      </w:r>
      <w:r w:rsidRPr="00A8783E">
        <w:rPr>
          <w:rFonts w:ascii="Times New Roman" w:hAnsi="Times New Roman"/>
          <w:sz w:val="24"/>
          <w:szCs w:val="24"/>
          <w:lang w:val="ru-RU"/>
        </w:rPr>
        <w:t xml:space="preserve">02, </w:t>
      </w:r>
      <w:r w:rsidRPr="00A8783E">
        <w:rPr>
          <w:rFonts w:ascii="Times New Roman" w:hAnsi="Times New Roman"/>
          <w:sz w:val="24"/>
          <w:szCs w:val="24"/>
          <w:lang w:val="en-US"/>
        </w:rPr>
        <w:t>A</w:t>
      </w:r>
      <w:r w:rsidRPr="00A8783E">
        <w:rPr>
          <w:rFonts w:ascii="Times New Roman" w:hAnsi="Times New Roman"/>
          <w:sz w:val="24"/>
          <w:szCs w:val="24"/>
          <w:lang w:val="ru-RU"/>
        </w:rPr>
        <w:t xml:space="preserve">03, </w:t>
      </w:r>
      <w:r w:rsidRPr="00A8783E">
        <w:rPr>
          <w:rFonts w:ascii="Times New Roman" w:hAnsi="Times New Roman"/>
          <w:sz w:val="24"/>
          <w:szCs w:val="24"/>
          <w:lang w:val="en-US"/>
        </w:rPr>
        <w:t>A</w:t>
      </w:r>
      <w:r w:rsidRPr="00A8783E">
        <w:rPr>
          <w:rFonts w:ascii="Times New Roman" w:hAnsi="Times New Roman"/>
          <w:sz w:val="24"/>
          <w:szCs w:val="24"/>
          <w:lang w:val="ru-RU"/>
        </w:rPr>
        <w:t xml:space="preserve">04, </w:t>
      </w:r>
      <w:r w:rsidRPr="00A8783E">
        <w:rPr>
          <w:rFonts w:ascii="Times New Roman" w:hAnsi="Times New Roman"/>
          <w:sz w:val="24"/>
          <w:szCs w:val="24"/>
          <w:lang w:val="en-US"/>
        </w:rPr>
        <w:t>A</w:t>
      </w:r>
      <w:r w:rsidRPr="00A8783E">
        <w:rPr>
          <w:rFonts w:ascii="Times New Roman" w:hAnsi="Times New Roman"/>
          <w:sz w:val="24"/>
          <w:szCs w:val="24"/>
          <w:lang w:val="ru-RU"/>
        </w:rPr>
        <w:t xml:space="preserve">06, </w:t>
      </w:r>
      <w:r w:rsidRPr="00A8783E">
        <w:rPr>
          <w:rFonts w:ascii="Times New Roman" w:hAnsi="Times New Roman"/>
          <w:sz w:val="24"/>
          <w:szCs w:val="24"/>
          <w:lang w:val="en-US"/>
        </w:rPr>
        <w:t>D</w:t>
      </w:r>
      <w:r w:rsidRPr="00A8783E">
        <w:rPr>
          <w:rFonts w:ascii="Times New Roman" w:hAnsi="Times New Roman"/>
          <w:sz w:val="24"/>
          <w:szCs w:val="24"/>
          <w:lang w:val="ru-RU"/>
        </w:rPr>
        <w:t xml:space="preserve">02, </w:t>
      </w:r>
      <w:r w:rsidRPr="00A8783E">
        <w:rPr>
          <w:rFonts w:ascii="Times New Roman" w:hAnsi="Times New Roman"/>
          <w:sz w:val="24"/>
          <w:szCs w:val="24"/>
          <w:lang w:val="en-US"/>
        </w:rPr>
        <w:t>C</w:t>
      </w:r>
      <w:r w:rsidRPr="00A8783E">
        <w:rPr>
          <w:rFonts w:ascii="Times New Roman" w:hAnsi="Times New Roman"/>
          <w:sz w:val="24"/>
          <w:szCs w:val="24"/>
          <w:lang w:val="ru-RU"/>
        </w:rPr>
        <w:t xml:space="preserve">03, </w:t>
      </w:r>
      <w:r w:rsidRPr="00A8783E">
        <w:rPr>
          <w:rFonts w:ascii="Times New Roman" w:hAnsi="Times New Roman"/>
          <w:sz w:val="24"/>
          <w:szCs w:val="24"/>
          <w:lang w:val="en-US"/>
        </w:rPr>
        <w:t>F</w:t>
      </w:r>
      <w:r w:rsidRPr="00A8783E">
        <w:rPr>
          <w:rFonts w:ascii="Times New Roman" w:hAnsi="Times New Roman"/>
          <w:sz w:val="24"/>
          <w:szCs w:val="24"/>
          <w:lang w:val="ru-RU"/>
        </w:rPr>
        <w:t xml:space="preserve">03, </w:t>
      </w:r>
      <w:r w:rsidRPr="00A8783E">
        <w:rPr>
          <w:rFonts w:ascii="Times New Roman" w:hAnsi="Times New Roman"/>
          <w:sz w:val="24"/>
          <w:szCs w:val="24"/>
          <w:lang w:val="en-US"/>
        </w:rPr>
        <w:t>J</w:t>
      </w:r>
      <w:r w:rsidRPr="00A8783E">
        <w:rPr>
          <w:rFonts w:ascii="Times New Roman" w:hAnsi="Times New Roman"/>
          <w:sz w:val="24"/>
          <w:szCs w:val="24"/>
          <w:lang w:val="ru-RU"/>
        </w:rPr>
        <w:t xml:space="preserve">01, </w:t>
      </w:r>
      <w:r w:rsidRPr="00A8783E">
        <w:rPr>
          <w:rFonts w:ascii="Times New Roman" w:hAnsi="Times New Roman"/>
          <w:sz w:val="24"/>
          <w:szCs w:val="24"/>
          <w:lang w:val="en-US"/>
        </w:rPr>
        <w:t>K</w:t>
      </w:r>
      <w:r w:rsidRPr="00A8783E">
        <w:rPr>
          <w:rFonts w:ascii="Times New Roman" w:hAnsi="Times New Roman"/>
          <w:sz w:val="24"/>
          <w:szCs w:val="24"/>
          <w:lang w:val="ru-RU"/>
        </w:rPr>
        <w:t>03.</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Мигриращата</w:t>
      </w:r>
      <w:r w:rsidRPr="00A8783E">
        <w:rPr>
          <w:rFonts w:ascii="Times New Roman" w:hAnsi="Times New Roman"/>
          <w:sz w:val="24"/>
          <w:szCs w:val="24"/>
        </w:rPr>
        <w:t xml:space="preserve"> популация е оценена на 500 – 1100 индивида. Не са посочени тенденции в развитието на популацията. Посочени са следните заплахи: </w:t>
      </w:r>
      <w:r w:rsidRPr="00A8783E">
        <w:rPr>
          <w:rFonts w:ascii="Times New Roman" w:hAnsi="Times New Roman"/>
          <w:sz w:val="24"/>
          <w:szCs w:val="24"/>
          <w:lang w:val="en-US"/>
        </w:rPr>
        <w:t>A</w:t>
      </w:r>
      <w:r w:rsidRPr="00A8783E">
        <w:rPr>
          <w:rFonts w:ascii="Times New Roman" w:hAnsi="Times New Roman"/>
          <w:sz w:val="24"/>
          <w:szCs w:val="24"/>
          <w:lang w:val="ru-RU"/>
        </w:rPr>
        <w:t>0</w:t>
      </w:r>
      <w:r w:rsidRPr="00A8783E">
        <w:rPr>
          <w:rFonts w:ascii="Times New Roman" w:hAnsi="Times New Roman"/>
          <w:sz w:val="24"/>
          <w:szCs w:val="24"/>
        </w:rPr>
        <w:t>2</w:t>
      </w:r>
      <w:r w:rsidRPr="00A8783E">
        <w:rPr>
          <w:rFonts w:ascii="Times New Roman" w:hAnsi="Times New Roman"/>
          <w:sz w:val="24"/>
          <w:szCs w:val="24"/>
          <w:lang w:val="ru-RU"/>
        </w:rPr>
        <w:t>,</w:t>
      </w:r>
      <w:r w:rsidRPr="00A8783E">
        <w:rPr>
          <w:rFonts w:ascii="Times New Roman" w:hAnsi="Times New Roman"/>
          <w:sz w:val="24"/>
          <w:szCs w:val="24"/>
        </w:rPr>
        <w:t xml:space="preserve"> </w:t>
      </w:r>
      <w:r w:rsidRPr="00A8783E">
        <w:rPr>
          <w:rFonts w:ascii="Times New Roman" w:hAnsi="Times New Roman"/>
          <w:sz w:val="24"/>
          <w:szCs w:val="24"/>
          <w:lang w:val="en-US"/>
        </w:rPr>
        <w:t>D</w:t>
      </w:r>
      <w:r w:rsidRPr="00A8783E">
        <w:rPr>
          <w:rFonts w:ascii="Times New Roman" w:hAnsi="Times New Roman"/>
          <w:sz w:val="24"/>
          <w:szCs w:val="24"/>
          <w:lang w:val="ru-RU"/>
        </w:rPr>
        <w:t>0</w:t>
      </w:r>
      <w:r w:rsidRPr="00A8783E">
        <w:rPr>
          <w:rFonts w:ascii="Times New Roman" w:hAnsi="Times New Roman"/>
          <w:sz w:val="24"/>
          <w:szCs w:val="24"/>
        </w:rPr>
        <w:t>6</w:t>
      </w:r>
      <w:r w:rsidRPr="00A8783E">
        <w:rPr>
          <w:rFonts w:ascii="Times New Roman" w:hAnsi="Times New Roman"/>
          <w:sz w:val="24"/>
          <w:szCs w:val="24"/>
          <w:lang w:val="ru-RU"/>
        </w:rPr>
        <w:t>.</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Съгласно Стандартния формуляр за данни (СДФ), видът се опазва в зоната като </w:t>
      </w:r>
      <w:r w:rsidRPr="00A8783E">
        <w:rPr>
          <w:rFonts w:ascii="Times New Roman" w:hAnsi="Times New Roman"/>
          <w:b/>
          <w:bCs/>
          <w:color w:val="000000"/>
          <w:sz w:val="24"/>
          <w:szCs w:val="24"/>
        </w:rPr>
        <w:t>мигриращ</w:t>
      </w:r>
      <w:r w:rsidRPr="00A8783E">
        <w:rPr>
          <w:rFonts w:ascii="Times New Roman" w:hAnsi="Times New Roman"/>
          <w:color w:val="000000"/>
          <w:sz w:val="24"/>
          <w:szCs w:val="24"/>
        </w:rPr>
        <w:t xml:space="preserve">, но няма оценка на числеността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категория Р</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средна Дунавска равнина е рядък мигрант. Пролетният прелет е през април (Шурулинков и др., 2005).</w:t>
      </w:r>
      <w:r w:rsidRPr="00A8783E">
        <w:rPr>
          <w:rFonts w:ascii="Times New Roman" w:hAnsi="Times New Roman"/>
          <w:sz w:val="24"/>
          <w:szCs w:val="24"/>
          <w:lang w:val="ru-RU"/>
        </w:rPr>
        <w:t xml:space="preserve"> </w:t>
      </w:r>
      <w:r w:rsidRPr="00A8783E">
        <w:rPr>
          <w:rFonts w:ascii="Times New Roman" w:hAnsi="Times New Roman"/>
          <w:sz w:val="24"/>
          <w:szCs w:val="24"/>
        </w:rPr>
        <w:t xml:space="preserve">В резултат на проучването на есенната и пролетната </w:t>
      </w:r>
      <w:r w:rsidRPr="00A8783E">
        <w:rPr>
          <w:rFonts w:ascii="Times New Roman" w:hAnsi="Times New Roman"/>
          <w:sz w:val="24"/>
          <w:szCs w:val="24"/>
        </w:rPr>
        <w:lastRenderedPageBreak/>
        <w:t xml:space="preserve">миграция в рамките на проекта „Минимизиране на рисковете за дивите птици” в Северна България през 2011 г., бе установено, че ливадните блатари летят на широк фронт над Северна България, като интензивен прелет се наблюдава в Добруджа (между Браничево и Дуранкулак) и в централната част на Дунавската равнина (при Коиловци и Галиче) (Матеева и Янков, 2013). Според Костадинова, Граматиков (2007), видът присъства в зоната по време на миграция, но не е посочена численост. Ливадният блатар е малоброен зимуващ и преминаващ вид за ЗЗ Сребърна </w:t>
      </w:r>
      <w:r w:rsidRPr="00A8783E">
        <w:rPr>
          <w:rFonts w:ascii="Times New Roman" w:hAnsi="Times New Roman"/>
          <w:sz w:val="24"/>
          <w:szCs w:val="24"/>
          <w:lang w:val="ru-RU"/>
        </w:rPr>
        <w:t>(</w:t>
      </w:r>
      <w:r w:rsidRPr="00A8783E">
        <w:rPr>
          <w:rFonts w:ascii="Times New Roman" w:hAnsi="Times New Roman"/>
          <w:sz w:val="24"/>
          <w:szCs w:val="24"/>
        </w:rPr>
        <w:t>Актуализиран план на ПР Сребърна, 2015</w:t>
      </w:r>
      <w:r w:rsidRPr="00A8783E">
        <w:rPr>
          <w:rFonts w:ascii="Times New Roman" w:hAnsi="Times New Roman"/>
          <w:sz w:val="24"/>
          <w:szCs w:val="24"/>
          <w:lang w:val="ru-RU"/>
        </w:rPr>
        <w:t>)</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 xml:space="preserve">Данните от eBird показват, че вида е отчетен през септември 2000 г. </w:t>
      </w:r>
      <w:r w:rsidRPr="00A8783E">
        <w:rPr>
          <w:rFonts w:ascii="Times New Roman" w:hAnsi="Times New Roman"/>
          <w:sz w:val="24"/>
          <w:szCs w:val="24"/>
          <w:lang w:val="ru-RU"/>
        </w:rPr>
        <w:t>(</w:t>
      </w:r>
      <w:r w:rsidRPr="00A8783E">
        <w:rPr>
          <w:rFonts w:ascii="Times New Roman" w:hAnsi="Times New Roman"/>
          <w:sz w:val="24"/>
          <w:szCs w:val="24"/>
        </w:rPr>
        <w:t>Д. Митев</w:t>
      </w:r>
      <w:r w:rsidRPr="00A8783E">
        <w:rPr>
          <w:rFonts w:ascii="Times New Roman" w:hAnsi="Times New Roman"/>
          <w:sz w:val="24"/>
          <w:szCs w:val="24"/>
          <w:lang w:val="ru-RU"/>
        </w:rPr>
        <w:t>)</w:t>
      </w:r>
      <w:r w:rsidRPr="00A8783E">
        <w:rPr>
          <w:rFonts w:ascii="Times New Roman" w:hAnsi="Times New Roman"/>
          <w:sz w:val="24"/>
          <w:szCs w:val="24"/>
        </w:rPr>
        <w:t xml:space="preserve"> и през април 2015 г. </w:t>
      </w:r>
      <w:r w:rsidRPr="00A8783E">
        <w:rPr>
          <w:rFonts w:ascii="Times New Roman" w:hAnsi="Times New Roman"/>
          <w:sz w:val="24"/>
          <w:szCs w:val="24"/>
          <w:lang w:val="ru-RU"/>
        </w:rPr>
        <w:t>(</w:t>
      </w:r>
      <w:r w:rsidRPr="00A8783E">
        <w:rPr>
          <w:rFonts w:ascii="Times New Roman" w:hAnsi="Times New Roman"/>
          <w:sz w:val="24"/>
          <w:szCs w:val="24"/>
          <w:lang w:val="en-US"/>
        </w:rPr>
        <w:t>R</w:t>
      </w:r>
      <w:r w:rsidRPr="00A8783E">
        <w:rPr>
          <w:rFonts w:ascii="Times New Roman" w:hAnsi="Times New Roman"/>
          <w:sz w:val="24"/>
          <w:szCs w:val="24"/>
          <w:lang w:val="ru-RU"/>
        </w:rPr>
        <w:t xml:space="preserve">. </w:t>
      </w:r>
      <w:r w:rsidRPr="00A8783E">
        <w:rPr>
          <w:rFonts w:ascii="Times New Roman" w:hAnsi="Times New Roman"/>
          <w:sz w:val="24"/>
          <w:szCs w:val="24"/>
          <w:lang w:val="en-US"/>
        </w:rPr>
        <w:t>Kinnunen</w:t>
      </w:r>
      <w:r w:rsidRPr="00A8783E">
        <w:rPr>
          <w:rFonts w:ascii="Times New Roman" w:hAnsi="Times New Roman"/>
          <w:sz w:val="24"/>
          <w:szCs w:val="24"/>
          <w:lang w:val="ru-RU"/>
        </w:rPr>
        <w:t xml:space="preserve">) </w:t>
      </w:r>
      <w:r w:rsidRPr="00A8783E">
        <w:rPr>
          <w:rFonts w:ascii="Times New Roman" w:hAnsi="Times New Roman"/>
          <w:sz w:val="24"/>
          <w:szCs w:val="24"/>
        </w:rPr>
        <w:t xml:space="preserve">с числености съответно по 1 инд. Липсват други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За мигриращата популация са посочени следните две заплахи от докладването по чл. 12 от 2019 г.: </w:t>
      </w:r>
      <w:r w:rsidRPr="00A8783E">
        <w:rPr>
          <w:rFonts w:ascii="Times New Roman" w:hAnsi="Times New Roman"/>
          <w:sz w:val="24"/>
          <w:szCs w:val="24"/>
          <w:lang w:val="en-US"/>
        </w:rPr>
        <w:t>A</w:t>
      </w:r>
      <w:r w:rsidRPr="00A8783E">
        <w:rPr>
          <w:rFonts w:ascii="Times New Roman" w:hAnsi="Times New Roman"/>
          <w:sz w:val="24"/>
          <w:szCs w:val="24"/>
          <w:lang w:val="ru-RU"/>
        </w:rPr>
        <w:t>0</w:t>
      </w:r>
      <w:r w:rsidRPr="00A8783E">
        <w:rPr>
          <w:rFonts w:ascii="Times New Roman" w:hAnsi="Times New Roman"/>
          <w:sz w:val="24"/>
          <w:szCs w:val="24"/>
        </w:rPr>
        <w:t>2</w:t>
      </w:r>
      <w:r w:rsidRPr="00A8783E">
        <w:rPr>
          <w:rFonts w:ascii="Times New Roman" w:hAnsi="Times New Roman"/>
          <w:sz w:val="24"/>
          <w:szCs w:val="24"/>
          <w:lang w:val="ru-RU"/>
        </w:rPr>
        <w:t>,</w:t>
      </w:r>
      <w:r w:rsidRPr="00A8783E">
        <w:rPr>
          <w:rFonts w:ascii="Times New Roman" w:hAnsi="Times New Roman"/>
          <w:sz w:val="24"/>
          <w:szCs w:val="24"/>
        </w:rPr>
        <w:t xml:space="preserve"> </w:t>
      </w:r>
      <w:r w:rsidRPr="00A8783E">
        <w:rPr>
          <w:rFonts w:ascii="Times New Roman" w:hAnsi="Times New Roman"/>
          <w:sz w:val="24"/>
          <w:szCs w:val="24"/>
          <w:lang w:val="en-US"/>
        </w:rPr>
        <w:t>D</w:t>
      </w:r>
      <w:r w:rsidRPr="00A8783E">
        <w:rPr>
          <w:rFonts w:ascii="Times New Roman" w:hAnsi="Times New Roman"/>
          <w:sz w:val="24"/>
          <w:szCs w:val="24"/>
          <w:lang w:val="ru-RU"/>
        </w:rPr>
        <w:t>0</w:t>
      </w:r>
      <w:r w:rsidRPr="00A8783E">
        <w:rPr>
          <w:rFonts w:ascii="Times New Roman" w:hAnsi="Times New Roman"/>
          <w:sz w:val="24"/>
          <w:szCs w:val="24"/>
        </w:rPr>
        <w:t>6</w:t>
      </w:r>
      <w:r w:rsidRPr="00A8783E">
        <w:rPr>
          <w:rFonts w:ascii="Times New Roman" w:hAnsi="Times New Roman"/>
          <w:sz w:val="24"/>
          <w:szCs w:val="24"/>
          <w:lang w:eastAsia="bg-BG"/>
        </w:rPr>
        <w:t>. От тях потенциално валидни за СЗЗ „Сребърна” могат да бъдат тези, които са свързани с промяна в ползването на земите и земеделските площи - A02</w:t>
      </w:r>
      <w:r w:rsidRPr="00A8783E">
        <w:rPr>
          <w:rFonts w:ascii="Times New Roman" w:hAnsi="Times New Roman"/>
          <w:sz w:val="24"/>
          <w:szCs w:val="24"/>
          <w:lang w:val="ru-RU" w:eastAsia="bg-BG"/>
        </w:rPr>
        <w:t xml:space="preserve">, </w:t>
      </w:r>
      <w:r w:rsidRPr="00A8783E">
        <w:rPr>
          <w:rFonts w:ascii="Times New Roman" w:hAnsi="Times New Roman"/>
          <w:sz w:val="24"/>
          <w:szCs w:val="24"/>
          <w:lang w:eastAsia="bg-BG"/>
        </w:rPr>
        <w:t xml:space="preserve">а също и A03, A04, тъй като в такиве местообитания вида търси храна, също и </w:t>
      </w:r>
      <w:r w:rsidRPr="00A8783E">
        <w:rPr>
          <w:rFonts w:ascii="Times New Roman" w:hAnsi="Times New Roman"/>
          <w:sz w:val="24"/>
          <w:szCs w:val="24"/>
          <w:lang w:val="en-US" w:eastAsia="bg-BG"/>
        </w:rPr>
        <w:t>D</w:t>
      </w:r>
      <w:r w:rsidRPr="00A8783E">
        <w:rPr>
          <w:rFonts w:ascii="Times New Roman" w:hAnsi="Times New Roman"/>
          <w:sz w:val="24"/>
          <w:szCs w:val="24"/>
          <w:lang w:val="ru-RU" w:eastAsia="bg-BG"/>
        </w:rPr>
        <w:t>06-</w:t>
      </w:r>
      <w:r w:rsidRPr="00A8783E">
        <w:rPr>
          <w:rFonts w:ascii="Times New Roman" w:hAnsi="Times New Roman"/>
          <w:sz w:val="24"/>
          <w:szCs w:val="24"/>
        </w:rPr>
        <w:t>Изграждане, експлоатация и поддръжка на съоръжения за пренос на електроенергия и комуникационна инфраструктура (кабели).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5. </w:t>
      </w:r>
      <w:r w:rsidRPr="00A8783E">
        <w:rPr>
          <w:rFonts w:ascii="Times New Roman" w:hAnsi="Times New Roman"/>
          <w:b/>
          <w:bCs/>
          <w:sz w:val="24"/>
          <w:szCs w:val="24"/>
          <w:lang w:eastAsia="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3"/>
        <w:gridCol w:w="1166"/>
        <w:gridCol w:w="1142"/>
        <w:gridCol w:w="2556"/>
        <w:gridCol w:w="2321"/>
      </w:tblGrid>
      <w:tr w:rsidR="00A8783E" w:rsidRPr="00A8783E" w:rsidTr="005B5318">
        <w:trPr>
          <w:tblHeader/>
          <w:jc w:val="center"/>
        </w:trPr>
        <w:tc>
          <w:tcPr>
            <w:tcW w:w="0" w:type="auto"/>
            <w:shd w:val="clear" w:color="auto" w:fill="DBE5F1"/>
            <w:vAlign w:val="center"/>
          </w:tcPr>
          <w:p w:rsidR="00A8783E" w:rsidRPr="00A8783E" w:rsidRDefault="00A8783E" w:rsidP="00A8783E">
            <w:pPr>
              <w:spacing w:after="160" w:line="259" w:lineRule="auto"/>
              <w:rPr>
                <w:rFonts w:ascii="Times New Roman" w:hAnsi="Times New Roman"/>
                <w:b/>
                <w:bCs/>
              </w:rPr>
            </w:pPr>
            <w:r w:rsidRPr="00A8783E">
              <w:rPr>
                <w:rFonts w:ascii="Times New Roman" w:hAnsi="Times New Roman"/>
                <w:b/>
                <w:bCs/>
              </w:rPr>
              <w:t>Параметър</w:t>
            </w:r>
          </w:p>
        </w:tc>
        <w:tc>
          <w:tcPr>
            <w:tcW w:w="0" w:type="auto"/>
            <w:shd w:val="clear" w:color="auto" w:fill="DBE5F1"/>
            <w:vAlign w:val="center"/>
          </w:tcPr>
          <w:p w:rsidR="00A8783E" w:rsidRPr="00A8783E" w:rsidRDefault="00A8783E" w:rsidP="00A8783E">
            <w:pPr>
              <w:spacing w:after="160" w:line="259" w:lineRule="auto"/>
              <w:rPr>
                <w:rFonts w:ascii="Times New Roman" w:hAnsi="Times New Roman"/>
                <w:b/>
                <w:bCs/>
              </w:rPr>
            </w:pPr>
            <w:r w:rsidRPr="00A8783E">
              <w:rPr>
                <w:rFonts w:ascii="Times New Roman" w:hAnsi="Times New Roman"/>
                <w:b/>
                <w:bCs/>
              </w:rPr>
              <w:t xml:space="preserve">Мерна единица </w:t>
            </w:r>
          </w:p>
        </w:tc>
        <w:tc>
          <w:tcPr>
            <w:tcW w:w="0" w:type="auto"/>
            <w:shd w:val="clear" w:color="auto" w:fill="DBE5F1"/>
            <w:vAlign w:val="center"/>
          </w:tcPr>
          <w:p w:rsidR="00A8783E" w:rsidRPr="00A8783E" w:rsidRDefault="00A8783E" w:rsidP="00A8783E">
            <w:pPr>
              <w:spacing w:after="160" w:line="259" w:lineRule="auto"/>
              <w:rPr>
                <w:rFonts w:ascii="Times New Roman" w:hAnsi="Times New Roman"/>
                <w:b/>
                <w:bCs/>
              </w:rPr>
            </w:pPr>
            <w:r w:rsidRPr="00A8783E">
              <w:rPr>
                <w:rFonts w:ascii="Times New Roman" w:hAnsi="Times New Roman"/>
                <w:b/>
                <w:bCs/>
              </w:rPr>
              <w:t xml:space="preserve">Целева стойност </w:t>
            </w:r>
          </w:p>
        </w:tc>
        <w:tc>
          <w:tcPr>
            <w:tcW w:w="0" w:type="auto"/>
            <w:shd w:val="clear" w:color="auto" w:fill="DBE5F1"/>
            <w:vAlign w:val="center"/>
          </w:tcPr>
          <w:p w:rsidR="00A8783E" w:rsidRPr="00A8783E" w:rsidRDefault="00A8783E" w:rsidP="00A8783E">
            <w:pPr>
              <w:spacing w:after="160" w:line="259" w:lineRule="auto"/>
              <w:rPr>
                <w:rFonts w:ascii="Times New Roman" w:hAnsi="Times New Roman"/>
                <w:b/>
                <w:bCs/>
              </w:rPr>
            </w:pPr>
            <w:r w:rsidRPr="00A8783E">
              <w:rPr>
                <w:rFonts w:ascii="Times New Roman" w:hAnsi="Times New Roman"/>
                <w:b/>
                <w:bCs/>
              </w:rPr>
              <w:t xml:space="preserve">Допълнителна информация </w:t>
            </w:r>
          </w:p>
        </w:tc>
        <w:tc>
          <w:tcPr>
            <w:tcW w:w="0" w:type="auto"/>
            <w:shd w:val="clear" w:color="auto" w:fill="DBE5F1"/>
            <w:vAlign w:val="center"/>
          </w:tcPr>
          <w:p w:rsidR="00A8783E" w:rsidRPr="00A8783E" w:rsidRDefault="00A8783E" w:rsidP="00A8783E">
            <w:pPr>
              <w:spacing w:after="160" w:line="259" w:lineRule="auto"/>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0" w:type="auto"/>
          </w:tcPr>
          <w:p w:rsidR="00A8783E" w:rsidRPr="00A8783E" w:rsidRDefault="00A8783E" w:rsidP="00A8783E">
            <w:pPr>
              <w:spacing w:after="160" w:line="259" w:lineRule="auto"/>
              <w:rPr>
                <w:rFonts w:ascii="Times New Roman" w:hAnsi="Times New Roman"/>
              </w:rPr>
            </w:pPr>
            <w:r w:rsidRPr="00A8783E">
              <w:rPr>
                <w:rFonts w:ascii="Times New Roman" w:hAnsi="Times New Roman"/>
                <w:b/>
                <w:bCs/>
              </w:rPr>
              <w:t>Популация</w:t>
            </w:r>
            <w:r w:rsidRPr="00A8783E">
              <w:rPr>
                <w:rFonts w:ascii="Times New Roman" w:hAnsi="Times New Roman"/>
              </w:rPr>
              <w:t>: Размер на мигриращата популация</w:t>
            </w:r>
          </w:p>
        </w:tc>
        <w:tc>
          <w:tcPr>
            <w:tcW w:w="0" w:type="auto"/>
          </w:tcPr>
          <w:p w:rsidR="00A8783E" w:rsidRPr="00A8783E" w:rsidRDefault="00A8783E" w:rsidP="00A8783E">
            <w:pPr>
              <w:spacing w:after="160" w:line="259" w:lineRule="auto"/>
              <w:rPr>
                <w:rFonts w:ascii="Times New Roman" w:hAnsi="Times New Roman"/>
              </w:rPr>
            </w:pPr>
            <w:r w:rsidRPr="00A8783E">
              <w:rPr>
                <w:rFonts w:ascii="Times New Roman" w:hAnsi="Times New Roman"/>
              </w:rPr>
              <w:t>Брой индивиди</w:t>
            </w:r>
          </w:p>
        </w:tc>
        <w:tc>
          <w:tcPr>
            <w:tcW w:w="0" w:type="auto"/>
          </w:tcPr>
          <w:p w:rsidR="00A8783E" w:rsidRPr="00A8783E" w:rsidRDefault="00A8783E" w:rsidP="00A8783E">
            <w:pPr>
              <w:spacing w:after="160" w:line="259" w:lineRule="auto"/>
              <w:rPr>
                <w:rFonts w:ascii="Times New Roman" w:hAnsi="Times New Roman"/>
              </w:rPr>
            </w:pPr>
            <w:r w:rsidRPr="00A8783E">
              <w:rPr>
                <w:rFonts w:ascii="Times New Roman" w:hAnsi="Times New Roman"/>
              </w:rPr>
              <w:t>Най-малко 1 инд.</w:t>
            </w:r>
          </w:p>
        </w:tc>
        <w:tc>
          <w:tcPr>
            <w:tcW w:w="0" w:type="auto"/>
          </w:tcPr>
          <w:p w:rsidR="00A8783E" w:rsidRPr="00A8783E" w:rsidRDefault="00A8783E" w:rsidP="00A8783E">
            <w:pPr>
              <w:spacing w:after="160" w:line="259" w:lineRule="auto"/>
              <w:rPr>
                <w:rFonts w:ascii="Times New Roman" w:hAnsi="Times New Roman"/>
              </w:rPr>
            </w:pPr>
            <w:r w:rsidRPr="00A8783E">
              <w:rPr>
                <w:rFonts w:ascii="Times New Roman" w:hAnsi="Times New Roman"/>
              </w:rPr>
              <w:t>В СФ липсват данни (DD) за размера на мигриращата популация. Необходимо е провеждане на целеви мониторинг в периодите април - май и от началото на септември до средата на октомври.</w:t>
            </w:r>
          </w:p>
        </w:tc>
        <w:tc>
          <w:tcPr>
            <w:tcW w:w="0" w:type="auto"/>
          </w:tcPr>
          <w:p w:rsidR="00A8783E" w:rsidRPr="00A8783E" w:rsidRDefault="00A8783E" w:rsidP="00A8783E">
            <w:pPr>
              <w:spacing w:after="160" w:line="259" w:lineRule="auto"/>
              <w:rPr>
                <w:rFonts w:ascii="Times New Roman" w:hAnsi="Times New Roman"/>
              </w:rPr>
            </w:pPr>
            <w:r w:rsidRPr="00A8783E">
              <w:rPr>
                <w:rFonts w:ascii="Times New Roman" w:hAnsi="Times New Roman"/>
                <w:b/>
                <w:bCs/>
              </w:rPr>
              <w:t>Междинна цел:</w:t>
            </w:r>
            <w:r w:rsidRPr="00A8783E">
              <w:rPr>
                <w:rFonts w:ascii="Times New Roman" w:hAnsi="Times New Roman"/>
              </w:rPr>
              <w:t xml:space="preserve"> прилагане на адекватен мониторинг до 2025 г. за изясняване на числеността на мигриращата популация на вида в зоната.</w:t>
            </w:r>
          </w:p>
        </w:tc>
      </w:tr>
      <w:tr w:rsidR="00A8783E" w:rsidRPr="00A8783E" w:rsidTr="005B5318">
        <w:trPr>
          <w:jc w:val="center"/>
        </w:trPr>
        <w:tc>
          <w:tcPr>
            <w:tcW w:w="0" w:type="auto"/>
          </w:tcPr>
          <w:p w:rsidR="00A8783E" w:rsidRPr="00A8783E" w:rsidRDefault="00A8783E" w:rsidP="00A8783E">
            <w:pPr>
              <w:spacing w:after="160" w:line="259" w:lineRule="auto"/>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площ на местообитанието за търсене на храна</w:t>
            </w:r>
          </w:p>
        </w:tc>
        <w:tc>
          <w:tcPr>
            <w:tcW w:w="0" w:type="auto"/>
          </w:tcPr>
          <w:p w:rsidR="00A8783E" w:rsidRPr="00A8783E" w:rsidRDefault="00A8783E" w:rsidP="00A8783E">
            <w:pPr>
              <w:spacing w:after="160" w:line="259" w:lineRule="auto"/>
              <w:rPr>
                <w:rFonts w:ascii="Times New Roman" w:hAnsi="Times New Roman"/>
                <w:lang w:val="en-US"/>
              </w:rPr>
            </w:pPr>
            <w:r w:rsidRPr="00A8783E">
              <w:rPr>
                <w:rFonts w:ascii="Times New Roman" w:hAnsi="Times New Roman"/>
                <w:lang w:val="en-US"/>
              </w:rPr>
              <w:t>ha</w:t>
            </w:r>
          </w:p>
          <w:p w:rsidR="00A8783E" w:rsidRPr="00A8783E" w:rsidRDefault="00A8783E" w:rsidP="00A8783E">
            <w:pPr>
              <w:spacing w:after="160" w:line="259" w:lineRule="auto"/>
              <w:rPr>
                <w:rFonts w:ascii="Times New Roman" w:hAnsi="Times New Roman"/>
              </w:rPr>
            </w:pPr>
          </w:p>
        </w:tc>
        <w:tc>
          <w:tcPr>
            <w:tcW w:w="0" w:type="auto"/>
          </w:tcPr>
          <w:p w:rsidR="00A8783E" w:rsidRPr="00A8783E" w:rsidRDefault="00A8783E" w:rsidP="00A8783E">
            <w:pPr>
              <w:spacing w:after="160" w:line="259" w:lineRule="auto"/>
              <w:rPr>
                <w:rFonts w:ascii="Times New Roman" w:hAnsi="Times New Roman"/>
              </w:rPr>
            </w:pPr>
            <w:r w:rsidRPr="00A8783E">
              <w:rPr>
                <w:rFonts w:ascii="Times New Roman" w:hAnsi="Times New Roman"/>
              </w:rPr>
              <w:t>Най-малко 318</w:t>
            </w:r>
          </w:p>
        </w:tc>
        <w:tc>
          <w:tcPr>
            <w:tcW w:w="0" w:type="auto"/>
          </w:tcPr>
          <w:p w:rsidR="00A8783E" w:rsidRPr="00A8783E" w:rsidRDefault="00A8783E" w:rsidP="00A8783E">
            <w:pPr>
              <w:spacing w:after="160" w:line="259" w:lineRule="auto"/>
              <w:rPr>
                <w:rFonts w:ascii="Times New Roman" w:hAnsi="Times New Roman"/>
              </w:rPr>
            </w:pPr>
            <w:r w:rsidRPr="00A8783E">
              <w:rPr>
                <w:rFonts w:ascii="Times New Roman" w:hAnsi="Times New Roman"/>
              </w:rPr>
              <w:t xml:space="preserve">Определена на база на % участие откритите местообитания в зоната: </w:t>
            </w:r>
            <w:r w:rsidRPr="00A8783E">
              <w:rPr>
                <w:rFonts w:ascii="Times New Roman" w:hAnsi="Times New Roman"/>
                <w:lang w:val="en-US"/>
              </w:rPr>
              <w:t>N</w:t>
            </w:r>
            <w:r w:rsidRPr="00A8783E">
              <w:rPr>
                <w:rFonts w:ascii="Times New Roman" w:hAnsi="Times New Roman"/>
                <w:lang w:val="ru-RU"/>
              </w:rPr>
              <w:t>08</w:t>
            </w:r>
            <w:r w:rsidRPr="00A8783E">
              <w:rPr>
                <w:rFonts w:ascii="Times New Roman" w:hAnsi="Times New Roman"/>
              </w:rPr>
              <w:t>-</w:t>
            </w:r>
            <w:r w:rsidRPr="00A8783E">
              <w:rPr>
                <w:lang w:val="ru-RU"/>
              </w:rPr>
              <w:t xml:space="preserve"> </w:t>
            </w:r>
            <w:r w:rsidRPr="00A8783E">
              <w:rPr>
                <w:rFonts w:ascii="Times New Roman" w:hAnsi="Times New Roman"/>
              </w:rPr>
              <w:t xml:space="preserve">Равнини, шубраци, </w:t>
            </w:r>
            <w:r w:rsidRPr="00A8783E">
              <w:rPr>
                <w:rFonts w:ascii="Times New Roman" w:hAnsi="Times New Roman"/>
                <w:lang w:val="en-US"/>
              </w:rPr>
              <w:t>N</w:t>
            </w:r>
            <w:r w:rsidRPr="00A8783E">
              <w:rPr>
                <w:rFonts w:ascii="Times New Roman" w:hAnsi="Times New Roman"/>
                <w:lang w:val="ru-RU"/>
              </w:rPr>
              <w:t>09-</w:t>
            </w:r>
            <w:r w:rsidRPr="00A8783E">
              <w:rPr>
                <w:rFonts w:ascii="Times New Roman" w:hAnsi="Times New Roman"/>
              </w:rPr>
              <w:t xml:space="preserve">сухи ливади, степи, </w:t>
            </w:r>
            <w:r w:rsidRPr="00A8783E">
              <w:rPr>
                <w:rFonts w:ascii="Times New Roman" w:hAnsi="Times New Roman"/>
                <w:lang w:val="en-US"/>
              </w:rPr>
              <w:t>N</w:t>
            </w:r>
            <w:r w:rsidRPr="00A8783E">
              <w:rPr>
                <w:rFonts w:ascii="Times New Roman" w:hAnsi="Times New Roman"/>
                <w:lang w:val="ru-RU"/>
              </w:rPr>
              <w:t>15-</w:t>
            </w:r>
            <w:r w:rsidRPr="00A8783E">
              <w:rPr>
                <w:rFonts w:ascii="Times New Roman" w:hAnsi="Times New Roman"/>
              </w:rPr>
              <w:t>други обработваеми земи. Тяхната обща площ е 318 ха.</w:t>
            </w:r>
          </w:p>
        </w:tc>
        <w:tc>
          <w:tcPr>
            <w:tcW w:w="0" w:type="auto"/>
          </w:tcPr>
          <w:p w:rsidR="00A8783E" w:rsidRPr="00A8783E" w:rsidRDefault="00A8783E" w:rsidP="00A8783E">
            <w:pPr>
              <w:spacing w:after="160" w:line="259" w:lineRule="auto"/>
              <w:rPr>
                <w:rFonts w:ascii="Times New Roman" w:hAnsi="Times New Roman"/>
              </w:rPr>
            </w:pPr>
            <w:r w:rsidRPr="00A8783E">
              <w:rPr>
                <w:rFonts w:ascii="Times New Roman" w:hAnsi="Times New Roman"/>
              </w:rPr>
              <w:t>Запазване и поддържане на открити местообитания в защитената зона за търсене на храна по време на миграция и зимуване, в размер на най-малко 318 ha.</w:t>
            </w:r>
          </w:p>
        </w:tc>
      </w:tr>
    </w:tbl>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6. Необходимост от промени в СФ за СЗЗ BG0000241 „Сребърна“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Предвид наличната информация предлагаме да се актуализира мигриращата численост на вида в зоната като се посочи 0-1 инд.</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Във връзка с това предлагаме да се промени и качеството на данните от </w:t>
      </w:r>
      <w:r w:rsidRPr="00A8783E">
        <w:rPr>
          <w:rFonts w:ascii="Times New Roman" w:hAnsi="Times New Roman"/>
          <w:color w:val="000000"/>
          <w:sz w:val="24"/>
          <w:szCs w:val="24"/>
          <w:lang w:val="ru-RU"/>
        </w:rPr>
        <w:t>“</w:t>
      </w:r>
      <w:r w:rsidRPr="00A8783E">
        <w:rPr>
          <w:rFonts w:ascii="Times New Roman" w:hAnsi="Times New Roman"/>
          <w:color w:val="000000"/>
          <w:sz w:val="24"/>
          <w:szCs w:val="24"/>
          <w:lang w:val="en-US"/>
        </w:rPr>
        <w:t>DD</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на „</w:t>
      </w:r>
      <w:r w:rsidRPr="00A8783E">
        <w:rPr>
          <w:rFonts w:ascii="Times New Roman" w:hAnsi="Times New Roman"/>
          <w:color w:val="000000"/>
          <w:sz w:val="24"/>
          <w:szCs w:val="24"/>
          <w:lang w:val="en-US"/>
        </w:rPr>
        <w:t>G</w:t>
      </w:r>
      <w:r w:rsidRPr="00A8783E">
        <w:rPr>
          <w:rFonts w:ascii="Times New Roman" w:hAnsi="Times New Roman"/>
          <w:color w:val="000000"/>
          <w:sz w:val="24"/>
          <w:szCs w:val="24"/>
        </w:rPr>
        <w:t>“</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и в </w:t>
      </w:r>
      <w:r w:rsidRPr="00A8783E">
        <w:rPr>
          <w:rFonts w:ascii="Times New Roman" w:hAnsi="Times New Roman"/>
          <w:color w:val="000000"/>
          <w:sz w:val="24"/>
          <w:szCs w:val="24"/>
          <w:lang w:val="en-US"/>
        </w:rPr>
        <w:t>Unit</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да се посочи </w:t>
      </w:r>
      <w:r w:rsidRPr="00A8783E">
        <w:rPr>
          <w:rFonts w:ascii="Times New Roman" w:hAnsi="Times New Roman"/>
          <w:color w:val="000000"/>
          <w:sz w:val="24"/>
          <w:szCs w:val="24"/>
          <w:lang w:val="en-US"/>
        </w:rPr>
        <w:t>i</w:t>
      </w:r>
      <w:r w:rsidRPr="00A8783E">
        <w:rPr>
          <w:rFonts w:ascii="Times New Roman" w:hAnsi="Times New Roman"/>
          <w:color w:val="000000"/>
          <w:sz w:val="24"/>
          <w:szCs w:val="24"/>
          <w:lang w:val="ru-RU"/>
        </w:rPr>
        <w:t xml:space="preserve"> – </w:t>
      </w:r>
      <w:r w:rsidRPr="00A8783E">
        <w:rPr>
          <w:rFonts w:ascii="Times New Roman" w:hAnsi="Times New Roman"/>
          <w:color w:val="000000"/>
          <w:sz w:val="24"/>
          <w:szCs w:val="24"/>
        </w:rPr>
        <w:t>индивиди.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175"/>
        <w:gridCol w:w="175"/>
        <w:gridCol w:w="572"/>
        <w:gridCol w:w="605"/>
        <w:gridCol w:w="594"/>
        <w:gridCol w:w="578"/>
        <w:gridCol w:w="839"/>
        <w:gridCol w:w="950"/>
        <w:gridCol w:w="622"/>
        <w:gridCol w:w="522"/>
        <w:gridCol w:w="578"/>
      </w:tblGrid>
      <w:tr w:rsidR="00A8783E" w:rsidRPr="00A8783E" w:rsidTr="005B5318">
        <w:trPr>
          <w:jc w:val="center"/>
        </w:trPr>
        <w:tc>
          <w:tcPr>
            <w:tcW w:w="0" w:type="auto"/>
            <w:gridSpan w:val="6"/>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lastRenderedPageBreak/>
              <w:t>Species</w:t>
            </w:r>
          </w:p>
        </w:tc>
        <w:tc>
          <w:tcPr>
            <w:tcW w:w="0" w:type="auto"/>
            <w:gridSpan w:val="6"/>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Population in the site</w:t>
            </w:r>
          </w:p>
        </w:tc>
        <w:tc>
          <w:tcPr>
            <w:tcW w:w="0" w:type="auto"/>
            <w:gridSpan w:val="4"/>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G</w:t>
            </w:r>
          </w:p>
        </w:tc>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Code</w:t>
            </w:r>
          </w:p>
        </w:tc>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Scientific Name</w:t>
            </w:r>
          </w:p>
        </w:tc>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S</w:t>
            </w:r>
          </w:p>
        </w:tc>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NP</w:t>
            </w:r>
          </w:p>
        </w:tc>
        <w:tc>
          <w:tcPr>
            <w:tcW w:w="0" w:type="auto"/>
            <w:gridSpan w:val="2"/>
            <w:vMerge w:val="restart"/>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T</w:t>
            </w:r>
          </w:p>
        </w:tc>
        <w:tc>
          <w:tcPr>
            <w:tcW w:w="0" w:type="auto"/>
            <w:gridSpan w:val="2"/>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Size</w:t>
            </w:r>
          </w:p>
        </w:tc>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Unit</w:t>
            </w:r>
          </w:p>
        </w:tc>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Cat.</w:t>
            </w:r>
          </w:p>
        </w:tc>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D.qual.</w:t>
            </w:r>
          </w:p>
        </w:tc>
        <w:tc>
          <w:tcPr>
            <w:tcW w:w="0" w:type="auto"/>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A/B/C/D</w:t>
            </w:r>
          </w:p>
        </w:tc>
        <w:tc>
          <w:tcPr>
            <w:tcW w:w="0" w:type="auto"/>
            <w:gridSpan w:val="3"/>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160" w:line="259" w:lineRule="auto"/>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160" w:line="259" w:lineRule="auto"/>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160" w:line="259" w:lineRule="auto"/>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160" w:line="259" w:lineRule="auto"/>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p>
        </w:tc>
        <w:tc>
          <w:tcPr>
            <w:tcW w:w="0" w:type="auto"/>
            <w:gridSpan w:val="2"/>
            <w:vMerge/>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Min</w:t>
            </w:r>
          </w:p>
        </w:tc>
        <w:tc>
          <w:tcPr>
            <w:tcW w:w="0" w:type="auto"/>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Max</w:t>
            </w:r>
          </w:p>
        </w:tc>
        <w:tc>
          <w:tcPr>
            <w:tcW w:w="0" w:type="auto"/>
            <w:vMerge/>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Pop.</w:t>
            </w:r>
          </w:p>
        </w:tc>
        <w:tc>
          <w:tcPr>
            <w:tcW w:w="0" w:type="auto"/>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Con.</w:t>
            </w:r>
          </w:p>
        </w:tc>
        <w:tc>
          <w:tcPr>
            <w:tcW w:w="0" w:type="auto"/>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Iso.</w:t>
            </w:r>
          </w:p>
        </w:tc>
        <w:tc>
          <w:tcPr>
            <w:tcW w:w="0" w:type="auto"/>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Glo.</w:t>
            </w:r>
          </w:p>
        </w:tc>
      </w:tr>
      <w:tr w:rsidR="00A8783E" w:rsidRPr="00A8783E" w:rsidTr="005B5318">
        <w:trPr>
          <w:trHeight w:val="295"/>
          <w:jc w:val="center"/>
        </w:trPr>
        <w:tc>
          <w:tcPr>
            <w:tcW w:w="0" w:type="auto"/>
            <w:vAlign w:val="center"/>
          </w:tcPr>
          <w:p w:rsidR="00A8783E" w:rsidRPr="00A8783E" w:rsidRDefault="00A8783E" w:rsidP="00A8783E">
            <w:pPr>
              <w:spacing w:after="160" w:line="259" w:lineRule="auto"/>
              <w:rPr>
                <w:rFonts w:ascii="Times New Roman" w:hAnsi="Times New Roman"/>
                <w:sz w:val="20"/>
                <w:szCs w:val="20"/>
              </w:rPr>
            </w:pPr>
            <w:r w:rsidRPr="00A8783E">
              <w:rPr>
                <w:rFonts w:ascii="Times New Roman" w:hAnsi="Times New Roman"/>
                <w:sz w:val="20"/>
                <w:szCs w:val="20"/>
              </w:rPr>
              <w:t>В</w:t>
            </w:r>
          </w:p>
        </w:tc>
        <w:tc>
          <w:tcPr>
            <w:tcW w:w="0" w:type="auto"/>
            <w:vAlign w:val="center"/>
          </w:tcPr>
          <w:p w:rsidR="00A8783E" w:rsidRPr="00A8783E" w:rsidRDefault="00A8783E" w:rsidP="00A8783E">
            <w:pPr>
              <w:spacing w:after="160" w:line="259" w:lineRule="auto"/>
              <w:rPr>
                <w:rFonts w:ascii="Times New Roman" w:hAnsi="Times New Roman"/>
                <w:sz w:val="20"/>
                <w:szCs w:val="20"/>
                <w:lang w:val="en-US"/>
              </w:rPr>
            </w:pPr>
            <w:r w:rsidRPr="00A8783E">
              <w:rPr>
                <w:rFonts w:ascii="Times New Roman" w:hAnsi="Times New Roman"/>
                <w:sz w:val="20"/>
                <w:szCs w:val="20"/>
              </w:rPr>
              <w:t>A0</w:t>
            </w:r>
            <w:r w:rsidRPr="00A8783E">
              <w:rPr>
                <w:rFonts w:ascii="Times New Roman" w:hAnsi="Times New Roman"/>
                <w:sz w:val="20"/>
                <w:szCs w:val="20"/>
                <w:lang w:val="en-US"/>
              </w:rPr>
              <w:t>84</w:t>
            </w:r>
          </w:p>
        </w:tc>
        <w:tc>
          <w:tcPr>
            <w:tcW w:w="0" w:type="auto"/>
            <w:vAlign w:val="center"/>
          </w:tcPr>
          <w:p w:rsidR="00A8783E" w:rsidRPr="00A8783E" w:rsidRDefault="00A8783E" w:rsidP="00A8783E">
            <w:pPr>
              <w:spacing w:after="160" w:line="259" w:lineRule="auto"/>
              <w:rPr>
                <w:rFonts w:ascii="Times New Roman" w:hAnsi="Times New Roman"/>
                <w:sz w:val="20"/>
                <w:szCs w:val="20"/>
              </w:rPr>
            </w:pPr>
            <w:r w:rsidRPr="00A8783E">
              <w:rPr>
                <w:rFonts w:ascii="Times New Roman" w:hAnsi="Times New Roman"/>
                <w:i/>
                <w:iCs/>
                <w:sz w:val="20"/>
                <w:szCs w:val="20"/>
                <w:lang w:val="en-US"/>
              </w:rPr>
              <w:t>Cyrcus pygargus</w:t>
            </w:r>
          </w:p>
        </w:tc>
        <w:tc>
          <w:tcPr>
            <w:tcW w:w="0" w:type="auto"/>
            <w:vAlign w:val="center"/>
          </w:tcPr>
          <w:p w:rsidR="00A8783E" w:rsidRPr="00A8783E" w:rsidRDefault="00A8783E" w:rsidP="00A8783E">
            <w:pPr>
              <w:spacing w:after="160" w:line="259" w:lineRule="auto"/>
              <w:rPr>
                <w:rFonts w:ascii="Times New Roman" w:hAnsi="Times New Roman"/>
                <w:sz w:val="20"/>
                <w:szCs w:val="20"/>
              </w:rPr>
            </w:pPr>
          </w:p>
        </w:tc>
        <w:tc>
          <w:tcPr>
            <w:tcW w:w="0" w:type="auto"/>
            <w:vAlign w:val="center"/>
          </w:tcPr>
          <w:p w:rsidR="00A8783E" w:rsidRPr="00A8783E" w:rsidRDefault="00A8783E" w:rsidP="00A8783E">
            <w:pPr>
              <w:spacing w:after="160" w:line="259" w:lineRule="auto"/>
              <w:rPr>
                <w:rFonts w:ascii="Times New Roman" w:hAnsi="Times New Roman"/>
                <w:b/>
                <w:bCs/>
                <w:sz w:val="20"/>
                <w:szCs w:val="20"/>
              </w:rPr>
            </w:pPr>
          </w:p>
        </w:tc>
        <w:tc>
          <w:tcPr>
            <w:tcW w:w="0" w:type="auto"/>
            <w:gridSpan w:val="2"/>
            <w:vAlign w:val="center"/>
          </w:tcPr>
          <w:p w:rsidR="00A8783E" w:rsidRPr="00A8783E" w:rsidRDefault="00A8783E" w:rsidP="00A8783E">
            <w:pPr>
              <w:spacing w:after="160" w:line="259" w:lineRule="auto"/>
              <w:rPr>
                <w:rFonts w:ascii="Times New Roman" w:hAnsi="Times New Roman"/>
                <w:b/>
                <w:bCs/>
                <w:sz w:val="20"/>
                <w:szCs w:val="20"/>
                <w:lang w:val="en-US"/>
              </w:rPr>
            </w:pPr>
            <w:r w:rsidRPr="00A8783E">
              <w:rPr>
                <w:rFonts w:ascii="Times New Roman" w:hAnsi="Times New Roman"/>
                <w:b/>
                <w:bCs/>
                <w:sz w:val="20"/>
                <w:szCs w:val="20"/>
                <w:lang w:val="en-US"/>
              </w:rPr>
              <w:t>c</w:t>
            </w:r>
          </w:p>
        </w:tc>
        <w:tc>
          <w:tcPr>
            <w:tcW w:w="0" w:type="auto"/>
            <w:vAlign w:val="center"/>
          </w:tcPr>
          <w:p w:rsidR="00A8783E" w:rsidRPr="00A8783E" w:rsidRDefault="00A8783E" w:rsidP="00A8783E">
            <w:pPr>
              <w:spacing w:after="160" w:line="259"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0</w:t>
            </w:r>
          </w:p>
        </w:tc>
        <w:tc>
          <w:tcPr>
            <w:tcW w:w="0" w:type="auto"/>
            <w:vAlign w:val="center"/>
          </w:tcPr>
          <w:p w:rsidR="00A8783E" w:rsidRPr="00A8783E" w:rsidRDefault="00A8783E" w:rsidP="00A8783E">
            <w:pPr>
              <w:spacing w:after="160" w:line="259"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1</w:t>
            </w:r>
          </w:p>
        </w:tc>
        <w:tc>
          <w:tcPr>
            <w:tcW w:w="0" w:type="auto"/>
            <w:vAlign w:val="center"/>
          </w:tcPr>
          <w:p w:rsidR="00A8783E" w:rsidRPr="00A8783E" w:rsidRDefault="00A8783E" w:rsidP="00A8783E">
            <w:pPr>
              <w:spacing w:after="160" w:line="259" w:lineRule="auto"/>
              <w:rPr>
                <w:rFonts w:ascii="Times New Roman" w:hAnsi="Times New Roman"/>
                <w:b/>
                <w:bCs/>
                <w:sz w:val="20"/>
                <w:szCs w:val="20"/>
                <w:lang w:val="en-US"/>
              </w:rPr>
            </w:pPr>
            <w:r w:rsidRPr="00A8783E">
              <w:rPr>
                <w:rFonts w:ascii="Times New Roman" w:hAnsi="Times New Roman"/>
                <w:b/>
                <w:bCs/>
                <w:color w:val="FF0000"/>
                <w:sz w:val="20"/>
                <w:szCs w:val="20"/>
                <w:lang w:val="en-US"/>
              </w:rPr>
              <w:t>i</w:t>
            </w:r>
          </w:p>
        </w:tc>
        <w:tc>
          <w:tcPr>
            <w:tcW w:w="0" w:type="auto"/>
            <w:vAlign w:val="center"/>
          </w:tcPr>
          <w:p w:rsidR="00A8783E" w:rsidRPr="00A8783E" w:rsidRDefault="00A8783E" w:rsidP="00A8783E">
            <w:pPr>
              <w:spacing w:after="160" w:line="259" w:lineRule="auto"/>
              <w:rPr>
                <w:rFonts w:ascii="Times New Roman" w:hAnsi="Times New Roman"/>
                <w:b/>
                <w:bCs/>
                <w:sz w:val="20"/>
                <w:szCs w:val="20"/>
              </w:rPr>
            </w:pPr>
          </w:p>
        </w:tc>
        <w:tc>
          <w:tcPr>
            <w:tcW w:w="0" w:type="auto"/>
            <w:vAlign w:val="center"/>
          </w:tcPr>
          <w:p w:rsidR="00A8783E" w:rsidRPr="00A8783E" w:rsidRDefault="00A8783E" w:rsidP="00A8783E">
            <w:pPr>
              <w:spacing w:after="160" w:line="259" w:lineRule="auto"/>
              <w:rPr>
                <w:rFonts w:ascii="Times New Roman" w:hAnsi="Times New Roman"/>
                <w:b/>
                <w:bCs/>
                <w:sz w:val="20"/>
                <w:szCs w:val="20"/>
                <w:lang w:val="en-US"/>
              </w:rPr>
            </w:pPr>
            <w:r w:rsidRPr="00A8783E">
              <w:rPr>
                <w:rFonts w:ascii="Times New Roman" w:hAnsi="Times New Roman"/>
                <w:b/>
                <w:bCs/>
                <w:color w:val="FF0000"/>
                <w:sz w:val="20"/>
                <w:szCs w:val="20"/>
                <w:lang w:val="en-US"/>
              </w:rPr>
              <w:t>G</w:t>
            </w:r>
          </w:p>
        </w:tc>
        <w:tc>
          <w:tcPr>
            <w:tcW w:w="0" w:type="auto"/>
            <w:vAlign w:val="center"/>
          </w:tcPr>
          <w:p w:rsidR="00A8783E" w:rsidRPr="00A8783E" w:rsidRDefault="00A8783E" w:rsidP="00A8783E">
            <w:pPr>
              <w:spacing w:after="160" w:line="259" w:lineRule="auto"/>
              <w:rPr>
                <w:rFonts w:ascii="Times New Roman" w:hAnsi="Times New Roman"/>
                <w:b/>
                <w:bCs/>
                <w:sz w:val="20"/>
                <w:szCs w:val="20"/>
                <w:lang w:val="en-US"/>
              </w:rPr>
            </w:pPr>
            <w:r w:rsidRPr="00A8783E">
              <w:rPr>
                <w:rFonts w:ascii="Times New Roman" w:hAnsi="Times New Roman"/>
                <w:sz w:val="20"/>
                <w:szCs w:val="20"/>
                <w:lang w:val="en-US"/>
              </w:rPr>
              <w:t>C</w:t>
            </w:r>
          </w:p>
        </w:tc>
        <w:tc>
          <w:tcPr>
            <w:tcW w:w="0" w:type="auto"/>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sz w:val="20"/>
                <w:szCs w:val="20"/>
              </w:rPr>
              <w:t>B</w:t>
            </w:r>
          </w:p>
        </w:tc>
        <w:tc>
          <w:tcPr>
            <w:tcW w:w="0" w:type="auto"/>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sz w:val="20"/>
                <w:szCs w:val="20"/>
              </w:rPr>
              <w:t>C</w:t>
            </w:r>
          </w:p>
        </w:tc>
        <w:tc>
          <w:tcPr>
            <w:tcW w:w="0" w:type="auto"/>
            <w:vAlign w:val="center"/>
          </w:tcPr>
          <w:p w:rsidR="00A8783E" w:rsidRPr="00A8783E" w:rsidRDefault="00A8783E" w:rsidP="00A8783E">
            <w:pPr>
              <w:spacing w:after="160" w:line="259" w:lineRule="auto"/>
              <w:rPr>
                <w:rFonts w:ascii="Times New Roman" w:hAnsi="Times New Roman"/>
                <w:b/>
                <w:bCs/>
                <w:sz w:val="20"/>
                <w:szCs w:val="20"/>
                <w:lang w:val="en-US"/>
              </w:rPr>
            </w:pPr>
            <w:r w:rsidRPr="00A8783E">
              <w:rPr>
                <w:rFonts w:ascii="Times New Roman" w:hAnsi="Times New Roman"/>
                <w:sz w:val="20"/>
                <w:szCs w:val="20"/>
                <w:lang w:val="en-US"/>
              </w:rPr>
              <w:t>A</w:t>
            </w:r>
          </w:p>
        </w:tc>
      </w:tr>
    </w:tbl>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272" w:name="_Toc88865751"/>
      <w:bookmarkStart w:id="273" w:name="_Toc89106104"/>
      <w:bookmarkStart w:id="274" w:name="_Toc98741943"/>
      <w:bookmarkStart w:id="275" w:name="_Toc98838618"/>
      <w:r w:rsidRPr="00A8783E">
        <w:rPr>
          <w:rFonts w:ascii="Times New Roman" w:hAnsi="Times New Roman"/>
          <w:color w:val="1F497D"/>
          <w:sz w:val="28"/>
          <w:szCs w:val="28"/>
        </w:rPr>
        <w:t xml:space="preserve">Специфични цели за </w:t>
      </w:r>
      <w:r w:rsidRPr="00A8783E">
        <w:rPr>
          <w:rFonts w:ascii="Times New Roman" w:hAnsi="Times New Roman"/>
          <w:color w:val="1F497D"/>
          <w:sz w:val="28"/>
          <w:szCs w:val="28"/>
          <w:lang w:val="en-US"/>
        </w:rPr>
        <w:t>A</w:t>
      </w:r>
      <w:r w:rsidRPr="00A8783E">
        <w:rPr>
          <w:rFonts w:ascii="Times New Roman" w:hAnsi="Times New Roman"/>
          <w:color w:val="1F497D"/>
          <w:sz w:val="28"/>
          <w:szCs w:val="28"/>
        </w:rPr>
        <w:t xml:space="preserve">899 </w:t>
      </w:r>
      <w:r w:rsidRPr="00A8783E">
        <w:rPr>
          <w:rFonts w:ascii="Times New Roman" w:hAnsi="Times New Roman"/>
          <w:i/>
          <w:iCs/>
          <w:color w:val="1F497D"/>
          <w:sz w:val="28"/>
          <w:szCs w:val="28"/>
          <w:lang w:val="en-US"/>
        </w:rPr>
        <w:t>Accipiter</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gentilis</w:t>
      </w:r>
      <w:r w:rsidRPr="00A8783E">
        <w:rPr>
          <w:rFonts w:ascii="Times New Roman" w:hAnsi="Times New Roman"/>
          <w:color w:val="1F497D"/>
          <w:sz w:val="28"/>
          <w:szCs w:val="28"/>
        </w:rPr>
        <w:t xml:space="preserve"> (голям ястреб)</w:t>
      </w:r>
      <w:bookmarkEnd w:id="272"/>
      <w:bookmarkEnd w:id="273"/>
      <w:bookmarkEnd w:id="274"/>
      <w:bookmarkEnd w:id="275"/>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w:t>
      </w:r>
      <w:r w:rsidRPr="00A8783E">
        <w:rPr>
          <w:rFonts w:ascii="Times New Roman" w:hAnsi="Times New Roman"/>
          <w:sz w:val="24"/>
          <w:szCs w:val="24"/>
          <w:lang w:val="ru-RU"/>
        </w:rPr>
        <w:t>50</w:t>
      </w:r>
      <w:r w:rsidRPr="00A8783E">
        <w:rPr>
          <w:rFonts w:ascii="Times New Roman" w:hAnsi="Times New Roman"/>
          <w:sz w:val="24"/>
          <w:szCs w:val="24"/>
        </w:rPr>
        <w:t>-5</w:t>
      </w:r>
      <w:r w:rsidRPr="00A8783E">
        <w:rPr>
          <w:rFonts w:ascii="Times New Roman" w:hAnsi="Times New Roman"/>
          <w:sz w:val="24"/>
          <w:szCs w:val="24"/>
          <w:lang w:val="ru-RU"/>
        </w:rPr>
        <w:t>5</w:t>
      </w:r>
      <w:r w:rsidRPr="00A8783E">
        <w:rPr>
          <w:rFonts w:ascii="Times New Roman" w:hAnsi="Times New Roman"/>
          <w:sz w:val="24"/>
          <w:szCs w:val="24"/>
        </w:rPr>
        <w:t xml:space="preserve"> </w:t>
      </w:r>
      <w:r w:rsidRPr="00A8783E">
        <w:rPr>
          <w:rFonts w:ascii="Times New Roman" w:hAnsi="Times New Roman"/>
          <w:sz w:val="24"/>
          <w:szCs w:val="24"/>
          <w:lang w:val="en-US"/>
        </w:rPr>
        <w:t>cm</w:t>
      </w:r>
      <w:r w:rsidRPr="00A8783E">
        <w:rPr>
          <w:rFonts w:ascii="Times New Roman" w:hAnsi="Times New Roman"/>
          <w:sz w:val="24"/>
          <w:szCs w:val="24"/>
          <w:lang w:val="ru-RU"/>
        </w:rPr>
        <w:t xml:space="preserve">, </w:t>
      </w:r>
      <w:r w:rsidRPr="00A8783E">
        <w:rPr>
          <w:rFonts w:ascii="Times New Roman" w:hAnsi="Times New Roman"/>
          <w:sz w:val="24"/>
          <w:szCs w:val="24"/>
        </w:rPr>
        <w:t xml:space="preserve">размах на крилата – </w:t>
      </w:r>
      <w:r w:rsidRPr="00A8783E">
        <w:rPr>
          <w:rFonts w:ascii="Times New Roman" w:hAnsi="Times New Roman"/>
          <w:sz w:val="24"/>
          <w:szCs w:val="24"/>
          <w:lang w:val="ru-RU"/>
        </w:rPr>
        <w:t xml:space="preserve">150-160 </w:t>
      </w:r>
      <w:r w:rsidRPr="00A8783E">
        <w:rPr>
          <w:rFonts w:ascii="Times New Roman" w:hAnsi="Times New Roman"/>
          <w:sz w:val="24"/>
          <w:szCs w:val="24"/>
          <w:lang w:val="en-US"/>
        </w:rPr>
        <w:t>cm</w:t>
      </w:r>
      <w:r w:rsidRPr="00A8783E">
        <w:rPr>
          <w:rFonts w:ascii="Times New Roman" w:hAnsi="Times New Roman"/>
          <w:sz w:val="24"/>
          <w:szCs w:val="24"/>
          <w:lang w:val="ru-RU"/>
        </w:rPr>
        <w:t xml:space="preserve">. </w:t>
      </w:r>
      <w:r w:rsidRPr="00A8783E">
        <w:rPr>
          <w:rFonts w:ascii="Times New Roman" w:hAnsi="Times New Roman"/>
          <w:sz w:val="24"/>
          <w:szCs w:val="24"/>
        </w:rPr>
        <w:t xml:space="preserve">Средно голяма дневна граблива птица. Женската е с размери на каня, а мъжкият – на полска врана. Лети с маневрен махов полет. Възрастните отгоре са сиво-кафяви, отдолу белезникави с тъмни напречни препаски. Крилата са къси и широки. Първостепенните махови пера разтворени като пръсти. Опашката е дълга, а подопашката – бяла. Когато е кацнал изглежда гърбав </w:t>
      </w:r>
      <w:r w:rsidRPr="00A8783E">
        <w:rPr>
          <w:rFonts w:ascii="Times New Roman" w:hAnsi="Times New Roman"/>
          <w:sz w:val="24"/>
          <w:szCs w:val="24"/>
          <w:lang w:val="ru-RU"/>
        </w:rPr>
        <w:t>(</w:t>
      </w:r>
      <w:r w:rsidRPr="00A8783E">
        <w:rPr>
          <w:rFonts w:ascii="Times New Roman" w:hAnsi="Times New Roman"/>
          <w:sz w:val="24"/>
          <w:szCs w:val="24"/>
        </w:rPr>
        <w:t>Симеонов и др., 1990</w:t>
      </w:r>
      <w:r w:rsidRPr="00A8783E">
        <w:rPr>
          <w:rFonts w:ascii="Times New Roman" w:hAnsi="Times New Roman"/>
          <w:sz w:val="24"/>
          <w:szCs w:val="24"/>
          <w:lang w:val="ru-RU"/>
        </w:rPr>
        <w:t>)</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Гнездящо-прелетен, преминаващ и зимуващ вид. През есенно-зимния период се среща до горната граница на гората. След 1985 г. е „твърде рядък“ с численост не по-голяма от 100 двойки </w:t>
      </w:r>
      <w:r w:rsidRPr="00A8783E">
        <w:rPr>
          <w:rFonts w:ascii="Times New Roman" w:hAnsi="Times New Roman"/>
          <w:sz w:val="24"/>
          <w:szCs w:val="24"/>
          <w:lang w:val="ru-RU"/>
        </w:rPr>
        <w:t>(</w:t>
      </w:r>
      <w:r w:rsidRPr="00A8783E">
        <w:rPr>
          <w:rFonts w:ascii="Times New Roman" w:hAnsi="Times New Roman"/>
          <w:sz w:val="24"/>
          <w:szCs w:val="24"/>
        </w:rPr>
        <w:t>Симеонов и др., 1990</w:t>
      </w:r>
      <w:r w:rsidRPr="00A8783E">
        <w:rPr>
          <w:rFonts w:ascii="Times New Roman" w:hAnsi="Times New Roman"/>
          <w:sz w:val="24"/>
          <w:szCs w:val="24"/>
          <w:lang w:val="ru-RU"/>
        </w:rPr>
        <w:t>)</w:t>
      </w:r>
      <w:r w:rsidRPr="00A8783E">
        <w:rPr>
          <w:rFonts w:ascii="Times New Roman" w:hAnsi="Times New Roman"/>
          <w:sz w:val="24"/>
          <w:szCs w:val="24"/>
        </w:rPr>
        <w:t xml:space="preserve">. В много райони се наблюдава намаляване на броя на гнездящите двойки. Размножителният период започва през март – началото на април. Строи големи гнезда, но използва и стари гнезда на други хищни или на вранови птици. Обикновено всяка двойка има по 2–3 гнезда в гнездовата си територия, които птиците използват през различни години </w:t>
      </w:r>
      <w:r w:rsidRPr="00A8783E">
        <w:rPr>
          <w:rFonts w:ascii="Times New Roman" w:hAnsi="Times New Roman"/>
          <w:sz w:val="24"/>
          <w:szCs w:val="24"/>
          <w:lang w:val="ru-RU"/>
        </w:rPr>
        <w:t>(</w:t>
      </w:r>
      <w:r w:rsidRPr="00A8783E">
        <w:rPr>
          <w:rFonts w:ascii="Times New Roman" w:hAnsi="Times New Roman"/>
          <w:sz w:val="24"/>
          <w:szCs w:val="24"/>
        </w:rPr>
        <w:t>Стоянов и Боев в Червена книга на България, 2015).</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Високостъблени гори в планините и равнините, крайречни гори; стари паркове в градската и крайградската зона. В много райони на България гнезди в иглолистни култури, които сега са едно от типичните размножителни местообитания на вида. Нерядко гнездата се намират близо до селища </w:t>
      </w:r>
      <w:r w:rsidRPr="00A8783E">
        <w:rPr>
          <w:rFonts w:ascii="Times New Roman" w:hAnsi="Times New Roman"/>
          <w:sz w:val="24"/>
          <w:szCs w:val="24"/>
          <w:lang w:val="ru-RU"/>
        </w:rPr>
        <w:t>(</w:t>
      </w:r>
      <w:r w:rsidRPr="00A8783E">
        <w:rPr>
          <w:rFonts w:ascii="Times New Roman" w:hAnsi="Times New Roman"/>
          <w:sz w:val="24"/>
          <w:szCs w:val="24"/>
        </w:rPr>
        <w:t xml:space="preserve">Стоянов и Боев в Червена книга на България, 2015). Според Симеонов и др. </w:t>
      </w:r>
      <w:r w:rsidRPr="00A8783E">
        <w:rPr>
          <w:rFonts w:ascii="Times New Roman" w:hAnsi="Times New Roman"/>
          <w:sz w:val="24"/>
          <w:szCs w:val="24"/>
          <w:lang w:val="ru-RU"/>
        </w:rPr>
        <w:t>(</w:t>
      </w:r>
      <w:r w:rsidRPr="00A8783E">
        <w:rPr>
          <w:rFonts w:ascii="Times New Roman" w:hAnsi="Times New Roman"/>
          <w:sz w:val="24"/>
          <w:szCs w:val="24"/>
        </w:rPr>
        <w:t>1990</w:t>
      </w:r>
      <w:r w:rsidRPr="00A8783E">
        <w:rPr>
          <w:rFonts w:ascii="Times New Roman" w:hAnsi="Times New Roman"/>
          <w:sz w:val="24"/>
          <w:szCs w:val="24"/>
          <w:lang w:val="ru-RU"/>
        </w:rPr>
        <w:t>)</w:t>
      </w:r>
      <w:r w:rsidRPr="00A8783E">
        <w:rPr>
          <w:rFonts w:ascii="Times New Roman" w:hAnsi="Times New Roman"/>
          <w:sz w:val="24"/>
          <w:szCs w:val="24"/>
        </w:rPr>
        <w:t xml:space="preserve"> видът обитава разредени широколистни, смесени и иглолистни гори, изпъстрени с обширни поляни в съседство с обработваеми площи и пустеещи земи и други открити пространства предимно в предпланини и планини. През есента и зимата се среща в културния ландшафт в равнини, обширни паркове, групи дървета и покрайнини на селища. В района на Абрузо </w:t>
      </w:r>
      <w:r w:rsidRPr="00A8783E">
        <w:rPr>
          <w:rFonts w:ascii="Times New Roman" w:hAnsi="Times New Roman"/>
          <w:sz w:val="24"/>
          <w:szCs w:val="24"/>
          <w:lang w:val="ru-RU"/>
        </w:rPr>
        <w:t>(</w:t>
      </w:r>
      <w:r w:rsidRPr="00A8783E">
        <w:rPr>
          <w:rFonts w:ascii="Times New Roman" w:hAnsi="Times New Roman"/>
          <w:sz w:val="24"/>
          <w:szCs w:val="24"/>
        </w:rPr>
        <w:t>Италия</w:t>
      </w:r>
      <w:r w:rsidRPr="00A8783E">
        <w:rPr>
          <w:rFonts w:ascii="Times New Roman" w:hAnsi="Times New Roman"/>
          <w:sz w:val="24"/>
          <w:szCs w:val="24"/>
          <w:lang w:val="ru-RU"/>
        </w:rPr>
        <w:t>)</w:t>
      </w:r>
      <w:r w:rsidRPr="00A8783E">
        <w:rPr>
          <w:rFonts w:ascii="Times New Roman" w:hAnsi="Times New Roman"/>
          <w:sz w:val="24"/>
          <w:szCs w:val="24"/>
        </w:rPr>
        <w:t xml:space="preserve"> е установена гнездова плътност от 5.03 дв./100 km</w:t>
      </w:r>
      <w:r w:rsidRPr="00A8783E">
        <w:rPr>
          <w:rFonts w:ascii="Times New Roman" w:hAnsi="Times New Roman"/>
          <w:sz w:val="24"/>
          <w:szCs w:val="24"/>
          <w:vertAlign w:val="superscript"/>
        </w:rPr>
        <w:t>2</w:t>
      </w:r>
      <w:r w:rsidRPr="00A8783E">
        <w:rPr>
          <w:rFonts w:ascii="Times New Roman" w:hAnsi="Times New Roman"/>
          <w:sz w:val="24"/>
          <w:szCs w:val="24"/>
        </w:rPr>
        <w:t xml:space="preserve">, като е отчетено равномерно разпределение на гнездата в изследваната територия. Местата, където са разположени гнездата се характеризират със следното: в относително широк диапазон на надморска височина; в участъци от стара букова гора; гнездата са разположени по северни и източни склонове; предпочита централните части на гората; гнездата са разположени в долната част на короната на дърветата. Според авторите за запазване на вида е необходимо да се поддържат високостъблени гори. Също така, те установяват, че вида е адаптивен и може да използва за търсене на храна разнообразни местообитания като улавя и голямо разнообразие от плячка </w:t>
      </w:r>
      <w:r w:rsidRPr="00A8783E">
        <w:rPr>
          <w:rFonts w:ascii="Times New Roman" w:hAnsi="Times New Roman"/>
          <w:sz w:val="24"/>
          <w:szCs w:val="24"/>
          <w:lang w:val="ru-RU"/>
        </w:rPr>
        <w:t>(</w:t>
      </w:r>
      <w:r w:rsidRPr="00A8783E">
        <w:rPr>
          <w:rFonts w:ascii="Times New Roman" w:hAnsi="Times New Roman"/>
          <w:sz w:val="24"/>
          <w:szCs w:val="24"/>
          <w:lang w:val="en-US"/>
        </w:rPr>
        <w:t>Penteriani</w:t>
      </w:r>
      <w:r w:rsidRPr="00A8783E">
        <w:rPr>
          <w:rFonts w:ascii="Times New Roman" w:hAnsi="Times New Roman"/>
          <w:sz w:val="24"/>
          <w:szCs w:val="24"/>
          <w:lang w:val="ru-RU"/>
        </w:rPr>
        <w:t xml:space="preserve"> </w:t>
      </w:r>
      <w:r w:rsidRPr="00A8783E">
        <w:rPr>
          <w:rFonts w:ascii="Times New Roman" w:hAnsi="Times New Roman"/>
          <w:sz w:val="24"/>
          <w:szCs w:val="24"/>
          <w:lang w:val="en-US"/>
        </w:rPr>
        <w:t>and</w:t>
      </w:r>
      <w:r w:rsidRPr="00A8783E">
        <w:rPr>
          <w:rFonts w:ascii="Times New Roman" w:hAnsi="Times New Roman"/>
          <w:sz w:val="24"/>
          <w:szCs w:val="24"/>
          <w:lang w:val="ru-RU"/>
        </w:rPr>
        <w:t xml:space="preserve"> </w:t>
      </w:r>
      <w:r w:rsidRPr="00A8783E">
        <w:rPr>
          <w:rFonts w:ascii="Times New Roman" w:hAnsi="Times New Roman"/>
          <w:sz w:val="24"/>
          <w:szCs w:val="24"/>
          <w:lang w:val="en-US"/>
        </w:rPr>
        <w:t>Faivre</w:t>
      </w:r>
      <w:r w:rsidRPr="00A8783E">
        <w:rPr>
          <w:rFonts w:ascii="Times New Roman" w:hAnsi="Times New Roman"/>
          <w:sz w:val="24"/>
          <w:szCs w:val="24"/>
          <w:lang w:val="ru-RU"/>
        </w:rPr>
        <w:t>, 1997)</w:t>
      </w:r>
      <w:r w:rsidRPr="00A8783E">
        <w:rPr>
          <w:rFonts w:ascii="Times New Roman" w:hAnsi="Times New Roman"/>
          <w:sz w:val="24"/>
          <w:szCs w:val="24"/>
        </w:rPr>
        <w:t>. Подходящи местообитания за гнездене на вида са вероятно 9110, 9130, 9150, 9180, 91Е0, 91</w:t>
      </w:r>
      <w:r w:rsidRPr="00A8783E">
        <w:rPr>
          <w:rFonts w:ascii="Times New Roman" w:hAnsi="Times New Roman"/>
          <w:sz w:val="24"/>
          <w:szCs w:val="24"/>
          <w:lang w:val="en-US"/>
        </w:rPr>
        <w:t>F</w:t>
      </w:r>
      <w:r w:rsidRPr="00A8783E">
        <w:rPr>
          <w:rFonts w:ascii="Times New Roman" w:hAnsi="Times New Roman"/>
          <w:sz w:val="24"/>
          <w:szCs w:val="24"/>
        </w:rPr>
        <w:t>0, 91</w:t>
      </w:r>
      <w:r w:rsidRPr="00A8783E">
        <w:rPr>
          <w:rFonts w:ascii="Times New Roman" w:hAnsi="Times New Roman"/>
          <w:sz w:val="24"/>
          <w:szCs w:val="24"/>
          <w:lang w:val="en-US"/>
        </w:rPr>
        <w:t>S</w:t>
      </w:r>
      <w:r w:rsidRPr="00A8783E">
        <w:rPr>
          <w:rFonts w:ascii="Times New Roman" w:hAnsi="Times New Roman"/>
          <w:sz w:val="24"/>
          <w:szCs w:val="24"/>
          <w:lang w:val="ru-RU"/>
        </w:rPr>
        <w:t>0, 91</w:t>
      </w:r>
      <w:r w:rsidRPr="00A8783E">
        <w:rPr>
          <w:rFonts w:ascii="Times New Roman" w:hAnsi="Times New Roman"/>
          <w:sz w:val="24"/>
          <w:szCs w:val="24"/>
          <w:lang w:val="en-US"/>
        </w:rPr>
        <w:t>W</w:t>
      </w:r>
      <w:r w:rsidRPr="00A8783E">
        <w:rPr>
          <w:rFonts w:ascii="Times New Roman" w:hAnsi="Times New Roman"/>
          <w:sz w:val="24"/>
          <w:szCs w:val="24"/>
          <w:lang w:val="ru-RU"/>
        </w:rPr>
        <w:t>0, 95</w:t>
      </w:r>
      <w:r w:rsidRPr="00A8783E">
        <w:rPr>
          <w:rFonts w:ascii="Times New Roman" w:hAnsi="Times New Roman"/>
          <w:sz w:val="24"/>
          <w:szCs w:val="24"/>
          <w:lang w:val="en-US"/>
        </w:rPr>
        <w:t>A</w:t>
      </w:r>
      <w:r w:rsidRPr="00A8783E">
        <w:rPr>
          <w:rFonts w:ascii="Times New Roman" w:hAnsi="Times New Roman"/>
          <w:sz w:val="24"/>
          <w:szCs w:val="24"/>
          <w:lang w:val="ru-RU"/>
        </w:rPr>
        <w:t xml:space="preserve">0 </w:t>
      </w:r>
      <w:r w:rsidRPr="00A8783E">
        <w:rPr>
          <w:rFonts w:ascii="Times New Roman" w:hAnsi="Times New Roman"/>
          <w:sz w:val="24"/>
          <w:szCs w:val="24"/>
        </w:rPr>
        <w:t xml:space="preserve">и др., за търсене на храна – открити и пустеещи земи и повечето типове „Естествени и полуестествени тревни формации“ </w:t>
      </w:r>
      <w:r w:rsidRPr="00A8783E">
        <w:rPr>
          <w:rFonts w:ascii="Times New Roman" w:hAnsi="Times New Roman"/>
          <w:sz w:val="24"/>
          <w:szCs w:val="24"/>
          <w:lang w:val="ru-RU"/>
        </w:rPr>
        <w:t>(6110-6520)</w:t>
      </w:r>
      <w:r w:rsidRPr="00A8783E">
        <w:rPr>
          <w:rFonts w:ascii="Times New Roman" w:hAnsi="Times New Roman"/>
          <w:sz w:val="24"/>
          <w:szCs w:val="24"/>
        </w:rPr>
        <w:t xml:space="preserve"> според </w:t>
      </w:r>
      <w:r w:rsidRPr="00A8783E">
        <w:rPr>
          <w:rFonts w:ascii="Times New Roman" w:hAnsi="Times New Roman"/>
          <w:sz w:val="24"/>
          <w:szCs w:val="24"/>
        </w:rPr>
        <w:lastRenderedPageBreak/>
        <w:t>Директивата за хабитатите (Кавръкова и др. 2009), а също градски и крайградски зони, покрайнини на села.</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България в хранителни остатъци са установени 42 компонента, като бозайниците са представени от 8 вида</w:t>
      </w:r>
      <w:r w:rsidRPr="00A8783E">
        <w:rPr>
          <w:rFonts w:ascii="Times New Roman" w:hAnsi="Times New Roman"/>
          <w:sz w:val="24"/>
          <w:szCs w:val="24"/>
          <w:lang w:val="ru-RU"/>
        </w:rPr>
        <w:t xml:space="preserve">, </w:t>
      </w:r>
      <w:r w:rsidRPr="00A8783E">
        <w:rPr>
          <w:rFonts w:ascii="Times New Roman" w:hAnsi="Times New Roman"/>
          <w:sz w:val="24"/>
          <w:szCs w:val="24"/>
        </w:rPr>
        <w:t xml:space="preserve">сред които див заек, катерица, лалугер. Птиците са основна храна, като ловни обекти са 5 вида – гълъб, яребица, фазан, пъдпъдък, зимно бърне. Идентифицирани са също и домашни кокошки </w:t>
      </w:r>
      <w:r w:rsidRPr="00A8783E">
        <w:rPr>
          <w:rFonts w:ascii="Times New Roman" w:hAnsi="Times New Roman"/>
          <w:sz w:val="24"/>
          <w:szCs w:val="24"/>
          <w:lang w:val="ru-RU"/>
        </w:rPr>
        <w:t>(</w:t>
      </w:r>
      <w:r w:rsidRPr="00A8783E">
        <w:rPr>
          <w:rFonts w:ascii="Times New Roman" w:hAnsi="Times New Roman"/>
          <w:sz w:val="24"/>
          <w:szCs w:val="24"/>
        </w:rPr>
        <w:t>Симеонов и др., 1990</w:t>
      </w:r>
      <w:r w:rsidRPr="00A8783E">
        <w:rPr>
          <w:rFonts w:ascii="Times New Roman" w:hAnsi="Times New Roman"/>
          <w:sz w:val="24"/>
          <w:szCs w:val="24"/>
          <w:lang w:val="ru-RU"/>
        </w:rPr>
        <w:t>)</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Широко разпространен с разпръснати единични гнездовища, по-групирани предимно в гористите планински и полупланински райони, също</w:t>
      </w:r>
      <w:r w:rsidRPr="00A8783E">
        <w:rPr>
          <w:rFonts w:ascii="Times New Roman" w:hAnsi="Times New Roman"/>
          <w:sz w:val="24"/>
          <w:szCs w:val="24"/>
          <w:lang w:val="ru-RU"/>
        </w:rPr>
        <w:t xml:space="preserve"> </w:t>
      </w:r>
      <w:r w:rsidRPr="00A8783E">
        <w:rPr>
          <w:rFonts w:ascii="Times New Roman" w:hAnsi="Times New Roman"/>
          <w:sz w:val="24"/>
          <w:szCs w:val="24"/>
        </w:rPr>
        <w:t>и в хълмистите равнини. Отсъства от някои равнинни райони с обширни земеделски площи поради липсата на подходящи горски местообитания</w:t>
      </w:r>
      <w:r w:rsidRPr="00A8783E">
        <w:rPr>
          <w:rFonts w:ascii="Times New Roman" w:hAnsi="Times New Roman"/>
          <w:sz w:val="24"/>
          <w:szCs w:val="24"/>
          <w:lang w:val="ru-RU"/>
        </w:rPr>
        <w:t xml:space="preserve"> (</w:t>
      </w:r>
      <w:r w:rsidRPr="00A8783E">
        <w:rPr>
          <w:rFonts w:ascii="Times New Roman" w:hAnsi="Times New Roman"/>
          <w:sz w:val="24"/>
          <w:szCs w:val="24"/>
        </w:rPr>
        <w:t>Янков, отг. ред., 2007</w:t>
      </w:r>
      <w:r w:rsidRPr="00A8783E">
        <w:rPr>
          <w:rFonts w:ascii="Times New Roman" w:hAnsi="Times New Roman"/>
          <w:sz w:val="24"/>
          <w:szCs w:val="24"/>
          <w:lang w:val="ru-RU"/>
        </w:rPr>
        <w:t>)</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Включен в Приложение 3 на ЗБР. Според </w:t>
      </w:r>
      <w:r w:rsidRPr="00A8783E">
        <w:rPr>
          <w:rFonts w:ascii="Times New Roman" w:hAnsi="Times New Roman"/>
          <w:color w:val="000000"/>
          <w:sz w:val="24"/>
          <w:szCs w:val="24"/>
          <w:lang w:val="en-GB"/>
        </w:rPr>
        <w:t>IUCN</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за територията на континентална Европа, а и за целия свят видът е „слабо засегнат“ </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US"/>
        </w:rPr>
        <w:t>LC</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GB"/>
        </w:rPr>
        <w:t>Least</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GB"/>
        </w:rPr>
        <w:t>Concern</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Няма </w:t>
      </w:r>
      <w:r w:rsidRPr="00A8783E">
        <w:rPr>
          <w:rFonts w:ascii="Times New Roman" w:hAnsi="Times New Roman"/>
          <w:color w:val="000000"/>
          <w:sz w:val="24"/>
          <w:szCs w:val="24"/>
          <w:lang w:val="en-GB"/>
        </w:rPr>
        <w:t>SPEC</w:t>
      </w:r>
      <w:r w:rsidRPr="00A8783E">
        <w:rPr>
          <w:rFonts w:ascii="Times New Roman" w:hAnsi="Times New Roman"/>
          <w:color w:val="000000"/>
          <w:sz w:val="24"/>
          <w:szCs w:val="24"/>
        </w:rPr>
        <w:t xml:space="preserve"> категория. Включен в Червената книга на Р България със статус „застрашен“ Е</w:t>
      </w:r>
      <w:r w:rsidRPr="00A8783E">
        <w:rPr>
          <w:rFonts w:ascii="Times New Roman" w:hAnsi="Times New Roman"/>
          <w:color w:val="000000"/>
          <w:sz w:val="24"/>
          <w:szCs w:val="24"/>
          <w:lang w:val="en-US"/>
        </w:rPr>
        <w:t>N</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US"/>
        </w:rPr>
        <w:t>Endangered</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Съгласно Докладването от 2019 г. (за периода 20</w:t>
      </w:r>
      <w:r w:rsidRPr="00A8783E">
        <w:rPr>
          <w:rFonts w:ascii="Times New Roman" w:hAnsi="Times New Roman"/>
          <w:sz w:val="24"/>
          <w:szCs w:val="24"/>
          <w:lang w:val="ru-RU"/>
        </w:rPr>
        <w:t>05</w:t>
      </w:r>
      <w:r w:rsidRPr="00A8783E">
        <w:rPr>
          <w:rFonts w:ascii="Times New Roman" w:hAnsi="Times New Roman"/>
          <w:sz w:val="24"/>
          <w:szCs w:val="24"/>
        </w:rPr>
        <w:t xml:space="preserve">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 на </w:t>
      </w:r>
      <w:r w:rsidRPr="00A8783E">
        <w:rPr>
          <w:rFonts w:ascii="Times New Roman" w:hAnsi="Times New Roman"/>
          <w:sz w:val="24"/>
          <w:szCs w:val="24"/>
          <w:lang w:val="ru-RU"/>
        </w:rPr>
        <w:t>560</w:t>
      </w:r>
      <w:r w:rsidRPr="00A8783E">
        <w:rPr>
          <w:rFonts w:ascii="Times New Roman" w:hAnsi="Times New Roman"/>
          <w:sz w:val="24"/>
          <w:szCs w:val="24"/>
        </w:rPr>
        <w:t xml:space="preserve"> – </w:t>
      </w:r>
      <w:r w:rsidRPr="00A8783E">
        <w:rPr>
          <w:rFonts w:ascii="Times New Roman" w:hAnsi="Times New Roman"/>
          <w:sz w:val="24"/>
          <w:szCs w:val="24"/>
          <w:lang w:val="ru-RU"/>
        </w:rPr>
        <w:t>970</w:t>
      </w:r>
      <w:r w:rsidRPr="00A8783E">
        <w:rPr>
          <w:rFonts w:ascii="Times New Roman" w:hAnsi="Times New Roman"/>
          <w:sz w:val="24"/>
          <w:szCs w:val="24"/>
        </w:rPr>
        <w:t xml:space="preserve"> двойки. Краткосрочната тенденция на популацията (за периода 200</w:t>
      </w:r>
      <w:r w:rsidRPr="00A8783E">
        <w:rPr>
          <w:rFonts w:ascii="Times New Roman" w:hAnsi="Times New Roman"/>
          <w:sz w:val="24"/>
          <w:szCs w:val="24"/>
          <w:lang w:val="ru-RU"/>
        </w:rPr>
        <w:t>1</w:t>
      </w:r>
      <w:r w:rsidRPr="00A8783E">
        <w:rPr>
          <w:rFonts w:ascii="Times New Roman" w:hAnsi="Times New Roman"/>
          <w:sz w:val="24"/>
          <w:szCs w:val="24"/>
        </w:rPr>
        <w:t xml:space="preserve"> – 2018 г.) е стабилна, а дългосрочната (за периода 1980 – 2018 г.) също е стабилна. Не са посочени  заплахи и влияния.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Мигриращата</w:t>
      </w:r>
      <w:r w:rsidRPr="00A8783E">
        <w:rPr>
          <w:rFonts w:ascii="Times New Roman" w:hAnsi="Times New Roman"/>
          <w:sz w:val="24"/>
          <w:szCs w:val="24"/>
        </w:rPr>
        <w:t xml:space="preserve"> национална популация е оценена на 5000 – 6000 индивида </w:t>
      </w:r>
      <w:r w:rsidRPr="00A8783E">
        <w:rPr>
          <w:rFonts w:ascii="Times New Roman" w:hAnsi="Times New Roman"/>
          <w:sz w:val="24"/>
          <w:szCs w:val="24"/>
          <w:lang w:val="ru-RU"/>
        </w:rPr>
        <w:t>(</w:t>
      </w:r>
      <w:r w:rsidRPr="00A8783E">
        <w:rPr>
          <w:rFonts w:ascii="Times New Roman" w:hAnsi="Times New Roman"/>
          <w:sz w:val="24"/>
          <w:szCs w:val="24"/>
        </w:rPr>
        <w:t>за периода 2005-2018 г.</w:t>
      </w:r>
      <w:r w:rsidRPr="00A8783E">
        <w:rPr>
          <w:rFonts w:ascii="Times New Roman" w:hAnsi="Times New Roman"/>
          <w:sz w:val="24"/>
          <w:szCs w:val="24"/>
          <w:lang w:val="ru-RU"/>
        </w:rPr>
        <w:t>)</w:t>
      </w:r>
      <w:r w:rsidRPr="00A8783E">
        <w:rPr>
          <w:rFonts w:ascii="Times New Roman" w:hAnsi="Times New Roman"/>
          <w:sz w:val="24"/>
          <w:szCs w:val="24"/>
        </w:rPr>
        <w:t>. Не са посочени тенденции в развитието на популацията. Краткосрочната и дългосрочната тенденции в развитието на популацията са стабилни. Не са посочени  заплахи и влияния.</w:t>
      </w:r>
    </w:p>
    <w:p w:rsidR="00A8783E" w:rsidRPr="00A8783E" w:rsidRDefault="00A8783E" w:rsidP="00A8783E">
      <w:pPr>
        <w:spacing w:before="120" w:after="120" w:line="259" w:lineRule="auto"/>
        <w:jc w:val="both"/>
        <w:rPr>
          <w:rFonts w:ascii="Times New Roman" w:hAnsi="Times New Roman"/>
          <w:b/>
          <w:bCs/>
          <w:color w:val="0070C0"/>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Според СФ</w:t>
      </w:r>
      <w:r w:rsidRPr="00A8783E">
        <w:rPr>
          <w:rFonts w:ascii="Times New Roman" w:hAnsi="Times New Roman"/>
          <w:b/>
          <w:bCs/>
          <w:sz w:val="24"/>
          <w:szCs w:val="24"/>
        </w:rPr>
        <w:t xml:space="preserve"> мигриращата </w:t>
      </w:r>
      <w:r w:rsidRPr="00A8783E">
        <w:rPr>
          <w:rFonts w:ascii="Times New Roman" w:hAnsi="Times New Roman"/>
          <w:sz w:val="24"/>
          <w:szCs w:val="24"/>
        </w:rPr>
        <w:t xml:space="preserve">популация на вида не е оценена </w:t>
      </w:r>
      <w:r w:rsidRPr="00A8783E">
        <w:rPr>
          <w:rFonts w:ascii="Times New Roman" w:hAnsi="Times New Roman"/>
          <w:sz w:val="24"/>
          <w:szCs w:val="24"/>
          <w:lang w:val="ru-RU"/>
        </w:rPr>
        <w:t>(</w:t>
      </w:r>
      <w:r w:rsidRPr="00A8783E">
        <w:rPr>
          <w:rFonts w:ascii="Times New Roman" w:hAnsi="Times New Roman"/>
          <w:sz w:val="24"/>
          <w:szCs w:val="24"/>
        </w:rPr>
        <w:t>присъства в зоната-категория Р</w:t>
      </w:r>
      <w:r w:rsidRPr="00A8783E">
        <w:rPr>
          <w:rFonts w:ascii="Times New Roman" w:hAnsi="Times New Roman"/>
          <w:sz w:val="24"/>
          <w:szCs w:val="24"/>
          <w:lang w:val="ru-RU"/>
        </w:rPr>
        <w:t>)</w:t>
      </w:r>
      <w:r w:rsidRPr="00A8783E">
        <w:rPr>
          <w:rFonts w:ascii="Times New Roman" w:hAnsi="Times New Roman"/>
          <w:sz w:val="24"/>
          <w:szCs w:val="24"/>
        </w:rPr>
        <w:t>.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Според СФ</w:t>
      </w:r>
      <w:r w:rsidRPr="00A8783E">
        <w:rPr>
          <w:rFonts w:ascii="Times New Roman" w:hAnsi="Times New Roman"/>
          <w:b/>
          <w:bCs/>
          <w:sz w:val="24"/>
          <w:szCs w:val="24"/>
        </w:rPr>
        <w:t xml:space="preserve"> </w:t>
      </w:r>
      <w:r w:rsidRPr="00A8783E">
        <w:rPr>
          <w:rFonts w:ascii="Times New Roman" w:hAnsi="Times New Roman"/>
          <w:sz w:val="24"/>
          <w:szCs w:val="24"/>
        </w:rPr>
        <w:t>вида се опазва в зоната и като</w:t>
      </w:r>
      <w:r w:rsidRPr="00A8783E">
        <w:rPr>
          <w:rFonts w:ascii="Times New Roman" w:hAnsi="Times New Roman"/>
          <w:b/>
          <w:bCs/>
          <w:sz w:val="24"/>
          <w:szCs w:val="24"/>
        </w:rPr>
        <w:t xml:space="preserve"> зимуващ. </w:t>
      </w:r>
      <w:r w:rsidRPr="00A8783E">
        <w:rPr>
          <w:rFonts w:ascii="Times New Roman" w:hAnsi="Times New Roman"/>
          <w:sz w:val="24"/>
          <w:szCs w:val="24"/>
        </w:rPr>
        <w:t>Популация е оценена на 0-1 инд. Видът не е докладван като зимуващ, а и неговата зимуваща популация в страната не е известна.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59"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59"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after="120" w:line="240" w:lineRule="auto"/>
        <w:jc w:val="both"/>
        <w:rPr>
          <w:rFonts w:ascii="Times New Roman" w:hAnsi="Times New Roman"/>
          <w:sz w:val="24"/>
          <w:szCs w:val="24"/>
        </w:rPr>
      </w:pPr>
      <w:r w:rsidRPr="00A8783E">
        <w:rPr>
          <w:rFonts w:ascii="Times New Roman" w:hAnsi="Times New Roman"/>
          <w:sz w:val="24"/>
          <w:szCs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A8783E">
        <w:rPr>
          <w:rFonts w:ascii="Times New Roman" w:hAnsi="Times New Roman"/>
          <w:sz w:val="24"/>
          <w:szCs w:val="24"/>
          <w:lang w:val="ru-RU"/>
        </w:rPr>
        <w:t xml:space="preserve"> </w:t>
      </w:r>
      <w:r w:rsidRPr="00A8783E">
        <w:rPr>
          <w:rFonts w:ascii="Times New Roman" w:hAnsi="Times New Roman"/>
          <w:sz w:val="24"/>
          <w:szCs w:val="24"/>
        </w:rPr>
        <w:t xml:space="preserve">В средна Дунавска равнина големият ястреб е чест гнездящ, мигриращ и зимуващ вид. Числеността на вида е висока и в извън гнездовия период, особено в периода ноември-януари. Тогава видът често навлиза в селищата и в районите около водоемите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В ОВМ „Сребърна“ вида не е посочен </w:t>
      </w:r>
      <w:r w:rsidRPr="00A8783E">
        <w:rPr>
          <w:rFonts w:ascii="Times New Roman" w:hAnsi="Times New Roman"/>
          <w:sz w:val="24"/>
          <w:szCs w:val="24"/>
          <w:lang w:val="ru-RU"/>
        </w:rPr>
        <w:t>(</w:t>
      </w:r>
      <w:r w:rsidRPr="00A8783E">
        <w:rPr>
          <w:rFonts w:ascii="Times New Roman" w:hAnsi="Times New Roman"/>
          <w:sz w:val="24"/>
          <w:szCs w:val="24"/>
        </w:rPr>
        <w:t>Петков в Костадинова и Граматиков, 2007</w:t>
      </w:r>
      <w:r w:rsidRPr="00A8783E">
        <w:rPr>
          <w:rFonts w:ascii="Times New Roman" w:hAnsi="Times New Roman"/>
          <w:sz w:val="24"/>
          <w:szCs w:val="24"/>
          <w:lang w:val="ru-RU"/>
        </w:rPr>
        <w:t>)</w:t>
      </w:r>
      <w:r w:rsidRPr="00A8783E">
        <w:rPr>
          <w:rFonts w:ascii="Times New Roman" w:hAnsi="Times New Roman"/>
          <w:sz w:val="24"/>
          <w:szCs w:val="24"/>
        </w:rPr>
        <w:t xml:space="preserve">. В резултат на проучването на есенната и пролетната </w:t>
      </w:r>
      <w:r w:rsidRPr="00A8783E">
        <w:rPr>
          <w:rFonts w:ascii="Times New Roman" w:hAnsi="Times New Roman"/>
          <w:sz w:val="24"/>
          <w:szCs w:val="24"/>
        </w:rPr>
        <w:lastRenderedPageBreak/>
        <w:t xml:space="preserve">миграция в рамките на проекта „Минимизиране на рисковете за дивите птици” в Северна България през 2011 г., бе установено, че големите ястреби летят на широк фронт над цялата страна, като по-интензивен прелет се наблюдава в западната част на Дунавската равнина (между Брегаре и Галиче) и в района на село Писанец </w:t>
      </w:r>
      <w:r w:rsidRPr="00A8783E">
        <w:rPr>
          <w:rFonts w:ascii="Times New Roman" w:hAnsi="Times New Roman"/>
          <w:sz w:val="24"/>
          <w:szCs w:val="24"/>
          <w:lang w:val="ru-RU"/>
        </w:rPr>
        <w:t>(</w:t>
      </w:r>
      <w:r w:rsidRPr="00A8783E">
        <w:rPr>
          <w:rFonts w:ascii="Times New Roman" w:hAnsi="Times New Roman"/>
          <w:sz w:val="24"/>
          <w:szCs w:val="24"/>
        </w:rPr>
        <w:t>Матеева и Янков, 2013</w:t>
      </w:r>
      <w:r w:rsidRPr="00A8783E">
        <w:rPr>
          <w:rFonts w:ascii="Times New Roman" w:hAnsi="Times New Roman"/>
          <w:sz w:val="24"/>
          <w:szCs w:val="24"/>
          <w:lang w:val="ru-RU"/>
        </w:rPr>
        <w:t>)</w:t>
      </w:r>
      <w:r w:rsidRPr="00A8783E">
        <w:rPr>
          <w:rFonts w:ascii="Times New Roman" w:hAnsi="Times New Roman"/>
          <w:sz w:val="24"/>
          <w:szCs w:val="24"/>
        </w:rPr>
        <w:t xml:space="preserve">. Данните от </w:t>
      </w:r>
      <w:r w:rsidRPr="00A8783E">
        <w:rPr>
          <w:rFonts w:ascii="Times New Roman" w:hAnsi="Times New Roman"/>
          <w:sz w:val="24"/>
          <w:szCs w:val="24"/>
          <w:lang w:val="en-US"/>
        </w:rPr>
        <w:t>eBird</w:t>
      </w:r>
      <w:r w:rsidRPr="00A8783E">
        <w:rPr>
          <w:rFonts w:ascii="Times New Roman" w:hAnsi="Times New Roman"/>
          <w:sz w:val="24"/>
          <w:szCs w:val="24"/>
          <w:lang w:val="ru-RU"/>
        </w:rPr>
        <w:t>.</w:t>
      </w:r>
      <w:r w:rsidRPr="00A8783E">
        <w:rPr>
          <w:rFonts w:ascii="Times New Roman" w:hAnsi="Times New Roman"/>
          <w:sz w:val="24"/>
          <w:szCs w:val="24"/>
          <w:lang w:val="en-US"/>
        </w:rPr>
        <w:t>org</w:t>
      </w:r>
      <w:r w:rsidRPr="00A8783E">
        <w:rPr>
          <w:rFonts w:ascii="Times New Roman" w:hAnsi="Times New Roman"/>
          <w:sz w:val="24"/>
          <w:szCs w:val="24"/>
          <w:lang w:val="ru-RU"/>
        </w:rPr>
        <w:t xml:space="preserve"> </w:t>
      </w:r>
      <w:r w:rsidRPr="00A8783E">
        <w:rPr>
          <w:rFonts w:ascii="Times New Roman" w:hAnsi="Times New Roman"/>
          <w:sz w:val="24"/>
          <w:szCs w:val="24"/>
        </w:rPr>
        <w:t xml:space="preserve">показват, че вида е бил наблюдаван в зоната през април 2019 г. </w:t>
      </w:r>
      <w:r w:rsidRPr="00A8783E">
        <w:rPr>
          <w:rFonts w:ascii="Times New Roman" w:hAnsi="Times New Roman"/>
          <w:sz w:val="24"/>
          <w:szCs w:val="24"/>
          <w:lang w:val="ru-RU"/>
        </w:rPr>
        <w:t>(</w:t>
      </w:r>
      <w:r w:rsidRPr="00A8783E">
        <w:rPr>
          <w:rFonts w:ascii="Times New Roman" w:hAnsi="Times New Roman"/>
          <w:sz w:val="24"/>
          <w:szCs w:val="24"/>
          <w:lang w:val="en-US"/>
        </w:rPr>
        <w:t>Sergio</w:t>
      </w:r>
      <w:r w:rsidRPr="00A8783E">
        <w:rPr>
          <w:rFonts w:ascii="Times New Roman" w:hAnsi="Times New Roman"/>
          <w:sz w:val="24"/>
          <w:szCs w:val="24"/>
          <w:lang w:val="ru-RU"/>
        </w:rPr>
        <w:t xml:space="preserve"> </w:t>
      </w:r>
      <w:r w:rsidRPr="00A8783E">
        <w:rPr>
          <w:rFonts w:ascii="Times New Roman" w:hAnsi="Times New Roman"/>
          <w:sz w:val="24"/>
          <w:szCs w:val="24"/>
          <w:lang w:val="en-US"/>
        </w:rPr>
        <w:t>Briones</w:t>
      </w:r>
      <w:r w:rsidRPr="00A8783E">
        <w:rPr>
          <w:rFonts w:ascii="Times New Roman" w:hAnsi="Times New Roman"/>
          <w:sz w:val="24"/>
          <w:szCs w:val="24"/>
          <w:lang w:val="ru-RU"/>
        </w:rPr>
        <w:t xml:space="preserve"> </w:t>
      </w:r>
      <w:r w:rsidRPr="00A8783E">
        <w:rPr>
          <w:rFonts w:ascii="Times New Roman" w:hAnsi="Times New Roman"/>
          <w:sz w:val="24"/>
          <w:szCs w:val="24"/>
          <w:lang w:val="en-US"/>
        </w:rPr>
        <w:t>Mart</w:t>
      </w:r>
      <w:r w:rsidRPr="00A8783E">
        <w:rPr>
          <w:rFonts w:ascii="Times New Roman" w:hAnsi="Times New Roman"/>
          <w:sz w:val="24"/>
          <w:szCs w:val="24"/>
          <w:lang w:val="ru-RU"/>
        </w:rPr>
        <w:t>н</w:t>
      </w:r>
      <w:r w:rsidRPr="00A8783E">
        <w:rPr>
          <w:rFonts w:ascii="Times New Roman" w:hAnsi="Times New Roman"/>
          <w:sz w:val="24"/>
          <w:szCs w:val="24"/>
          <w:lang w:val="en-US"/>
        </w:rPr>
        <w:t>n</w:t>
      </w:r>
      <w:r w:rsidRPr="00A8783E">
        <w:rPr>
          <w:rFonts w:ascii="Times New Roman" w:hAnsi="Times New Roman"/>
          <w:sz w:val="24"/>
          <w:szCs w:val="24"/>
          <w:lang w:val="ru-RU"/>
        </w:rPr>
        <w:t>)</w:t>
      </w:r>
      <w:r w:rsidRPr="00A8783E">
        <w:rPr>
          <w:rFonts w:ascii="Times New Roman" w:hAnsi="Times New Roman"/>
          <w:sz w:val="24"/>
          <w:szCs w:val="24"/>
        </w:rPr>
        <w:t xml:space="preserve">. </w:t>
      </w:r>
    </w:p>
    <w:p w:rsidR="00A8783E" w:rsidRPr="00A8783E" w:rsidRDefault="00A8783E" w:rsidP="00A8783E">
      <w:pPr>
        <w:spacing w:after="120" w:line="240" w:lineRule="auto"/>
        <w:jc w:val="both"/>
        <w:rPr>
          <w:rFonts w:ascii="Times New Roman" w:hAnsi="Times New Roman"/>
          <w:i/>
          <w:iCs/>
          <w:sz w:val="24"/>
          <w:szCs w:val="24"/>
        </w:rPr>
      </w:pPr>
      <w:r w:rsidRPr="00A8783E">
        <w:rPr>
          <w:rFonts w:ascii="Times New Roman" w:hAnsi="Times New Roman"/>
          <w:i/>
          <w:iCs/>
          <w:sz w:val="24"/>
          <w:szCs w:val="24"/>
        </w:rPr>
        <w:t>Зимуваща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средна Дунавска равнина големият ястреб е чест гнездящ, мигриращ и зимуващ вид. Числеността на вида е висока и в извън гнездовия период, особено в периода ноември-януари. Тогава видът често навлиза в селищата и в районите около водоемите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В ОВМ „Сребърна“ вида не е посочен </w:t>
      </w:r>
      <w:r w:rsidRPr="00A8783E">
        <w:rPr>
          <w:rFonts w:ascii="Times New Roman" w:hAnsi="Times New Roman"/>
          <w:sz w:val="24"/>
          <w:szCs w:val="24"/>
          <w:lang w:val="ru-RU"/>
        </w:rPr>
        <w:t>(</w:t>
      </w:r>
      <w:r w:rsidRPr="00A8783E">
        <w:rPr>
          <w:rFonts w:ascii="Times New Roman" w:hAnsi="Times New Roman"/>
          <w:sz w:val="24"/>
          <w:szCs w:val="24"/>
        </w:rPr>
        <w:t>Петков в Костадинова и Граматиков, 2007</w:t>
      </w:r>
      <w:r w:rsidRPr="00A8783E">
        <w:rPr>
          <w:rFonts w:ascii="Times New Roman" w:hAnsi="Times New Roman"/>
          <w:sz w:val="24"/>
          <w:szCs w:val="24"/>
          <w:lang w:val="ru-RU"/>
        </w:rPr>
        <w:t>)</w:t>
      </w:r>
      <w:r w:rsidRPr="00A8783E">
        <w:rPr>
          <w:rFonts w:ascii="Times New Roman" w:hAnsi="Times New Roman"/>
          <w:sz w:val="24"/>
          <w:szCs w:val="24"/>
        </w:rPr>
        <w:t>. По време на средно-зимните преброявания през 2019 и 2020 г. видът не е наблюдаван в или в близост до зоната.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За мигриращата популация не са посочени заплахи от докладването по чл. 12 от 2019 г.</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lang w:eastAsia="bg-BG"/>
        </w:rPr>
        <w:t>5</w:t>
      </w:r>
      <w:r w:rsidRPr="00A8783E">
        <w:rPr>
          <w:rFonts w:ascii="Times New Roman" w:hAnsi="Times New Roman"/>
          <w:b/>
          <w:bCs/>
          <w:sz w:val="24"/>
          <w:szCs w:val="24"/>
        </w:rPr>
        <w:t xml:space="preserve">. </w:t>
      </w:r>
      <w:r w:rsidRPr="00A8783E">
        <w:rPr>
          <w:rFonts w:ascii="Times New Roman" w:hAnsi="Times New Roman"/>
          <w:b/>
          <w:bCs/>
          <w:sz w:val="24"/>
          <w:szCs w:val="24"/>
          <w:lang w:eastAsia="bg-BG"/>
        </w:rPr>
        <w:t>Параметри за определяне на специфичните природозащитни цели за вида в зоната</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1134"/>
        <w:gridCol w:w="1276"/>
        <w:gridCol w:w="2981"/>
        <w:gridCol w:w="2423"/>
      </w:tblGrid>
      <w:tr w:rsidR="00A8783E" w:rsidRPr="00A8783E" w:rsidTr="005B5318">
        <w:trPr>
          <w:tblHeader/>
          <w:jc w:val="center"/>
        </w:trPr>
        <w:tc>
          <w:tcPr>
            <w:tcW w:w="1564" w:type="dxa"/>
            <w:shd w:val="clear" w:color="auto" w:fill="B8CCE4"/>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Параметър</w:t>
            </w:r>
          </w:p>
        </w:tc>
        <w:tc>
          <w:tcPr>
            <w:tcW w:w="1134" w:type="dxa"/>
            <w:shd w:val="clear" w:color="auto" w:fill="B8CCE4"/>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Мерна единица </w:t>
            </w:r>
          </w:p>
        </w:tc>
        <w:tc>
          <w:tcPr>
            <w:tcW w:w="1276" w:type="dxa"/>
            <w:shd w:val="clear" w:color="auto" w:fill="B8CCE4"/>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Целева стойност </w:t>
            </w:r>
          </w:p>
        </w:tc>
        <w:tc>
          <w:tcPr>
            <w:tcW w:w="2981" w:type="dxa"/>
            <w:shd w:val="clear" w:color="auto" w:fill="B8CCE4"/>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Допълнителна информация </w:t>
            </w:r>
          </w:p>
        </w:tc>
        <w:tc>
          <w:tcPr>
            <w:tcW w:w="2423" w:type="dxa"/>
            <w:shd w:val="clear" w:color="auto" w:fill="B8CCE4"/>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564" w:type="dxa"/>
          </w:tcPr>
          <w:p w:rsidR="00A8783E" w:rsidRPr="00A8783E" w:rsidRDefault="00A8783E" w:rsidP="00A8783E">
            <w:pPr>
              <w:spacing w:after="0" w:line="240" w:lineRule="auto"/>
              <w:rPr>
                <w:rFonts w:ascii="Times New Roman" w:hAnsi="Times New Roman"/>
              </w:rPr>
            </w:pPr>
            <w:r w:rsidRPr="00A8783E">
              <w:rPr>
                <w:rFonts w:ascii="Times New Roman" w:hAnsi="Times New Roman"/>
                <w:b/>
                <w:bCs/>
              </w:rPr>
              <w:t>Популация</w:t>
            </w:r>
            <w:r w:rsidRPr="00A8783E">
              <w:rPr>
                <w:rFonts w:ascii="Times New Roman" w:hAnsi="Times New Roman"/>
              </w:rPr>
              <w:t>: Размер на мигриращата популация</w:t>
            </w:r>
          </w:p>
        </w:tc>
        <w:tc>
          <w:tcPr>
            <w:tcW w:w="113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индивиди</w:t>
            </w:r>
          </w:p>
        </w:tc>
        <w:tc>
          <w:tcPr>
            <w:tcW w:w="12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неизвесна</w:t>
            </w:r>
          </w:p>
        </w:tc>
        <w:tc>
          <w:tcPr>
            <w:tcW w:w="2981"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Целевата стойност е определена от СФ. Тези данни се нуждаят от потвърждение/актуализация в резултата на адекватен мониторинг в периода октомври – март месец.</w:t>
            </w:r>
          </w:p>
        </w:tc>
        <w:tc>
          <w:tcPr>
            <w:tcW w:w="2423"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Междинна цел до 2025 г: провеждане на проучване за установяване на текущата миграционна численост на вида в зоната.</w:t>
            </w:r>
          </w:p>
        </w:tc>
      </w:tr>
      <w:tr w:rsidR="00A8783E" w:rsidRPr="00A8783E" w:rsidTr="005B5318">
        <w:trPr>
          <w:trHeight w:val="606"/>
          <w:jc w:val="center"/>
        </w:trPr>
        <w:tc>
          <w:tcPr>
            <w:tcW w:w="156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Популация</w:t>
            </w:r>
            <w:r w:rsidRPr="00A8783E">
              <w:rPr>
                <w:rFonts w:ascii="Times New Roman" w:hAnsi="Times New Roman"/>
              </w:rPr>
              <w:t>: Размер на зимуващата популация</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0-1 инд.</w:t>
            </w:r>
          </w:p>
        </w:tc>
        <w:tc>
          <w:tcPr>
            <w:tcW w:w="2981" w:type="dxa"/>
          </w:tcPr>
          <w:p w:rsidR="00A8783E" w:rsidRPr="00A8783E" w:rsidRDefault="00A8783E" w:rsidP="00A8783E">
            <w:pPr>
              <w:spacing w:after="0" w:line="240" w:lineRule="auto"/>
              <w:jc w:val="both"/>
              <w:rPr>
                <w:rFonts w:ascii="Times New Roman" w:hAnsi="Times New Roman"/>
                <w:color w:val="0070C0"/>
              </w:rPr>
            </w:pPr>
            <w:r w:rsidRPr="00A8783E">
              <w:rPr>
                <w:rFonts w:ascii="Times New Roman" w:hAnsi="Times New Roman"/>
              </w:rPr>
              <w:t>Целевата стойност е определена от СФ и</w:t>
            </w:r>
            <w:r w:rsidRPr="00A8783E">
              <w:rPr>
                <w:rFonts w:ascii="Times New Roman" w:hAnsi="Times New Roman"/>
                <w:lang w:val="ru-RU"/>
              </w:rPr>
              <w:t xml:space="preserve"> </w:t>
            </w:r>
            <w:r w:rsidRPr="00A8783E">
              <w:rPr>
                <w:rFonts w:ascii="Times New Roman" w:hAnsi="Times New Roman"/>
              </w:rPr>
              <w:t>данните от СЗП 2019 и 2020 г. Тези данни се нуждаят от потвърждение в резултата на адекватен мониторинг в периода октомври – февруари месец.</w:t>
            </w:r>
          </w:p>
        </w:tc>
        <w:tc>
          <w:tcPr>
            <w:tcW w:w="242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Да се извърши целенасочен мониторинг за установяване на размера на зимуващата популация до 2025 г. </w:t>
            </w:r>
          </w:p>
        </w:tc>
      </w:tr>
      <w:tr w:rsidR="00A8783E" w:rsidRPr="00A8783E" w:rsidTr="005B5318">
        <w:trPr>
          <w:trHeight w:val="748"/>
          <w:jc w:val="center"/>
        </w:trPr>
        <w:tc>
          <w:tcPr>
            <w:tcW w:w="1564" w:type="dxa"/>
          </w:tcPr>
          <w:p w:rsidR="00A8783E" w:rsidRPr="00A8783E" w:rsidRDefault="00A8783E" w:rsidP="00A8783E">
            <w:pPr>
              <w:spacing w:after="0" w:line="240" w:lineRule="auto"/>
              <w:rPr>
                <w:rFonts w:ascii="Times New Roman" w:hAnsi="Times New Roman"/>
              </w:rPr>
            </w:pPr>
            <w:r w:rsidRPr="00A8783E">
              <w:rPr>
                <w:rFonts w:ascii="Times New Roman" w:hAnsi="Times New Roman"/>
                <w:b/>
                <w:bCs/>
              </w:rPr>
              <w:t>Местообитание на вида</w:t>
            </w:r>
            <w:r w:rsidRPr="00A8783E">
              <w:rPr>
                <w:rFonts w:ascii="Times New Roman" w:hAnsi="Times New Roman"/>
              </w:rPr>
              <w:t>: площ на подходящи местообитания за търсене на храна</w:t>
            </w:r>
          </w:p>
        </w:tc>
        <w:tc>
          <w:tcPr>
            <w:tcW w:w="1134" w:type="dxa"/>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lang w:val="en-US"/>
              </w:rPr>
              <w:t>ha</w:t>
            </w:r>
          </w:p>
        </w:tc>
        <w:tc>
          <w:tcPr>
            <w:tcW w:w="12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Най-малко 318</w:t>
            </w:r>
          </w:p>
        </w:tc>
        <w:tc>
          <w:tcPr>
            <w:tcW w:w="2981"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Определена на база на % участие откритите местообитания в зоната: </w:t>
            </w:r>
            <w:r w:rsidRPr="00A8783E">
              <w:rPr>
                <w:rFonts w:ascii="Times New Roman" w:hAnsi="Times New Roman"/>
                <w:lang w:val="en-US"/>
              </w:rPr>
              <w:t>N</w:t>
            </w:r>
            <w:r w:rsidRPr="00A8783E">
              <w:rPr>
                <w:rFonts w:ascii="Times New Roman" w:hAnsi="Times New Roman"/>
                <w:lang w:val="ru-RU"/>
              </w:rPr>
              <w:t>08</w:t>
            </w:r>
            <w:r w:rsidRPr="00A8783E">
              <w:rPr>
                <w:rFonts w:ascii="Times New Roman" w:hAnsi="Times New Roman"/>
              </w:rPr>
              <w:t>-</w:t>
            </w:r>
            <w:r w:rsidRPr="00A8783E">
              <w:rPr>
                <w:lang w:val="ru-RU"/>
              </w:rPr>
              <w:t xml:space="preserve"> </w:t>
            </w:r>
            <w:r w:rsidRPr="00A8783E">
              <w:rPr>
                <w:rFonts w:ascii="Times New Roman" w:hAnsi="Times New Roman"/>
              </w:rPr>
              <w:t xml:space="preserve">Равнини, шубраци, </w:t>
            </w:r>
            <w:r w:rsidRPr="00A8783E">
              <w:rPr>
                <w:rFonts w:ascii="Times New Roman" w:hAnsi="Times New Roman"/>
                <w:lang w:val="en-US"/>
              </w:rPr>
              <w:t>N</w:t>
            </w:r>
            <w:r w:rsidRPr="00A8783E">
              <w:rPr>
                <w:rFonts w:ascii="Times New Roman" w:hAnsi="Times New Roman"/>
                <w:lang w:val="ru-RU"/>
              </w:rPr>
              <w:t>09-</w:t>
            </w:r>
            <w:r w:rsidRPr="00A8783E">
              <w:rPr>
                <w:rFonts w:ascii="Times New Roman" w:hAnsi="Times New Roman"/>
              </w:rPr>
              <w:t xml:space="preserve">сухи ливади, степи, </w:t>
            </w:r>
            <w:r w:rsidRPr="00A8783E">
              <w:rPr>
                <w:rFonts w:ascii="Times New Roman" w:hAnsi="Times New Roman"/>
                <w:lang w:val="en-US"/>
              </w:rPr>
              <w:t>N</w:t>
            </w:r>
            <w:r w:rsidRPr="00A8783E">
              <w:rPr>
                <w:rFonts w:ascii="Times New Roman" w:hAnsi="Times New Roman"/>
                <w:lang w:val="ru-RU"/>
              </w:rPr>
              <w:t>15-</w:t>
            </w:r>
            <w:r w:rsidRPr="00A8783E">
              <w:rPr>
                <w:rFonts w:ascii="Times New Roman" w:hAnsi="Times New Roman"/>
              </w:rPr>
              <w:t>други обработваеми земи. Тяхната обща площ е 318 ха.</w:t>
            </w:r>
          </w:p>
        </w:tc>
        <w:tc>
          <w:tcPr>
            <w:tcW w:w="2423"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Запазване и поддържане на открити местообитания в защитената зона за търсене на храна по време на миграция и зимуване, в размер на най-малко 318 ha.</w:t>
            </w:r>
          </w:p>
        </w:tc>
      </w:tr>
    </w:tbl>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6. Необходимост от промени в СФ за СЗЗ BG0000241 „Сребърна“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Не са необходими промени в СФ.</w:t>
      </w:r>
    </w:p>
    <w:p w:rsidR="00A8783E" w:rsidRPr="00A8783E" w:rsidRDefault="00A8783E" w:rsidP="00A8783E">
      <w:pPr>
        <w:keepNext/>
        <w:keepLines/>
        <w:spacing w:before="40" w:after="0" w:line="259" w:lineRule="auto"/>
        <w:rPr>
          <w:rFonts w:ascii="Calibri Light" w:hAnsi="Calibri Light" w:cs="Calibri Light"/>
          <w:color w:val="2E74B5"/>
          <w:sz w:val="26"/>
          <w:szCs w:val="26"/>
        </w:rPr>
      </w:pPr>
      <w:bookmarkStart w:id="276" w:name="_Toc87115685"/>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277" w:name="_Toc89106105"/>
      <w:bookmarkStart w:id="278" w:name="_Toc98741944"/>
      <w:bookmarkStart w:id="279" w:name="_Toc98838619"/>
      <w:r w:rsidRPr="00A8783E">
        <w:rPr>
          <w:rFonts w:ascii="Times New Roman" w:hAnsi="Times New Roman"/>
          <w:color w:val="1F497D"/>
          <w:sz w:val="28"/>
          <w:szCs w:val="28"/>
        </w:rPr>
        <w:t xml:space="preserve">Специфични цели за A086 </w:t>
      </w:r>
      <w:r w:rsidRPr="00A8783E">
        <w:rPr>
          <w:rFonts w:ascii="Times New Roman" w:hAnsi="Times New Roman"/>
          <w:i/>
          <w:iCs/>
          <w:color w:val="1F497D"/>
          <w:sz w:val="28"/>
          <w:szCs w:val="28"/>
        </w:rPr>
        <w:t>Accipiter nisus</w:t>
      </w:r>
      <w:r w:rsidRPr="00A8783E">
        <w:rPr>
          <w:rFonts w:ascii="Times New Roman" w:hAnsi="Times New Roman"/>
          <w:color w:val="1F497D"/>
          <w:sz w:val="28"/>
          <w:szCs w:val="28"/>
        </w:rPr>
        <w:t xml:space="preserve"> (малък ястреб)</w:t>
      </w:r>
      <w:bookmarkEnd w:id="276"/>
      <w:bookmarkEnd w:id="277"/>
      <w:bookmarkEnd w:id="278"/>
      <w:bookmarkEnd w:id="279"/>
    </w:p>
    <w:p w:rsidR="00A8783E" w:rsidRPr="00A8783E" w:rsidRDefault="00A8783E" w:rsidP="00A8783E">
      <w:pPr>
        <w:spacing w:before="120" w:after="120" w:line="240" w:lineRule="auto"/>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Дължина на тялото: 35-37 cm., размах на крилата: 60-65 cm. Мъжки - горната страна на тялото тъмносива, по тила бели основи на перата, ушите и страните на гушата ръждиви. Гърдите, корема и гащите изпъстрени с ръждиви напречни препаски. Женски - горната страна на тялото сиво-кафява. Тилът тъмнокафяв с бели петна, над очите бяла „вежда”. Долната страна на тялото бяла, по гушата с тъмни надлъжни резки, а останалата част с тъмнокафяви напречни препаски. И при двата пола клюна е тъмносив с черен връх. Восковицата и краката светложълти. Ирисът е тъмножълт (Симеонов и др., 1990).</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България видът е постоянен, прелетен и зимуващ. Гнездовия период започва в края на април и продължава до края на юли (Симеонов и др., 1990). Мигрира през България от началото на март до началото на април и от средата на септември до края на октомври (Матеева и Янков, 2013).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През размножителния период обитава основно широколистни, смесени и иглолистни гори, алувиални и много влажни гори и храсталаци, по-рядко – ивици дървета, храсти и мозайки от тях, овощни градини, дървесни и храстови плантации, а също в градски паркове и градини или други гористи части на градове, села. По време на миграции и през зимата се среща в хълмисти райони, открити полета, обработваеми площи, паркове, покрайнини на селища (Симеонов и др., 1990; Янков, отг. ред., 2007).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Предимно орнитофаг. Ловува дребни птици до 120 гр., обикновено до 7 км от гнездото. Малкия ястреб не извършва селекция при ловуване, преобладават жертвите, които имат най-висока плътност (Симеонов и др., 1990).</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Разпръснато и групово на почти цялата територия на страната с изключение на някои земеделски райони. По-плътно в гористите части, особено в планините, полупланинските и хълмисти райони, но и в Лудогорието и дори в Добруджа (където гнезди в полезащитните пояси и суходолията). Относително ограничено разпространен по Дунавското крайбрежие и поречията на някои от големите реки, където вероятно е заместен от </w:t>
      </w:r>
      <w:r w:rsidRPr="00A8783E">
        <w:rPr>
          <w:rFonts w:ascii="Times New Roman" w:hAnsi="Times New Roman"/>
          <w:i/>
          <w:iCs/>
          <w:sz w:val="24"/>
          <w:szCs w:val="24"/>
        </w:rPr>
        <w:t>Accipiter brevipes</w:t>
      </w:r>
      <w:r w:rsidRPr="00A8783E">
        <w:rPr>
          <w:rFonts w:ascii="Times New Roman" w:hAnsi="Times New Roman"/>
          <w:sz w:val="24"/>
          <w:szCs w:val="24"/>
        </w:rPr>
        <w:t>. Като цяло плътността е по-висока в планинските и полупланинските райони на Рила, Пирин, Родопите, Стара планина и Предбалкана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Включен в Приложение 3 на ЗБР. Според IUCN за територията на континентална Европа, а и за целия свят видът е „слабо засегнат“ – LC (Least Concern). Няма SPEC категория. Включен в Червената книга на Р България със статус „застрашен“ ЕN (Endangered).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2005-2018 г.), видът се опазва като гнездящ с популация между </w:t>
      </w:r>
      <w:r w:rsidRPr="00A8783E">
        <w:rPr>
          <w:rFonts w:ascii="Times New Roman" w:hAnsi="Times New Roman"/>
          <w:b/>
          <w:bCs/>
          <w:sz w:val="24"/>
          <w:szCs w:val="24"/>
        </w:rPr>
        <w:t>1000 и 2300 двойки</w:t>
      </w:r>
      <w:r w:rsidRPr="00A8783E">
        <w:rPr>
          <w:rFonts w:ascii="Times New Roman" w:hAnsi="Times New Roman"/>
          <w:sz w:val="24"/>
          <w:szCs w:val="24"/>
        </w:rPr>
        <w:t>. Краткосрочната популационна тенденция (2001-2018 г.) е стабилна, а дългосрочната (1980-2018 г.) е увеличаваща се. Не са посочени заплахи и влияния.</w:t>
      </w:r>
    </w:p>
    <w:p w:rsidR="00A8783E" w:rsidRPr="00A8783E" w:rsidRDefault="00A8783E" w:rsidP="00A8783E">
      <w:pPr>
        <w:spacing w:after="120" w:line="259" w:lineRule="auto"/>
        <w:jc w:val="both"/>
        <w:rPr>
          <w:rFonts w:ascii="Times New Roman" w:hAnsi="Times New Roman"/>
          <w:sz w:val="24"/>
          <w:szCs w:val="24"/>
        </w:rPr>
      </w:pPr>
      <w:r w:rsidRPr="00A8783E">
        <w:rPr>
          <w:rFonts w:ascii="Times New Roman" w:hAnsi="Times New Roman"/>
          <w:sz w:val="24"/>
          <w:szCs w:val="24"/>
        </w:rPr>
        <w:t xml:space="preserve">Малкият ястреб се опазва също така и като </w:t>
      </w:r>
      <w:r w:rsidRPr="00A8783E">
        <w:rPr>
          <w:rFonts w:ascii="Times New Roman" w:hAnsi="Times New Roman"/>
          <w:b/>
          <w:bCs/>
          <w:sz w:val="24"/>
          <w:szCs w:val="24"/>
        </w:rPr>
        <w:t>мигриращ</w:t>
      </w:r>
      <w:r w:rsidRPr="00A8783E">
        <w:rPr>
          <w:rFonts w:ascii="Times New Roman" w:hAnsi="Times New Roman"/>
          <w:sz w:val="24"/>
          <w:szCs w:val="24"/>
        </w:rPr>
        <w:t xml:space="preserve"> вид с численост </w:t>
      </w:r>
      <w:r w:rsidRPr="00A8783E">
        <w:rPr>
          <w:rFonts w:ascii="Times New Roman" w:hAnsi="Times New Roman"/>
          <w:b/>
          <w:bCs/>
          <w:sz w:val="24"/>
          <w:szCs w:val="24"/>
        </w:rPr>
        <w:t>1000-2200 индивида</w:t>
      </w:r>
      <w:r w:rsidRPr="00A8783E">
        <w:rPr>
          <w:rFonts w:ascii="Times New Roman" w:hAnsi="Times New Roman"/>
          <w:sz w:val="24"/>
          <w:szCs w:val="24"/>
        </w:rPr>
        <w:t>. Не са посочени краткосрочни и дългосрочни тенденции в развитието на популацията. Посочени са следните заплахи: A02, B02, F03, D02.</w:t>
      </w:r>
    </w:p>
    <w:p w:rsidR="00A8783E" w:rsidRPr="00A8783E" w:rsidRDefault="00A8783E" w:rsidP="00A8783E">
      <w:pPr>
        <w:spacing w:after="120" w:line="259"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Съгласно стандартния формуляр за данни на зоната вида е също </w:t>
      </w:r>
      <w:r w:rsidRPr="00A8783E">
        <w:rPr>
          <w:rFonts w:ascii="Times New Roman" w:hAnsi="Times New Roman"/>
          <w:b/>
          <w:bCs/>
          <w:sz w:val="24"/>
          <w:szCs w:val="24"/>
        </w:rPr>
        <w:t>гнездящ</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rPr>
        <w:t>1 двойка</w:t>
      </w:r>
      <w:r w:rsidRPr="00A8783E">
        <w:rPr>
          <w:rFonts w:ascii="Times New Roman" w:hAnsi="Times New Roman"/>
          <w:sz w:val="24"/>
          <w:szCs w:val="24"/>
        </w:rPr>
        <w:t>, което представлява 0,04 – 0,1 %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СФ на зоната вида е </w:t>
      </w:r>
      <w:r w:rsidRPr="00A8783E">
        <w:rPr>
          <w:rFonts w:ascii="Times New Roman" w:hAnsi="Times New Roman"/>
          <w:b/>
          <w:bCs/>
          <w:sz w:val="24"/>
          <w:szCs w:val="24"/>
        </w:rPr>
        <w:t>мигриращ</w:t>
      </w:r>
      <w:r w:rsidRPr="00A8783E">
        <w:rPr>
          <w:rFonts w:ascii="Times New Roman" w:hAnsi="Times New Roman"/>
          <w:sz w:val="24"/>
          <w:szCs w:val="24"/>
        </w:rPr>
        <w:t xml:space="preserve">, като популацията не е оценявана </w:t>
      </w:r>
      <w:r w:rsidRPr="00A8783E">
        <w:rPr>
          <w:rFonts w:ascii="Times New Roman" w:hAnsi="Times New Roman"/>
          <w:sz w:val="24"/>
          <w:szCs w:val="24"/>
          <w:lang w:val="ru-RU"/>
        </w:rPr>
        <w:t>(</w:t>
      </w:r>
      <w:r w:rsidRPr="00A8783E">
        <w:rPr>
          <w:rFonts w:ascii="Times New Roman" w:hAnsi="Times New Roman"/>
          <w:sz w:val="24"/>
          <w:szCs w:val="24"/>
        </w:rPr>
        <w:t>категория Р</w:t>
      </w:r>
      <w:r w:rsidRPr="00A8783E">
        <w:rPr>
          <w:rFonts w:ascii="Times New Roman" w:hAnsi="Times New Roman"/>
          <w:sz w:val="24"/>
          <w:szCs w:val="24"/>
          <w:lang w:val="ru-RU"/>
        </w:rPr>
        <w:t>)</w:t>
      </w:r>
      <w:r w:rsidRPr="00A8783E">
        <w:rPr>
          <w:rFonts w:ascii="Times New Roman" w:hAnsi="Times New Roman"/>
          <w:sz w:val="24"/>
          <w:szCs w:val="24"/>
        </w:rPr>
        <w:t>. За размер и плътност на популацията -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на зоната вида е също </w:t>
      </w:r>
      <w:r w:rsidRPr="00A8783E">
        <w:rPr>
          <w:rFonts w:ascii="Times New Roman" w:hAnsi="Times New Roman"/>
          <w:b/>
          <w:bCs/>
          <w:sz w:val="24"/>
          <w:szCs w:val="24"/>
        </w:rPr>
        <w:t>зимуващ</w:t>
      </w:r>
      <w:r w:rsidRPr="00A8783E">
        <w:rPr>
          <w:rFonts w:ascii="Times New Roman" w:hAnsi="Times New Roman"/>
          <w:sz w:val="24"/>
          <w:szCs w:val="24"/>
        </w:rPr>
        <w:t xml:space="preserve">, като популацията е оценена на до </w:t>
      </w:r>
      <w:r w:rsidRPr="00A8783E">
        <w:rPr>
          <w:rFonts w:ascii="Times New Roman" w:hAnsi="Times New Roman"/>
          <w:b/>
          <w:bCs/>
          <w:sz w:val="24"/>
          <w:szCs w:val="24"/>
        </w:rPr>
        <w:t>1 индивид</w:t>
      </w:r>
      <w:r w:rsidRPr="00A8783E">
        <w:rPr>
          <w:rFonts w:ascii="Times New Roman" w:hAnsi="Times New Roman"/>
          <w:sz w:val="24"/>
          <w:szCs w:val="24"/>
        </w:rPr>
        <w:t>. Видът не се докладва като зимуващ за страната. За размер и плътност на популацията -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after="120" w:line="259"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Костадинова, Граматиков (2007), видът не присъства в зоната по време на гнездене и миграция. За българското поречие на р. Дунав малкия ястреб е много по-многочислен по време на зимуване и миграция отколкото през размножителния сезон. Гнездящата популация на вида по р. Дунав е оценена на 180 – 330 двойки (Cheshmedzhiev et al., 2019). Теренното проучване през май и юни месец 2021 г. установи  1 инд. от вида в зоната. През 2021 г. не са извършвани теренни проучвания по време на миграция в зоната.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Както се вижда и от данните по-долу от </w:t>
      </w:r>
      <w:r w:rsidRPr="00A8783E">
        <w:rPr>
          <w:rFonts w:ascii="Times New Roman" w:hAnsi="Times New Roman"/>
          <w:sz w:val="24"/>
          <w:szCs w:val="24"/>
          <w:lang w:val="en-US"/>
        </w:rPr>
        <w:t>eBird</w:t>
      </w:r>
      <w:r w:rsidRPr="00A8783E">
        <w:rPr>
          <w:rFonts w:ascii="Times New Roman" w:hAnsi="Times New Roman"/>
          <w:sz w:val="24"/>
          <w:szCs w:val="24"/>
          <w:lang w:val="ru-RU"/>
        </w:rPr>
        <w:t xml:space="preserve"> </w:t>
      </w:r>
      <w:r w:rsidRPr="00A8783E">
        <w:rPr>
          <w:rFonts w:ascii="Times New Roman" w:hAnsi="Times New Roman"/>
          <w:sz w:val="24"/>
          <w:szCs w:val="24"/>
        </w:rPr>
        <w:t>вида се среща в зоната основно по време на миграция и зимуване.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данни  от eBird, видът е наблюдаван в зоната през януари 1987 г. – 1 инд., февруари 1987 г. – 1 инд., май 1987 г. – 1 инд., октомври 1987 г. – 6 инд., декември 1987 г. – 2 инд., януари 1988 г. – 3 инд., февруари 1988 г. – 1 инд., септември 1988 г. – 3 инд., октомври 1988 г. – 3 инд., декември 1988 г. – 3 инд., септември 1989 г. – 2 инд., август 1990 г. – 2 инд., февруари 1991 г. – 1 инд., август 1991 г. – 2 инд., януари 1992 г. – 6 инд., април 1995 г. – 2 инд., 12.1997 г. – 1 инд., 09.1999 г. – 1 инд., 12.1999 г. – 1 инд., 09.2000 г. – 1 инд., 10.2000 г. – 2 инд., 12. 2006 г. – 2 инд., 06.2008 г. – 2 инд., 04. 2014 г.- 2 инд., 05.2014 г. – 1 инд., 03.2015 г. – 1 инд., 01. 2016 г. – 1 инд., 09.2017 г. – 3 инд., 09. 2019 г. – 1 инд., 10. 2019 г. – 2 инд., 07. 2021 г. – 1 инд., 09.2021 г.- 6 инд. </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За гнездящата популация не са посочени заплахи и влияния от Докладване по чл. 12, 2019 г. За мигриращата популация са посочени следните две заплахи от докладването по чл. 12 от 2019 г.: </w:t>
      </w:r>
      <w:r w:rsidRPr="00A8783E">
        <w:rPr>
          <w:rFonts w:ascii="Times New Roman" w:hAnsi="Times New Roman"/>
          <w:sz w:val="24"/>
          <w:szCs w:val="24"/>
        </w:rPr>
        <w:t>A02, B02, F03, D02</w:t>
      </w:r>
      <w:r w:rsidRPr="00A8783E">
        <w:rPr>
          <w:rFonts w:ascii="Times New Roman" w:hAnsi="Times New Roman"/>
          <w:sz w:val="24"/>
          <w:szCs w:val="24"/>
          <w:lang w:eastAsia="bg-BG"/>
        </w:rPr>
        <w:t>. От тях потенциално валидни за СЗЗ „Сребърна” могат да бъдат тези, които са свързани с промяна в ползването на земите и земеделските площи - A02</w:t>
      </w:r>
      <w:r w:rsidRPr="00A8783E">
        <w:rPr>
          <w:rFonts w:ascii="Times New Roman" w:hAnsi="Times New Roman"/>
          <w:sz w:val="24"/>
          <w:szCs w:val="24"/>
          <w:lang w:val="ru-RU" w:eastAsia="bg-BG"/>
        </w:rPr>
        <w:t xml:space="preserve">, </w:t>
      </w:r>
      <w:r w:rsidRPr="00A8783E">
        <w:rPr>
          <w:rFonts w:ascii="Times New Roman" w:hAnsi="Times New Roman"/>
          <w:sz w:val="24"/>
          <w:szCs w:val="24"/>
          <w:lang w:eastAsia="bg-BG"/>
        </w:rPr>
        <w:t>а също и A03, A04, тъй като в такива местообитания вида търси храна. Останалите не са валидни за вида в зоната по време на миграция.</w:t>
      </w:r>
    </w:p>
    <w:p w:rsidR="00A8783E" w:rsidRPr="00A8783E" w:rsidRDefault="00A8783E" w:rsidP="00A8783E">
      <w:pPr>
        <w:rPr>
          <w:rFonts w:ascii="Times New Roman" w:hAnsi="Times New Roman"/>
          <w:b/>
          <w:bCs/>
          <w:sz w:val="24"/>
          <w:szCs w:val="24"/>
          <w:lang w:eastAsia="bg-BG"/>
        </w:rPr>
      </w:pPr>
      <w:r w:rsidRPr="00A8783E">
        <w:rPr>
          <w:rFonts w:ascii="Times New Roman" w:hAnsi="Times New Roman"/>
          <w:b/>
          <w:bCs/>
          <w:sz w:val="24"/>
          <w:szCs w:val="24"/>
        </w:rPr>
        <w:t xml:space="preserve">5. </w:t>
      </w:r>
      <w:r w:rsidRPr="00A8783E">
        <w:rPr>
          <w:rFonts w:ascii="Times New Roman" w:hAnsi="Times New Roman"/>
          <w:b/>
          <w:bCs/>
          <w:sz w:val="24"/>
          <w:szCs w:val="24"/>
          <w:lang w:eastAsia="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417"/>
        <w:gridCol w:w="1560"/>
        <w:gridCol w:w="2976"/>
        <w:gridCol w:w="1809"/>
      </w:tblGrid>
      <w:tr w:rsidR="00A8783E" w:rsidRPr="00A8783E" w:rsidTr="005B5318">
        <w:trPr>
          <w:tblHeader/>
          <w:jc w:val="center"/>
        </w:trPr>
        <w:tc>
          <w:tcPr>
            <w:tcW w:w="1526"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Параметър</w:t>
            </w:r>
          </w:p>
        </w:tc>
        <w:tc>
          <w:tcPr>
            <w:tcW w:w="1417"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Мерна единица</w:t>
            </w:r>
          </w:p>
        </w:tc>
        <w:tc>
          <w:tcPr>
            <w:tcW w:w="1560"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Целева стойност</w:t>
            </w:r>
          </w:p>
        </w:tc>
        <w:tc>
          <w:tcPr>
            <w:tcW w:w="2976"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Допълнителна информация</w:t>
            </w:r>
          </w:p>
        </w:tc>
        <w:tc>
          <w:tcPr>
            <w:tcW w:w="1809"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jc w:val="center"/>
        </w:trPr>
        <w:tc>
          <w:tcPr>
            <w:tcW w:w="1526"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 xml:space="preserve">Популация: </w:t>
            </w:r>
            <w:r w:rsidRPr="00A8783E">
              <w:rPr>
                <w:rFonts w:ascii="Times New Roman" w:hAnsi="Times New Roman"/>
              </w:rPr>
              <w:lastRenderedPageBreak/>
              <w:t>Размер на гнездовата популация</w:t>
            </w:r>
          </w:p>
        </w:tc>
        <w:tc>
          <w:tcPr>
            <w:tcW w:w="1417"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lastRenderedPageBreak/>
              <w:t xml:space="preserve">Брой </w:t>
            </w:r>
            <w:r w:rsidRPr="00A8783E">
              <w:rPr>
                <w:rFonts w:ascii="Times New Roman" w:hAnsi="Times New Roman"/>
              </w:rPr>
              <w:lastRenderedPageBreak/>
              <w:t>гнездящи двойки</w:t>
            </w:r>
          </w:p>
        </w:tc>
        <w:tc>
          <w:tcPr>
            <w:tcW w:w="1560" w:type="dxa"/>
          </w:tcPr>
          <w:p w:rsidR="00A8783E" w:rsidRPr="00A8783E" w:rsidRDefault="00A8783E" w:rsidP="00A8783E">
            <w:pPr>
              <w:tabs>
                <w:tab w:val="left" w:pos="990"/>
              </w:tabs>
              <w:spacing w:after="0" w:line="240" w:lineRule="auto"/>
              <w:ind w:left="18" w:right="-44"/>
              <w:rPr>
                <w:rFonts w:ascii="Times New Roman" w:hAnsi="Times New Roman"/>
              </w:rPr>
            </w:pPr>
            <w:r w:rsidRPr="00A8783E">
              <w:rPr>
                <w:rFonts w:ascii="Times New Roman" w:hAnsi="Times New Roman"/>
              </w:rPr>
              <w:lastRenderedPageBreak/>
              <w:t xml:space="preserve">Най-малко 1 </w:t>
            </w:r>
            <w:r w:rsidRPr="00A8783E">
              <w:rPr>
                <w:rFonts w:ascii="Times New Roman" w:hAnsi="Times New Roman"/>
              </w:rPr>
              <w:lastRenderedPageBreak/>
              <w:t xml:space="preserve">дв. </w:t>
            </w:r>
          </w:p>
        </w:tc>
        <w:tc>
          <w:tcPr>
            <w:tcW w:w="2976"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lastRenderedPageBreak/>
              <w:t xml:space="preserve">В настоящия СФ </w:t>
            </w:r>
            <w:r w:rsidRPr="00A8783E">
              <w:rPr>
                <w:rFonts w:ascii="Times New Roman" w:hAnsi="Times New Roman"/>
              </w:rPr>
              <w:lastRenderedPageBreak/>
              <w:t xml:space="preserve">(актуализиран през 2018 г.) е посочена 1 двойка. </w:t>
            </w:r>
          </w:p>
        </w:tc>
        <w:tc>
          <w:tcPr>
            <w:tcW w:w="1809"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lastRenderedPageBreak/>
              <w:t xml:space="preserve">Поддържане на </w:t>
            </w:r>
            <w:r w:rsidRPr="00A8783E">
              <w:rPr>
                <w:rFonts w:ascii="Times New Roman" w:hAnsi="Times New Roman"/>
              </w:rPr>
              <w:lastRenderedPageBreak/>
              <w:t>популацията в зоната в размер от най-малко 1 дв. чрез поддържане на площта на подходящите гнездови местообитания на вида в защитената зона.</w:t>
            </w:r>
          </w:p>
        </w:tc>
      </w:tr>
      <w:tr w:rsidR="00A8783E" w:rsidRPr="00A8783E" w:rsidTr="005B5318">
        <w:trPr>
          <w:jc w:val="center"/>
        </w:trPr>
        <w:tc>
          <w:tcPr>
            <w:tcW w:w="1526"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b/>
                <w:bCs/>
              </w:rPr>
              <w:lastRenderedPageBreak/>
              <w:t>Популация</w:t>
            </w:r>
            <w:r w:rsidRPr="00A8783E">
              <w:rPr>
                <w:rFonts w:ascii="Times New Roman" w:hAnsi="Times New Roman"/>
              </w:rPr>
              <w:t>: Размер на мигриращата популация</w:t>
            </w:r>
          </w:p>
        </w:tc>
        <w:tc>
          <w:tcPr>
            <w:tcW w:w="1417"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Брой индивиди</w:t>
            </w:r>
          </w:p>
        </w:tc>
        <w:tc>
          <w:tcPr>
            <w:tcW w:w="1560"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Неизвестна</w:t>
            </w:r>
          </w:p>
        </w:tc>
        <w:tc>
          <w:tcPr>
            <w:tcW w:w="2976"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 xml:space="preserve">В СФ за концентрацията на вида не е посочена стойност. Няма друга актуална информация за количеството на птиците и районите с концентрация на вида в зоната по време на миграция. </w:t>
            </w:r>
          </w:p>
        </w:tc>
        <w:tc>
          <w:tcPr>
            <w:tcW w:w="1809"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Междинна цел</w:t>
            </w:r>
            <w:r w:rsidRPr="00A8783E">
              <w:rPr>
                <w:rFonts w:ascii="Times New Roman" w:hAnsi="Times New Roman"/>
                <w:lang w:val="ru-RU"/>
              </w:rPr>
              <w:t xml:space="preserve">: </w:t>
            </w:r>
            <w:r w:rsidRPr="00A8783E">
              <w:rPr>
                <w:rFonts w:ascii="Times New Roman" w:hAnsi="Times New Roman"/>
              </w:rPr>
              <w:t>Да се извърши целенасочен мониторинг за установяване на размера на мигриращата популация до 2025 г.</w:t>
            </w:r>
          </w:p>
        </w:tc>
      </w:tr>
      <w:tr w:rsidR="00A8783E" w:rsidRPr="00A8783E" w:rsidTr="005B5318">
        <w:trPr>
          <w:jc w:val="center"/>
        </w:trPr>
        <w:tc>
          <w:tcPr>
            <w:tcW w:w="1526"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b/>
                <w:bCs/>
              </w:rPr>
              <w:t>Местообитание на вида</w:t>
            </w:r>
            <w:r w:rsidRPr="00A8783E">
              <w:rPr>
                <w:rFonts w:ascii="Times New Roman" w:hAnsi="Times New Roman"/>
              </w:rPr>
              <w:t>: Площ на подходящите гнездови местообитания на вида</w:t>
            </w:r>
          </w:p>
        </w:tc>
        <w:tc>
          <w:tcPr>
            <w:tcW w:w="1417"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lang w:val="en-US"/>
              </w:rPr>
              <w:t>ha</w:t>
            </w:r>
          </w:p>
        </w:tc>
        <w:tc>
          <w:tcPr>
            <w:tcW w:w="1560"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Най-малко 246</w:t>
            </w:r>
          </w:p>
        </w:tc>
        <w:tc>
          <w:tcPr>
            <w:tcW w:w="2976"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Определена на база на % участие на местообитание широколистни гори-</w:t>
            </w:r>
            <w:r w:rsidRPr="00A8783E">
              <w:rPr>
                <w:rFonts w:ascii="Times New Roman" w:hAnsi="Times New Roman"/>
                <w:lang w:val="en-US"/>
              </w:rPr>
              <w:t>N</w:t>
            </w:r>
            <w:r w:rsidRPr="00A8783E">
              <w:rPr>
                <w:rFonts w:ascii="Times New Roman" w:hAnsi="Times New Roman"/>
                <w:lang w:val="ru-RU"/>
              </w:rPr>
              <w:t>16</w:t>
            </w:r>
            <w:r w:rsidRPr="00A8783E">
              <w:rPr>
                <w:rFonts w:ascii="Times New Roman" w:hAnsi="Times New Roman"/>
              </w:rPr>
              <w:t>. Видът е адаптивен и използва разнообразна по вид, тип и разположение дървесна растителност.</w:t>
            </w:r>
          </w:p>
        </w:tc>
        <w:tc>
          <w:tcPr>
            <w:tcW w:w="1809"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 xml:space="preserve">Поддържане на площта на подходящите гнездови местообитания на вида в защитената зона, в размер на най-малко 246 ha. </w:t>
            </w:r>
          </w:p>
        </w:tc>
      </w:tr>
      <w:tr w:rsidR="00A8783E" w:rsidRPr="00A8783E" w:rsidTr="005B5318">
        <w:trPr>
          <w:jc w:val="center"/>
        </w:trPr>
        <w:tc>
          <w:tcPr>
            <w:tcW w:w="1526"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b/>
                <w:bCs/>
              </w:rPr>
              <w:t>Местообитание на вида</w:t>
            </w:r>
            <w:r w:rsidRPr="00A8783E">
              <w:rPr>
                <w:rFonts w:ascii="Times New Roman" w:hAnsi="Times New Roman"/>
              </w:rPr>
              <w:t>: Площ на подходящите хранителни местообитания на вида</w:t>
            </w:r>
          </w:p>
        </w:tc>
        <w:tc>
          <w:tcPr>
            <w:tcW w:w="1417"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ha</w:t>
            </w:r>
          </w:p>
        </w:tc>
        <w:tc>
          <w:tcPr>
            <w:tcW w:w="1560"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Най-малко 607</w:t>
            </w:r>
          </w:p>
        </w:tc>
        <w:tc>
          <w:tcPr>
            <w:tcW w:w="2976"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 xml:space="preserve">Площта е определена на база на процентното участие на местообитания </w:t>
            </w:r>
            <w:r w:rsidRPr="00A8783E">
              <w:rPr>
                <w:rFonts w:ascii="Times New Roman" w:hAnsi="Times New Roman"/>
                <w:lang w:val="en-US"/>
              </w:rPr>
              <w:t>N</w:t>
            </w:r>
            <w:r w:rsidRPr="00A8783E">
              <w:rPr>
                <w:rFonts w:ascii="Times New Roman" w:hAnsi="Times New Roman"/>
                <w:lang w:val="ru-RU"/>
              </w:rPr>
              <w:t>16-</w:t>
            </w:r>
            <w:r w:rsidRPr="00A8783E">
              <w:rPr>
                <w:rFonts w:ascii="Times New Roman" w:hAnsi="Times New Roman"/>
              </w:rPr>
              <w:t xml:space="preserve">широколистни гори, </w:t>
            </w:r>
            <w:r w:rsidRPr="00A8783E">
              <w:rPr>
                <w:rFonts w:ascii="Times New Roman" w:hAnsi="Times New Roman"/>
                <w:lang w:val="en-US"/>
              </w:rPr>
              <w:t>N</w:t>
            </w:r>
            <w:r w:rsidRPr="00A8783E">
              <w:rPr>
                <w:rFonts w:ascii="Times New Roman" w:hAnsi="Times New Roman"/>
                <w:lang w:val="ru-RU"/>
              </w:rPr>
              <w:t>15-</w:t>
            </w:r>
            <w:r w:rsidRPr="00A8783E">
              <w:rPr>
                <w:rFonts w:ascii="Times New Roman" w:hAnsi="Times New Roman"/>
              </w:rPr>
              <w:t xml:space="preserve">други обработваеми земи, </w:t>
            </w:r>
            <w:r w:rsidRPr="00A8783E">
              <w:rPr>
                <w:rFonts w:ascii="Times New Roman" w:hAnsi="Times New Roman"/>
                <w:lang w:val="en-US"/>
              </w:rPr>
              <w:t>N</w:t>
            </w:r>
            <w:r w:rsidRPr="00A8783E">
              <w:rPr>
                <w:rFonts w:ascii="Times New Roman" w:hAnsi="Times New Roman"/>
                <w:lang w:val="ru-RU"/>
              </w:rPr>
              <w:t>08</w:t>
            </w:r>
            <w:r w:rsidRPr="00A8783E">
              <w:rPr>
                <w:rFonts w:ascii="Times New Roman" w:hAnsi="Times New Roman"/>
              </w:rPr>
              <w:t xml:space="preserve">-равнини и шубраци, </w:t>
            </w:r>
            <w:r w:rsidRPr="00A8783E">
              <w:rPr>
                <w:rFonts w:ascii="Times New Roman" w:hAnsi="Times New Roman"/>
                <w:lang w:val="en-US"/>
              </w:rPr>
              <w:t>N</w:t>
            </w:r>
            <w:r w:rsidRPr="00A8783E">
              <w:rPr>
                <w:rFonts w:ascii="Times New Roman" w:hAnsi="Times New Roman"/>
                <w:lang w:val="ru-RU"/>
              </w:rPr>
              <w:t>09-</w:t>
            </w:r>
            <w:r w:rsidRPr="00A8783E">
              <w:rPr>
                <w:rFonts w:ascii="Times New Roman" w:hAnsi="Times New Roman"/>
              </w:rPr>
              <w:t xml:space="preserve">сухи ливади и степи и </w:t>
            </w:r>
            <w:r w:rsidRPr="00A8783E">
              <w:rPr>
                <w:rFonts w:ascii="Times New Roman" w:hAnsi="Times New Roman"/>
                <w:lang w:val="en-US"/>
              </w:rPr>
              <w:t>N</w:t>
            </w:r>
            <w:r w:rsidRPr="00A8783E">
              <w:rPr>
                <w:rFonts w:ascii="Times New Roman" w:hAnsi="Times New Roman"/>
                <w:lang w:val="ru-RU"/>
              </w:rPr>
              <w:t>21</w:t>
            </w:r>
            <w:r w:rsidRPr="00A8783E">
              <w:rPr>
                <w:rFonts w:ascii="Times New Roman" w:hAnsi="Times New Roman"/>
              </w:rPr>
              <w:t>-негорски площи в СФ на зоната.</w:t>
            </w:r>
          </w:p>
        </w:tc>
        <w:tc>
          <w:tcPr>
            <w:tcW w:w="1809"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най-малко 607 ha.</w:t>
            </w:r>
          </w:p>
        </w:tc>
      </w:tr>
      <w:tr w:rsidR="00A8783E" w:rsidRPr="00A8783E" w:rsidTr="005B5318">
        <w:trPr>
          <w:jc w:val="center"/>
        </w:trPr>
        <w:tc>
          <w:tcPr>
            <w:tcW w:w="1526"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Качество на  подходящите  хранителни  местообитания на  вида в зоната –  начин на  управление на  пасища и ливади</w:t>
            </w:r>
          </w:p>
          <w:p w:rsidR="00A8783E" w:rsidRPr="00A8783E" w:rsidRDefault="00A8783E" w:rsidP="00A8783E">
            <w:pPr>
              <w:tabs>
                <w:tab w:val="left" w:pos="990"/>
              </w:tabs>
              <w:spacing w:after="0" w:line="240" w:lineRule="auto"/>
              <w:rPr>
                <w:rFonts w:ascii="Times New Roman" w:hAnsi="Times New Roman"/>
              </w:rPr>
            </w:pPr>
          </w:p>
        </w:tc>
        <w:tc>
          <w:tcPr>
            <w:tcW w:w="1417" w:type="dxa"/>
          </w:tcPr>
          <w:p w:rsidR="00A8783E" w:rsidRPr="00A8783E" w:rsidRDefault="00A8783E" w:rsidP="00A8783E">
            <w:pPr>
              <w:spacing w:after="0" w:line="240" w:lineRule="auto"/>
              <w:ind w:right="-106"/>
              <w:rPr>
                <w:rFonts w:ascii="Times New Roman" w:hAnsi="Times New Roman"/>
              </w:rPr>
            </w:pPr>
            <w:r w:rsidRPr="00A8783E">
              <w:rPr>
                <w:rFonts w:ascii="Times New Roman" w:hAnsi="Times New Roman"/>
              </w:rPr>
              <w:t xml:space="preserve">% екстензивно управлявани </w:t>
            </w:r>
          </w:p>
          <w:p w:rsidR="00A8783E" w:rsidRPr="00A8783E" w:rsidRDefault="00A8783E" w:rsidP="00A8783E">
            <w:pPr>
              <w:spacing w:after="0" w:line="240" w:lineRule="auto"/>
              <w:ind w:right="-106"/>
              <w:rPr>
                <w:rFonts w:ascii="Times New Roman" w:hAnsi="Times New Roman"/>
              </w:rPr>
            </w:pPr>
            <w:r w:rsidRPr="00A8783E">
              <w:rPr>
                <w:rFonts w:ascii="Times New Roman" w:hAnsi="Times New Roman"/>
              </w:rPr>
              <w:t xml:space="preserve">пасища и ливади, като част от хранителното </w:t>
            </w:r>
          </w:p>
          <w:p w:rsidR="00A8783E" w:rsidRPr="00A8783E" w:rsidRDefault="00A8783E" w:rsidP="00A8783E">
            <w:pPr>
              <w:spacing w:after="0" w:line="240" w:lineRule="auto"/>
              <w:ind w:right="-106"/>
              <w:rPr>
                <w:rFonts w:ascii="Times New Roman" w:hAnsi="Times New Roman"/>
              </w:rPr>
            </w:pPr>
            <w:r w:rsidRPr="00A8783E">
              <w:rPr>
                <w:rFonts w:ascii="Times New Roman" w:hAnsi="Times New Roman"/>
              </w:rPr>
              <w:t>местообитание на вида</w:t>
            </w:r>
          </w:p>
        </w:tc>
        <w:tc>
          <w:tcPr>
            <w:tcW w:w="1560"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 xml:space="preserve">100% от пасищата </w:t>
            </w:r>
          </w:p>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 xml:space="preserve">и ливадите, част от </w:t>
            </w:r>
          </w:p>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 xml:space="preserve">хранителното </w:t>
            </w:r>
          </w:p>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 xml:space="preserve">местообитание на </w:t>
            </w:r>
          </w:p>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 xml:space="preserve">вида се управляват </w:t>
            </w:r>
          </w:p>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екстензивно</w:t>
            </w:r>
          </w:p>
        </w:tc>
        <w:tc>
          <w:tcPr>
            <w:tcW w:w="2976" w:type="dxa"/>
          </w:tcPr>
          <w:p w:rsidR="00A8783E" w:rsidRPr="00A8783E" w:rsidRDefault="00A8783E" w:rsidP="00A8783E">
            <w:pPr>
              <w:tabs>
                <w:tab w:val="left" w:pos="1668"/>
              </w:tabs>
              <w:spacing w:after="0" w:line="240" w:lineRule="auto"/>
              <w:jc w:val="both"/>
              <w:rPr>
                <w:rFonts w:ascii="Times New Roman" w:hAnsi="Times New Roman"/>
              </w:rPr>
            </w:pPr>
            <w:r w:rsidRPr="00A8783E">
              <w:rPr>
                <w:rFonts w:ascii="Times New Roman" w:hAnsi="Times New Roman"/>
              </w:rPr>
              <w:t xml:space="preserve">Видът предпочита да се храни в отворени местообитания - пасища, ливади, територии със смесено земеползване, в което съществена част от земите се управляват като пасища и ливади. За да се поддържат тревните местообитания (ливади и пасища) във вид подходящ за търсене на храна от вида е необходима паша на </w:t>
            </w:r>
            <w:r w:rsidRPr="00A8783E">
              <w:rPr>
                <w:rFonts w:ascii="Times New Roman" w:hAnsi="Times New Roman"/>
              </w:rPr>
              <w:lastRenderedPageBreak/>
              <w:t>домашни животни (0,3-1 ЖЕ/ha), както и редовна коситба на ливадите, с по-малко използване на торове и други химикали, които биха довели до изчезване на плячката на вида.</w:t>
            </w:r>
          </w:p>
        </w:tc>
        <w:tc>
          <w:tcPr>
            <w:tcW w:w="1809" w:type="dxa"/>
          </w:tcPr>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lastRenderedPageBreak/>
              <w:t xml:space="preserve">Подобряване на състоянието на </w:t>
            </w:r>
          </w:p>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 xml:space="preserve">хранителното местообитание </w:t>
            </w:r>
          </w:p>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 xml:space="preserve">на вида до постигане на  100% екстензивно управление на </w:t>
            </w:r>
          </w:p>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t xml:space="preserve">пасища и ливади, част от хранителното местообитание </w:t>
            </w:r>
          </w:p>
          <w:p w:rsidR="00A8783E" w:rsidRPr="00A8783E" w:rsidRDefault="00A8783E" w:rsidP="00A8783E">
            <w:pPr>
              <w:tabs>
                <w:tab w:val="left" w:pos="990"/>
              </w:tabs>
              <w:spacing w:after="0" w:line="240" w:lineRule="auto"/>
              <w:rPr>
                <w:rFonts w:ascii="Times New Roman" w:hAnsi="Times New Roman"/>
              </w:rPr>
            </w:pPr>
            <w:r w:rsidRPr="00A8783E">
              <w:rPr>
                <w:rFonts w:ascii="Times New Roman" w:hAnsi="Times New Roman"/>
              </w:rPr>
              <w:lastRenderedPageBreak/>
              <w:t>на вида.</w:t>
            </w:r>
          </w:p>
        </w:tc>
      </w:tr>
    </w:tbl>
    <w:p w:rsidR="00A8783E" w:rsidRPr="00A8783E" w:rsidRDefault="00A8783E" w:rsidP="00A8783E">
      <w:pPr>
        <w:tabs>
          <w:tab w:val="left" w:pos="990"/>
        </w:tabs>
        <w:spacing w:after="120" w:line="259" w:lineRule="auto"/>
        <w:rPr>
          <w:rFonts w:ascii="Times New Roman" w:hAnsi="Times New Roman"/>
          <w:sz w:val="24"/>
          <w:szCs w:val="24"/>
        </w:rPr>
      </w:pPr>
    </w:p>
    <w:p w:rsidR="00A8783E" w:rsidRPr="00A8783E" w:rsidRDefault="00A8783E" w:rsidP="00A8783E">
      <w:pPr>
        <w:tabs>
          <w:tab w:val="left" w:pos="990"/>
        </w:tabs>
        <w:spacing w:after="12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tabs>
          <w:tab w:val="left" w:pos="990"/>
        </w:tabs>
        <w:spacing w:after="120" w:line="259" w:lineRule="auto"/>
        <w:rPr>
          <w:rFonts w:ascii="Times New Roman" w:hAnsi="Times New Roman"/>
          <w:sz w:val="24"/>
          <w:szCs w:val="24"/>
        </w:rPr>
      </w:pPr>
      <w:r w:rsidRPr="00A8783E">
        <w:rPr>
          <w:rFonts w:ascii="Times New Roman" w:hAnsi="Times New Roman"/>
          <w:sz w:val="24"/>
          <w:szCs w:val="24"/>
        </w:rPr>
        <w:t>Предвид наличната информация за вида в зоната не са необходими промени в СФ.</w:t>
      </w:r>
    </w:p>
    <w:p w:rsidR="00A8783E" w:rsidRPr="00A8783E" w:rsidRDefault="00A8783E" w:rsidP="00A8783E">
      <w:pPr>
        <w:spacing w:after="160" w:line="259" w:lineRule="auto"/>
        <w:rPr>
          <w:rFonts w:ascii="Times New Roman" w:hAnsi="Times New Roman"/>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280" w:name="_Toc89106106"/>
      <w:bookmarkStart w:id="281" w:name="_Toc98741945"/>
      <w:bookmarkStart w:id="282" w:name="_Toc98838620"/>
      <w:r w:rsidRPr="00A8783E">
        <w:rPr>
          <w:rFonts w:ascii="Times New Roman" w:hAnsi="Times New Roman"/>
          <w:color w:val="1F497D"/>
          <w:sz w:val="28"/>
          <w:szCs w:val="28"/>
        </w:rPr>
        <w:t xml:space="preserve">Специфични цели за A087 </w:t>
      </w:r>
      <w:r w:rsidRPr="00A8783E">
        <w:rPr>
          <w:rFonts w:ascii="Times New Roman" w:hAnsi="Times New Roman"/>
          <w:i/>
          <w:iCs/>
          <w:color w:val="1F497D"/>
          <w:sz w:val="28"/>
          <w:szCs w:val="28"/>
        </w:rPr>
        <w:t>Buteo buteo</w:t>
      </w:r>
      <w:r w:rsidRPr="00A8783E">
        <w:rPr>
          <w:rFonts w:ascii="Times New Roman" w:hAnsi="Times New Roman"/>
          <w:color w:val="1F497D"/>
          <w:sz w:val="28"/>
          <w:szCs w:val="28"/>
        </w:rPr>
        <w:t xml:space="preserve"> (обикновен мишелов)</w:t>
      </w:r>
      <w:bookmarkEnd w:id="280"/>
      <w:bookmarkEnd w:id="281"/>
      <w:bookmarkEnd w:id="282"/>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lang w:val="ru-RU"/>
        </w:rPr>
        <w:t>1</w:t>
      </w:r>
      <w:r w:rsidRPr="00A8783E">
        <w:rPr>
          <w:rFonts w:ascii="Times New Roman" w:hAnsi="Times New Roman"/>
          <w:b/>
          <w:bCs/>
          <w:sz w:val="24"/>
          <w:szCs w:val="24"/>
        </w:rPr>
        <w:t>.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55 – 58 cm. Размах на крилата: 120 – 130 cm. Средно голяма граблива птица с широки, къси крила и къса закръглена опашка. Оперението е кафяво, като на горната страна еднообразно, а на долната е с белезникав или ръждив оттенък и пъстрини. Лети с плавни махове на крилата. Восковицата и краката са жълти. В България се среща подвидът </w:t>
      </w:r>
      <w:r w:rsidRPr="00A8783E">
        <w:rPr>
          <w:rFonts w:ascii="Times New Roman" w:hAnsi="Times New Roman"/>
          <w:i/>
          <w:iCs/>
          <w:sz w:val="24"/>
          <w:szCs w:val="24"/>
        </w:rPr>
        <w:t xml:space="preserve">Buteo buteo vulpinus </w:t>
      </w:r>
      <w:r w:rsidRPr="00A8783E">
        <w:rPr>
          <w:rFonts w:ascii="Times New Roman" w:hAnsi="Times New Roman"/>
          <w:sz w:val="24"/>
          <w:szCs w:val="24"/>
        </w:rPr>
        <w:t>(обикновен ръждив мишелов) (Симеонов и др., 1990).</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За България видът е постоянен и прелетен. Един от най-многобройните и широко разпространени видове хищни птици в страната. Размножителния период започва през април. Гнездото си строи по широколистни и иглолистни дървета на височина 6-20 м. Видът е известен като далечен мигрант (главно подвидът </w:t>
      </w:r>
      <w:r w:rsidRPr="00A8783E">
        <w:rPr>
          <w:rFonts w:ascii="Times New Roman" w:hAnsi="Times New Roman"/>
          <w:i/>
          <w:iCs/>
          <w:sz w:val="24"/>
          <w:szCs w:val="24"/>
        </w:rPr>
        <w:t>vulpinus</w:t>
      </w:r>
      <w:r w:rsidRPr="00A8783E">
        <w:rPr>
          <w:rFonts w:ascii="Times New Roman" w:hAnsi="Times New Roman"/>
          <w:sz w:val="24"/>
          <w:szCs w:val="24"/>
        </w:rPr>
        <w:t xml:space="preserve">) и мигрант на къси разстояние, но на широк фронт, отчасти зимува в България (подвидът </w:t>
      </w:r>
      <w:r w:rsidRPr="00A8783E">
        <w:rPr>
          <w:rFonts w:ascii="Times New Roman" w:hAnsi="Times New Roman"/>
          <w:i/>
          <w:iCs/>
          <w:sz w:val="24"/>
          <w:szCs w:val="24"/>
        </w:rPr>
        <w:t>buteo</w:t>
      </w:r>
      <w:r w:rsidRPr="00A8783E">
        <w:rPr>
          <w:rFonts w:ascii="Times New Roman" w:hAnsi="Times New Roman"/>
          <w:sz w:val="24"/>
          <w:szCs w:val="24"/>
        </w:rPr>
        <w:t>). Мишеловът е най-многобройният мигрант сред грабливите птици през периода 1979-2003 г. в Бургаския залив. Общата му численост варира между 7963 и 31 746 инд. (средно – 17 739) (Michev et al., 2018). Пролетната миграция е най-интензивна през март, а есенната през втората половина на октомври. Образува сравнително многочислени ята (300-400), всред които може да присъстват и други единични видове (тръстиков блатар, черна каня). Общо проучванията през 2011 и 2012 г. показват, че макар обикновения мишелов да прелита над цялата страна, основната част от прелитащите птици се концентрират в източната част (Матеева и Янков, 2013).</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Обитава окрайнини на широколистни, смесени и иглолистни гори с поляни, групи дървета сред открити пространства. Среща се до 1500 - 1977 </w:t>
      </w:r>
      <w:r w:rsidRPr="00A8783E">
        <w:rPr>
          <w:rFonts w:ascii="Times New Roman" w:hAnsi="Times New Roman"/>
          <w:sz w:val="24"/>
          <w:szCs w:val="24"/>
          <w:lang w:val="en-US"/>
        </w:rPr>
        <w:t>m</w:t>
      </w:r>
      <w:r w:rsidRPr="00A8783E">
        <w:rPr>
          <w:rFonts w:ascii="Times New Roman" w:hAnsi="Times New Roman"/>
          <w:sz w:val="24"/>
          <w:szCs w:val="24"/>
        </w:rPr>
        <w:t xml:space="preserve"> надморска височина (Симеонов и др., 1990; Янков, отг. ред., 2007). Гнездовата територия на една двойка е между 39 и 221 ha (средно – 119 ha). В Алпите (Италия) е установена гнездова плътност между 28 и 31 дв./100 </w:t>
      </w:r>
      <w:r w:rsidRPr="00A8783E">
        <w:rPr>
          <w:rFonts w:ascii="Times New Roman" w:hAnsi="Times New Roman"/>
          <w:sz w:val="24"/>
          <w:szCs w:val="24"/>
          <w:lang w:val="en-US"/>
        </w:rPr>
        <w:t>km</w:t>
      </w:r>
      <w:r w:rsidRPr="00A8783E">
        <w:rPr>
          <w:rFonts w:ascii="Times New Roman" w:hAnsi="Times New Roman"/>
          <w:sz w:val="24"/>
          <w:szCs w:val="24"/>
          <w:vertAlign w:val="superscript"/>
        </w:rPr>
        <w:t>2</w:t>
      </w:r>
      <w:r w:rsidRPr="00A8783E">
        <w:rPr>
          <w:rFonts w:ascii="Times New Roman" w:hAnsi="Times New Roman"/>
          <w:sz w:val="24"/>
          <w:szCs w:val="24"/>
        </w:rPr>
        <w:t xml:space="preserve"> като разстоянието между гнездата е средно 1108 m. По-голяма част (81%) от гнездата са разположени на скали, а останалите върху стари дървета (кестен, бял бор, дъб) (Sergio, 2002). Изследване, проведено в централна Полша установява гнездова плътност от 35 двойки/100 km</w:t>
      </w:r>
      <w:r w:rsidRPr="00A8783E">
        <w:rPr>
          <w:rFonts w:ascii="Times New Roman" w:hAnsi="Times New Roman"/>
          <w:sz w:val="24"/>
          <w:szCs w:val="24"/>
          <w:vertAlign w:val="superscript"/>
        </w:rPr>
        <w:t>2</w:t>
      </w:r>
      <w:r w:rsidRPr="00A8783E">
        <w:rPr>
          <w:rFonts w:ascii="Times New Roman" w:hAnsi="Times New Roman"/>
          <w:sz w:val="24"/>
          <w:szCs w:val="24"/>
        </w:rPr>
        <w:t xml:space="preserve">. Деветдесет и три процента от гнездата са разположени на бял бор, а останалите на лиственица. Средната възраст на дърветата, на които са разположени гнездата е 71 години, височината на разположение </w:t>
      </w:r>
      <w:r w:rsidRPr="00A8783E">
        <w:rPr>
          <w:rFonts w:ascii="Times New Roman" w:hAnsi="Times New Roman"/>
          <w:sz w:val="24"/>
          <w:szCs w:val="24"/>
        </w:rPr>
        <w:lastRenderedPageBreak/>
        <w:t>на гнездата е средно 18 m и диаметъра на дърветата е средно 38 cm (Gryz and Krauze-Gryz, 2019). Подходящи местообитания за гнездене са окрайнини на гори (9110-91CA), а за търсене на храна са открити пространства - ливади, пасища, обработваеми земи и вероятно повечето типове „Естествени и полуестествени тревни формации“ (6110-6520) според Директивата за хaбитатите (Кавръкова и др., 2009).</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Основно се храни с бозайници (15 вида), като доминират дребните гризачи – обикновена полевка, лалугер, горска полевка, горска мишка и др.). От птиците (17 вида) най-често ловува обикновен скорец.</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Повсеместно разпространен на цялата територия на страната. Не е установен на места в равнинни безлесни райони с преобладаване на земеделски култури – локално в Дунавската равнина, Тракийската низина, Бургаската низина и др. Числеността му е относително равномерна, като е по-висока в предпланинските и хълмистите райони с по-голямо разнообразие на местообитания (комбинация от гори с ливади, пасища и обработваеми земи)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Включен в Приложение 3 на ЗБР. Според IUCN видът е с категория „слабо засегнат“ - LC (Least Concern) за територията на континентална Европа, също и за света. Няма SPEC категория. Не е включен в Червената книга на Р България.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2005-2018 г.), видът се опазва като </w:t>
      </w:r>
      <w:r w:rsidRPr="00A8783E">
        <w:rPr>
          <w:rFonts w:ascii="Times New Roman" w:hAnsi="Times New Roman"/>
          <w:b/>
          <w:sz w:val="24"/>
          <w:szCs w:val="24"/>
        </w:rPr>
        <w:t>гнездящ</w:t>
      </w:r>
      <w:r w:rsidRPr="00A8783E">
        <w:rPr>
          <w:rFonts w:ascii="Times New Roman" w:hAnsi="Times New Roman"/>
          <w:sz w:val="24"/>
          <w:szCs w:val="24"/>
        </w:rPr>
        <w:t xml:space="preserve"> с популация между </w:t>
      </w:r>
      <w:r w:rsidRPr="00A8783E">
        <w:rPr>
          <w:rFonts w:ascii="Times New Roman" w:hAnsi="Times New Roman"/>
          <w:bCs/>
          <w:sz w:val="24"/>
          <w:szCs w:val="24"/>
        </w:rPr>
        <w:t>2400 и 4200 двойки</w:t>
      </w:r>
      <w:r w:rsidRPr="00A8783E">
        <w:rPr>
          <w:rFonts w:ascii="Times New Roman" w:hAnsi="Times New Roman"/>
          <w:sz w:val="24"/>
          <w:szCs w:val="24"/>
        </w:rPr>
        <w:t xml:space="preserve">. Краткосрочната (2001-2018 г.) популационна тенденция е </w:t>
      </w:r>
      <w:r w:rsidRPr="00A8783E">
        <w:rPr>
          <w:rFonts w:ascii="Times New Roman" w:hAnsi="Times New Roman"/>
          <w:bCs/>
          <w:sz w:val="24"/>
          <w:szCs w:val="24"/>
        </w:rPr>
        <w:t>стабилна</w:t>
      </w:r>
      <w:r w:rsidRPr="00A8783E">
        <w:rPr>
          <w:rFonts w:ascii="Times New Roman" w:hAnsi="Times New Roman"/>
          <w:sz w:val="24"/>
          <w:szCs w:val="24"/>
        </w:rPr>
        <w:t>, а дългосрочната (1980-2018 г.) е неизвестна. Не са посочени заплахи и влияния.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2001-2018 г.), видът се опазва и като </w:t>
      </w:r>
      <w:r w:rsidRPr="00A8783E">
        <w:rPr>
          <w:rFonts w:ascii="Times New Roman" w:hAnsi="Times New Roman"/>
          <w:b/>
          <w:sz w:val="24"/>
          <w:szCs w:val="24"/>
        </w:rPr>
        <w:t>мигриращ</w:t>
      </w:r>
      <w:r w:rsidRPr="00A8783E">
        <w:rPr>
          <w:rFonts w:ascii="Times New Roman" w:hAnsi="Times New Roman"/>
          <w:sz w:val="24"/>
          <w:szCs w:val="24"/>
        </w:rPr>
        <w:t xml:space="preserve"> с численост между </w:t>
      </w:r>
      <w:r w:rsidRPr="00A8783E">
        <w:rPr>
          <w:rFonts w:ascii="Times New Roman" w:hAnsi="Times New Roman"/>
          <w:bCs/>
          <w:sz w:val="24"/>
          <w:szCs w:val="24"/>
        </w:rPr>
        <w:t>36 000 и 40 000 индивиди</w:t>
      </w:r>
      <w:r w:rsidRPr="00A8783E">
        <w:rPr>
          <w:rFonts w:ascii="Times New Roman" w:hAnsi="Times New Roman"/>
          <w:sz w:val="24"/>
          <w:szCs w:val="24"/>
        </w:rPr>
        <w:t>. Не са посочени тенденции в миграционната численост. Не са посочени и заплахи.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color w:val="0070C0"/>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зимуващ</w:t>
      </w:r>
      <w:r w:rsidRPr="00A8783E">
        <w:rPr>
          <w:rFonts w:ascii="Times New Roman" w:hAnsi="Times New Roman"/>
          <w:sz w:val="24"/>
          <w:szCs w:val="24"/>
        </w:rPr>
        <w:t xml:space="preserve"> с численост </w:t>
      </w:r>
      <w:r w:rsidRPr="00A8783E">
        <w:rPr>
          <w:rFonts w:ascii="Times New Roman" w:hAnsi="Times New Roman"/>
          <w:b/>
          <w:bCs/>
          <w:sz w:val="24"/>
          <w:szCs w:val="24"/>
        </w:rPr>
        <w:t>до 4 индивида</w:t>
      </w:r>
      <w:r w:rsidRPr="00A8783E">
        <w:rPr>
          <w:rFonts w:ascii="Times New Roman" w:hAnsi="Times New Roman"/>
          <w:sz w:val="24"/>
          <w:szCs w:val="24"/>
        </w:rPr>
        <w:t>. Видът не е докладван като зимуващ, а и неговата зимуваща популация в страната не е известна.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СФ </w:t>
      </w:r>
      <w:r w:rsidRPr="00A8783E">
        <w:rPr>
          <w:rFonts w:ascii="Times New Roman" w:hAnsi="Times New Roman"/>
          <w:b/>
          <w:bCs/>
          <w:sz w:val="24"/>
          <w:szCs w:val="24"/>
        </w:rPr>
        <w:t>мигриращата</w:t>
      </w:r>
      <w:r w:rsidRPr="00A8783E">
        <w:rPr>
          <w:rFonts w:ascii="Times New Roman" w:hAnsi="Times New Roman"/>
          <w:sz w:val="24"/>
          <w:szCs w:val="24"/>
        </w:rPr>
        <w:t xml:space="preserve"> (концентрираща се) популация е </w:t>
      </w:r>
      <w:r w:rsidRPr="00A8783E">
        <w:rPr>
          <w:rFonts w:ascii="Times New Roman" w:hAnsi="Times New Roman"/>
          <w:b/>
          <w:bCs/>
          <w:sz w:val="24"/>
          <w:szCs w:val="24"/>
        </w:rPr>
        <w:t>3-16 индивида</w:t>
      </w:r>
      <w:r w:rsidRPr="00A8783E">
        <w:rPr>
          <w:rFonts w:ascii="Times New Roman" w:hAnsi="Times New Roman"/>
          <w:sz w:val="24"/>
          <w:szCs w:val="24"/>
        </w:rPr>
        <w:t>, което представлява 0,01-0,04%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Национално проучване на миграцията за 42 вида птици през 2011 и 2012 г. показват, че макар обикновения мишелов да прелита над цялата страна, основната част от прелитащите птици се концентрира в източна България (Матеева и Янков, 2013). Многочислен мигриращ вид в средна Дунавска равнина, като най-висока численост е </w:t>
      </w:r>
      <w:r w:rsidRPr="00A8783E">
        <w:rPr>
          <w:rFonts w:ascii="Times New Roman" w:hAnsi="Times New Roman"/>
          <w:sz w:val="24"/>
          <w:szCs w:val="24"/>
        </w:rPr>
        <w:lastRenderedPageBreak/>
        <w:t xml:space="preserve">установена през периода август-февруари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В ОВМ „Сребърна“ видът не е посочен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2007</w:t>
      </w:r>
      <w:r w:rsidRPr="00A8783E">
        <w:rPr>
          <w:rFonts w:ascii="Times New Roman" w:hAnsi="Times New Roman"/>
          <w:sz w:val="24"/>
          <w:szCs w:val="24"/>
          <w:lang w:val="ru-RU"/>
        </w:rPr>
        <w:t>)</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 xml:space="preserve">За ПР Сребърна мишелова е обикновен преминаващ вид </w:t>
      </w:r>
      <w:r w:rsidRPr="00A8783E">
        <w:rPr>
          <w:rFonts w:ascii="Times New Roman" w:hAnsi="Times New Roman"/>
          <w:sz w:val="24"/>
          <w:szCs w:val="24"/>
          <w:lang w:val="ru-RU"/>
        </w:rPr>
        <w:t>(</w:t>
      </w:r>
      <w:r w:rsidRPr="00A8783E">
        <w:rPr>
          <w:rFonts w:ascii="Times New Roman" w:hAnsi="Times New Roman"/>
          <w:sz w:val="24"/>
          <w:szCs w:val="24"/>
        </w:rPr>
        <w:t>Актуализиран план на ПР Сребърна, 2015</w:t>
      </w:r>
      <w:r w:rsidRPr="00A8783E">
        <w:rPr>
          <w:rFonts w:ascii="Times New Roman" w:hAnsi="Times New Roman"/>
          <w:sz w:val="24"/>
          <w:szCs w:val="24"/>
          <w:lang w:val="ru-RU"/>
        </w:rPr>
        <w:t>)</w:t>
      </w:r>
      <w:r w:rsidRPr="00A8783E">
        <w:rPr>
          <w:rFonts w:ascii="Times New Roman" w:hAnsi="Times New Roman"/>
          <w:sz w:val="24"/>
          <w:szCs w:val="24"/>
        </w:rPr>
        <w:t>. Няма конкретни данни за числеността на мигриращите индивиди над зоната.</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Зимуваща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Данните за зимуването на вида в зоната са от средно зимните преброявания през 2019 и 2020 г. И през двете години мишелова не е отчетен в близост до зоната. За ПР Сребърна мишелова е малочислен зимуващ вид, като през периода 2008-2013 г. числеността му е 1-4 инд. </w:t>
      </w:r>
      <w:r w:rsidRPr="00A8783E">
        <w:rPr>
          <w:rFonts w:ascii="Times New Roman" w:hAnsi="Times New Roman"/>
          <w:sz w:val="24"/>
          <w:szCs w:val="24"/>
          <w:lang w:val="ru-RU"/>
        </w:rPr>
        <w:t>(</w:t>
      </w:r>
      <w:r w:rsidRPr="00A8783E">
        <w:rPr>
          <w:rFonts w:ascii="Times New Roman" w:hAnsi="Times New Roman"/>
          <w:sz w:val="24"/>
          <w:szCs w:val="24"/>
        </w:rPr>
        <w:t>Актуализиран план на ПР Сребърна, 2015</w:t>
      </w:r>
      <w:r w:rsidRPr="00A8783E">
        <w:rPr>
          <w:rFonts w:ascii="Times New Roman" w:hAnsi="Times New Roman"/>
          <w:sz w:val="24"/>
          <w:szCs w:val="24"/>
          <w:lang w:val="ru-RU"/>
        </w:rPr>
        <w:t>)</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Основните заплахи за обикновения мишелов са безпокойството, провеждането на горско-стопанските дейности и практики, най-вече по време на размножителния сезон, както и химизацията в селското стопанство. Докладването от 2019 г. по чл. 12 не посочва заплахи за вида.</w:t>
      </w:r>
    </w:p>
    <w:p w:rsidR="00A8783E" w:rsidRPr="00A8783E" w:rsidRDefault="00A8783E" w:rsidP="00A8783E">
      <w:pPr>
        <w:spacing w:before="120" w:after="120" w:line="240" w:lineRule="auto"/>
        <w:rPr>
          <w:rFonts w:ascii="Times New Roman" w:hAnsi="Times New Roman" w:cs="Calibri"/>
          <w:b/>
          <w:sz w:val="24"/>
          <w:szCs w:val="24"/>
          <w:lang w:eastAsia="bg-BG"/>
        </w:rPr>
      </w:pPr>
      <w:r w:rsidRPr="00A8783E">
        <w:rPr>
          <w:rFonts w:ascii="Times New Roman" w:hAnsi="Times New Roman"/>
          <w:b/>
          <w:bCs/>
          <w:sz w:val="24"/>
          <w:szCs w:val="24"/>
        </w:rPr>
        <w:t xml:space="preserve">5. </w:t>
      </w:r>
      <w:r w:rsidRPr="00A8783E">
        <w:rPr>
          <w:rFonts w:ascii="Times New Roman" w:hAnsi="Times New Roman" w:cs="Calibri"/>
          <w:b/>
          <w:sz w:val="24"/>
          <w:szCs w:val="24"/>
          <w:lang w:eastAsia="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4"/>
        <w:gridCol w:w="1276"/>
        <w:gridCol w:w="1198"/>
        <w:gridCol w:w="3253"/>
        <w:gridCol w:w="1807"/>
      </w:tblGrid>
      <w:tr w:rsidR="00A8783E" w:rsidRPr="00A8783E" w:rsidTr="005B5318">
        <w:trPr>
          <w:tblHeader/>
          <w:jc w:val="center"/>
        </w:trPr>
        <w:tc>
          <w:tcPr>
            <w:tcW w:w="944" w:type="pct"/>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Параметър</w:t>
            </w:r>
          </w:p>
        </w:tc>
        <w:tc>
          <w:tcPr>
            <w:tcW w:w="687" w:type="pct"/>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Мерна единица</w:t>
            </w:r>
          </w:p>
        </w:tc>
        <w:tc>
          <w:tcPr>
            <w:tcW w:w="645" w:type="pct"/>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Целева стойност</w:t>
            </w:r>
          </w:p>
        </w:tc>
        <w:tc>
          <w:tcPr>
            <w:tcW w:w="1751" w:type="pct"/>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Допълнителна информация</w:t>
            </w:r>
          </w:p>
        </w:tc>
        <w:tc>
          <w:tcPr>
            <w:tcW w:w="973" w:type="pct"/>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jc w:val="center"/>
        </w:trPr>
        <w:tc>
          <w:tcPr>
            <w:tcW w:w="944" w:type="pct"/>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мигриращата популация</w:t>
            </w:r>
          </w:p>
        </w:tc>
        <w:tc>
          <w:tcPr>
            <w:tcW w:w="687"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индивиди</w:t>
            </w:r>
          </w:p>
        </w:tc>
        <w:tc>
          <w:tcPr>
            <w:tcW w:w="645"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3-16 инд.</w:t>
            </w:r>
          </w:p>
        </w:tc>
        <w:tc>
          <w:tcPr>
            <w:tcW w:w="1751"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Определена на база СФ.</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Няма друга актуална информация за количеството на птиците и районите с концентрация на вида в зоната по време на миграция. </w:t>
            </w:r>
          </w:p>
        </w:tc>
        <w:tc>
          <w:tcPr>
            <w:tcW w:w="973" w:type="pct"/>
          </w:tcPr>
          <w:p w:rsidR="00A8783E" w:rsidRPr="00A8783E" w:rsidRDefault="00A8783E" w:rsidP="00A8783E">
            <w:pPr>
              <w:spacing w:after="0" w:line="240" w:lineRule="auto"/>
              <w:rPr>
                <w:rFonts w:ascii="Times New Roman" w:hAnsi="Times New Roman"/>
              </w:rPr>
            </w:pPr>
            <w:r w:rsidRPr="00A8783E">
              <w:rPr>
                <w:rFonts w:ascii="Times New Roman" w:hAnsi="Times New Roman"/>
                <w:b/>
              </w:rPr>
              <w:t>Междинна цел</w:t>
            </w:r>
            <w:r w:rsidRPr="00A8783E">
              <w:rPr>
                <w:rFonts w:ascii="Times New Roman" w:hAnsi="Times New Roman"/>
              </w:rPr>
              <w:t>: Да се извърши целенасочен мониторинг за установяване на размера на мигриращата популация до 2025 г.</w:t>
            </w:r>
          </w:p>
        </w:tc>
      </w:tr>
      <w:tr w:rsidR="00A8783E" w:rsidRPr="00A8783E" w:rsidTr="005B5318">
        <w:trPr>
          <w:jc w:val="center"/>
        </w:trPr>
        <w:tc>
          <w:tcPr>
            <w:tcW w:w="944" w:type="pct"/>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зимуващата популация</w:t>
            </w:r>
          </w:p>
        </w:tc>
        <w:tc>
          <w:tcPr>
            <w:tcW w:w="687"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индивиди</w:t>
            </w:r>
          </w:p>
        </w:tc>
        <w:tc>
          <w:tcPr>
            <w:tcW w:w="645"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1 – 4 инд.</w:t>
            </w:r>
          </w:p>
        </w:tc>
        <w:tc>
          <w:tcPr>
            <w:tcW w:w="1751"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Определена на база СФ, данните от средно-зимните преброявания през 2019 и 2020 г. и друга налична информация.</w:t>
            </w:r>
          </w:p>
        </w:tc>
        <w:tc>
          <w:tcPr>
            <w:tcW w:w="973"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Да се извърши целенасочен мониторинг за установяване на размера на зимуващата популация до 2025 г.</w:t>
            </w:r>
          </w:p>
        </w:tc>
      </w:tr>
      <w:tr w:rsidR="00A8783E" w:rsidRPr="00A8783E" w:rsidTr="005B5318">
        <w:trPr>
          <w:jc w:val="center"/>
        </w:trPr>
        <w:tc>
          <w:tcPr>
            <w:tcW w:w="944" w:type="pct"/>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хранителни местообитания на вида</w:t>
            </w:r>
          </w:p>
        </w:tc>
        <w:tc>
          <w:tcPr>
            <w:tcW w:w="687"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ha</w:t>
            </w:r>
          </w:p>
        </w:tc>
        <w:tc>
          <w:tcPr>
            <w:tcW w:w="645"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Най-малко 318</w:t>
            </w:r>
          </w:p>
        </w:tc>
        <w:tc>
          <w:tcPr>
            <w:tcW w:w="1751" w:type="pct"/>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rPr>
              <w:t xml:space="preserve">Определена на база на % участие на откритите местообитания в зоната: </w:t>
            </w:r>
            <w:r w:rsidRPr="00A8783E">
              <w:rPr>
                <w:rFonts w:ascii="Times New Roman" w:hAnsi="Times New Roman"/>
                <w:lang w:val="en-US"/>
              </w:rPr>
              <w:t>N</w:t>
            </w:r>
            <w:r w:rsidRPr="00A8783E">
              <w:rPr>
                <w:rFonts w:ascii="Times New Roman" w:hAnsi="Times New Roman"/>
                <w:lang w:val="ru-RU"/>
              </w:rPr>
              <w:t>08</w:t>
            </w:r>
            <w:r w:rsidRPr="00A8783E">
              <w:rPr>
                <w:rFonts w:ascii="Times New Roman" w:hAnsi="Times New Roman"/>
              </w:rPr>
              <w:t>-</w:t>
            </w:r>
            <w:r w:rsidRPr="00A8783E">
              <w:rPr>
                <w:lang w:val="ru-RU"/>
              </w:rPr>
              <w:t xml:space="preserve"> </w:t>
            </w:r>
            <w:r w:rsidRPr="00A8783E">
              <w:rPr>
                <w:rFonts w:ascii="Times New Roman" w:hAnsi="Times New Roman"/>
              </w:rPr>
              <w:t xml:space="preserve">Равнини, шубраци, </w:t>
            </w:r>
            <w:r w:rsidRPr="00A8783E">
              <w:rPr>
                <w:rFonts w:ascii="Times New Roman" w:hAnsi="Times New Roman"/>
                <w:lang w:val="en-US"/>
              </w:rPr>
              <w:t>N</w:t>
            </w:r>
            <w:r w:rsidRPr="00A8783E">
              <w:rPr>
                <w:rFonts w:ascii="Times New Roman" w:hAnsi="Times New Roman"/>
                <w:lang w:val="ru-RU"/>
              </w:rPr>
              <w:t>09-</w:t>
            </w:r>
            <w:r w:rsidRPr="00A8783E">
              <w:rPr>
                <w:rFonts w:ascii="Times New Roman" w:hAnsi="Times New Roman"/>
              </w:rPr>
              <w:t xml:space="preserve">сухи ливади, степи, </w:t>
            </w:r>
            <w:r w:rsidRPr="00A8783E">
              <w:rPr>
                <w:rFonts w:ascii="Times New Roman" w:hAnsi="Times New Roman"/>
                <w:lang w:val="en-US"/>
              </w:rPr>
              <w:t>N</w:t>
            </w:r>
            <w:r w:rsidRPr="00A8783E">
              <w:rPr>
                <w:rFonts w:ascii="Times New Roman" w:hAnsi="Times New Roman"/>
                <w:lang w:val="ru-RU"/>
              </w:rPr>
              <w:t>15-</w:t>
            </w:r>
            <w:r w:rsidRPr="00A8783E">
              <w:rPr>
                <w:rFonts w:ascii="Times New Roman" w:hAnsi="Times New Roman"/>
              </w:rPr>
              <w:t>други обработваеми земи. Тяхната обща площ е 318 ha.</w:t>
            </w:r>
          </w:p>
        </w:tc>
        <w:tc>
          <w:tcPr>
            <w:tcW w:w="973" w:type="pct"/>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rPr>
              <w:t>Поддържане на площта на подходящите хранителни местообитания на вида в размер най-малко 318 ha</w:t>
            </w:r>
            <w:r w:rsidRPr="00A8783E">
              <w:rPr>
                <w:rFonts w:ascii="Times New Roman" w:hAnsi="Times New Roman"/>
                <w:lang w:val="en-US"/>
              </w:rPr>
              <w:t>.</w:t>
            </w:r>
          </w:p>
        </w:tc>
      </w:tr>
    </w:tbl>
    <w:p w:rsidR="00A8783E" w:rsidRPr="00A8783E" w:rsidRDefault="00A8783E" w:rsidP="00A8783E">
      <w:pPr>
        <w:spacing w:after="160" w:line="259" w:lineRule="auto"/>
        <w:rPr>
          <w:rFonts w:ascii="Times New Roman" w:hAnsi="Times New Roman"/>
          <w:b/>
          <w:bCs/>
        </w:rPr>
      </w:pPr>
    </w:p>
    <w:p w:rsidR="00A8783E" w:rsidRPr="00A8783E" w:rsidRDefault="00A8783E" w:rsidP="00A8783E">
      <w:pPr>
        <w:spacing w:after="160" w:line="259" w:lineRule="auto"/>
        <w:rPr>
          <w:rFonts w:ascii="Times New Roman" w:hAnsi="Times New Roman"/>
          <w:b/>
          <w:bCs/>
        </w:rPr>
      </w:pPr>
      <w:r w:rsidRPr="00A8783E">
        <w:rPr>
          <w:rFonts w:ascii="Times New Roman" w:hAnsi="Times New Roman"/>
          <w:b/>
          <w:bCs/>
        </w:rPr>
        <w:t>6. Необходимост от промени в СФ за СЗЗ BG0000241 „Сребърна“</w:t>
      </w:r>
    </w:p>
    <w:p w:rsidR="00A8783E" w:rsidRPr="00A8783E" w:rsidRDefault="00A8783E" w:rsidP="00A8783E">
      <w:pPr>
        <w:spacing w:after="160" w:line="259" w:lineRule="auto"/>
        <w:jc w:val="both"/>
        <w:rPr>
          <w:rFonts w:ascii="Times New Roman" w:hAnsi="Times New Roman"/>
        </w:rPr>
      </w:pPr>
      <w:r w:rsidRPr="00A8783E">
        <w:rPr>
          <w:rFonts w:ascii="Times New Roman" w:hAnsi="Times New Roman"/>
        </w:rPr>
        <w:t xml:space="preserve">Предвид наличната информация за </w:t>
      </w:r>
      <w:r w:rsidRPr="00A8783E">
        <w:rPr>
          <w:rFonts w:ascii="Times New Roman" w:hAnsi="Times New Roman"/>
          <w:b/>
          <w:bCs/>
        </w:rPr>
        <w:t>зимуващата</w:t>
      </w:r>
      <w:r w:rsidRPr="00A8783E">
        <w:rPr>
          <w:rFonts w:ascii="Times New Roman" w:hAnsi="Times New Roman"/>
        </w:rPr>
        <w:t xml:space="preserve"> численост на вида, предлагаме да се актуализира минималната численост от 0 на 1 инд. През периода 2008-2013 г. числеността му е 1-4 инд. (Актуализиран план на ПР Сребърна, 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22"/>
        <w:gridCol w:w="328"/>
        <w:gridCol w:w="483"/>
        <w:gridCol w:w="181"/>
        <w:gridCol w:w="181"/>
        <w:gridCol w:w="572"/>
        <w:gridCol w:w="605"/>
        <w:gridCol w:w="594"/>
        <w:gridCol w:w="578"/>
        <w:gridCol w:w="839"/>
        <w:gridCol w:w="950"/>
        <w:gridCol w:w="622"/>
        <w:gridCol w:w="522"/>
        <w:gridCol w:w="578"/>
      </w:tblGrid>
      <w:tr w:rsidR="00A8783E" w:rsidRPr="00A8783E" w:rsidTr="005B5318">
        <w:trPr>
          <w:jc w:val="center"/>
        </w:trPr>
        <w:tc>
          <w:tcPr>
            <w:tcW w:w="0" w:type="auto"/>
            <w:gridSpan w:val="6"/>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Species</w:t>
            </w:r>
          </w:p>
        </w:tc>
        <w:tc>
          <w:tcPr>
            <w:tcW w:w="0" w:type="auto"/>
            <w:gridSpan w:val="6"/>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Population in the site</w:t>
            </w:r>
          </w:p>
        </w:tc>
        <w:tc>
          <w:tcPr>
            <w:tcW w:w="0" w:type="auto"/>
            <w:gridSpan w:val="4"/>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G</w:t>
            </w:r>
          </w:p>
        </w:tc>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r w:rsidRPr="00A8783E">
              <w:rPr>
                <w:rFonts w:ascii="Times New Roman" w:hAnsi="Times New Roman"/>
                <w:b/>
                <w:bCs/>
                <w:sz w:val="20"/>
                <w:szCs w:val="20"/>
              </w:rPr>
              <w:t>Code</w:t>
            </w:r>
          </w:p>
        </w:tc>
        <w:tc>
          <w:tcPr>
            <w:tcW w:w="0" w:type="auto"/>
            <w:vMerge w:val="restart"/>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 xml:space="preserve">Scientific </w:t>
            </w:r>
            <w:r w:rsidRPr="00A8783E">
              <w:rPr>
                <w:rFonts w:ascii="Times New Roman" w:hAnsi="Times New Roman"/>
                <w:b/>
                <w:bCs/>
                <w:sz w:val="20"/>
                <w:szCs w:val="20"/>
              </w:rPr>
              <w:lastRenderedPageBreak/>
              <w:t>Name</w:t>
            </w:r>
          </w:p>
        </w:tc>
        <w:tc>
          <w:tcPr>
            <w:tcW w:w="0" w:type="auto"/>
            <w:vMerge w:val="restart"/>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lastRenderedPageBreak/>
              <w:t>S</w:t>
            </w:r>
          </w:p>
        </w:tc>
        <w:tc>
          <w:tcPr>
            <w:tcW w:w="0" w:type="auto"/>
            <w:vMerge w:val="restart"/>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NP</w:t>
            </w:r>
          </w:p>
        </w:tc>
        <w:tc>
          <w:tcPr>
            <w:tcW w:w="0" w:type="auto"/>
            <w:gridSpan w:val="2"/>
            <w:vMerge w:val="restart"/>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T</w:t>
            </w:r>
          </w:p>
        </w:tc>
        <w:tc>
          <w:tcPr>
            <w:tcW w:w="0" w:type="auto"/>
            <w:gridSpan w:val="2"/>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Size</w:t>
            </w:r>
          </w:p>
        </w:tc>
        <w:tc>
          <w:tcPr>
            <w:tcW w:w="0" w:type="auto"/>
            <w:vMerge w:val="restart"/>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Unit</w:t>
            </w:r>
          </w:p>
        </w:tc>
        <w:tc>
          <w:tcPr>
            <w:tcW w:w="0" w:type="auto"/>
            <w:vMerge w:val="restart"/>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Cat.</w:t>
            </w:r>
          </w:p>
        </w:tc>
        <w:tc>
          <w:tcPr>
            <w:tcW w:w="0" w:type="auto"/>
            <w:vMerge w:val="restart"/>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D.qual.</w:t>
            </w:r>
          </w:p>
        </w:tc>
        <w:tc>
          <w:tcPr>
            <w:tcW w:w="0" w:type="auto"/>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A/B/C/D</w:t>
            </w:r>
          </w:p>
        </w:tc>
        <w:tc>
          <w:tcPr>
            <w:tcW w:w="0" w:type="auto"/>
            <w:gridSpan w:val="3"/>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160" w:line="259"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p>
        </w:tc>
        <w:tc>
          <w:tcPr>
            <w:tcW w:w="0" w:type="auto"/>
            <w:gridSpan w:val="2"/>
            <w:vMerge/>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Min</w:t>
            </w:r>
          </w:p>
        </w:tc>
        <w:tc>
          <w:tcPr>
            <w:tcW w:w="0" w:type="auto"/>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Max</w:t>
            </w:r>
          </w:p>
        </w:tc>
        <w:tc>
          <w:tcPr>
            <w:tcW w:w="0" w:type="auto"/>
            <w:vMerge/>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Pop.</w:t>
            </w:r>
          </w:p>
        </w:tc>
        <w:tc>
          <w:tcPr>
            <w:tcW w:w="0" w:type="auto"/>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Con.</w:t>
            </w:r>
          </w:p>
        </w:tc>
        <w:tc>
          <w:tcPr>
            <w:tcW w:w="0" w:type="auto"/>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Iso.</w:t>
            </w:r>
          </w:p>
        </w:tc>
        <w:tc>
          <w:tcPr>
            <w:tcW w:w="0" w:type="auto"/>
            <w:shd w:val="clear" w:color="auto" w:fill="D9D9D9"/>
            <w:vAlign w:val="center"/>
          </w:tcPr>
          <w:p w:rsidR="00A8783E" w:rsidRPr="00A8783E" w:rsidRDefault="00A8783E" w:rsidP="00A8783E">
            <w:pPr>
              <w:spacing w:after="0" w:line="259" w:lineRule="auto"/>
              <w:rPr>
                <w:rFonts w:ascii="Times New Roman" w:hAnsi="Times New Roman"/>
                <w:b/>
                <w:bCs/>
                <w:sz w:val="20"/>
                <w:szCs w:val="20"/>
              </w:rPr>
            </w:pPr>
            <w:r w:rsidRPr="00A8783E">
              <w:rPr>
                <w:rFonts w:ascii="Times New Roman" w:hAnsi="Times New Roman"/>
                <w:b/>
                <w:bCs/>
                <w:sz w:val="20"/>
                <w:szCs w:val="20"/>
              </w:rPr>
              <w:t>Glo.</w:t>
            </w:r>
          </w:p>
        </w:tc>
      </w:tr>
      <w:tr w:rsidR="00A8783E" w:rsidRPr="00A8783E" w:rsidTr="005B5318">
        <w:trPr>
          <w:trHeight w:val="295"/>
          <w:jc w:val="center"/>
        </w:trPr>
        <w:tc>
          <w:tcPr>
            <w:tcW w:w="0" w:type="auto"/>
            <w:vAlign w:val="center"/>
          </w:tcPr>
          <w:p w:rsidR="00A8783E" w:rsidRPr="00A8783E" w:rsidRDefault="00A8783E" w:rsidP="00A8783E">
            <w:pPr>
              <w:spacing w:after="160" w:line="259" w:lineRule="auto"/>
              <w:rPr>
                <w:rFonts w:ascii="Times New Roman" w:hAnsi="Times New Roman"/>
                <w:sz w:val="20"/>
                <w:szCs w:val="20"/>
              </w:rPr>
            </w:pPr>
            <w:r w:rsidRPr="00A8783E">
              <w:rPr>
                <w:rFonts w:ascii="Times New Roman" w:hAnsi="Times New Roman"/>
                <w:sz w:val="20"/>
                <w:szCs w:val="20"/>
              </w:rPr>
              <w:lastRenderedPageBreak/>
              <w:t>В</w:t>
            </w:r>
          </w:p>
        </w:tc>
        <w:tc>
          <w:tcPr>
            <w:tcW w:w="0" w:type="auto"/>
            <w:vAlign w:val="center"/>
          </w:tcPr>
          <w:p w:rsidR="00A8783E" w:rsidRPr="00A8783E" w:rsidRDefault="00A8783E" w:rsidP="00A8783E">
            <w:pPr>
              <w:spacing w:after="160" w:line="259" w:lineRule="auto"/>
              <w:rPr>
                <w:rFonts w:ascii="Times New Roman" w:hAnsi="Times New Roman"/>
                <w:sz w:val="20"/>
                <w:szCs w:val="20"/>
                <w:lang w:val="en-US"/>
              </w:rPr>
            </w:pPr>
            <w:r w:rsidRPr="00A8783E">
              <w:rPr>
                <w:rFonts w:ascii="Times New Roman" w:hAnsi="Times New Roman"/>
                <w:sz w:val="20"/>
                <w:szCs w:val="20"/>
              </w:rPr>
              <w:t>A0</w:t>
            </w:r>
            <w:r w:rsidRPr="00A8783E">
              <w:rPr>
                <w:rFonts w:ascii="Times New Roman" w:hAnsi="Times New Roman"/>
                <w:sz w:val="20"/>
                <w:szCs w:val="20"/>
                <w:lang w:val="en-US"/>
              </w:rPr>
              <w:t>87</w:t>
            </w:r>
          </w:p>
        </w:tc>
        <w:tc>
          <w:tcPr>
            <w:tcW w:w="0" w:type="auto"/>
            <w:vAlign w:val="center"/>
          </w:tcPr>
          <w:p w:rsidR="00A8783E" w:rsidRPr="00A8783E" w:rsidRDefault="00A8783E" w:rsidP="00A8783E">
            <w:pPr>
              <w:spacing w:after="160" w:line="259" w:lineRule="auto"/>
              <w:rPr>
                <w:rFonts w:ascii="Times New Roman" w:hAnsi="Times New Roman"/>
                <w:sz w:val="20"/>
                <w:szCs w:val="20"/>
                <w:lang w:val="en-US"/>
              </w:rPr>
            </w:pPr>
            <w:r w:rsidRPr="00A8783E">
              <w:rPr>
                <w:rFonts w:ascii="Times New Roman" w:hAnsi="Times New Roman"/>
                <w:i/>
                <w:iCs/>
                <w:sz w:val="20"/>
                <w:szCs w:val="20"/>
                <w:lang w:val="en-US"/>
              </w:rPr>
              <w:t>Buteo buteo</w:t>
            </w:r>
          </w:p>
        </w:tc>
        <w:tc>
          <w:tcPr>
            <w:tcW w:w="0" w:type="auto"/>
            <w:vAlign w:val="center"/>
          </w:tcPr>
          <w:p w:rsidR="00A8783E" w:rsidRPr="00A8783E" w:rsidRDefault="00A8783E" w:rsidP="00A8783E">
            <w:pPr>
              <w:spacing w:after="160" w:line="259" w:lineRule="auto"/>
              <w:rPr>
                <w:rFonts w:ascii="Times New Roman" w:hAnsi="Times New Roman"/>
                <w:sz w:val="20"/>
                <w:szCs w:val="20"/>
              </w:rPr>
            </w:pPr>
          </w:p>
        </w:tc>
        <w:tc>
          <w:tcPr>
            <w:tcW w:w="0" w:type="auto"/>
            <w:vAlign w:val="center"/>
          </w:tcPr>
          <w:p w:rsidR="00A8783E" w:rsidRPr="00A8783E" w:rsidRDefault="00A8783E" w:rsidP="00A8783E">
            <w:pPr>
              <w:spacing w:after="160" w:line="259" w:lineRule="auto"/>
              <w:rPr>
                <w:rFonts w:ascii="Times New Roman" w:hAnsi="Times New Roman"/>
                <w:sz w:val="20"/>
                <w:szCs w:val="20"/>
              </w:rPr>
            </w:pPr>
          </w:p>
        </w:tc>
        <w:tc>
          <w:tcPr>
            <w:tcW w:w="0" w:type="auto"/>
            <w:gridSpan w:val="2"/>
            <w:vAlign w:val="center"/>
          </w:tcPr>
          <w:p w:rsidR="00A8783E" w:rsidRPr="00A8783E" w:rsidRDefault="00A8783E" w:rsidP="00A8783E">
            <w:pPr>
              <w:spacing w:after="160" w:line="259" w:lineRule="auto"/>
              <w:rPr>
                <w:rFonts w:ascii="Times New Roman" w:hAnsi="Times New Roman"/>
                <w:sz w:val="20"/>
                <w:szCs w:val="20"/>
                <w:lang w:val="en-US"/>
              </w:rPr>
            </w:pPr>
            <w:r w:rsidRPr="00A8783E">
              <w:rPr>
                <w:rFonts w:ascii="Times New Roman" w:hAnsi="Times New Roman"/>
                <w:sz w:val="20"/>
                <w:szCs w:val="20"/>
                <w:lang w:val="en-US"/>
              </w:rPr>
              <w:t>w</w:t>
            </w:r>
          </w:p>
        </w:tc>
        <w:tc>
          <w:tcPr>
            <w:tcW w:w="0" w:type="auto"/>
            <w:vAlign w:val="center"/>
          </w:tcPr>
          <w:p w:rsidR="00A8783E" w:rsidRPr="00A8783E" w:rsidRDefault="00A8783E" w:rsidP="00A8783E">
            <w:pPr>
              <w:spacing w:after="160" w:line="259" w:lineRule="auto"/>
              <w:rPr>
                <w:rFonts w:ascii="Times New Roman" w:hAnsi="Times New Roman"/>
                <w:b/>
                <w:bCs/>
                <w:sz w:val="20"/>
                <w:szCs w:val="20"/>
                <w:lang w:val="en-US"/>
              </w:rPr>
            </w:pPr>
            <w:r w:rsidRPr="00A8783E">
              <w:rPr>
                <w:rFonts w:ascii="Times New Roman" w:hAnsi="Times New Roman"/>
                <w:b/>
                <w:bCs/>
                <w:color w:val="FF0000"/>
                <w:sz w:val="20"/>
                <w:szCs w:val="20"/>
                <w:lang w:val="en-US"/>
              </w:rPr>
              <w:t>1</w:t>
            </w:r>
          </w:p>
        </w:tc>
        <w:tc>
          <w:tcPr>
            <w:tcW w:w="0" w:type="auto"/>
            <w:vAlign w:val="center"/>
          </w:tcPr>
          <w:p w:rsidR="00A8783E" w:rsidRPr="00A8783E" w:rsidRDefault="00A8783E" w:rsidP="00A8783E">
            <w:pPr>
              <w:spacing w:after="160" w:line="259" w:lineRule="auto"/>
              <w:rPr>
                <w:rFonts w:ascii="Times New Roman" w:hAnsi="Times New Roman"/>
                <w:sz w:val="20"/>
                <w:szCs w:val="20"/>
                <w:lang w:val="en-US"/>
              </w:rPr>
            </w:pPr>
            <w:r w:rsidRPr="00A8783E">
              <w:rPr>
                <w:rFonts w:ascii="Times New Roman" w:hAnsi="Times New Roman"/>
                <w:sz w:val="20"/>
                <w:szCs w:val="20"/>
                <w:lang w:val="en-US"/>
              </w:rPr>
              <w:t>4</w:t>
            </w:r>
          </w:p>
        </w:tc>
        <w:tc>
          <w:tcPr>
            <w:tcW w:w="0" w:type="auto"/>
            <w:vAlign w:val="center"/>
          </w:tcPr>
          <w:p w:rsidR="00A8783E" w:rsidRPr="00A8783E" w:rsidRDefault="00A8783E" w:rsidP="00A8783E">
            <w:pPr>
              <w:spacing w:after="160" w:line="259" w:lineRule="auto"/>
              <w:rPr>
                <w:rFonts w:ascii="Times New Roman" w:hAnsi="Times New Roman"/>
                <w:sz w:val="20"/>
                <w:szCs w:val="20"/>
                <w:lang w:val="en-US"/>
              </w:rPr>
            </w:pPr>
            <w:r w:rsidRPr="00A8783E">
              <w:rPr>
                <w:rFonts w:ascii="Times New Roman" w:hAnsi="Times New Roman"/>
                <w:sz w:val="20"/>
                <w:szCs w:val="20"/>
                <w:lang w:val="en-US"/>
              </w:rPr>
              <w:t>i</w:t>
            </w:r>
          </w:p>
        </w:tc>
        <w:tc>
          <w:tcPr>
            <w:tcW w:w="0" w:type="auto"/>
            <w:vAlign w:val="center"/>
          </w:tcPr>
          <w:p w:rsidR="00A8783E" w:rsidRPr="00A8783E" w:rsidRDefault="00A8783E" w:rsidP="00A8783E">
            <w:pPr>
              <w:spacing w:after="160" w:line="259" w:lineRule="auto"/>
              <w:rPr>
                <w:rFonts w:ascii="Times New Roman" w:hAnsi="Times New Roman"/>
                <w:sz w:val="20"/>
                <w:szCs w:val="20"/>
              </w:rPr>
            </w:pPr>
          </w:p>
        </w:tc>
        <w:tc>
          <w:tcPr>
            <w:tcW w:w="0" w:type="auto"/>
            <w:vAlign w:val="center"/>
          </w:tcPr>
          <w:p w:rsidR="00A8783E" w:rsidRPr="00A8783E" w:rsidRDefault="00A8783E" w:rsidP="00A8783E">
            <w:pPr>
              <w:spacing w:after="160" w:line="259" w:lineRule="auto"/>
              <w:rPr>
                <w:rFonts w:ascii="Times New Roman" w:hAnsi="Times New Roman"/>
                <w:sz w:val="20"/>
                <w:szCs w:val="20"/>
                <w:lang w:val="en-US"/>
              </w:rPr>
            </w:pPr>
            <w:r w:rsidRPr="00A8783E">
              <w:rPr>
                <w:rFonts w:ascii="Times New Roman" w:hAnsi="Times New Roman"/>
                <w:sz w:val="20"/>
                <w:szCs w:val="20"/>
                <w:lang w:val="en-US"/>
              </w:rPr>
              <w:t>G</w:t>
            </w:r>
          </w:p>
        </w:tc>
        <w:tc>
          <w:tcPr>
            <w:tcW w:w="0" w:type="auto"/>
            <w:vAlign w:val="center"/>
          </w:tcPr>
          <w:p w:rsidR="00A8783E" w:rsidRPr="00A8783E" w:rsidRDefault="00A8783E" w:rsidP="00A8783E">
            <w:pPr>
              <w:spacing w:after="160" w:line="259" w:lineRule="auto"/>
              <w:rPr>
                <w:rFonts w:ascii="Times New Roman" w:hAnsi="Times New Roman"/>
                <w:sz w:val="20"/>
                <w:szCs w:val="20"/>
                <w:lang w:val="en-US"/>
              </w:rPr>
            </w:pPr>
            <w:r w:rsidRPr="00A8783E">
              <w:rPr>
                <w:rFonts w:ascii="Times New Roman" w:hAnsi="Times New Roman"/>
                <w:sz w:val="20"/>
                <w:szCs w:val="20"/>
                <w:lang w:val="en-US"/>
              </w:rPr>
              <w:t>C</w:t>
            </w:r>
          </w:p>
        </w:tc>
        <w:tc>
          <w:tcPr>
            <w:tcW w:w="0" w:type="auto"/>
            <w:vAlign w:val="center"/>
          </w:tcPr>
          <w:p w:rsidR="00A8783E" w:rsidRPr="00A8783E" w:rsidRDefault="00A8783E" w:rsidP="00A8783E">
            <w:pPr>
              <w:spacing w:after="160" w:line="259" w:lineRule="auto"/>
              <w:rPr>
                <w:rFonts w:ascii="Times New Roman" w:hAnsi="Times New Roman"/>
                <w:sz w:val="20"/>
                <w:szCs w:val="20"/>
                <w:lang w:val="en-US"/>
              </w:rPr>
            </w:pPr>
            <w:r w:rsidRPr="00A8783E">
              <w:rPr>
                <w:rFonts w:ascii="Times New Roman" w:hAnsi="Times New Roman"/>
                <w:sz w:val="20"/>
                <w:szCs w:val="20"/>
                <w:lang w:val="en-US"/>
              </w:rPr>
              <w:t>B</w:t>
            </w:r>
          </w:p>
        </w:tc>
        <w:tc>
          <w:tcPr>
            <w:tcW w:w="0" w:type="auto"/>
            <w:vAlign w:val="center"/>
          </w:tcPr>
          <w:p w:rsidR="00A8783E" w:rsidRPr="00A8783E" w:rsidRDefault="00A8783E" w:rsidP="00A8783E">
            <w:pPr>
              <w:spacing w:after="160" w:line="259" w:lineRule="auto"/>
              <w:rPr>
                <w:rFonts w:ascii="Times New Roman" w:hAnsi="Times New Roman"/>
                <w:sz w:val="20"/>
                <w:szCs w:val="20"/>
                <w:lang w:val="en-US"/>
              </w:rPr>
            </w:pPr>
            <w:r w:rsidRPr="00A8783E">
              <w:rPr>
                <w:rFonts w:ascii="Times New Roman" w:hAnsi="Times New Roman"/>
                <w:sz w:val="20"/>
                <w:szCs w:val="20"/>
                <w:lang w:val="en-US"/>
              </w:rPr>
              <w:t>C</w:t>
            </w:r>
          </w:p>
        </w:tc>
        <w:tc>
          <w:tcPr>
            <w:tcW w:w="0" w:type="auto"/>
            <w:vAlign w:val="center"/>
          </w:tcPr>
          <w:p w:rsidR="00A8783E" w:rsidRPr="00A8783E" w:rsidRDefault="00A8783E" w:rsidP="00A8783E">
            <w:pPr>
              <w:spacing w:after="160" w:line="259" w:lineRule="auto"/>
              <w:rPr>
                <w:rFonts w:ascii="Times New Roman" w:hAnsi="Times New Roman"/>
                <w:sz w:val="20"/>
                <w:szCs w:val="20"/>
                <w:lang w:val="en-US"/>
              </w:rPr>
            </w:pPr>
            <w:r w:rsidRPr="00A8783E">
              <w:rPr>
                <w:rFonts w:ascii="Times New Roman" w:hAnsi="Times New Roman"/>
                <w:sz w:val="20"/>
                <w:szCs w:val="20"/>
                <w:lang w:val="en-US"/>
              </w:rPr>
              <w:t>C</w:t>
            </w:r>
          </w:p>
        </w:tc>
      </w:tr>
    </w:tbl>
    <w:p w:rsidR="00A8783E" w:rsidRPr="00A8783E" w:rsidRDefault="00A8783E" w:rsidP="00A8783E">
      <w:pPr>
        <w:spacing w:after="160" w:line="259" w:lineRule="auto"/>
        <w:rPr>
          <w:lang w:val="en-US"/>
        </w:rPr>
      </w:pPr>
    </w:p>
    <w:p w:rsidR="00A8783E" w:rsidRPr="00A8783E" w:rsidRDefault="00A8783E" w:rsidP="00A8783E">
      <w:pPr>
        <w:keepNext/>
        <w:keepLines/>
        <w:spacing w:before="40" w:after="0" w:line="259" w:lineRule="auto"/>
        <w:outlineLvl w:val="1"/>
        <w:rPr>
          <w:rFonts w:ascii="Times New Roman" w:hAnsi="Times New Roman"/>
          <w:i/>
          <w:iCs/>
          <w:color w:val="1F497D"/>
          <w:sz w:val="28"/>
          <w:szCs w:val="28"/>
          <w:lang w:val="ru-RU"/>
        </w:rPr>
      </w:pPr>
      <w:bookmarkStart w:id="283" w:name="_Toc88865716"/>
      <w:bookmarkStart w:id="284" w:name="_Toc89106107"/>
      <w:bookmarkStart w:id="285" w:name="_Toc98741946"/>
      <w:bookmarkStart w:id="286" w:name="_Toc98838621"/>
      <w:r w:rsidRPr="00A8783E">
        <w:rPr>
          <w:rFonts w:ascii="Times New Roman" w:hAnsi="Times New Roman"/>
          <w:color w:val="1F497D"/>
          <w:sz w:val="28"/>
          <w:szCs w:val="28"/>
        </w:rPr>
        <w:t xml:space="preserve">Специфични цели за </w:t>
      </w:r>
      <w:r w:rsidRPr="00A8783E">
        <w:rPr>
          <w:rFonts w:ascii="Times New Roman" w:hAnsi="Times New Roman"/>
          <w:color w:val="1F497D"/>
          <w:sz w:val="28"/>
          <w:szCs w:val="28"/>
          <w:lang w:val="en-US"/>
        </w:rPr>
        <w:t>A</w:t>
      </w:r>
      <w:r w:rsidRPr="00A8783E">
        <w:rPr>
          <w:rFonts w:ascii="Times New Roman" w:hAnsi="Times New Roman"/>
          <w:color w:val="1F497D"/>
          <w:sz w:val="28"/>
          <w:szCs w:val="28"/>
          <w:lang w:val="ru-RU"/>
        </w:rPr>
        <w:t xml:space="preserve">088 </w:t>
      </w:r>
      <w:r w:rsidRPr="00A8783E">
        <w:rPr>
          <w:rFonts w:ascii="Times New Roman" w:hAnsi="Times New Roman"/>
          <w:i/>
          <w:iCs/>
          <w:color w:val="1F497D"/>
          <w:sz w:val="28"/>
          <w:szCs w:val="28"/>
          <w:lang w:val="en-US"/>
        </w:rPr>
        <w:t>Buteo</w:t>
      </w:r>
      <w:r w:rsidRPr="00A8783E">
        <w:rPr>
          <w:rFonts w:ascii="Times New Roman" w:hAnsi="Times New Roman"/>
          <w:i/>
          <w:iCs/>
          <w:color w:val="1F497D"/>
          <w:sz w:val="28"/>
          <w:szCs w:val="28"/>
          <w:lang w:val="ru-RU"/>
        </w:rPr>
        <w:t xml:space="preserve"> </w:t>
      </w:r>
      <w:r w:rsidRPr="00A8783E">
        <w:rPr>
          <w:rFonts w:ascii="Times New Roman" w:hAnsi="Times New Roman"/>
          <w:i/>
          <w:iCs/>
          <w:color w:val="1F497D"/>
          <w:sz w:val="28"/>
          <w:szCs w:val="28"/>
          <w:lang w:val="en-US"/>
        </w:rPr>
        <w:t>lagopus</w:t>
      </w:r>
      <w:r w:rsidRPr="00A8783E">
        <w:rPr>
          <w:rFonts w:ascii="Times New Roman" w:hAnsi="Times New Roman"/>
          <w:color w:val="1F497D"/>
          <w:sz w:val="28"/>
          <w:szCs w:val="28"/>
          <w:lang w:val="ru-RU"/>
        </w:rPr>
        <w:t xml:space="preserve"> (</w:t>
      </w:r>
      <w:r w:rsidRPr="00A8783E">
        <w:rPr>
          <w:rFonts w:ascii="Times New Roman" w:hAnsi="Times New Roman"/>
          <w:color w:val="1F497D"/>
          <w:sz w:val="28"/>
          <w:szCs w:val="28"/>
        </w:rPr>
        <w:t>северен мишелов</w:t>
      </w:r>
      <w:r w:rsidRPr="00A8783E">
        <w:rPr>
          <w:rFonts w:ascii="Times New Roman" w:hAnsi="Times New Roman"/>
          <w:color w:val="1F497D"/>
          <w:sz w:val="28"/>
          <w:szCs w:val="28"/>
          <w:lang w:val="ru-RU"/>
        </w:rPr>
        <w:t>)</w:t>
      </w:r>
      <w:bookmarkEnd w:id="283"/>
      <w:bookmarkEnd w:id="284"/>
      <w:bookmarkEnd w:id="285"/>
      <w:bookmarkEnd w:id="286"/>
      <w:r w:rsidRPr="00A8783E">
        <w:rPr>
          <w:rFonts w:ascii="Times New Roman" w:hAnsi="Times New Roman"/>
          <w:i/>
          <w:iCs/>
          <w:color w:val="1F497D"/>
          <w:sz w:val="28"/>
          <w:szCs w:val="28"/>
          <w:lang w:val="ru-RU"/>
        </w:rPr>
        <w:t xml:space="preserve">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lang w:val="ru-RU"/>
        </w:rPr>
        <w:t xml:space="preserve">1. </w:t>
      </w:r>
      <w:r w:rsidRPr="00A8783E">
        <w:rPr>
          <w:rFonts w:ascii="Times New Roman" w:hAnsi="Times New Roman"/>
          <w:b/>
          <w:bCs/>
          <w:sz w:val="24"/>
          <w:szCs w:val="24"/>
        </w:rPr>
        <w:t>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 xml:space="preserve">Дължина на тялото: 55 – 58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135 – 145 </w:t>
      </w:r>
      <w:r w:rsidRPr="00A8783E">
        <w:rPr>
          <w:rFonts w:ascii="Times New Roman" w:hAnsi="Times New Roman"/>
          <w:sz w:val="24"/>
          <w:szCs w:val="24"/>
          <w:lang w:val="en-US"/>
        </w:rPr>
        <w:t>cm</w:t>
      </w:r>
      <w:r w:rsidRPr="00A8783E">
        <w:rPr>
          <w:rFonts w:ascii="Times New Roman" w:hAnsi="Times New Roman"/>
          <w:sz w:val="24"/>
          <w:szCs w:val="24"/>
        </w:rPr>
        <w:t xml:space="preserve">. По размери е по-едър от обикновеният мишелов. Отличава се от него по светлата долна страна на тялото с тъмни петна по гърдите и по по-сивкавата окраска на крилата. Опашката е бяла с широка тъмна ивица накрая. Честа каца на земята. Краката му са оперени до пръстите </w:t>
      </w:r>
      <w:r w:rsidRPr="00A8783E">
        <w:rPr>
          <w:rFonts w:ascii="Times New Roman" w:hAnsi="Times New Roman"/>
          <w:sz w:val="24"/>
          <w:szCs w:val="24"/>
          <w:lang w:val="ru-RU"/>
        </w:rPr>
        <w:t>(</w:t>
      </w:r>
      <w:r w:rsidRPr="00A8783E">
        <w:rPr>
          <w:rFonts w:ascii="Times New Roman" w:hAnsi="Times New Roman"/>
          <w:sz w:val="24"/>
          <w:szCs w:val="24"/>
        </w:rPr>
        <w:t>Симеонов и др., 1990</w:t>
      </w:r>
      <w:r w:rsidRPr="00A8783E">
        <w:rPr>
          <w:rFonts w:ascii="Times New Roman" w:hAnsi="Times New Roman"/>
          <w:sz w:val="24"/>
          <w:szCs w:val="24"/>
          <w:lang w:val="ru-RU"/>
        </w:rPr>
        <w:t>).</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Прелетен и зимуващ вид за страната. Есенният прелет е от втората половина на октомври до края на ноември, а пролетният – през март. През зимата се срещат рядко единични екземпляри, по-многоброен е през по-студените зими. Среща се в равнини и предпланини в цялата страна до около 900 m надморска височина.</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Обитава открити обработваеми и пустеещи площи с единични дървета и храсти, обширни речни долини, хълмисти обезлесени райони, разредени гори с обширни поляни. Подходящи местообитания по време на миграция и зимуване са обработваеми и пустеещи земи и вероятно повечето типове „Естествени и полуестествени тревни формации“ </w:t>
      </w:r>
      <w:r w:rsidRPr="00A8783E">
        <w:rPr>
          <w:rFonts w:ascii="Times New Roman" w:hAnsi="Times New Roman"/>
          <w:sz w:val="24"/>
          <w:szCs w:val="24"/>
          <w:lang w:val="ru-RU"/>
        </w:rPr>
        <w:t>(6110-6520)</w:t>
      </w:r>
      <w:r w:rsidRPr="00A8783E">
        <w:rPr>
          <w:rFonts w:ascii="Times New Roman" w:hAnsi="Times New Roman"/>
          <w:sz w:val="24"/>
          <w:szCs w:val="24"/>
        </w:rPr>
        <w:t xml:space="preserve">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В храната на северния мишелов са установени 34 компонента. Бозайниците са представени от 9 вида – обикновена полевка, горска полевка, горска мишка. Птиците са основна храна – 18 вида, като най-често ловува яребица.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Включен в Приложение 3 на ЗБР. Според </w:t>
      </w:r>
      <w:r w:rsidRPr="00A8783E">
        <w:rPr>
          <w:rFonts w:ascii="Times New Roman" w:hAnsi="Times New Roman"/>
          <w:sz w:val="24"/>
          <w:szCs w:val="24"/>
          <w:lang w:val="en-GB"/>
        </w:rPr>
        <w:t>IUCN</w:t>
      </w:r>
      <w:r w:rsidRPr="00A8783E">
        <w:rPr>
          <w:rFonts w:ascii="Times New Roman" w:hAnsi="Times New Roman"/>
          <w:sz w:val="24"/>
          <w:szCs w:val="24"/>
          <w:lang w:val="ru-RU"/>
        </w:rPr>
        <w:t xml:space="preserve"> </w:t>
      </w:r>
      <w:r w:rsidRPr="00A8783E">
        <w:rPr>
          <w:rFonts w:ascii="Times New Roman" w:hAnsi="Times New Roman"/>
          <w:sz w:val="24"/>
          <w:szCs w:val="24"/>
        </w:rPr>
        <w:t xml:space="preserve">видът е с категория „слабо засегнат“ -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lang w:val="ru-RU"/>
        </w:rPr>
        <w:t xml:space="preserve"> </w:t>
      </w:r>
      <w:r w:rsidRPr="00A8783E">
        <w:rPr>
          <w:rFonts w:ascii="Times New Roman" w:hAnsi="Times New Roman"/>
          <w:sz w:val="24"/>
          <w:szCs w:val="24"/>
          <w:lang w:val="en-GB"/>
        </w:rPr>
        <w:t>Concern</w:t>
      </w:r>
      <w:r w:rsidRPr="00A8783E">
        <w:rPr>
          <w:rFonts w:ascii="Times New Roman" w:hAnsi="Times New Roman"/>
          <w:sz w:val="24"/>
          <w:szCs w:val="24"/>
        </w:rPr>
        <w:t>) за територията на континентална Европа, също и за света. Не е включен в Червената книга на Р България.</w:t>
      </w:r>
    </w:p>
    <w:p w:rsidR="00A8783E" w:rsidRPr="00A8783E" w:rsidRDefault="00A8783E" w:rsidP="00A8783E">
      <w:pPr>
        <w:spacing w:before="120" w:after="120" w:line="240" w:lineRule="auto"/>
        <w:jc w:val="both"/>
        <w:rPr>
          <w:rFonts w:ascii="Times New Roman" w:hAnsi="Times New Roman"/>
          <w:sz w:val="24"/>
          <w:szCs w:val="24"/>
          <w:u w:val="single"/>
        </w:rPr>
      </w:pPr>
      <w:r w:rsidRPr="00A8783E">
        <w:rPr>
          <w:rFonts w:ascii="Times New Roman" w:hAnsi="Times New Roman"/>
          <w:sz w:val="24"/>
          <w:szCs w:val="24"/>
          <w:u w:val="single"/>
        </w:rPr>
        <w:t>Видът не се докладва по чл. 12 от Директивата за птиците.</w:t>
      </w:r>
    </w:p>
    <w:p w:rsidR="00A8783E" w:rsidRPr="00A8783E" w:rsidRDefault="00A8783E" w:rsidP="00A8783E">
      <w:pPr>
        <w:spacing w:after="160" w:line="259"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СФ </w:t>
      </w:r>
      <w:r w:rsidRPr="00A8783E">
        <w:rPr>
          <w:rFonts w:ascii="Times New Roman" w:hAnsi="Times New Roman"/>
          <w:b/>
          <w:bCs/>
          <w:sz w:val="24"/>
          <w:szCs w:val="24"/>
        </w:rPr>
        <w:t xml:space="preserve">мигриращата </w:t>
      </w:r>
      <w:r w:rsidRPr="00A8783E">
        <w:rPr>
          <w:rFonts w:ascii="Times New Roman" w:hAnsi="Times New Roman"/>
          <w:sz w:val="24"/>
          <w:szCs w:val="24"/>
        </w:rPr>
        <w:t xml:space="preserve">популация на вида се оценява на до </w:t>
      </w:r>
      <w:r w:rsidRPr="00A8783E">
        <w:rPr>
          <w:rFonts w:ascii="Times New Roman" w:hAnsi="Times New Roman"/>
          <w:b/>
          <w:bCs/>
          <w:sz w:val="24"/>
          <w:szCs w:val="24"/>
          <w:lang w:val="ru-RU"/>
        </w:rPr>
        <w:t>1</w:t>
      </w:r>
      <w:r w:rsidRPr="00A8783E">
        <w:rPr>
          <w:rFonts w:ascii="Times New Roman" w:hAnsi="Times New Roman"/>
          <w:b/>
          <w:bCs/>
          <w:sz w:val="24"/>
          <w:szCs w:val="24"/>
        </w:rPr>
        <w:t xml:space="preserve"> индивид</w:t>
      </w:r>
      <w:r w:rsidRPr="00A8783E">
        <w:rPr>
          <w:rFonts w:ascii="Times New Roman" w:hAnsi="Times New Roman"/>
          <w:sz w:val="24"/>
          <w:szCs w:val="24"/>
        </w:rPr>
        <w:t>. Видът не се докладван като мигриращ по чл. 12 от Директива за птиците и не е известна мигриращата популация в страната.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ОВМ „Сребърна“ видът не е посочен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2007</w:t>
      </w:r>
      <w:r w:rsidRPr="00A8783E">
        <w:rPr>
          <w:rFonts w:ascii="Times New Roman" w:hAnsi="Times New Roman"/>
          <w:sz w:val="24"/>
          <w:szCs w:val="24"/>
          <w:lang w:val="ru-RU"/>
        </w:rPr>
        <w:t>)</w:t>
      </w:r>
      <w:r w:rsidRPr="00A8783E">
        <w:rPr>
          <w:rFonts w:ascii="Times New Roman" w:hAnsi="Times New Roman"/>
          <w:sz w:val="24"/>
          <w:szCs w:val="24"/>
        </w:rPr>
        <w:t xml:space="preserve">. В средна Дунавска равнина е редовно зимуващ вид, но с ниска численост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В ПР Сребърна видът е нередовно зимуващ </w:t>
      </w:r>
      <w:r w:rsidRPr="00A8783E">
        <w:rPr>
          <w:rFonts w:ascii="Times New Roman" w:hAnsi="Times New Roman"/>
          <w:sz w:val="24"/>
          <w:szCs w:val="24"/>
          <w:lang w:val="ru-RU"/>
        </w:rPr>
        <w:t>(</w:t>
      </w:r>
      <w:r w:rsidRPr="00A8783E">
        <w:rPr>
          <w:rFonts w:ascii="Times New Roman" w:hAnsi="Times New Roman"/>
          <w:sz w:val="24"/>
          <w:szCs w:val="24"/>
        </w:rPr>
        <w:t xml:space="preserve">Актуализиран план на ПР Сребърна, </w:t>
      </w:r>
      <w:r w:rsidRPr="00A8783E">
        <w:rPr>
          <w:rFonts w:ascii="Times New Roman" w:hAnsi="Times New Roman"/>
          <w:sz w:val="24"/>
          <w:szCs w:val="24"/>
        </w:rPr>
        <w:lastRenderedPageBreak/>
        <w:t>2015</w:t>
      </w:r>
      <w:r w:rsidRPr="00A8783E">
        <w:rPr>
          <w:rFonts w:ascii="Times New Roman" w:hAnsi="Times New Roman"/>
          <w:sz w:val="24"/>
          <w:szCs w:val="24"/>
          <w:lang w:val="ru-RU"/>
        </w:rPr>
        <w:t>)</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 xml:space="preserve">Данните от </w:t>
      </w:r>
      <w:r w:rsidRPr="00A8783E">
        <w:rPr>
          <w:rFonts w:ascii="Times New Roman" w:hAnsi="Times New Roman"/>
          <w:sz w:val="24"/>
          <w:szCs w:val="24"/>
          <w:lang w:val="en-US"/>
        </w:rPr>
        <w:t>eBird</w:t>
      </w:r>
      <w:r w:rsidRPr="00A8783E">
        <w:rPr>
          <w:rFonts w:ascii="Times New Roman" w:hAnsi="Times New Roman"/>
          <w:sz w:val="24"/>
          <w:szCs w:val="24"/>
          <w:lang w:val="ru-RU"/>
        </w:rPr>
        <w:t xml:space="preserve"> </w:t>
      </w:r>
      <w:r w:rsidRPr="00A8783E">
        <w:rPr>
          <w:rFonts w:ascii="Times New Roman" w:hAnsi="Times New Roman"/>
          <w:sz w:val="24"/>
          <w:szCs w:val="24"/>
        </w:rPr>
        <w:t>показват, че вида не е наблюдаван в зоната. Липсват текущи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rsidR="00A8783E" w:rsidRPr="00A8783E" w:rsidRDefault="00A8783E" w:rsidP="00A8783E">
      <w:pPr>
        <w:spacing w:before="120" w:after="120" w:line="240" w:lineRule="auto"/>
        <w:jc w:val="both"/>
        <w:rPr>
          <w:rFonts w:ascii="Times New Roman" w:hAnsi="Times New Roman" w:cs="Calibri"/>
          <w:b/>
          <w:sz w:val="24"/>
          <w:szCs w:val="24"/>
          <w:lang w:eastAsia="bg-BG"/>
        </w:rPr>
      </w:pPr>
      <w:r w:rsidRPr="00A8783E">
        <w:rPr>
          <w:rFonts w:ascii="Times New Roman" w:hAnsi="Times New Roman"/>
          <w:b/>
          <w:bCs/>
          <w:sz w:val="24"/>
          <w:szCs w:val="24"/>
        </w:rPr>
        <w:t xml:space="preserve">5. </w:t>
      </w:r>
      <w:r w:rsidRPr="00A8783E">
        <w:rPr>
          <w:rFonts w:ascii="Times New Roman" w:hAnsi="Times New Roman" w:cs="Calibri"/>
          <w:b/>
          <w:sz w:val="24"/>
          <w:szCs w:val="24"/>
          <w:lang w:eastAsia="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137"/>
        <w:gridCol w:w="1267"/>
        <w:gridCol w:w="3063"/>
        <w:gridCol w:w="2068"/>
      </w:tblGrid>
      <w:tr w:rsidR="00A8783E" w:rsidRPr="00A8783E" w:rsidTr="005B5318">
        <w:trPr>
          <w:tblHeader/>
          <w:jc w:val="center"/>
        </w:trPr>
        <w:tc>
          <w:tcPr>
            <w:tcW w:w="944" w:type="pct"/>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Параметър</w:t>
            </w:r>
          </w:p>
        </w:tc>
        <w:tc>
          <w:tcPr>
            <w:tcW w:w="612" w:type="pct"/>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Мерна единица</w:t>
            </w:r>
          </w:p>
        </w:tc>
        <w:tc>
          <w:tcPr>
            <w:tcW w:w="682" w:type="pct"/>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Целева стойност</w:t>
            </w:r>
          </w:p>
        </w:tc>
        <w:tc>
          <w:tcPr>
            <w:tcW w:w="1649" w:type="pct"/>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Допълнителна информация</w:t>
            </w:r>
          </w:p>
        </w:tc>
        <w:tc>
          <w:tcPr>
            <w:tcW w:w="1113" w:type="pct"/>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jc w:val="center"/>
        </w:trPr>
        <w:tc>
          <w:tcPr>
            <w:tcW w:w="944" w:type="pct"/>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мигриращата популация</w:t>
            </w:r>
          </w:p>
        </w:tc>
        <w:tc>
          <w:tcPr>
            <w:tcW w:w="612"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индивиди</w:t>
            </w:r>
          </w:p>
        </w:tc>
        <w:tc>
          <w:tcPr>
            <w:tcW w:w="682"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0-1 инд.</w:t>
            </w:r>
          </w:p>
        </w:tc>
        <w:tc>
          <w:tcPr>
            <w:tcW w:w="1649"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Определена на база СФ.</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Няма друга актуална информация за количеството на птиците и районите с концентрация на вида в зоната по време на миграция. </w:t>
            </w:r>
          </w:p>
        </w:tc>
        <w:tc>
          <w:tcPr>
            <w:tcW w:w="1113" w:type="pct"/>
          </w:tcPr>
          <w:p w:rsidR="00A8783E" w:rsidRPr="00A8783E" w:rsidRDefault="00A8783E" w:rsidP="00A8783E">
            <w:pPr>
              <w:spacing w:after="0" w:line="240" w:lineRule="auto"/>
              <w:rPr>
                <w:rFonts w:ascii="Times New Roman" w:hAnsi="Times New Roman"/>
              </w:rPr>
            </w:pPr>
            <w:r w:rsidRPr="00A8783E">
              <w:rPr>
                <w:rFonts w:ascii="Times New Roman" w:hAnsi="Times New Roman"/>
                <w:b/>
              </w:rPr>
              <w:t>Междинна цел</w:t>
            </w:r>
            <w:r w:rsidRPr="00A8783E">
              <w:rPr>
                <w:rFonts w:ascii="Times New Roman" w:hAnsi="Times New Roman"/>
              </w:rPr>
              <w:t>: Да се извърши целенасочен мониторинг за установяване на размера на мигриращата популация до 2025 г.</w:t>
            </w:r>
          </w:p>
        </w:tc>
      </w:tr>
      <w:tr w:rsidR="00A8783E" w:rsidRPr="00A8783E" w:rsidTr="005B5318">
        <w:trPr>
          <w:jc w:val="center"/>
        </w:trPr>
        <w:tc>
          <w:tcPr>
            <w:tcW w:w="944" w:type="pct"/>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хранителни местообитания на вида</w:t>
            </w:r>
          </w:p>
        </w:tc>
        <w:tc>
          <w:tcPr>
            <w:tcW w:w="612"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ha</w:t>
            </w:r>
          </w:p>
        </w:tc>
        <w:tc>
          <w:tcPr>
            <w:tcW w:w="682"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Най-малко 318</w:t>
            </w:r>
          </w:p>
        </w:tc>
        <w:tc>
          <w:tcPr>
            <w:tcW w:w="1649"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Определена на база на % участие откритите местообитания в зоната: </w:t>
            </w:r>
            <w:r w:rsidRPr="00A8783E">
              <w:rPr>
                <w:rFonts w:ascii="Times New Roman" w:hAnsi="Times New Roman"/>
                <w:lang w:val="en-US"/>
              </w:rPr>
              <w:t>N</w:t>
            </w:r>
            <w:r w:rsidRPr="00A8783E">
              <w:rPr>
                <w:rFonts w:ascii="Times New Roman" w:hAnsi="Times New Roman"/>
                <w:lang w:val="ru-RU"/>
              </w:rPr>
              <w:t>08</w:t>
            </w:r>
            <w:r w:rsidRPr="00A8783E">
              <w:rPr>
                <w:rFonts w:ascii="Times New Roman" w:hAnsi="Times New Roman"/>
              </w:rPr>
              <w:t>-</w:t>
            </w:r>
            <w:r w:rsidRPr="00A8783E">
              <w:rPr>
                <w:lang w:val="ru-RU"/>
              </w:rPr>
              <w:t xml:space="preserve"> </w:t>
            </w:r>
            <w:r w:rsidRPr="00A8783E">
              <w:rPr>
                <w:rFonts w:ascii="Times New Roman" w:hAnsi="Times New Roman"/>
              </w:rPr>
              <w:t xml:space="preserve">Равнини, шубраци, </w:t>
            </w:r>
            <w:r w:rsidRPr="00A8783E">
              <w:rPr>
                <w:rFonts w:ascii="Times New Roman" w:hAnsi="Times New Roman"/>
                <w:lang w:val="en-US"/>
              </w:rPr>
              <w:t>N</w:t>
            </w:r>
            <w:r w:rsidRPr="00A8783E">
              <w:rPr>
                <w:rFonts w:ascii="Times New Roman" w:hAnsi="Times New Roman"/>
                <w:lang w:val="ru-RU"/>
              </w:rPr>
              <w:t>09-</w:t>
            </w:r>
            <w:r w:rsidRPr="00A8783E">
              <w:rPr>
                <w:rFonts w:ascii="Times New Roman" w:hAnsi="Times New Roman"/>
              </w:rPr>
              <w:t xml:space="preserve">сухи ливади, степи, </w:t>
            </w:r>
            <w:r w:rsidRPr="00A8783E">
              <w:rPr>
                <w:rFonts w:ascii="Times New Roman" w:hAnsi="Times New Roman"/>
                <w:lang w:val="en-US"/>
              </w:rPr>
              <w:t>N</w:t>
            </w:r>
            <w:r w:rsidRPr="00A8783E">
              <w:rPr>
                <w:rFonts w:ascii="Times New Roman" w:hAnsi="Times New Roman"/>
                <w:lang w:val="ru-RU"/>
              </w:rPr>
              <w:t>15-</w:t>
            </w:r>
            <w:r w:rsidRPr="00A8783E">
              <w:rPr>
                <w:rFonts w:ascii="Times New Roman" w:hAnsi="Times New Roman"/>
              </w:rPr>
              <w:t>други обработваеми земи. Тяхната обща площ е 318 ха.</w:t>
            </w:r>
          </w:p>
        </w:tc>
        <w:tc>
          <w:tcPr>
            <w:tcW w:w="1113"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най-малко 318 ha.</w:t>
            </w:r>
          </w:p>
        </w:tc>
      </w:tr>
    </w:tbl>
    <w:p w:rsidR="00A8783E" w:rsidRPr="00A8783E" w:rsidRDefault="00A8783E" w:rsidP="00A8783E">
      <w:pPr>
        <w:spacing w:after="160" w:line="259" w:lineRule="auto"/>
        <w:rPr>
          <w:rFonts w:ascii="Times New Roman" w:hAnsi="Times New Roman"/>
          <w:b/>
          <w:bCs/>
          <w:sz w:val="24"/>
          <w:szCs w:val="24"/>
        </w:rPr>
      </w:pPr>
    </w:p>
    <w:p w:rsidR="00A8783E" w:rsidRPr="00A8783E" w:rsidRDefault="00A8783E" w:rsidP="00A8783E">
      <w:pPr>
        <w:spacing w:after="160" w:line="259" w:lineRule="auto"/>
        <w:rPr>
          <w:rFonts w:ascii="Times New Roman" w:hAnsi="Times New Roman"/>
          <w:b/>
          <w:bCs/>
          <w:sz w:val="24"/>
          <w:szCs w:val="24"/>
        </w:rPr>
      </w:pPr>
      <w:r w:rsidRPr="00A8783E">
        <w:rPr>
          <w:rFonts w:ascii="Times New Roman" w:hAnsi="Times New Roman"/>
          <w:b/>
          <w:bCs/>
          <w:sz w:val="24"/>
          <w:szCs w:val="24"/>
        </w:rPr>
        <w:t xml:space="preserve">6. </w:t>
      </w:r>
      <w:bookmarkStart w:id="287" w:name="_Hlk88867474"/>
      <w:r w:rsidRPr="00A8783E">
        <w:rPr>
          <w:rFonts w:ascii="Times New Roman" w:hAnsi="Times New Roman"/>
          <w:b/>
          <w:bCs/>
          <w:sz w:val="24"/>
          <w:szCs w:val="24"/>
        </w:rPr>
        <w:t>Необходимост от промени в СФ за СЗЗ BG0000241 „Сребърна“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Не е необходима актуализация на СФ на този етап.</w:t>
      </w:r>
    </w:p>
    <w:bookmarkEnd w:id="287"/>
    <w:p w:rsidR="00A8783E" w:rsidRPr="00A8783E" w:rsidRDefault="00A8783E" w:rsidP="00A8783E">
      <w:pPr>
        <w:spacing w:after="160" w:line="259" w:lineRule="auto"/>
        <w:rPr>
          <w:rFonts w:ascii="Times New Roman" w:hAnsi="Times New Roman"/>
          <w:sz w:val="24"/>
          <w:szCs w:val="24"/>
          <w:lang w:val="ru-RU"/>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val="ru-RU"/>
        </w:rPr>
      </w:pPr>
      <w:bookmarkStart w:id="288" w:name="_Toc87031399"/>
      <w:bookmarkStart w:id="289" w:name="_Toc87467222"/>
      <w:bookmarkStart w:id="290" w:name="_Toc88638309"/>
      <w:bookmarkStart w:id="291" w:name="_Toc88865717"/>
      <w:bookmarkStart w:id="292" w:name="_Toc89106108"/>
      <w:bookmarkStart w:id="293" w:name="_Toc98741947"/>
      <w:bookmarkStart w:id="294" w:name="_Toc98838622"/>
      <w:r w:rsidRPr="00A8783E">
        <w:rPr>
          <w:rFonts w:ascii="Times New Roman" w:hAnsi="Times New Roman"/>
          <w:color w:val="1F497D"/>
          <w:sz w:val="28"/>
          <w:szCs w:val="28"/>
        </w:rPr>
        <w:t>Специфични цели за</w:t>
      </w:r>
      <w:r w:rsidRPr="00A8783E">
        <w:rPr>
          <w:rFonts w:ascii="Times New Roman" w:hAnsi="Times New Roman"/>
          <w:color w:val="1F497D"/>
          <w:sz w:val="28"/>
          <w:szCs w:val="28"/>
          <w:lang w:val="ru-RU"/>
        </w:rPr>
        <w:t xml:space="preserve"> </w:t>
      </w:r>
      <w:r w:rsidRPr="00A8783E">
        <w:rPr>
          <w:rFonts w:ascii="Times New Roman" w:hAnsi="Times New Roman"/>
          <w:color w:val="1F497D"/>
          <w:sz w:val="28"/>
          <w:szCs w:val="28"/>
          <w:lang w:val="en-US"/>
        </w:rPr>
        <w:t>A</w:t>
      </w:r>
      <w:r w:rsidRPr="00A8783E">
        <w:rPr>
          <w:rFonts w:ascii="Times New Roman" w:hAnsi="Times New Roman"/>
          <w:color w:val="1F497D"/>
          <w:sz w:val="28"/>
          <w:szCs w:val="28"/>
          <w:lang w:val="ru-RU"/>
        </w:rPr>
        <w:t xml:space="preserve">858 </w:t>
      </w:r>
      <w:r w:rsidRPr="00A8783E">
        <w:rPr>
          <w:rFonts w:ascii="Times New Roman" w:hAnsi="Times New Roman"/>
          <w:i/>
          <w:color w:val="1F497D"/>
          <w:sz w:val="28"/>
          <w:szCs w:val="28"/>
          <w:lang w:val="en-US"/>
        </w:rPr>
        <w:t>Clanga</w:t>
      </w:r>
      <w:r w:rsidRPr="00A8783E">
        <w:rPr>
          <w:rFonts w:ascii="Times New Roman" w:hAnsi="Times New Roman"/>
          <w:i/>
          <w:iCs/>
          <w:color w:val="1F497D"/>
          <w:sz w:val="28"/>
          <w:szCs w:val="28"/>
          <w:lang w:val="ru-RU"/>
        </w:rPr>
        <w:t xml:space="preserve"> </w:t>
      </w:r>
      <w:r w:rsidRPr="00A8783E">
        <w:rPr>
          <w:rFonts w:ascii="Times New Roman" w:hAnsi="Times New Roman"/>
          <w:i/>
          <w:iCs/>
          <w:color w:val="1F497D"/>
          <w:sz w:val="28"/>
          <w:szCs w:val="28"/>
          <w:lang w:val="en-US"/>
        </w:rPr>
        <w:t>pomarina</w:t>
      </w:r>
      <w:r w:rsidRPr="00A8783E">
        <w:rPr>
          <w:rFonts w:ascii="Times New Roman" w:hAnsi="Times New Roman"/>
          <w:color w:val="1F497D"/>
          <w:sz w:val="28"/>
          <w:szCs w:val="28"/>
          <w:lang w:val="ru-RU"/>
        </w:rPr>
        <w:t xml:space="preserve"> (малък креслив орел)</w:t>
      </w:r>
      <w:bookmarkEnd w:id="288"/>
      <w:bookmarkEnd w:id="289"/>
      <w:bookmarkEnd w:id="290"/>
      <w:bookmarkEnd w:id="291"/>
      <w:bookmarkEnd w:id="292"/>
      <w:bookmarkEnd w:id="293"/>
      <w:bookmarkEnd w:id="294"/>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lang w:val="ru-RU"/>
        </w:rPr>
        <w:t>1</w:t>
      </w:r>
      <w:r w:rsidRPr="00A8783E">
        <w:rPr>
          <w:rFonts w:ascii="Times New Roman" w:hAnsi="Times New Roman"/>
          <w:b/>
          <w:bCs/>
          <w:sz w:val="24"/>
          <w:szCs w:val="24"/>
        </w:rPr>
        <w:t>.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60-65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140-150 </w:t>
      </w:r>
      <w:r w:rsidRPr="00A8783E">
        <w:rPr>
          <w:rFonts w:ascii="Times New Roman" w:hAnsi="Times New Roman"/>
          <w:sz w:val="24"/>
          <w:szCs w:val="24"/>
          <w:lang w:val="en-US"/>
        </w:rPr>
        <w:t>cm</w:t>
      </w:r>
      <w:r w:rsidRPr="00A8783E">
        <w:rPr>
          <w:rFonts w:ascii="Times New Roman" w:hAnsi="Times New Roman"/>
          <w:sz w:val="24"/>
          <w:szCs w:val="24"/>
        </w:rPr>
        <w:t xml:space="preserve">. Възрастните са с кафяво оперение, черни махови пера, бели петна на крилата и черна опашка с бяло дъгообразно петно в основата. Ирисът е жълт. Може да бъдат разграничени от възрастните на големия креслив орел по дребните размери; при полет маховите пера отдолу са черни, а подкрилията – кафяви (при големия креслив орел е обратно). Опашката е къса, а профилът при реене – „увиснал“ (Симеонов и др., 1990, Мичев и др., 2012).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Гнездящо-прелетен, преминаващ и отчасти зимуващ вид. Пролетният прелет е от средата на февруари до началото на април. Есенният прелет е от началото на август до края на октомври. Тогава се среща често по Черноморското крайбрежие. Максимална миграция е наблюдавана през последната десетдневка на септември (Симеонов и др. 1990; Червена книга на Р България 2015).</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Запазени горски масиви широколистни и смесени гори (бук, дъб или смесени насаждения) с поляни в близост до речни долини, пасища, ливади, блата, стари полезащитни пояси и други горски площи, в близост до просторни тревни съобщества и край селскостопански земи, които птиците използват за ловуване. Гнезди основно върху дъб (70%). Средната плътност на гнездящите двойки в пригодни местообитания за вида е 0.33 дв./100 ha. Най-честите типове местообитания, които използва за ловуване са обработваемите зими – 76% (Плачийски и др., 2018). По време на миграции се среща в открити пространства и до горната граница на гората (Симеонов и др., 1990; Червена книга на Р България 2015). Според Meyburg et al. (1997), 60 двойки обитават територия от около 3000 km</w:t>
      </w:r>
      <w:r w:rsidRPr="00A8783E">
        <w:rPr>
          <w:rFonts w:ascii="Times New Roman" w:hAnsi="Times New Roman"/>
          <w:sz w:val="24"/>
          <w:szCs w:val="24"/>
          <w:vertAlign w:val="superscript"/>
        </w:rPr>
        <w:t>2</w:t>
      </w:r>
      <w:r w:rsidRPr="00A8783E">
        <w:rPr>
          <w:rFonts w:ascii="Times New Roman" w:hAnsi="Times New Roman"/>
          <w:sz w:val="24"/>
          <w:szCs w:val="24"/>
        </w:rPr>
        <w:t xml:space="preserve"> в Странджа планина.</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Хранят се с малки бозайници, малки птици, земноводни, влечуги, полевки и от време на време насекоми. (Симеонов и др., 1990; Червена книга на Р България 2015).</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 неравномерно петнисто разпространение, по-голямата част от гнездовата популация е концентрирана в Югоизточна и Източна България и обхваща почти изцяло Странджа, Сакар и значителни части от Източна Стара планина, Източните Родопи и Добруджа. Останалата част от двойките са разпръснати в почти цялата страна, главно в по-ниските й части. Отсъства или е слабо представен в Северозападна България, Западните погранични планини, южната част на Дунавската равнина и Предбалкана, долините на реките Струма и Места и др. Избягва високите планини като Рила, Пирин и Западните Родопи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Включен в Приложение 1 на Директивата за птиците и Приложение 2 и 3 на ЗБР. Включен в SPEC 2. Включен е в Червената книга на България със статус - уязвим VU. Според IUCN е слабо засегнато-LC (Least Concern), за територията на континентална Европа.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оценява на 460-600 двойки. Краткосрочната (2000-2018) и дългосрочна (1980-2018) популационна тенденция са нарастващи. Посочени са следните заплахи и влияния: А02, A03, B01, B03, B06, C03, D02, F03.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мигриращ</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rPr>
        <w:t>100 индивида</w:t>
      </w:r>
      <w:r w:rsidRPr="00A8783E">
        <w:rPr>
          <w:rFonts w:ascii="Times New Roman" w:hAnsi="Times New Roman"/>
          <w:sz w:val="24"/>
          <w:szCs w:val="24"/>
        </w:rPr>
        <w:t>. Съгласно Докладването от 2019 г. (за периода 2001-2018 г.), няма оценка на мигриращата популация на вида. 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ОВМ „Сребърна“ видът е посочен като мигриращ, но с неизвестна численост (Костадинова и Граматиков, отг. ред., 2007). В средна Дунавска равнина е рядък мигриращ вид (Шурулинков и др., 2005). 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е установено, че макар малки кресливи орли в неголеми числености да прелитат над цяла Северна България и Софийското поле, основният фронт на миграция на вида е през Лудогорието и Западна Добруджа (между </w:t>
      </w:r>
      <w:r w:rsidRPr="00A8783E">
        <w:rPr>
          <w:rFonts w:ascii="Times New Roman" w:hAnsi="Times New Roman"/>
          <w:sz w:val="24"/>
          <w:szCs w:val="24"/>
        </w:rPr>
        <w:lastRenderedPageBreak/>
        <w:t xml:space="preserve">Острово и Пленимир) </w:t>
      </w:r>
      <w:r w:rsidRPr="00A8783E">
        <w:rPr>
          <w:rFonts w:ascii="Times New Roman" w:hAnsi="Times New Roman"/>
          <w:sz w:val="24"/>
          <w:szCs w:val="24"/>
          <w:lang w:val="ru-RU"/>
        </w:rPr>
        <w:t>(</w:t>
      </w:r>
      <w:r w:rsidRPr="00A8783E">
        <w:rPr>
          <w:rFonts w:ascii="Times New Roman" w:hAnsi="Times New Roman"/>
          <w:sz w:val="24"/>
          <w:szCs w:val="24"/>
        </w:rPr>
        <w:t>Матеева и Янков, 2013</w:t>
      </w:r>
      <w:r w:rsidRPr="00A8783E">
        <w:rPr>
          <w:rFonts w:ascii="Times New Roman" w:hAnsi="Times New Roman"/>
          <w:sz w:val="24"/>
          <w:szCs w:val="24"/>
          <w:lang w:val="ru-RU"/>
        </w:rPr>
        <w:t>)</w:t>
      </w:r>
      <w:r w:rsidRPr="00A8783E">
        <w:rPr>
          <w:rFonts w:ascii="Times New Roman" w:hAnsi="Times New Roman"/>
          <w:sz w:val="24"/>
          <w:szCs w:val="24"/>
        </w:rPr>
        <w:t xml:space="preserve">.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Данните от </w:t>
      </w:r>
      <w:r w:rsidRPr="00A8783E">
        <w:rPr>
          <w:rFonts w:ascii="Times New Roman" w:hAnsi="Times New Roman"/>
          <w:sz w:val="24"/>
          <w:szCs w:val="24"/>
          <w:lang w:val="en-US"/>
        </w:rPr>
        <w:t>eBird</w:t>
      </w:r>
      <w:r w:rsidRPr="00A8783E">
        <w:rPr>
          <w:rFonts w:ascii="Times New Roman" w:hAnsi="Times New Roman"/>
          <w:sz w:val="24"/>
          <w:szCs w:val="24"/>
        </w:rPr>
        <w:t>.</w:t>
      </w:r>
      <w:r w:rsidRPr="00A8783E">
        <w:rPr>
          <w:rFonts w:ascii="Times New Roman" w:hAnsi="Times New Roman"/>
          <w:sz w:val="24"/>
          <w:szCs w:val="24"/>
          <w:lang w:val="en-US"/>
        </w:rPr>
        <w:t>org</w:t>
      </w:r>
      <w:r w:rsidRPr="00A8783E">
        <w:rPr>
          <w:rFonts w:ascii="Times New Roman" w:hAnsi="Times New Roman"/>
          <w:sz w:val="24"/>
          <w:szCs w:val="24"/>
        </w:rPr>
        <w:t xml:space="preserve"> показват, че вида е наблюдаван в зоната на 17.05.2021 г. (</w:t>
      </w:r>
      <w:r w:rsidRPr="00A8783E">
        <w:rPr>
          <w:rFonts w:ascii="Times New Roman" w:hAnsi="Times New Roman"/>
          <w:sz w:val="24"/>
          <w:szCs w:val="24"/>
          <w:lang w:val="en-US"/>
        </w:rPr>
        <w:t>Ivaylo</w:t>
      </w:r>
      <w:r w:rsidRPr="00A8783E">
        <w:rPr>
          <w:rFonts w:ascii="Times New Roman" w:hAnsi="Times New Roman"/>
          <w:sz w:val="24"/>
          <w:szCs w:val="24"/>
        </w:rPr>
        <w:t xml:space="preserve"> </w:t>
      </w:r>
      <w:r w:rsidRPr="00A8783E">
        <w:rPr>
          <w:rFonts w:ascii="Times New Roman" w:hAnsi="Times New Roman"/>
          <w:sz w:val="24"/>
          <w:szCs w:val="24"/>
          <w:lang w:val="en-US"/>
        </w:rPr>
        <w:t>Tonev</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lang w:val="ru-RU"/>
        </w:rPr>
        <w:t>5</w:t>
      </w:r>
      <w:r w:rsidRPr="00A8783E">
        <w:rPr>
          <w:rFonts w:ascii="Times New Roman" w:hAnsi="Times New Roman"/>
          <w:b/>
          <w:bCs/>
          <w:sz w:val="24"/>
          <w:szCs w:val="24"/>
        </w:rPr>
        <w:t>. 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133"/>
        <w:gridCol w:w="1101"/>
        <w:gridCol w:w="2800"/>
        <w:gridCol w:w="2501"/>
      </w:tblGrid>
      <w:tr w:rsidR="00A8783E" w:rsidRPr="00A8783E" w:rsidTr="005B5318">
        <w:trPr>
          <w:tblHeader/>
          <w:jc w:val="center"/>
        </w:trPr>
        <w:tc>
          <w:tcPr>
            <w:tcW w:w="0" w:type="auto"/>
            <w:shd w:val="clear" w:color="auto" w:fill="DBE5F1"/>
            <w:vAlign w:val="center"/>
          </w:tcPr>
          <w:p w:rsidR="00A8783E" w:rsidRPr="00A8783E" w:rsidRDefault="00A8783E" w:rsidP="00A8783E">
            <w:pPr>
              <w:spacing w:before="120" w:after="120" w:line="240" w:lineRule="auto"/>
              <w:rPr>
                <w:rFonts w:ascii="Times New Roman" w:hAnsi="Times New Roman"/>
                <w:b/>
                <w:bCs/>
              </w:rPr>
            </w:pPr>
            <w:r w:rsidRPr="00A8783E">
              <w:rPr>
                <w:rFonts w:ascii="Times New Roman" w:hAnsi="Times New Roman"/>
                <w:b/>
                <w:bCs/>
              </w:rPr>
              <w:t>Параметър</w:t>
            </w:r>
          </w:p>
        </w:tc>
        <w:tc>
          <w:tcPr>
            <w:tcW w:w="0" w:type="auto"/>
            <w:shd w:val="clear" w:color="auto" w:fill="DBE5F1"/>
            <w:vAlign w:val="center"/>
          </w:tcPr>
          <w:p w:rsidR="00A8783E" w:rsidRPr="00A8783E" w:rsidRDefault="00A8783E" w:rsidP="00A8783E">
            <w:pPr>
              <w:spacing w:before="120" w:after="120" w:line="240" w:lineRule="auto"/>
              <w:rPr>
                <w:rFonts w:ascii="Times New Roman" w:hAnsi="Times New Roman"/>
                <w:b/>
                <w:bCs/>
              </w:rPr>
            </w:pPr>
            <w:r w:rsidRPr="00A8783E">
              <w:rPr>
                <w:rFonts w:ascii="Times New Roman" w:hAnsi="Times New Roman"/>
                <w:b/>
                <w:bCs/>
              </w:rPr>
              <w:t xml:space="preserve">Мерна единица </w:t>
            </w:r>
          </w:p>
        </w:tc>
        <w:tc>
          <w:tcPr>
            <w:tcW w:w="0" w:type="auto"/>
            <w:shd w:val="clear" w:color="auto" w:fill="DBE5F1"/>
            <w:vAlign w:val="center"/>
          </w:tcPr>
          <w:p w:rsidR="00A8783E" w:rsidRPr="00A8783E" w:rsidRDefault="00A8783E" w:rsidP="00A8783E">
            <w:pPr>
              <w:spacing w:before="120" w:after="120" w:line="240" w:lineRule="auto"/>
              <w:rPr>
                <w:rFonts w:ascii="Times New Roman" w:hAnsi="Times New Roman"/>
                <w:b/>
                <w:bCs/>
              </w:rPr>
            </w:pPr>
            <w:r w:rsidRPr="00A8783E">
              <w:rPr>
                <w:rFonts w:ascii="Times New Roman" w:hAnsi="Times New Roman"/>
                <w:b/>
                <w:bCs/>
              </w:rPr>
              <w:t xml:space="preserve">Целева стойност </w:t>
            </w:r>
          </w:p>
        </w:tc>
        <w:tc>
          <w:tcPr>
            <w:tcW w:w="2862" w:type="dxa"/>
            <w:shd w:val="clear" w:color="auto" w:fill="DBE5F1"/>
            <w:vAlign w:val="center"/>
          </w:tcPr>
          <w:p w:rsidR="00A8783E" w:rsidRPr="00A8783E" w:rsidRDefault="00A8783E" w:rsidP="00A8783E">
            <w:pPr>
              <w:spacing w:before="120" w:after="120" w:line="240" w:lineRule="auto"/>
              <w:rPr>
                <w:rFonts w:ascii="Times New Roman" w:hAnsi="Times New Roman"/>
                <w:b/>
                <w:bCs/>
              </w:rPr>
            </w:pPr>
            <w:r w:rsidRPr="00A8783E">
              <w:rPr>
                <w:rFonts w:ascii="Times New Roman" w:hAnsi="Times New Roman"/>
                <w:b/>
                <w:bCs/>
              </w:rPr>
              <w:t xml:space="preserve">Допълнителна информация </w:t>
            </w:r>
          </w:p>
        </w:tc>
        <w:tc>
          <w:tcPr>
            <w:tcW w:w="2547" w:type="dxa"/>
            <w:shd w:val="clear" w:color="auto" w:fill="DBE5F1"/>
            <w:vAlign w:val="center"/>
          </w:tcPr>
          <w:p w:rsidR="00A8783E" w:rsidRPr="00A8783E" w:rsidRDefault="00A8783E" w:rsidP="00A8783E">
            <w:pPr>
              <w:spacing w:before="120" w:after="120" w:line="240" w:lineRule="auto"/>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0" w:type="auto"/>
          </w:tcPr>
          <w:p w:rsidR="00A8783E" w:rsidRPr="00A8783E" w:rsidRDefault="00A8783E" w:rsidP="00A8783E">
            <w:pPr>
              <w:spacing w:before="120" w:after="120" w:line="240" w:lineRule="auto"/>
              <w:jc w:val="both"/>
              <w:rPr>
                <w:rFonts w:ascii="Times New Roman" w:hAnsi="Times New Roman"/>
              </w:rPr>
            </w:pPr>
            <w:r w:rsidRPr="00A8783E">
              <w:rPr>
                <w:rFonts w:ascii="Times New Roman" w:hAnsi="Times New Roman"/>
                <w:b/>
                <w:bCs/>
              </w:rPr>
              <w:t>Популация</w:t>
            </w:r>
            <w:r w:rsidRPr="00A8783E">
              <w:rPr>
                <w:rFonts w:ascii="Times New Roman" w:hAnsi="Times New Roman"/>
              </w:rPr>
              <w:t>: Размер на мигриращата популация</w:t>
            </w:r>
          </w:p>
        </w:tc>
        <w:tc>
          <w:tcPr>
            <w:tcW w:w="0" w:type="auto"/>
          </w:tcPr>
          <w:p w:rsidR="00A8783E" w:rsidRPr="00A8783E" w:rsidRDefault="00A8783E" w:rsidP="00A8783E">
            <w:pPr>
              <w:spacing w:before="120" w:after="120" w:line="240" w:lineRule="auto"/>
              <w:jc w:val="both"/>
              <w:rPr>
                <w:rFonts w:ascii="Times New Roman" w:hAnsi="Times New Roman"/>
              </w:rPr>
            </w:pPr>
            <w:r w:rsidRPr="00A8783E">
              <w:rPr>
                <w:rFonts w:ascii="Times New Roman" w:hAnsi="Times New Roman"/>
              </w:rPr>
              <w:t>Брой индивиди</w:t>
            </w:r>
          </w:p>
        </w:tc>
        <w:tc>
          <w:tcPr>
            <w:tcW w:w="0" w:type="auto"/>
          </w:tcPr>
          <w:p w:rsidR="00A8783E" w:rsidRPr="00A8783E" w:rsidRDefault="00A8783E" w:rsidP="00A8783E">
            <w:pPr>
              <w:spacing w:before="120" w:after="120" w:line="240" w:lineRule="auto"/>
              <w:jc w:val="both"/>
              <w:rPr>
                <w:rFonts w:ascii="Times New Roman" w:hAnsi="Times New Roman"/>
              </w:rPr>
            </w:pPr>
            <w:r w:rsidRPr="00A8783E">
              <w:rPr>
                <w:rFonts w:ascii="Times New Roman" w:hAnsi="Times New Roman"/>
              </w:rPr>
              <w:t>Най-малко 100 инд.</w:t>
            </w:r>
          </w:p>
        </w:tc>
        <w:tc>
          <w:tcPr>
            <w:tcW w:w="2862" w:type="dxa"/>
          </w:tcPr>
          <w:p w:rsidR="00A8783E" w:rsidRPr="00A8783E" w:rsidRDefault="00A8783E" w:rsidP="00A8783E">
            <w:pPr>
              <w:spacing w:before="120" w:after="120" w:line="240" w:lineRule="auto"/>
              <w:jc w:val="both"/>
              <w:rPr>
                <w:rFonts w:ascii="Times New Roman" w:hAnsi="Times New Roman"/>
              </w:rPr>
            </w:pPr>
            <w:r w:rsidRPr="00A8783E">
              <w:rPr>
                <w:rFonts w:ascii="Times New Roman" w:hAnsi="Times New Roman"/>
              </w:rPr>
              <w:t>Определена на база СФ. Няма друга актуална информация за количеството на птиците и районите с концентрация на вида в зоната по време на миграция.</w:t>
            </w:r>
          </w:p>
        </w:tc>
        <w:tc>
          <w:tcPr>
            <w:tcW w:w="2547" w:type="dxa"/>
          </w:tcPr>
          <w:p w:rsidR="00A8783E" w:rsidRPr="00A8783E" w:rsidRDefault="00A8783E" w:rsidP="00A8783E">
            <w:pPr>
              <w:spacing w:before="120" w:after="120" w:line="240" w:lineRule="auto"/>
              <w:jc w:val="both"/>
              <w:rPr>
                <w:rFonts w:ascii="Times New Roman" w:hAnsi="Times New Roman"/>
              </w:rPr>
            </w:pPr>
            <w:r w:rsidRPr="00A8783E">
              <w:rPr>
                <w:rFonts w:ascii="Times New Roman" w:hAnsi="Times New Roman"/>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A8783E" w:rsidRPr="00A8783E" w:rsidTr="005B5318">
        <w:trPr>
          <w:jc w:val="center"/>
        </w:trPr>
        <w:tc>
          <w:tcPr>
            <w:tcW w:w="0" w:type="auto"/>
          </w:tcPr>
          <w:p w:rsidR="00A8783E" w:rsidRPr="00A8783E" w:rsidRDefault="00A8783E" w:rsidP="00A8783E">
            <w:pPr>
              <w:spacing w:before="120" w:after="120" w:line="240" w:lineRule="auto"/>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места за търсене на храна</w:t>
            </w:r>
          </w:p>
        </w:tc>
        <w:tc>
          <w:tcPr>
            <w:tcW w:w="0" w:type="auto"/>
          </w:tcPr>
          <w:p w:rsidR="00A8783E" w:rsidRPr="00A8783E" w:rsidRDefault="00A8783E" w:rsidP="00A8783E">
            <w:pPr>
              <w:spacing w:before="120" w:after="120" w:line="240" w:lineRule="auto"/>
              <w:rPr>
                <w:rFonts w:ascii="Times New Roman" w:hAnsi="Times New Roman"/>
                <w:lang w:val="en-US"/>
              </w:rPr>
            </w:pPr>
            <w:r w:rsidRPr="00A8783E">
              <w:rPr>
                <w:rFonts w:ascii="Times New Roman" w:hAnsi="Times New Roman"/>
                <w:lang w:val="en-US"/>
              </w:rPr>
              <w:t>ha</w:t>
            </w:r>
          </w:p>
          <w:p w:rsidR="00A8783E" w:rsidRPr="00A8783E" w:rsidRDefault="00A8783E" w:rsidP="00A8783E">
            <w:pPr>
              <w:spacing w:before="120" w:after="120" w:line="240" w:lineRule="auto"/>
              <w:rPr>
                <w:rFonts w:ascii="Times New Roman" w:hAnsi="Times New Roman"/>
              </w:rPr>
            </w:pPr>
          </w:p>
        </w:tc>
        <w:tc>
          <w:tcPr>
            <w:tcW w:w="0" w:type="auto"/>
          </w:tcPr>
          <w:p w:rsidR="00A8783E" w:rsidRPr="00A8783E" w:rsidRDefault="00A8783E" w:rsidP="00A8783E">
            <w:pPr>
              <w:spacing w:before="120" w:after="120" w:line="240" w:lineRule="auto"/>
              <w:rPr>
                <w:rFonts w:ascii="Times New Roman" w:hAnsi="Times New Roman"/>
              </w:rPr>
            </w:pPr>
            <w:r w:rsidRPr="00A8783E">
              <w:rPr>
                <w:rFonts w:ascii="Times New Roman" w:hAnsi="Times New Roman"/>
              </w:rPr>
              <w:t>Най-малко 318</w:t>
            </w:r>
          </w:p>
        </w:tc>
        <w:tc>
          <w:tcPr>
            <w:tcW w:w="2862" w:type="dxa"/>
          </w:tcPr>
          <w:p w:rsidR="00A8783E" w:rsidRPr="00A8783E" w:rsidRDefault="00A8783E" w:rsidP="00A8783E">
            <w:pPr>
              <w:spacing w:before="120" w:after="120" w:line="240" w:lineRule="auto"/>
              <w:rPr>
                <w:rFonts w:ascii="Times New Roman" w:hAnsi="Times New Roman"/>
              </w:rPr>
            </w:pPr>
            <w:r w:rsidRPr="00A8783E">
              <w:rPr>
                <w:rFonts w:ascii="Times New Roman" w:hAnsi="Times New Roman"/>
              </w:rPr>
              <w:t xml:space="preserve">Определена на база на % участие откритите местообитания в зоната: </w:t>
            </w:r>
            <w:r w:rsidRPr="00A8783E">
              <w:rPr>
                <w:rFonts w:ascii="Times New Roman" w:hAnsi="Times New Roman"/>
                <w:lang w:val="en-US"/>
              </w:rPr>
              <w:t>N</w:t>
            </w:r>
            <w:r w:rsidRPr="00A8783E">
              <w:rPr>
                <w:rFonts w:ascii="Times New Roman" w:hAnsi="Times New Roman"/>
                <w:lang w:val="ru-RU"/>
              </w:rPr>
              <w:t>08</w:t>
            </w:r>
            <w:r w:rsidRPr="00A8783E">
              <w:rPr>
                <w:rFonts w:ascii="Times New Roman" w:hAnsi="Times New Roman"/>
              </w:rPr>
              <w:t>-</w:t>
            </w:r>
            <w:r w:rsidRPr="00A8783E">
              <w:rPr>
                <w:lang w:val="ru-RU"/>
              </w:rPr>
              <w:t xml:space="preserve"> </w:t>
            </w:r>
            <w:r w:rsidRPr="00A8783E">
              <w:rPr>
                <w:rFonts w:ascii="Times New Roman" w:hAnsi="Times New Roman"/>
              </w:rPr>
              <w:t xml:space="preserve">Равнини, шубраци, </w:t>
            </w:r>
            <w:r w:rsidRPr="00A8783E">
              <w:rPr>
                <w:rFonts w:ascii="Times New Roman" w:hAnsi="Times New Roman"/>
                <w:lang w:val="en-US"/>
              </w:rPr>
              <w:t>N</w:t>
            </w:r>
            <w:r w:rsidRPr="00A8783E">
              <w:rPr>
                <w:rFonts w:ascii="Times New Roman" w:hAnsi="Times New Roman"/>
                <w:lang w:val="ru-RU"/>
              </w:rPr>
              <w:t>09-</w:t>
            </w:r>
            <w:r w:rsidRPr="00A8783E">
              <w:rPr>
                <w:rFonts w:ascii="Times New Roman" w:hAnsi="Times New Roman"/>
              </w:rPr>
              <w:t xml:space="preserve">сухи ливади, степи, </w:t>
            </w:r>
            <w:r w:rsidRPr="00A8783E">
              <w:rPr>
                <w:rFonts w:ascii="Times New Roman" w:hAnsi="Times New Roman"/>
                <w:lang w:val="en-US"/>
              </w:rPr>
              <w:t>N</w:t>
            </w:r>
            <w:r w:rsidRPr="00A8783E">
              <w:rPr>
                <w:rFonts w:ascii="Times New Roman" w:hAnsi="Times New Roman"/>
                <w:lang w:val="ru-RU"/>
              </w:rPr>
              <w:t>15-</w:t>
            </w:r>
            <w:r w:rsidRPr="00A8783E">
              <w:rPr>
                <w:rFonts w:ascii="Times New Roman" w:hAnsi="Times New Roman"/>
              </w:rPr>
              <w:t xml:space="preserve">други обработваеми земи. Тяхната обща площ е 318 </w:t>
            </w:r>
            <w:r w:rsidRPr="00A8783E">
              <w:rPr>
                <w:rFonts w:ascii="Times New Roman" w:hAnsi="Times New Roman"/>
                <w:lang w:val="en-US"/>
              </w:rPr>
              <w:t>ha</w:t>
            </w:r>
            <w:r w:rsidRPr="00A8783E">
              <w:rPr>
                <w:rFonts w:ascii="Times New Roman" w:hAnsi="Times New Roman"/>
              </w:rPr>
              <w:t>.</w:t>
            </w:r>
          </w:p>
        </w:tc>
        <w:tc>
          <w:tcPr>
            <w:tcW w:w="2547" w:type="dxa"/>
          </w:tcPr>
          <w:p w:rsidR="00A8783E" w:rsidRPr="00A8783E" w:rsidRDefault="00A8783E" w:rsidP="00A8783E">
            <w:pPr>
              <w:spacing w:before="120" w:after="120" w:line="240" w:lineRule="auto"/>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най-малко 318 ha.</w:t>
            </w:r>
          </w:p>
        </w:tc>
      </w:tr>
    </w:tbl>
    <w:p w:rsidR="00A8783E" w:rsidRPr="00A8783E" w:rsidRDefault="00A8783E" w:rsidP="00A8783E">
      <w:pPr>
        <w:spacing w:after="120" w:line="240" w:lineRule="auto"/>
        <w:rPr>
          <w:rFonts w:ascii="Times New Roman" w:hAnsi="Times New Roman"/>
          <w:b/>
          <w:bCs/>
        </w:rPr>
      </w:pPr>
    </w:p>
    <w:p w:rsidR="00A8783E" w:rsidRPr="00A8783E" w:rsidRDefault="00A8783E" w:rsidP="00A8783E">
      <w:pPr>
        <w:spacing w:after="160" w:line="259" w:lineRule="auto"/>
        <w:jc w:val="both"/>
        <w:rPr>
          <w:rFonts w:ascii="Times New Roman" w:hAnsi="Times New Roman"/>
          <w:b/>
          <w:bCs/>
          <w:sz w:val="24"/>
          <w:szCs w:val="24"/>
        </w:rPr>
      </w:pPr>
      <w:r w:rsidRPr="00A8783E">
        <w:rPr>
          <w:rFonts w:ascii="Times New Roman" w:hAnsi="Times New Roman"/>
          <w:b/>
          <w:bCs/>
          <w:sz w:val="24"/>
          <w:szCs w:val="24"/>
        </w:rPr>
        <w:t>6</w:t>
      </w:r>
      <w:r w:rsidRPr="00A8783E">
        <w:rPr>
          <w:rFonts w:ascii="Times New Roman" w:hAnsi="Times New Roman"/>
          <w:b/>
          <w:bCs/>
        </w:rPr>
        <w:t xml:space="preserve">. </w:t>
      </w:r>
      <w:r w:rsidRPr="00A8783E">
        <w:rPr>
          <w:rFonts w:ascii="Times New Roman" w:hAnsi="Times New Roman"/>
          <w:b/>
          <w:bCs/>
          <w:sz w:val="24"/>
          <w:szCs w:val="24"/>
        </w:rPr>
        <w:t>Необходимост от промени в СФ за СЗЗ BG0000241 „Сребърна“</w:t>
      </w:r>
    </w:p>
    <w:p w:rsidR="00A8783E" w:rsidRPr="00A8783E" w:rsidRDefault="00A8783E" w:rsidP="00A8783E">
      <w:pPr>
        <w:spacing w:after="160" w:line="259" w:lineRule="auto"/>
        <w:rPr>
          <w:rFonts w:ascii="Times New Roman" w:hAnsi="Times New Roman"/>
          <w:sz w:val="24"/>
        </w:rPr>
      </w:pPr>
      <w:r w:rsidRPr="00A8783E">
        <w:rPr>
          <w:rFonts w:ascii="Times New Roman" w:hAnsi="Times New Roman"/>
          <w:sz w:val="24"/>
        </w:rPr>
        <w:t>Не са необходими промени в стандартния формуляр на зоната за вида.</w:t>
      </w: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295" w:name="_Toc87467224"/>
      <w:bookmarkStart w:id="296" w:name="_Toc88638311"/>
      <w:bookmarkStart w:id="297" w:name="_Toc88865718"/>
      <w:bookmarkStart w:id="298" w:name="_Toc89106109"/>
      <w:bookmarkStart w:id="299" w:name="_Toc98741948"/>
      <w:bookmarkStart w:id="300" w:name="_Toc98838623"/>
      <w:r w:rsidRPr="00A8783E">
        <w:rPr>
          <w:rFonts w:ascii="Times New Roman" w:hAnsi="Times New Roman"/>
          <w:color w:val="1F497D"/>
          <w:sz w:val="28"/>
          <w:szCs w:val="28"/>
        </w:rPr>
        <w:t xml:space="preserve">Специфични цели за A091 </w:t>
      </w:r>
      <w:r w:rsidRPr="00A8783E">
        <w:rPr>
          <w:rFonts w:ascii="Times New Roman" w:hAnsi="Times New Roman"/>
          <w:i/>
          <w:iCs/>
          <w:color w:val="1F497D"/>
          <w:sz w:val="28"/>
          <w:szCs w:val="28"/>
        </w:rPr>
        <w:t>Aquila chrysaetos</w:t>
      </w:r>
      <w:r w:rsidRPr="00A8783E">
        <w:rPr>
          <w:rFonts w:ascii="Times New Roman" w:hAnsi="Times New Roman"/>
          <w:color w:val="1F497D"/>
          <w:sz w:val="28"/>
          <w:szCs w:val="28"/>
        </w:rPr>
        <w:t xml:space="preserve"> (скален орел)</w:t>
      </w:r>
      <w:bookmarkEnd w:id="295"/>
      <w:bookmarkEnd w:id="296"/>
      <w:bookmarkEnd w:id="297"/>
      <w:bookmarkEnd w:id="298"/>
      <w:bookmarkEnd w:id="299"/>
      <w:bookmarkEnd w:id="300"/>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lang w:val="ru-RU"/>
        </w:rPr>
        <w:t xml:space="preserve">1. </w:t>
      </w:r>
      <w:r w:rsidRPr="00A8783E">
        <w:rPr>
          <w:rFonts w:ascii="Times New Roman" w:hAnsi="Times New Roman"/>
          <w:b/>
          <w:bCs/>
          <w:sz w:val="24"/>
          <w:szCs w:val="24"/>
        </w:rPr>
        <w:t>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80-90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210-220 </w:t>
      </w:r>
      <w:r w:rsidRPr="00A8783E">
        <w:rPr>
          <w:rFonts w:ascii="Times New Roman" w:hAnsi="Times New Roman"/>
          <w:sz w:val="24"/>
          <w:szCs w:val="24"/>
          <w:lang w:val="en-US"/>
        </w:rPr>
        <w:t>cm</w:t>
      </w:r>
      <w:r w:rsidRPr="00A8783E">
        <w:rPr>
          <w:rFonts w:ascii="Times New Roman" w:hAnsi="Times New Roman"/>
          <w:sz w:val="24"/>
          <w:szCs w:val="24"/>
        </w:rPr>
        <w:t xml:space="preserve">. При възрастните главата и задната част на шията са жълтеникави със златист оттенък, перата им са заострени, копиевидни и образуват малка грива; останалото оперение е тъмнокафяво с широка неясно очертана черна ивица на края на опашката. Може да се отличи от царския и степния орел по V-образния профил при реене. Младите до 4-та година са тъмнокафяви с големи бели петна на крилата и в основата на опашката, с широка черна ивица на края (по нея се отличава от другите видове орли) (Симеонов и др., 1990; Мичев и др., 2012).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Постоянен и скитащ вид. Най-много двойки (46,7%) са установени в Стара планина и Предбалкана, следват тези в Родопите (22,9%), Средно тунджанско поречие (6,6%), Средногорие и Краище, Рила и Пирин (по 4,9%), Дунавска равнина (4,1%), Осогово–Беласишка планинска група и Черноморско крайбрежие (по 2,5%) (Симеонов и др. 1990; Червена книга на Р България, 2015).</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В България гнезди преимуществено по скали и скални стени (във вътрешността на страната), по-рядко върху високи стари дървета в широколистни листопадни гори. Сигурните гнездови находища са от 200 до 2400 </w:t>
      </w:r>
      <w:r w:rsidRPr="00A8783E">
        <w:rPr>
          <w:rFonts w:ascii="Times New Roman" w:hAnsi="Times New Roman"/>
          <w:sz w:val="24"/>
          <w:szCs w:val="24"/>
          <w:lang w:val="en-US"/>
        </w:rPr>
        <w:t>m</w:t>
      </w:r>
      <w:r w:rsidRPr="00A8783E">
        <w:rPr>
          <w:rFonts w:ascii="Times New Roman" w:hAnsi="Times New Roman"/>
          <w:sz w:val="24"/>
          <w:szCs w:val="24"/>
        </w:rPr>
        <w:t xml:space="preserve"> н. в. Почти всички гнездови находища са в долини, проломи или скални комплекси в близост до открити склонове, където птиците ловуват. През есента и зимата често и далеч от скални терени. Територията на една двойка се простира средно на около 100 </w:t>
      </w:r>
      <w:r w:rsidRPr="00A8783E">
        <w:rPr>
          <w:rFonts w:ascii="Times New Roman" w:hAnsi="Times New Roman"/>
          <w:sz w:val="24"/>
          <w:szCs w:val="24"/>
          <w:lang w:val="en-US"/>
        </w:rPr>
        <w:t>km</w:t>
      </w:r>
      <w:r w:rsidRPr="00A8783E">
        <w:rPr>
          <w:rFonts w:ascii="Times New Roman" w:hAnsi="Times New Roman"/>
          <w:sz w:val="24"/>
          <w:szCs w:val="24"/>
          <w:vertAlign w:val="superscript"/>
        </w:rPr>
        <w:t>2</w:t>
      </w:r>
      <w:r w:rsidRPr="00A8783E">
        <w:rPr>
          <w:rFonts w:ascii="Times New Roman" w:hAnsi="Times New Roman"/>
          <w:sz w:val="24"/>
          <w:szCs w:val="24"/>
        </w:rPr>
        <w:t>. През размножителния период обитава проломи, дефилета, ждрела и други райони с високи скални стени и скални комплекси в близост до открити пространства. Гнездото е разположено на скална площадка под навес или в предверие на малка пещера по обширни, високи, недостъпни скални стени, както и по дълбоки, ерозирани или скалисти речни долини  (Симеонов и др., 1990). Изследване в Шотландия (Watson et al., 1992) установява гнездова плътност от 14.7-26,1 дв./1000 км</w:t>
      </w:r>
      <w:r w:rsidRPr="00A8783E">
        <w:rPr>
          <w:rFonts w:ascii="Times New Roman" w:hAnsi="Times New Roman"/>
          <w:sz w:val="24"/>
          <w:szCs w:val="24"/>
          <w:vertAlign w:val="superscript"/>
        </w:rPr>
        <w:t>2</w:t>
      </w:r>
      <w:r w:rsidRPr="00A8783E">
        <w:rPr>
          <w:rFonts w:ascii="Times New Roman" w:hAnsi="Times New Roman"/>
          <w:sz w:val="24"/>
          <w:szCs w:val="24"/>
        </w:rPr>
        <w:t>, т.е. на една двойка са и необходими между 6800 и 3800 ha. В Швеция (Moss, 2015) гнездовата територия нd вида варира между 70 и 580 км</w:t>
      </w:r>
      <w:r w:rsidRPr="00A8783E">
        <w:rPr>
          <w:rFonts w:ascii="Times New Roman" w:hAnsi="Times New Roman"/>
          <w:sz w:val="24"/>
          <w:szCs w:val="24"/>
          <w:vertAlign w:val="superscript"/>
        </w:rPr>
        <w:t>2</w:t>
      </w:r>
      <w:r w:rsidRPr="00A8783E">
        <w:rPr>
          <w:rFonts w:ascii="Times New Roman" w:hAnsi="Times New Roman"/>
          <w:sz w:val="24"/>
          <w:szCs w:val="24"/>
        </w:rPr>
        <w:t xml:space="preserve"> (7000-58000 ha).</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Мършояден вид. Храни се предимно със сухоземни костенурки, лалугери, лисици, зайци, птици, змии и гущери (Симеонов и др., 1990; Мичев и др., 2012; Червена книга на Р България, 2015).</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Разпространен петнисто предимно в по-високите части на планините (основно в Централна и Западна Стара планина, Рила, Пирин, Родопите и някои от Западните погранични планини), но и в някои по-ниски планини и хълмисти райони (Странджа, Източна Стара планина, Източните Родопи, Сакар, Дервентските възвишения и др). Почти липсват гнездовища в равнинните части на страната.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Включен в Приложение 1 на Директивата за птиците и Приложение 2 и 3 на ЗБР. Включен в SPEC 3. Включен е в Червената книга на България със статус - уязвим VU. Според IUCN е слабо засегнат - LC (Least Concern), за територията на континентална Европа.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се оценява на </w:t>
      </w:r>
      <w:r w:rsidRPr="00A8783E">
        <w:rPr>
          <w:rFonts w:ascii="Times New Roman" w:hAnsi="Times New Roman"/>
          <w:bCs/>
          <w:sz w:val="24"/>
          <w:szCs w:val="24"/>
        </w:rPr>
        <w:t>150-180 двойки</w:t>
      </w:r>
      <w:r w:rsidRPr="00A8783E">
        <w:rPr>
          <w:rFonts w:ascii="Times New Roman" w:hAnsi="Times New Roman"/>
          <w:sz w:val="24"/>
          <w:szCs w:val="24"/>
        </w:rPr>
        <w:t xml:space="preserve">. Краткосрочната (2001-2018) и дългосрочна (1980-2018) популационна тенденция са стабилни. Посочени са следните заплахи и влияния: А02, A04, D02, F03, G01, A07, A08, D06.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СФ </w:t>
      </w:r>
      <w:r w:rsidRPr="00A8783E">
        <w:rPr>
          <w:rFonts w:ascii="Times New Roman" w:hAnsi="Times New Roman"/>
          <w:b/>
          <w:bCs/>
          <w:sz w:val="24"/>
          <w:szCs w:val="24"/>
        </w:rPr>
        <w:t xml:space="preserve">зимуващата </w:t>
      </w:r>
      <w:r w:rsidRPr="00A8783E">
        <w:rPr>
          <w:rFonts w:ascii="Times New Roman" w:hAnsi="Times New Roman"/>
          <w:sz w:val="24"/>
          <w:szCs w:val="24"/>
        </w:rPr>
        <w:t xml:space="preserve">популация на вида се оценява на </w:t>
      </w:r>
      <w:r w:rsidRPr="00A8783E">
        <w:rPr>
          <w:rFonts w:ascii="Times New Roman" w:hAnsi="Times New Roman"/>
          <w:b/>
          <w:bCs/>
          <w:sz w:val="24"/>
          <w:szCs w:val="24"/>
          <w:lang w:val="ru-RU"/>
        </w:rPr>
        <w:t xml:space="preserve"> до 1</w:t>
      </w:r>
      <w:r w:rsidRPr="00A8783E">
        <w:rPr>
          <w:rFonts w:ascii="Times New Roman" w:hAnsi="Times New Roman"/>
          <w:b/>
          <w:bCs/>
          <w:sz w:val="24"/>
          <w:szCs w:val="24"/>
        </w:rPr>
        <w:t xml:space="preserve"> индивид</w:t>
      </w:r>
      <w:r w:rsidRPr="00A8783E">
        <w:rPr>
          <w:rFonts w:ascii="Times New Roman" w:hAnsi="Times New Roman"/>
          <w:sz w:val="24"/>
          <w:szCs w:val="24"/>
        </w:rPr>
        <w:t>. Видът не се докладва като зимуващ по чл. 12 от Директива за птиците и не е известна зимуващата популация в страната.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Наблюдаван е предимно по време на миграция - няколко млади птици по поречието на р. Дунав. Млад индивиди е отчетен и през зимата на 14 януари 2014 г. при с. Царевец   (Cheshmedzhiev et al., in Shurulinkov et al. 2019). Според Костадинова, Граматиков (2007), видът присъства в зоната по време на зимуване с численост 0-1 инд. Липсват други публикувани данни за концентрацията на вида в зоната по време на миграция, </w:t>
      </w:r>
      <w:r w:rsidRPr="00A8783E">
        <w:rPr>
          <w:rFonts w:ascii="Times New Roman" w:hAnsi="Times New Roman"/>
          <w:sz w:val="24"/>
          <w:szCs w:val="24"/>
        </w:rPr>
        <w:lastRenderedPageBreak/>
        <w:t>поради което се налага поставянето на междинна цел до 2025, да се проведе мониторинг, който да изясни тази численост.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133"/>
        <w:gridCol w:w="1101"/>
        <w:gridCol w:w="2848"/>
        <w:gridCol w:w="2453"/>
      </w:tblGrid>
      <w:tr w:rsidR="00A8783E" w:rsidRPr="00A8783E" w:rsidTr="005B5318">
        <w:trPr>
          <w:tblHeader/>
          <w:jc w:val="center"/>
        </w:trPr>
        <w:tc>
          <w:tcPr>
            <w:tcW w:w="1753" w:type="dxa"/>
            <w:shd w:val="clear" w:color="auto" w:fill="DBE5F1"/>
            <w:vAlign w:val="center"/>
          </w:tcPr>
          <w:p w:rsidR="00A8783E" w:rsidRPr="00A8783E" w:rsidRDefault="00A8783E" w:rsidP="00A8783E">
            <w:pPr>
              <w:spacing w:before="120" w:after="120" w:line="240" w:lineRule="auto"/>
              <w:rPr>
                <w:rFonts w:ascii="Times New Roman" w:hAnsi="Times New Roman"/>
                <w:b/>
                <w:bCs/>
              </w:rPr>
            </w:pPr>
            <w:r w:rsidRPr="00A8783E">
              <w:rPr>
                <w:rFonts w:ascii="Times New Roman" w:hAnsi="Times New Roman"/>
                <w:b/>
                <w:bCs/>
              </w:rPr>
              <w:t>Параметър</w:t>
            </w:r>
          </w:p>
        </w:tc>
        <w:tc>
          <w:tcPr>
            <w:tcW w:w="0" w:type="auto"/>
            <w:shd w:val="clear" w:color="auto" w:fill="DBE5F1"/>
            <w:vAlign w:val="center"/>
          </w:tcPr>
          <w:p w:rsidR="00A8783E" w:rsidRPr="00A8783E" w:rsidRDefault="00A8783E" w:rsidP="00A8783E">
            <w:pPr>
              <w:spacing w:before="120" w:after="120" w:line="240" w:lineRule="auto"/>
              <w:rPr>
                <w:rFonts w:ascii="Times New Roman" w:hAnsi="Times New Roman"/>
                <w:b/>
                <w:bCs/>
              </w:rPr>
            </w:pPr>
            <w:r w:rsidRPr="00A8783E">
              <w:rPr>
                <w:rFonts w:ascii="Times New Roman" w:hAnsi="Times New Roman"/>
                <w:b/>
                <w:bCs/>
              </w:rPr>
              <w:t>Мерна единица</w:t>
            </w:r>
          </w:p>
        </w:tc>
        <w:tc>
          <w:tcPr>
            <w:tcW w:w="0" w:type="auto"/>
            <w:shd w:val="clear" w:color="auto" w:fill="DBE5F1"/>
            <w:vAlign w:val="center"/>
          </w:tcPr>
          <w:p w:rsidR="00A8783E" w:rsidRPr="00A8783E" w:rsidRDefault="00A8783E" w:rsidP="00A8783E">
            <w:pPr>
              <w:spacing w:before="120" w:after="120" w:line="240" w:lineRule="auto"/>
              <w:rPr>
                <w:rFonts w:ascii="Times New Roman" w:hAnsi="Times New Roman"/>
                <w:b/>
                <w:bCs/>
              </w:rPr>
            </w:pPr>
            <w:r w:rsidRPr="00A8783E">
              <w:rPr>
                <w:rFonts w:ascii="Times New Roman" w:hAnsi="Times New Roman"/>
                <w:b/>
                <w:bCs/>
              </w:rPr>
              <w:t>Целева стойност</w:t>
            </w:r>
          </w:p>
        </w:tc>
        <w:tc>
          <w:tcPr>
            <w:tcW w:w="2913" w:type="dxa"/>
            <w:shd w:val="clear" w:color="auto" w:fill="DBE5F1"/>
            <w:vAlign w:val="center"/>
          </w:tcPr>
          <w:p w:rsidR="00A8783E" w:rsidRPr="00A8783E" w:rsidRDefault="00A8783E" w:rsidP="00A8783E">
            <w:pPr>
              <w:spacing w:before="120" w:after="120" w:line="240" w:lineRule="auto"/>
              <w:rPr>
                <w:rFonts w:ascii="Times New Roman" w:hAnsi="Times New Roman"/>
                <w:b/>
                <w:bCs/>
              </w:rPr>
            </w:pPr>
            <w:r w:rsidRPr="00A8783E">
              <w:rPr>
                <w:rFonts w:ascii="Times New Roman" w:hAnsi="Times New Roman"/>
                <w:b/>
                <w:bCs/>
              </w:rPr>
              <w:t>Допълнителна информация</w:t>
            </w:r>
          </w:p>
        </w:tc>
        <w:tc>
          <w:tcPr>
            <w:tcW w:w="2496" w:type="dxa"/>
            <w:shd w:val="clear" w:color="auto" w:fill="DBE5F1"/>
            <w:vAlign w:val="center"/>
          </w:tcPr>
          <w:p w:rsidR="00A8783E" w:rsidRPr="00A8783E" w:rsidRDefault="00A8783E" w:rsidP="00A8783E">
            <w:pPr>
              <w:spacing w:before="120" w:after="120" w:line="240" w:lineRule="auto"/>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jc w:val="center"/>
        </w:trPr>
        <w:tc>
          <w:tcPr>
            <w:tcW w:w="1753" w:type="dxa"/>
          </w:tcPr>
          <w:p w:rsidR="00A8783E" w:rsidRPr="00A8783E" w:rsidRDefault="00A8783E" w:rsidP="00A8783E">
            <w:pPr>
              <w:spacing w:before="120" w:after="120" w:line="240" w:lineRule="auto"/>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зимуващата популация</w:t>
            </w:r>
          </w:p>
        </w:tc>
        <w:tc>
          <w:tcPr>
            <w:tcW w:w="0" w:type="auto"/>
          </w:tcPr>
          <w:p w:rsidR="00A8783E" w:rsidRPr="00A8783E" w:rsidRDefault="00A8783E" w:rsidP="00A8783E">
            <w:pPr>
              <w:spacing w:before="120" w:after="120" w:line="240" w:lineRule="auto"/>
              <w:rPr>
                <w:rFonts w:ascii="Times New Roman" w:hAnsi="Times New Roman"/>
              </w:rPr>
            </w:pPr>
            <w:r w:rsidRPr="00A8783E">
              <w:rPr>
                <w:rFonts w:ascii="Times New Roman" w:hAnsi="Times New Roman"/>
              </w:rPr>
              <w:t>Брой индивиди</w:t>
            </w:r>
          </w:p>
        </w:tc>
        <w:tc>
          <w:tcPr>
            <w:tcW w:w="0" w:type="auto"/>
          </w:tcPr>
          <w:p w:rsidR="00A8783E" w:rsidRPr="00A8783E" w:rsidRDefault="00A8783E" w:rsidP="00A8783E">
            <w:pPr>
              <w:spacing w:before="120" w:after="120" w:line="240" w:lineRule="auto"/>
              <w:rPr>
                <w:rFonts w:ascii="Times New Roman" w:hAnsi="Times New Roman"/>
              </w:rPr>
            </w:pPr>
            <w:r w:rsidRPr="00A8783E">
              <w:rPr>
                <w:rFonts w:ascii="Times New Roman" w:hAnsi="Times New Roman"/>
              </w:rPr>
              <w:t>0-1 инд.</w:t>
            </w:r>
          </w:p>
        </w:tc>
        <w:tc>
          <w:tcPr>
            <w:tcW w:w="2913" w:type="dxa"/>
          </w:tcPr>
          <w:p w:rsidR="00A8783E" w:rsidRPr="00A8783E" w:rsidRDefault="00A8783E" w:rsidP="00A8783E">
            <w:pPr>
              <w:spacing w:before="120" w:after="120" w:line="240" w:lineRule="auto"/>
              <w:rPr>
                <w:rFonts w:ascii="Times New Roman" w:hAnsi="Times New Roman"/>
              </w:rPr>
            </w:pPr>
            <w:r w:rsidRPr="00A8783E">
              <w:rPr>
                <w:rFonts w:ascii="Times New Roman" w:hAnsi="Times New Roman"/>
              </w:rPr>
              <w:t xml:space="preserve">Определена на база СФ. Няма друга актуална информация за количеството на птиците в зоната по време на зимуване. </w:t>
            </w:r>
          </w:p>
        </w:tc>
        <w:tc>
          <w:tcPr>
            <w:tcW w:w="2496" w:type="dxa"/>
          </w:tcPr>
          <w:p w:rsidR="00A8783E" w:rsidRPr="00A8783E" w:rsidRDefault="00A8783E" w:rsidP="00A8783E">
            <w:pPr>
              <w:spacing w:before="120" w:after="120" w:line="240" w:lineRule="auto"/>
              <w:rPr>
                <w:rFonts w:ascii="Times New Roman" w:hAnsi="Times New Roman"/>
              </w:rPr>
            </w:pPr>
            <w:r w:rsidRPr="00A8783E">
              <w:rPr>
                <w:rFonts w:ascii="Times New Roman" w:hAnsi="Times New Roman"/>
                <w:b/>
              </w:rPr>
              <w:t>Междинна цел</w:t>
            </w:r>
            <w:r w:rsidRPr="00A8783E">
              <w:rPr>
                <w:rFonts w:ascii="Times New Roman" w:hAnsi="Times New Roman"/>
              </w:rPr>
              <w:t>: Да се извърши целенасочен мониторинг за установяване на размера на зимуващата популация до 2025 г.</w:t>
            </w:r>
          </w:p>
        </w:tc>
      </w:tr>
      <w:tr w:rsidR="00A8783E" w:rsidRPr="00A8783E" w:rsidTr="005B5318">
        <w:trPr>
          <w:jc w:val="center"/>
        </w:trPr>
        <w:tc>
          <w:tcPr>
            <w:tcW w:w="1753" w:type="dxa"/>
          </w:tcPr>
          <w:p w:rsidR="00A8783E" w:rsidRPr="00A8783E" w:rsidRDefault="00A8783E" w:rsidP="00A8783E">
            <w:pPr>
              <w:spacing w:before="120" w:after="120" w:line="240" w:lineRule="auto"/>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места за търсене на храна</w:t>
            </w:r>
          </w:p>
        </w:tc>
        <w:tc>
          <w:tcPr>
            <w:tcW w:w="0" w:type="auto"/>
          </w:tcPr>
          <w:p w:rsidR="00A8783E" w:rsidRPr="00A8783E" w:rsidRDefault="00A8783E" w:rsidP="00A8783E">
            <w:pPr>
              <w:spacing w:before="120" w:after="120" w:line="240" w:lineRule="auto"/>
              <w:rPr>
                <w:rFonts w:ascii="Times New Roman" w:hAnsi="Times New Roman"/>
                <w:lang w:val="en-US"/>
              </w:rPr>
            </w:pPr>
            <w:r w:rsidRPr="00A8783E">
              <w:rPr>
                <w:rFonts w:ascii="Times New Roman" w:hAnsi="Times New Roman"/>
                <w:lang w:val="en-US"/>
              </w:rPr>
              <w:t>ha</w:t>
            </w:r>
          </w:p>
          <w:p w:rsidR="00A8783E" w:rsidRPr="00A8783E" w:rsidRDefault="00A8783E" w:rsidP="00A8783E">
            <w:pPr>
              <w:spacing w:before="120" w:after="120" w:line="240" w:lineRule="auto"/>
              <w:rPr>
                <w:rFonts w:ascii="Times New Roman" w:hAnsi="Times New Roman"/>
              </w:rPr>
            </w:pPr>
          </w:p>
        </w:tc>
        <w:tc>
          <w:tcPr>
            <w:tcW w:w="0" w:type="auto"/>
          </w:tcPr>
          <w:p w:rsidR="00A8783E" w:rsidRPr="00A8783E" w:rsidRDefault="00A8783E" w:rsidP="00A8783E">
            <w:pPr>
              <w:spacing w:before="120" w:after="120" w:line="240" w:lineRule="auto"/>
              <w:rPr>
                <w:rFonts w:ascii="Times New Roman" w:hAnsi="Times New Roman"/>
              </w:rPr>
            </w:pPr>
            <w:r w:rsidRPr="00A8783E">
              <w:rPr>
                <w:rFonts w:ascii="Times New Roman" w:hAnsi="Times New Roman"/>
              </w:rPr>
              <w:t>Най-малко 318</w:t>
            </w:r>
          </w:p>
        </w:tc>
        <w:tc>
          <w:tcPr>
            <w:tcW w:w="2913" w:type="dxa"/>
          </w:tcPr>
          <w:p w:rsidR="00A8783E" w:rsidRPr="00A8783E" w:rsidRDefault="00A8783E" w:rsidP="00A8783E">
            <w:pPr>
              <w:spacing w:before="120" w:after="120" w:line="240" w:lineRule="auto"/>
              <w:rPr>
                <w:rFonts w:ascii="Times New Roman" w:hAnsi="Times New Roman"/>
              </w:rPr>
            </w:pPr>
            <w:r w:rsidRPr="00A8783E">
              <w:rPr>
                <w:rFonts w:ascii="Times New Roman" w:hAnsi="Times New Roman"/>
              </w:rPr>
              <w:t xml:space="preserve">Определена на база на % участие откритите местообитания в зоната: </w:t>
            </w:r>
            <w:r w:rsidRPr="00A8783E">
              <w:rPr>
                <w:rFonts w:ascii="Times New Roman" w:hAnsi="Times New Roman"/>
                <w:lang w:val="en-US"/>
              </w:rPr>
              <w:t>N</w:t>
            </w:r>
            <w:r w:rsidRPr="00A8783E">
              <w:rPr>
                <w:rFonts w:ascii="Times New Roman" w:hAnsi="Times New Roman"/>
                <w:lang w:val="ru-RU"/>
              </w:rPr>
              <w:t>08</w:t>
            </w:r>
            <w:r w:rsidRPr="00A8783E">
              <w:rPr>
                <w:rFonts w:ascii="Times New Roman" w:hAnsi="Times New Roman"/>
              </w:rPr>
              <w:t>-</w:t>
            </w:r>
            <w:r w:rsidRPr="00A8783E">
              <w:rPr>
                <w:lang w:val="ru-RU"/>
              </w:rPr>
              <w:t xml:space="preserve"> </w:t>
            </w:r>
            <w:r w:rsidRPr="00A8783E">
              <w:rPr>
                <w:rFonts w:ascii="Times New Roman" w:hAnsi="Times New Roman"/>
              </w:rPr>
              <w:t xml:space="preserve">Равнини, шубраци, </w:t>
            </w:r>
            <w:r w:rsidRPr="00A8783E">
              <w:rPr>
                <w:rFonts w:ascii="Times New Roman" w:hAnsi="Times New Roman"/>
                <w:lang w:val="en-US"/>
              </w:rPr>
              <w:t>N</w:t>
            </w:r>
            <w:r w:rsidRPr="00A8783E">
              <w:rPr>
                <w:rFonts w:ascii="Times New Roman" w:hAnsi="Times New Roman"/>
                <w:lang w:val="ru-RU"/>
              </w:rPr>
              <w:t>09-</w:t>
            </w:r>
            <w:r w:rsidRPr="00A8783E">
              <w:rPr>
                <w:rFonts w:ascii="Times New Roman" w:hAnsi="Times New Roman"/>
              </w:rPr>
              <w:t xml:space="preserve">сухи ливади, степи, </w:t>
            </w:r>
            <w:r w:rsidRPr="00A8783E">
              <w:rPr>
                <w:rFonts w:ascii="Times New Roman" w:hAnsi="Times New Roman"/>
                <w:lang w:val="en-US"/>
              </w:rPr>
              <w:t>N</w:t>
            </w:r>
            <w:r w:rsidRPr="00A8783E">
              <w:rPr>
                <w:rFonts w:ascii="Times New Roman" w:hAnsi="Times New Roman"/>
                <w:lang w:val="ru-RU"/>
              </w:rPr>
              <w:t>15-</w:t>
            </w:r>
            <w:r w:rsidRPr="00A8783E">
              <w:rPr>
                <w:rFonts w:ascii="Times New Roman" w:hAnsi="Times New Roman"/>
              </w:rPr>
              <w:t xml:space="preserve">други обработваеми земи. Тяхната обща площ е 318 </w:t>
            </w:r>
            <w:r w:rsidRPr="00A8783E">
              <w:rPr>
                <w:rFonts w:ascii="Times New Roman" w:hAnsi="Times New Roman"/>
                <w:lang w:val="en-US"/>
              </w:rPr>
              <w:t>ha</w:t>
            </w:r>
            <w:r w:rsidRPr="00A8783E">
              <w:rPr>
                <w:rFonts w:ascii="Times New Roman" w:hAnsi="Times New Roman"/>
              </w:rPr>
              <w:t>.</w:t>
            </w:r>
          </w:p>
        </w:tc>
        <w:tc>
          <w:tcPr>
            <w:tcW w:w="2496" w:type="dxa"/>
          </w:tcPr>
          <w:p w:rsidR="00A8783E" w:rsidRPr="00A8783E" w:rsidRDefault="00A8783E" w:rsidP="00A8783E">
            <w:pPr>
              <w:spacing w:before="120" w:after="120" w:line="240" w:lineRule="auto"/>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най-малко 318 ha. Най-вероятно вида се храни и извън зоната, където има по-обширни открити местообитания.</w:t>
            </w:r>
          </w:p>
        </w:tc>
      </w:tr>
    </w:tbl>
    <w:p w:rsidR="00A8783E" w:rsidRPr="00A8783E" w:rsidRDefault="00A8783E" w:rsidP="00A8783E">
      <w:pPr>
        <w:spacing w:after="160" w:line="259" w:lineRule="auto"/>
        <w:rPr>
          <w:rFonts w:ascii="Times New Roman" w:hAnsi="Times New Roman"/>
          <w:b/>
          <w:bCs/>
          <w:sz w:val="24"/>
          <w:szCs w:val="24"/>
        </w:rPr>
      </w:pPr>
    </w:p>
    <w:p w:rsidR="00A8783E" w:rsidRPr="00A8783E" w:rsidRDefault="00A8783E" w:rsidP="00A8783E">
      <w:pPr>
        <w:spacing w:after="16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Не е необходима актуализация на СФ на този етап.</w:t>
      </w:r>
    </w:p>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01" w:name="_Toc87467226"/>
      <w:bookmarkStart w:id="302" w:name="_Toc87513948"/>
      <w:bookmarkStart w:id="303" w:name="_Toc89106110"/>
      <w:bookmarkStart w:id="304" w:name="_Toc98741949"/>
      <w:bookmarkStart w:id="305" w:name="_Toc98838624"/>
      <w:r w:rsidRPr="00A8783E">
        <w:rPr>
          <w:rFonts w:ascii="Times New Roman" w:hAnsi="Times New Roman"/>
          <w:color w:val="1F497D"/>
          <w:sz w:val="28"/>
          <w:szCs w:val="28"/>
        </w:rPr>
        <w:t xml:space="preserve">Специфични цели за А094 </w:t>
      </w:r>
      <w:r w:rsidRPr="00A8783E">
        <w:rPr>
          <w:rFonts w:ascii="Times New Roman" w:hAnsi="Times New Roman"/>
          <w:i/>
          <w:iCs/>
          <w:color w:val="1F497D"/>
          <w:sz w:val="28"/>
          <w:szCs w:val="28"/>
          <w:lang w:val="en-US"/>
        </w:rPr>
        <w:t>Pandion</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haliaetus</w:t>
      </w:r>
      <w:r w:rsidRPr="00A8783E">
        <w:rPr>
          <w:rFonts w:ascii="Times New Roman" w:hAnsi="Times New Roman"/>
          <w:color w:val="1F497D"/>
          <w:sz w:val="28"/>
          <w:szCs w:val="28"/>
        </w:rPr>
        <w:t xml:space="preserve"> (орел рибар)</w:t>
      </w:r>
      <w:bookmarkEnd w:id="301"/>
      <w:bookmarkEnd w:id="302"/>
      <w:bookmarkEnd w:id="303"/>
      <w:bookmarkEnd w:id="304"/>
      <w:bookmarkEnd w:id="305"/>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55-60 </w:t>
      </w:r>
      <w:r w:rsidRPr="00A8783E">
        <w:rPr>
          <w:rFonts w:ascii="Times New Roman" w:hAnsi="Times New Roman"/>
          <w:sz w:val="24"/>
          <w:szCs w:val="24"/>
          <w:lang w:val="en-US"/>
        </w:rPr>
        <w:t>cm</w:t>
      </w:r>
      <w:r w:rsidRPr="00A8783E">
        <w:rPr>
          <w:rFonts w:ascii="Times New Roman" w:hAnsi="Times New Roman"/>
          <w:sz w:val="24"/>
          <w:szCs w:val="24"/>
        </w:rPr>
        <w:t xml:space="preserve">, размахът на крилата – 155-165 </w:t>
      </w:r>
      <w:r w:rsidRPr="00A8783E">
        <w:rPr>
          <w:rFonts w:ascii="Times New Roman" w:hAnsi="Times New Roman"/>
          <w:sz w:val="24"/>
          <w:szCs w:val="24"/>
          <w:lang w:val="en-US"/>
        </w:rPr>
        <w:t>cm</w:t>
      </w:r>
      <w:r w:rsidRPr="00A8783E">
        <w:rPr>
          <w:rFonts w:ascii="Times New Roman" w:hAnsi="Times New Roman"/>
          <w:sz w:val="24"/>
          <w:szCs w:val="24"/>
        </w:rPr>
        <w:t xml:space="preserve">., тегло 1200-2000 </w:t>
      </w:r>
      <w:r w:rsidRPr="00A8783E">
        <w:rPr>
          <w:rFonts w:ascii="Times New Roman" w:hAnsi="Times New Roman"/>
          <w:sz w:val="24"/>
          <w:szCs w:val="24"/>
          <w:lang w:val="en-US"/>
        </w:rPr>
        <w:t>g</w:t>
      </w:r>
      <w:r w:rsidRPr="00A8783E">
        <w:rPr>
          <w:rFonts w:ascii="Times New Roman" w:hAnsi="Times New Roman"/>
          <w:sz w:val="24"/>
          <w:szCs w:val="24"/>
        </w:rPr>
        <w:t xml:space="preserve">. При възрастните оперението отгоре е тъмнокафяво, с изкл. на бялото теме, а отдолу – белезникаво с черни петна в основата и по върховете на първостепенните махови пера; главата е с малка качулка. В реещ и планиращ полет има характерен начупен профил (подобно на чайка), по който лесно може да се отличи от другите по-едри грабливи птици (Симеонов и др., 1990; Мичев и др., 2012).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Гнездещо-прелетен и преминаващ вид. Пролетна миграция </w:t>
      </w:r>
      <w:r w:rsidRPr="00A8783E">
        <w:rPr>
          <w:rFonts w:ascii="Times New Roman" w:hAnsi="Times New Roman"/>
          <w:sz w:val="24"/>
          <w:szCs w:val="24"/>
          <w:lang w:val="en-US"/>
        </w:rPr>
        <w:t>e</w:t>
      </w:r>
      <w:r w:rsidRPr="00A8783E">
        <w:rPr>
          <w:rFonts w:ascii="Times New Roman" w:hAnsi="Times New Roman"/>
          <w:sz w:val="24"/>
          <w:szCs w:val="24"/>
        </w:rPr>
        <w:t xml:space="preserve"> февруари-април, а есенната: август- декември (Симеонов и др., 1990).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Разнообразни естествени и изкуствени влажни зони със стоящи или течащи води, предимно по блата и езера и много рядко край големи, богати на риба рибарници. Основно изискване към местообитанието е наличие на значителни хранителни ресурси (предимно риба) в съчетание с подходящи места за гнездене (стари дървета в заливни гори, стълбове на далекопроводи и др.). При търсене на храна се отдалечава до 10–20 </w:t>
      </w:r>
      <w:r w:rsidRPr="00A8783E">
        <w:rPr>
          <w:rFonts w:ascii="Times New Roman" w:hAnsi="Times New Roman"/>
          <w:sz w:val="24"/>
          <w:szCs w:val="24"/>
          <w:lang w:val="en-US"/>
        </w:rPr>
        <w:lastRenderedPageBreak/>
        <w:t>km</w:t>
      </w:r>
      <w:r w:rsidRPr="00A8783E">
        <w:rPr>
          <w:rFonts w:ascii="Times New Roman" w:hAnsi="Times New Roman"/>
          <w:sz w:val="24"/>
          <w:szCs w:val="24"/>
        </w:rPr>
        <w:t>. (Симеонов и др., 1990; Червена книга на Р България 2015). Подходящи местообитания вероятно са 3150 и 3260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Стенофаг. Храни се с риба (99% от диетата му) с тегло 150–300 </w:t>
      </w:r>
      <w:r w:rsidRPr="00A8783E">
        <w:rPr>
          <w:rFonts w:ascii="Times New Roman" w:hAnsi="Times New Roman"/>
          <w:sz w:val="24"/>
          <w:szCs w:val="24"/>
          <w:lang w:val="en-US"/>
        </w:rPr>
        <w:t>g</w:t>
      </w:r>
      <w:r w:rsidRPr="00A8783E">
        <w:rPr>
          <w:rFonts w:ascii="Times New Roman" w:hAnsi="Times New Roman"/>
          <w:sz w:val="24"/>
          <w:szCs w:val="24"/>
        </w:rPr>
        <w:t xml:space="preserve">. и дължина около 25–35 </w:t>
      </w:r>
      <w:r w:rsidRPr="00A8783E">
        <w:rPr>
          <w:rFonts w:ascii="Times New Roman" w:hAnsi="Times New Roman"/>
          <w:sz w:val="24"/>
          <w:szCs w:val="24"/>
          <w:lang w:val="en-US"/>
        </w:rPr>
        <w:t>cm</w:t>
      </w:r>
      <w:r w:rsidRPr="00A8783E">
        <w:rPr>
          <w:rFonts w:ascii="Times New Roman" w:hAnsi="Times New Roman"/>
          <w:sz w:val="24"/>
          <w:szCs w:val="24"/>
        </w:rPr>
        <w:t>. При мътна вода не може да си набавя храна и лови жаби, мишевидни гризачи, зайци, земноводни, други птици и малки влечуги. В България храната е изследвана от гушите и стомашното съдържание на 6 екз. Установени са остатъци от 4 шарана, 4 костура, 2 скобара, 1 червеноперка и 2 водни жаби (Симеонов и др., 1990).</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 разпръснато разпространение покрай язовири и рибарници, главно в Тракийската низина, Източните Родопи, Западна и Източна Стара планина. Отделни находища с по-ниска степен на достоверност и по Дунавското крайбрежие (между о. Белене и ез. Сребърна) и долините на реките Струма и Места.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Включен в Приложение 1 на Директивата за птиците и Приложение 2 и 3 на ЗБР. Включен в SPEC 3. Включен е в Червената книга на България със статус - критично застрашен CR. Според IUCN е слабо засегнат - LC (Least Concern) за територията на континентална Европа.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оценява на 0 двойки. Краткосрочната тенденция на популацията (за периода 2000 – 2018 г.) е неизвестна, а дългосрочната (за периода 1980 – 2018 г.) намаляваща. Посочени са следните заплахи и влияния: A07, A09, B02, D02, F03, G01, H01, A08.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Мигриращата</w:t>
      </w:r>
      <w:r w:rsidRPr="00A8783E">
        <w:rPr>
          <w:rFonts w:ascii="Times New Roman" w:hAnsi="Times New Roman"/>
          <w:sz w:val="24"/>
          <w:szCs w:val="24"/>
        </w:rPr>
        <w:t xml:space="preserve"> национална популация е оценена на 100 – 150 индивида. Краткосрочната тенденция на популацията в рамките на Натура 2000 е флуктуираща. Посочени са следните заплахи и влияния: D02, F03, F26.</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мигриращ</w:t>
      </w:r>
      <w:r w:rsidRPr="00A8783E">
        <w:rPr>
          <w:rFonts w:ascii="Times New Roman" w:hAnsi="Times New Roman"/>
          <w:sz w:val="24"/>
          <w:szCs w:val="24"/>
        </w:rPr>
        <w:t>, като популацията се оценява на 1-2 индивида, което представлява 1-1,33 %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средна Дунавска равнина видът е рядък мигрант (Шурулинков и др., 2005). Според Костадинова, Граматиков (2007), видът присъства в зоната по време на миграция с 1-2 инд. В периода 2005-2018 г. вида е наблюдаван по време на пролетната и есенната миграция в района на зоната (Cheshmedzhiev et al., in Shurulinkov et al., 2019). Теренното проучване през май и юни месец 2021 г. не установи  птици от вида в зоната. През 2021 г. не са извършвани теренни проучвания по време на миграция.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данни  от eBird, видът е наблюдаван в зоната през септември 1985 г. – 3 инд., септември 1985 г. – 1 инд., октомври 1987 г. – 1 инд., октомври 1988 г. – 1 инд., септември 1989 г. – 1 инд., август 1990 г. – 1 инд., август 1991 г. – 1 инд., септември 1991 г. – 1 инд., април 1992 г. – 1 инд., април 1996 г. – 2 инд., август 1998 г. – 2 инд., септември 2000 г. – 2 инд., май 2011 г. – 1 инд., септември 2021 г. – 10 инд. По данни  </w:t>
      </w:r>
      <w:r w:rsidRPr="00A8783E">
        <w:rPr>
          <w:rFonts w:ascii="Times New Roman" w:hAnsi="Times New Roman"/>
          <w:sz w:val="24"/>
          <w:szCs w:val="24"/>
        </w:rPr>
        <w:lastRenderedPageBreak/>
        <w:t>от https://observation.org  за 2020 и 2021 г., видът не е наблюдаван в зоната. Липсват други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 мигриращата популация при докладването по чл. 12 през 2019 г. са посочени следните заплахи и влияния: D02, F03, F26. От тях няма потенциално валидни за СЗЗ „Сребърна.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7"/>
        <w:gridCol w:w="1093"/>
        <w:gridCol w:w="1276"/>
        <w:gridCol w:w="2993"/>
        <w:gridCol w:w="2326"/>
      </w:tblGrid>
      <w:tr w:rsidR="00A8783E" w:rsidRPr="00A8783E" w:rsidTr="005B5318">
        <w:trPr>
          <w:tblHeader/>
          <w:jc w:val="center"/>
        </w:trPr>
        <w:tc>
          <w:tcPr>
            <w:tcW w:w="1737"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Параметър</w:t>
            </w:r>
          </w:p>
        </w:tc>
        <w:tc>
          <w:tcPr>
            <w:tcW w:w="1093"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Мерна единица </w:t>
            </w:r>
          </w:p>
        </w:tc>
        <w:tc>
          <w:tcPr>
            <w:tcW w:w="1276"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Целева стойност </w:t>
            </w:r>
          </w:p>
        </w:tc>
        <w:tc>
          <w:tcPr>
            <w:tcW w:w="2993"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Допълнителна информация </w:t>
            </w:r>
          </w:p>
        </w:tc>
        <w:tc>
          <w:tcPr>
            <w:tcW w:w="2326"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737" w:type="dxa"/>
          </w:tcPr>
          <w:p w:rsidR="00A8783E" w:rsidRPr="00A8783E" w:rsidRDefault="00A8783E" w:rsidP="00A8783E">
            <w:pPr>
              <w:spacing w:after="0" w:line="240" w:lineRule="auto"/>
              <w:rPr>
                <w:rFonts w:ascii="Times New Roman" w:hAnsi="Times New Roman"/>
              </w:rPr>
            </w:pPr>
            <w:r w:rsidRPr="00A8783E">
              <w:rPr>
                <w:rFonts w:ascii="Times New Roman" w:hAnsi="Times New Roman"/>
                <w:b/>
              </w:rPr>
              <w:t>Популация</w:t>
            </w:r>
            <w:r w:rsidRPr="00A8783E">
              <w:rPr>
                <w:rFonts w:ascii="Times New Roman" w:hAnsi="Times New Roman"/>
              </w:rPr>
              <w:t>: Размер на мигриращата популацията</w:t>
            </w:r>
          </w:p>
        </w:tc>
        <w:tc>
          <w:tcPr>
            <w:tcW w:w="1093"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индивиди</w:t>
            </w:r>
          </w:p>
        </w:tc>
        <w:tc>
          <w:tcPr>
            <w:tcW w:w="12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Най-малко 1 инд.</w:t>
            </w:r>
          </w:p>
        </w:tc>
        <w:tc>
          <w:tcPr>
            <w:tcW w:w="2993" w:type="dxa"/>
          </w:tcPr>
          <w:p w:rsidR="00A8783E" w:rsidRPr="00A8783E" w:rsidRDefault="00A8783E" w:rsidP="00A8783E">
            <w:pPr>
              <w:tabs>
                <w:tab w:val="left" w:pos="3745"/>
              </w:tabs>
              <w:spacing w:after="0" w:line="240" w:lineRule="auto"/>
              <w:ind w:right="175"/>
              <w:rPr>
                <w:rFonts w:ascii="Times New Roman" w:hAnsi="Times New Roman"/>
              </w:rPr>
            </w:pPr>
            <w:r w:rsidRPr="00A8783E">
              <w:rPr>
                <w:rFonts w:ascii="Times New Roman" w:hAnsi="Times New Roman"/>
              </w:rPr>
              <w:t xml:space="preserve">В СФ за концентрацията на вида в зоната е посочена численост 1-2 инд. Липсват други публикувани данни за концентрацията на вида в зоната, поради което се налага поставянето на междинна цел. до 2025 г. </w:t>
            </w:r>
          </w:p>
        </w:tc>
        <w:tc>
          <w:tcPr>
            <w:tcW w:w="232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Междинна цел до 2025 г.: да се проведе мониторинг, който да изясни миграционната численост на вида в зоната.</w:t>
            </w:r>
          </w:p>
        </w:tc>
      </w:tr>
      <w:tr w:rsidR="00A8783E" w:rsidRPr="00A8783E" w:rsidTr="005B5318">
        <w:trPr>
          <w:jc w:val="center"/>
        </w:trPr>
        <w:tc>
          <w:tcPr>
            <w:tcW w:w="1737" w:type="dxa"/>
          </w:tcPr>
          <w:p w:rsidR="00A8783E" w:rsidRPr="00A8783E" w:rsidRDefault="00A8783E" w:rsidP="00A8783E">
            <w:pPr>
              <w:spacing w:after="0" w:line="240" w:lineRule="auto"/>
              <w:rPr>
                <w:rFonts w:ascii="Times New Roman" w:hAnsi="Times New Roman"/>
              </w:rPr>
            </w:pPr>
            <w:r w:rsidRPr="00A8783E">
              <w:rPr>
                <w:rFonts w:ascii="Times New Roman" w:hAnsi="Times New Roman"/>
                <w:b/>
              </w:rPr>
              <w:t>Местообитание на вида</w:t>
            </w:r>
            <w:r w:rsidRPr="00A8783E">
              <w:rPr>
                <w:rFonts w:ascii="Times New Roman" w:hAnsi="Times New Roman"/>
              </w:rPr>
              <w:t xml:space="preserve">: площ на подходящите места за търсене на храна </w:t>
            </w:r>
          </w:p>
        </w:tc>
        <w:tc>
          <w:tcPr>
            <w:tcW w:w="1093" w:type="dxa"/>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lang w:val="en-US"/>
              </w:rPr>
              <w:t>ha</w:t>
            </w:r>
          </w:p>
        </w:tc>
        <w:tc>
          <w:tcPr>
            <w:tcW w:w="12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Най-малко 840</w:t>
            </w:r>
          </w:p>
        </w:tc>
        <w:tc>
          <w:tcPr>
            <w:tcW w:w="2993"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Изчислена на база % участие на местообитание N07-мочурища и блата и N06-вътрешни водни тела в зоната.</w:t>
            </w:r>
          </w:p>
        </w:tc>
        <w:tc>
          <w:tcPr>
            <w:tcW w:w="232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най-малко 840 ha</w:t>
            </w:r>
          </w:p>
        </w:tc>
      </w:tr>
      <w:tr w:rsidR="00A8783E" w:rsidRPr="00A8783E" w:rsidTr="005B5318">
        <w:trPr>
          <w:jc w:val="center"/>
        </w:trPr>
        <w:tc>
          <w:tcPr>
            <w:tcW w:w="1737" w:type="dxa"/>
          </w:tcPr>
          <w:p w:rsidR="00A8783E" w:rsidRPr="00A8783E" w:rsidRDefault="00A8783E" w:rsidP="00A8783E">
            <w:pPr>
              <w:spacing w:after="0" w:line="240" w:lineRule="auto"/>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Екологично състояние на водните тела с местообитания на вида, по биологичен елемент риби (JDS4-Fish)</w:t>
            </w:r>
          </w:p>
        </w:tc>
        <w:tc>
          <w:tcPr>
            <w:tcW w:w="1093"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5 степенна скала</w:t>
            </w:r>
          </w:p>
        </w:tc>
        <w:tc>
          <w:tcPr>
            <w:tcW w:w="12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2-Добро или 1-Отлично</w:t>
            </w:r>
          </w:p>
        </w:tc>
        <w:tc>
          <w:tcPr>
            <w:tcW w:w="2993" w:type="dxa"/>
          </w:tcPr>
          <w:tbl>
            <w:tblPr>
              <w:tblW w:w="2965" w:type="dxa"/>
              <w:tblInd w:w="3" w:type="dxa"/>
              <w:tblLayout w:type="fixed"/>
              <w:tblCellMar>
                <w:left w:w="70" w:type="dxa"/>
                <w:right w:w="70" w:type="dxa"/>
              </w:tblCellMar>
              <w:tblLook w:val="00A0" w:firstRow="1" w:lastRow="0" w:firstColumn="1" w:lastColumn="0" w:noHBand="0" w:noVBand="0"/>
            </w:tblPr>
            <w:tblGrid>
              <w:gridCol w:w="2965"/>
            </w:tblGrid>
            <w:tr w:rsidR="00A8783E" w:rsidRPr="00A8783E" w:rsidTr="005B5318">
              <w:trPr>
                <w:trHeight w:val="298"/>
              </w:trPr>
              <w:tc>
                <w:tcPr>
                  <w:tcW w:w="2965"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98"/>
              </w:trPr>
              <w:tc>
                <w:tcPr>
                  <w:tcW w:w="2965"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1-Отлично - High</w:t>
                  </w:r>
                </w:p>
              </w:tc>
            </w:tr>
            <w:tr w:rsidR="00A8783E" w:rsidRPr="00A8783E" w:rsidTr="005B5318">
              <w:trPr>
                <w:trHeight w:val="298"/>
              </w:trPr>
              <w:tc>
                <w:tcPr>
                  <w:tcW w:w="2965"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2-Добро - Good</w:t>
                  </w:r>
                </w:p>
              </w:tc>
            </w:tr>
            <w:tr w:rsidR="00A8783E" w:rsidRPr="00A8783E" w:rsidTr="005B5318">
              <w:trPr>
                <w:trHeight w:val="298"/>
              </w:trPr>
              <w:tc>
                <w:tcPr>
                  <w:tcW w:w="2965"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3-Умерено - Moderate</w:t>
                  </w:r>
                </w:p>
              </w:tc>
            </w:tr>
            <w:tr w:rsidR="00A8783E" w:rsidRPr="00A8783E" w:rsidTr="005B5318">
              <w:trPr>
                <w:trHeight w:val="298"/>
              </w:trPr>
              <w:tc>
                <w:tcPr>
                  <w:tcW w:w="2965"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4-Лошо - Poor</w:t>
                  </w:r>
                </w:p>
              </w:tc>
            </w:tr>
            <w:tr w:rsidR="00A8783E" w:rsidRPr="00A8783E" w:rsidTr="005B5318">
              <w:trPr>
                <w:trHeight w:val="298"/>
              </w:trPr>
              <w:tc>
                <w:tcPr>
                  <w:tcW w:w="2965"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Екологичното състояние на водите по р. Дунав по показател риби (пункт Русе и Силистра) е оценено на </w:t>
            </w:r>
            <w:r w:rsidRPr="00A8783E">
              <w:rPr>
                <w:rFonts w:ascii="Times New Roman" w:hAnsi="Times New Roman"/>
                <w:b/>
                <w:bCs/>
              </w:rPr>
              <w:t xml:space="preserve">умерено (3) </w:t>
            </w:r>
            <w:r w:rsidRPr="00A8783E">
              <w:rPr>
                <w:rFonts w:ascii="Times New Roman" w:hAnsi="Times New Roman"/>
              </w:rPr>
              <w:t>според доклада на JDS4 (2019-2020, Табл. 5, стр. 51).</w:t>
            </w:r>
            <w:r w:rsidRPr="00A8783E">
              <w:rPr>
                <w:rFonts w:cs="Calibri"/>
              </w:rPr>
              <w:t xml:space="preserve"> </w:t>
            </w:r>
            <w:r w:rsidRPr="00A8783E">
              <w:rPr>
                <w:rFonts w:ascii="Times New Roman" w:hAnsi="Times New Roman"/>
              </w:rPr>
              <w:t>Екологичното състояние на езерото Сребърна по БЕК Риби е оценено като „</w:t>
            </w:r>
            <w:r w:rsidRPr="00A8783E">
              <w:rPr>
                <w:rFonts w:ascii="Times New Roman" w:hAnsi="Times New Roman"/>
                <w:b/>
              </w:rPr>
              <w:t>Умерено</w:t>
            </w:r>
            <w:r w:rsidRPr="00A8783E">
              <w:rPr>
                <w:rFonts w:ascii="Times New Roman" w:hAnsi="Times New Roman"/>
              </w:rPr>
              <w:t>“.</w:t>
            </w:r>
          </w:p>
        </w:tc>
        <w:tc>
          <w:tcPr>
            <w:tcW w:w="232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60" w:line="259" w:lineRule="auto"/>
        <w:rPr>
          <w:rFonts w:ascii="Times New Roman" w:hAnsi="Times New Roman"/>
          <w:b/>
          <w:bCs/>
          <w:sz w:val="24"/>
          <w:szCs w:val="24"/>
        </w:rPr>
      </w:pPr>
    </w:p>
    <w:p w:rsidR="00A8783E" w:rsidRPr="00A8783E" w:rsidRDefault="00A8783E" w:rsidP="00A8783E">
      <w:pPr>
        <w:spacing w:after="16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Не са необходими промени в СФ.</w:t>
      </w: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06" w:name="_Toc87031401"/>
      <w:bookmarkStart w:id="307" w:name="_Toc87467227"/>
      <w:bookmarkStart w:id="308" w:name="_Toc88638314"/>
      <w:bookmarkStart w:id="309" w:name="_Toc88865719"/>
      <w:bookmarkStart w:id="310" w:name="_Toc89106111"/>
      <w:bookmarkStart w:id="311" w:name="_Toc98741950"/>
      <w:bookmarkStart w:id="312" w:name="_Toc98838625"/>
      <w:r w:rsidRPr="00A8783E">
        <w:rPr>
          <w:rFonts w:ascii="Times New Roman" w:hAnsi="Times New Roman"/>
          <w:color w:val="1F497D"/>
          <w:sz w:val="28"/>
          <w:szCs w:val="28"/>
        </w:rPr>
        <w:t xml:space="preserve">Специфични цели за A096 </w:t>
      </w:r>
      <w:r w:rsidRPr="00A8783E">
        <w:rPr>
          <w:rFonts w:ascii="Times New Roman" w:hAnsi="Times New Roman"/>
          <w:i/>
          <w:iCs/>
          <w:color w:val="1F497D"/>
          <w:sz w:val="28"/>
          <w:szCs w:val="28"/>
        </w:rPr>
        <w:t>Falco tinnunculus</w:t>
      </w:r>
      <w:r w:rsidRPr="00A8783E">
        <w:rPr>
          <w:rFonts w:ascii="Times New Roman" w:hAnsi="Times New Roman"/>
          <w:color w:val="1F497D"/>
          <w:sz w:val="28"/>
          <w:szCs w:val="28"/>
        </w:rPr>
        <w:t xml:space="preserve"> (черношипа ветрушка)</w:t>
      </w:r>
      <w:bookmarkEnd w:id="306"/>
      <w:bookmarkEnd w:id="307"/>
      <w:bookmarkEnd w:id="308"/>
      <w:bookmarkEnd w:id="309"/>
      <w:bookmarkEnd w:id="310"/>
      <w:bookmarkEnd w:id="311"/>
      <w:bookmarkEnd w:id="312"/>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Дължината на тялото 30-35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72-78 </w:t>
      </w:r>
      <w:r w:rsidRPr="00A8783E">
        <w:rPr>
          <w:rFonts w:ascii="Times New Roman" w:hAnsi="Times New Roman"/>
          <w:sz w:val="24"/>
          <w:szCs w:val="24"/>
          <w:lang w:val="en-US"/>
        </w:rPr>
        <w:t>cm</w:t>
      </w:r>
      <w:r w:rsidRPr="00A8783E">
        <w:rPr>
          <w:rFonts w:ascii="Times New Roman" w:hAnsi="Times New Roman"/>
          <w:sz w:val="24"/>
          <w:szCs w:val="24"/>
        </w:rPr>
        <w:t xml:space="preserve">. Мъжкият е със сиво-сини глава и опашка (на върха с широка черна ивица) и червено-кафяв гръб, изпъстрен с черни щрихи, по които се отличава от мъжката степна ветрушка; отдолу е светлокафяв с редки черни щрихи. Женската отгоре е кафява с черни щрихи, отдолу – кремава с черни щрихи по гърдите и подкрилията; маховите пера са изцяло сиви; има добре очертани бакенбарди. При всички възрасти и полове опашката е дълга с черна ивица накрая, а ноктите – черни.  (Симеонов и др., 1990; Мичев и др., 2012).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Прелетен и постоянен. Пролетният прелет е през март, а есенният: септември - октомври. През размножителния период е повсеместно разпространен вид в равнини и планини до най-високите алпийски терени. През зимата се среща рядко в равнини и планински склонове до около 1000 m надм. в. (Симеонов и др., 1990).</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Скалисти и карстови терени, проломи, дефилета, ждрела, долини на реки с отвесни песъчливи, льосови брегове и оврази, лесостепи, окрайнини на разредени гори, полета с единични стари дървета и оазисни гори (Симеонов и др., 1990). Според Channing (2006) 1 двойка обитава територия около 2 до 10 </w:t>
      </w:r>
      <w:r w:rsidRPr="00A8783E">
        <w:rPr>
          <w:rFonts w:ascii="Times New Roman" w:hAnsi="Times New Roman"/>
          <w:sz w:val="24"/>
          <w:szCs w:val="24"/>
          <w:lang w:val="en-US"/>
        </w:rPr>
        <w:t>km</w:t>
      </w:r>
      <w:r w:rsidRPr="00A8783E">
        <w:rPr>
          <w:rFonts w:ascii="Times New Roman" w:hAnsi="Times New Roman"/>
          <w:sz w:val="24"/>
          <w:szCs w:val="24"/>
          <w:vertAlign w:val="superscript"/>
        </w:rPr>
        <w:t>2</w:t>
      </w:r>
      <w:r w:rsidRPr="00A8783E">
        <w:rPr>
          <w:rFonts w:ascii="Times New Roman" w:hAnsi="Times New Roman"/>
          <w:sz w:val="24"/>
          <w:szCs w:val="24"/>
        </w:rPr>
        <w:t xml:space="preserve"> (200-1000 </w:t>
      </w:r>
      <w:r w:rsidRPr="00A8783E">
        <w:rPr>
          <w:rFonts w:ascii="Times New Roman" w:hAnsi="Times New Roman"/>
          <w:sz w:val="24"/>
          <w:szCs w:val="24"/>
          <w:lang w:val="en-US"/>
        </w:rPr>
        <w:t>ha</w:t>
      </w:r>
      <w:r w:rsidRPr="00A8783E">
        <w:rPr>
          <w:rFonts w:ascii="Times New Roman" w:hAnsi="Times New Roman"/>
          <w:sz w:val="24"/>
          <w:szCs w:val="24"/>
        </w:rPr>
        <w:t xml:space="preserve">), като средният размер на територията е 5 </w:t>
      </w:r>
      <w:r w:rsidRPr="00A8783E">
        <w:rPr>
          <w:rFonts w:ascii="Times New Roman" w:hAnsi="Times New Roman"/>
          <w:sz w:val="24"/>
          <w:szCs w:val="24"/>
          <w:lang w:val="en-US"/>
        </w:rPr>
        <w:t>km</w:t>
      </w:r>
      <w:r w:rsidRPr="00A8783E">
        <w:rPr>
          <w:rFonts w:ascii="Times New Roman" w:hAnsi="Times New Roman"/>
          <w:sz w:val="24"/>
          <w:szCs w:val="24"/>
          <w:vertAlign w:val="superscript"/>
        </w:rPr>
        <w:t>2</w:t>
      </w:r>
      <w:r w:rsidRPr="00A8783E">
        <w:rPr>
          <w:rFonts w:ascii="Times New Roman" w:hAnsi="Times New Roman"/>
          <w:sz w:val="24"/>
          <w:szCs w:val="24"/>
        </w:rPr>
        <w:t xml:space="preserve"> (500 </w:t>
      </w:r>
      <w:r w:rsidRPr="00A8783E">
        <w:rPr>
          <w:rFonts w:ascii="Times New Roman" w:hAnsi="Times New Roman"/>
          <w:sz w:val="24"/>
          <w:szCs w:val="24"/>
          <w:lang w:val="en-US"/>
        </w:rPr>
        <w:t>ha</w:t>
      </w:r>
      <w:r w:rsidRPr="00A8783E">
        <w:rPr>
          <w:rFonts w:ascii="Times New Roman" w:hAnsi="Times New Roman"/>
          <w:sz w:val="24"/>
          <w:szCs w:val="24"/>
        </w:rPr>
        <w:t xml:space="preserve">). В други големи европейски градове е между 23 и 55 двойки /100 </w:t>
      </w:r>
      <w:r w:rsidRPr="00A8783E">
        <w:rPr>
          <w:rFonts w:ascii="Times New Roman" w:hAnsi="Times New Roman"/>
          <w:sz w:val="24"/>
          <w:szCs w:val="24"/>
          <w:lang w:val="en-US"/>
        </w:rPr>
        <w:t>km</w:t>
      </w:r>
      <w:r w:rsidRPr="00A8783E">
        <w:rPr>
          <w:rFonts w:ascii="Times New Roman" w:hAnsi="Times New Roman"/>
          <w:sz w:val="24"/>
          <w:szCs w:val="24"/>
          <w:vertAlign w:val="superscript"/>
        </w:rPr>
        <w:t>2</w:t>
      </w:r>
      <w:r w:rsidRPr="00A8783E">
        <w:rPr>
          <w:rFonts w:ascii="Times New Roman" w:hAnsi="Times New Roman"/>
          <w:sz w:val="24"/>
          <w:szCs w:val="24"/>
        </w:rPr>
        <w:t xml:space="preserve"> (Malher et al., 2010).</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Хранят се предимно с малки бозайници, включително полевки (Arvicoline) и мишки (напр. </w:t>
      </w:r>
      <w:r w:rsidRPr="00A8783E">
        <w:rPr>
          <w:rFonts w:ascii="Times New Roman" w:hAnsi="Times New Roman"/>
          <w:i/>
          <w:iCs/>
          <w:sz w:val="24"/>
          <w:szCs w:val="24"/>
        </w:rPr>
        <w:t>Apodemus sylvaticus</w:t>
      </w:r>
      <w:r w:rsidRPr="00A8783E">
        <w:rPr>
          <w:rFonts w:ascii="Times New Roman" w:hAnsi="Times New Roman"/>
          <w:sz w:val="24"/>
          <w:szCs w:val="24"/>
        </w:rPr>
        <w:t xml:space="preserve">). Понякога се хранят със земноводни, влечуги и други птици. Ловуват, като се издигат на 10 до 20 </w:t>
      </w:r>
      <w:r w:rsidRPr="00A8783E">
        <w:rPr>
          <w:rFonts w:ascii="Times New Roman" w:hAnsi="Times New Roman"/>
          <w:sz w:val="24"/>
          <w:szCs w:val="24"/>
          <w:lang w:val="en-US"/>
        </w:rPr>
        <w:t>m</w:t>
      </w:r>
      <w:r w:rsidRPr="00A8783E">
        <w:rPr>
          <w:rFonts w:ascii="Times New Roman" w:hAnsi="Times New Roman"/>
          <w:sz w:val="24"/>
          <w:szCs w:val="24"/>
        </w:rPr>
        <w:t xml:space="preserve"> над земята и бързо се гмуркат върху плячката си. В някои райони са ключови хищници за дребни тревопасни бозайници, включително полевки и мишки, и помагат за контролиране на популациите на гризачи и дребни бозайници. Въпреки, че стават жертва на ястреби и други хищници, те не са основен източник на храна за хищниците (Shrubb, 1993; Channing, 2006 ).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Повсеместно разпространен в по-голямата част от страната както в равнините, така и в планините, където достига до алпийските им части. Отсъства или е рядък в гористите райони, особено в планините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Включен в Приложение 3 на ЗБР. Включен в SPEC 3. Не е включен в Червената книга на България. Според IUCN е слабо засегнат - LC (Least Concern) за територията на континентална Европа.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видът се опазва като </w:t>
      </w:r>
      <w:r w:rsidRPr="00A8783E">
        <w:rPr>
          <w:rFonts w:ascii="Times New Roman" w:hAnsi="Times New Roman"/>
          <w:b/>
          <w:bCs/>
          <w:sz w:val="24"/>
          <w:szCs w:val="24"/>
        </w:rPr>
        <w:t>гнездящ</w:t>
      </w:r>
      <w:r w:rsidRPr="00A8783E">
        <w:rPr>
          <w:rFonts w:ascii="Times New Roman" w:hAnsi="Times New Roman"/>
          <w:sz w:val="24"/>
          <w:szCs w:val="24"/>
        </w:rPr>
        <w:t xml:space="preserve"> с популация между 4400 и 9600 двойки. Краткосрочната (2000-2018) е стабилна, а дългосрочната тенденция в развитието на популацията (1980-2018 г.) е увеличаваща се. Не са посочени заплахи и влияния.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2001 – 2018 г.) видът се опазва и като </w:t>
      </w:r>
      <w:r w:rsidRPr="00A8783E">
        <w:rPr>
          <w:rFonts w:ascii="Times New Roman" w:hAnsi="Times New Roman"/>
          <w:b/>
          <w:bCs/>
          <w:sz w:val="24"/>
          <w:szCs w:val="24"/>
        </w:rPr>
        <w:t xml:space="preserve">мигриращ </w:t>
      </w:r>
      <w:r w:rsidRPr="00A8783E">
        <w:rPr>
          <w:rFonts w:ascii="Times New Roman" w:hAnsi="Times New Roman"/>
          <w:sz w:val="24"/>
          <w:szCs w:val="24"/>
        </w:rPr>
        <w:t>с популация между 800 и 1000 двойки. Не са посочени тенденции в развитието на популацията. Посочени са следните заплахи и влияния: A02, A04, F03, D06.</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lastRenderedPageBreak/>
        <w:t xml:space="preserve">Съгласно стандартния формуляр за данни на зоната вида е </w:t>
      </w:r>
      <w:r w:rsidRPr="00A8783E">
        <w:rPr>
          <w:rFonts w:ascii="Times New Roman" w:hAnsi="Times New Roman"/>
          <w:b/>
          <w:bCs/>
          <w:color w:val="000000"/>
          <w:sz w:val="24"/>
          <w:szCs w:val="24"/>
        </w:rPr>
        <w:t>гнездящ</w:t>
      </w:r>
      <w:r w:rsidRPr="00A8783E">
        <w:rPr>
          <w:rFonts w:ascii="Times New Roman" w:hAnsi="Times New Roman"/>
          <w:color w:val="000000"/>
          <w:sz w:val="24"/>
          <w:szCs w:val="24"/>
        </w:rPr>
        <w:t xml:space="preserve"> (</w:t>
      </w:r>
      <w:r w:rsidRPr="00A8783E">
        <w:rPr>
          <w:rFonts w:ascii="Times New Roman" w:hAnsi="Times New Roman"/>
          <w:b/>
          <w:bCs/>
          <w:color w:val="000000"/>
          <w:sz w:val="24"/>
          <w:szCs w:val="24"/>
        </w:rPr>
        <w:t>постоянен),</w:t>
      </w:r>
      <w:r w:rsidRPr="00A8783E">
        <w:rPr>
          <w:rFonts w:ascii="Times New Roman" w:hAnsi="Times New Roman"/>
          <w:color w:val="000000"/>
          <w:sz w:val="24"/>
          <w:szCs w:val="24"/>
        </w:rPr>
        <w:t xml:space="preserve"> като числеността на популацията е </w:t>
      </w:r>
      <w:r w:rsidRPr="00A8783E">
        <w:rPr>
          <w:rFonts w:ascii="Times New Roman" w:hAnsi="Times New Roman"/>
          <w:b/>
          <w:color w:val="000000"/>
          <w:sz w:val="24"/>
          <w:szCs w:val="24"/>
        </w:rPr>
        <w:t>0-2 дв</w:t>
      </w:r>
      <w:r w:rsidRPr="00A8783E">
        <w:rPr>
          <w:rFonts w:ascii="Times New Roman" w:hAnsi="Times New Roman"/>
          <w:color w:val="000000"/>
          <w:sz w:val="24"/>
          <w:szCs w:val="24"/>
        </w:rPr>
        <w:t xml:space="preserve">., което представлява 0,02% от националната популация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оценка „С“</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По поречието на Дунав е многочислен гнездящ вид. Гнезди повсеместно из полските райони в стари гнезда на вранови птици по дървета. Общо са установени 420-750 дв. (</w:t>
      </w:r>
      <w:r w:rsidRPr="00A8783E">
        <w:rPr>
          <w:rFonts w:ascii="Times New Roman" w:hAnsi="Times New Roman"/>
          <w:color w:val="000000"/>
          <w:sz w:val="24"/>
          <w:szCs w:val="24"/>
          <w:lang w:val="en-US"/>
        </w:rPr>
        <w:t>Cheshmedzhiev</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et</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al</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in</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Shurulinkov</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et</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al</w:t>
      </w:r>
      <w:r w:rsidRPr="00A8783E">
        <w:rPr>
          <w:rFonts w:ascii="Times New Roman" w:hAnsi="Times New Roman"/>
          <w:color w:val="000000"/>
          <w:sz w:val="24"/>
          <w:szCs w:val="24"/>
        </w:rPr>
        <w:t xml:space="preserve">., 2019). В ОВМ „Сребърна“ вида не е посочен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Костадинова и Граматиков, 2007</w:t>
      </w:r>
      <w:r w:rsidRPr="00A8783E">
        <w:rPr>
          <w:rFonts w:ascii="Times New Roman" w:hAnsi="Times New Roman"/>
          <w:color w:val="000000"/>
          <w:sz w:val="24"/>
          <w:szCs w:val="24"/>
          <w:lang w:val="ru-RU"/>
        </w:rPr>
        <w:t>)</w:t>
      </w:r>
      <w:r w:rsidRPr="00A8783E">
        <w:rPr>
          <w:rFonts w:ascii="Times New Roman" w:hAnsi="Times New Roman"/>
          <w:color w:val="000000"/>
          <w:sz w:val="24"/>
          <w:szCs w:val="24"/>
        </w:rPr>
        <w:t>.</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През периода 2001-2003 г. вида е гнездил в Сребърна с численост 1 дв. </w:t>
      </w:r>
      <w:r w:rsidRPr="00A8783E">
        <w:rPr>
          <w:rFonts w:ascii="Times New Roman" w:hAnsi="Times New Roman"/>
          <w:color w:val="000000"/>
          <w:sz w:val="24"/>
          <w:szCs w:val="24"/>
          <w:lang w:val="ru-RU"/>
        </w:rPr>
        <w:t>(</w:t>
      </w:r>
      <w:r w:rsidRPr="00A8783E">
        <w:rPr>
          <w:rFonts w:ascii="Times New Roman" w:hAnsi="Times New Roman"/>
          <w:color w:val="000000"/>
          <w:sz w:val="24"/>
          <w:szCs w:val="24"/>
          <w:lang w:val="en-US"/>
        </w:rPr>
        <w:t>Kambourova</w:t>
      </w:r>
      <w:r w:rsidRPr="00A8783E">
        <w:rPr>
          <w:rFonts w:ascii="Times New Roman" w:hAnsi="Times New Roman"/>
          <w:color w:val="000000"/>
          <w:sz w:val="24"/>
          <w:szCs w:val="24"/>
          <w:lang w:val="ru-RU"/>
        </w:rPr>
        <w:t xml:space="preserve">, 2005). </w:t>
      </w:r>
      <w:r w:rsidRPr="00A8783E">
        <w:rPr>
          <w:rFonts w:ascii="Times New Roman" w:hAnsi="Times New Roman"/>
          <w:color w:val="000000"/>
          <w:sz w:val="24"/>
          <w:szCs w:val="24"/>
        </w:rPr>
        <w:t>По време на теренните изследвания през 2021 г. вида не е наблюдаван в зоната.</w:t>
      </w:r>
    </w:p>
    <w:p w:rsidR="00A8783E" w:rsidRPr="00A8783E" w:rsidRDefault="00A8783E" w:rsidP="00A8783E">
      <w:pPr>
        <w:spacing w:before="120" w:after="120" w:line="240" w:lineRule="auto"/>
        <w:jc w:val="both"/>
        <w:rPr>
          <w:rFonts w:ascii="Times New Roman" w:hAnsi="Times New Roman"/>
          <w:b/>
          <w:bCs/>
          <w:color w:val="000000"/>
          <w:sz w:val="24"/>
          <w:szCs w:val="24"/>
          <w:lang w:val="ru-RU"/>
        </w:rPr>
      </w:pPr>
      <w:r w:rsidRPr="00A8783E">
        <w:rPr>
          <w:rFonts w:ascii="Times New Roman" w:hAnsi="Times New Roman"/>
          <w:color w:val="000000"/>
          <w:sz w:val="24"/>
          <w:szCs w:val="24"/>
        </w:rPr>
        <w:t>При докладването по чл. 12 от 2019 г. не са посочени заплахи и влияния за гнездящата популация.</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5. 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624"/>
        <w:gridCol w:w="1624"/>
        <w:gridCol w:w="2605"/>
        <w:gridCol w:w="1682"/>
      </w:tblGrid>
      <w:tr w:rsidR="00A8783E" w:rsidRPr="00A8783E" w:rsidTr="005B5318">
        <w:trPr>
          <w:tblHeader/>
          <w:jc w:val="center"/>
        </w:trPr>
        <w:tc>
          <w:tcPr>
            <w:tcW w:w="994" w:type="pct"/>
            <w:shd w:val="clear" w:color="auto" w:fill="DBE5F1"/>
            <w:vAlign w:val="center"/>
          </w:tcPr>
          <w:p w:rsidR="00A8783E" w:rsidRPr="00A8783E" w:rsidRDefault="00A8783E" w:rsidP="00A8783E">
            <w:pPr>
              <w:spacing w:after="0" w:line="240" w:lineRule="auto"/>
              <w:rPr>
                <w:rFonts w:ascii="Times New Roman" w:hAnsi="Times New Roman"/>
                <w:b/>
                <w:bCs/>
                <w:color w:val="000000"/>
              </w:rPr>
            </w:pPr>
            <w:r w:rsidRPr="00A8783E">
              <w:rPr>
                <w:rFonts w:ascii="Times New Roman" w:hAnsi="Times New Roman"/>
                <w:b/>
                <w:bCs/>
                <w:color w:val="000000"/>
              </w:rPr>
              <w:t>Параметър</w:t>
            </w:r>
          </w:p>
        </w:tc>
        <w:tc>
          <w:tcPr>
            <w:tcW w:w="874" w:type="pct"/>
            <w:shd w:val="clear" w:color="auto" w:fill="DBE5F1"/>
            <w:vAlign w:val="center"/>
          </w:tcPr>
          <w:p w:rsidR="00A8783E" w:rsidRPr="00A8783E" w:rsidRDefault="00A8783E" w:rsidP="00A8783E">
            <w:pPr>
              <w:spacing w:after="0" w:line="240" w:lineRule="auto"/>
              <w:rPr>
                <w:rFonts w:ascii="Times New Roman" w:hAnsi="Times New Roman"/>
                <w:b/>
                <w:bCs/>
                <w:color w:val="000000"/>
              </w:rPr>
            </w:pPr>
            <w:r w:rsidRPr="00A8783E">
              <w:rPr>
                <w:rFonts w:ascii="Times New Roman" w:hAnsi="Times New Roman"/>
                <w:b/>
                <w:bCs/>
                <w:color w:val="000000"/>
              </w:rPr>
              <w:t xml:space="preserve">Мерна единица </w:t>
            </w:r>
          </w:p>
        </w:tc>
        <w:tc>
          <w:tcPr>
            <w:tcW w:w="708" w:type="pct"/>
            <w:shd w:val="clear" w:color="auto" w:fill="DBE5F1"/>
            <w:vAlign w:val="center"/>
          </w:tcPr>
          <w:p w:rsidR="00A8783E" w:rsidRPr="00A8783E" w:rsidRDefault="00A8783E" w:rsidP="00A8783E">
            <w:pPr>
              <w:spacing w:after="0" w:line="240" w:lineRule="auto"/>
              <w:rPr>
                <w:rFonts w:ascii="Times New Roman" w:hAnsi="Times New Roman"/>
                <w:b/>
                <w:bCs/>
                <w:color w:val="000000"/>
              </w:rPr>
            </w:pPr>
            <w:r w:rsidRPr="00A8783E">
              <w:rPr>
                <w:rFonts w:ascii="Times New Roman" w:hAnsi="Times New Roman"/>
                <w:b/>
                <w:bCs/>
                <w:color w:val="000000"/>
              </w:rPr>
              <w:t xml:space="preserve">Целева стойност </w:t>
            </w:r>
          </w:p>
        </w:tc>
        <w:tc>
          <w:tcPr>
            <w:tcW w:w="1518" w:type="pct"/>
            <w:shd w:val="clear" w:color="auto" w:fill="DBE5F1"/>
            <w:vAlign w:val="center"/>
          </w:tcPr>
          <w:p w:rsidR="00A8783E" w:rsidRPr="00A8783E" w:rsidRDefault="00A8783E" w:rsidP="00A8783E">
            <w:pPr>
              <w:spacing w:after="0" w:line="240" w:lineRule="auto"/>
              <w:rPr>
                <w:rFonts w:ascii="Times New Roman" w:hAnsi="Times New Roman"/>
                <w:b/>
                <w:bCs/>
                <w:color w:val="000000"/>
              </w:rPr>
            </w:pPr>
            <w:r w:rsidRPr="00A8783E">
              <w:rPr>
                <w:rFonts w:ascii="Times New Roman" w:hAnsi="Times New Roman"/>
                <w:b/>
                <w:bCs/>
                <w:color w:val="000000"/>
              </w:rPr>
              <w:t xml:space="preserve">Допълнителна информация </w:t>
            </w:r>
          </w:p>
        </w:tc>
        <w:tc>
          <w:tcPr>
            <w:tcW w:w="905" w:type="pct"/>
            <w:shd w:val="clear" w:color="auto" w:fill="DBE5F1"/>
            <w:vAlign w:val="center"/>
          </w:tcPr>
          <w:p w:rsidR="00A8783E" w:rsidRPr="00A8783E" w:rsidRDefault="00A8783E" w:rsidP="00A8783E">
            <w:pPr>
              <w:spacing w:after="0" w:line="240" w:lineRule="auto"/>
              <w:rPr>
                <w:rFonts w:ascii="Times New Roman" w:hAnsi="Times New Roman"/>
                <w:b/>
                <w:bCs/>
                <w:color w:val="000000"/>
              </w:rPr>
            </w:pPr>
            <w:r w:rsidRPr="00A8783E">
              <w:rPr>
                <w:rFonts w:ascii="Times New Roman" w:hAnsi="Times New Roman"/>
                <w:b/>
                <w:bCs/>
                <w:color w:val="000000"/>
              </w:rPr>
              <w:t xml:space="preserve">Специфични за зоната цели за опазване </w:t>
            </w:r>
          </w:p>
        </w:tc>
      </w:tr>
      <w:tr w:rsidR="00A8783E" w:rsidRPr="00A8783E" w:rsidTr="005B5318">
        <w:trPr>
          <w:jc w:val="center"/>
        </w:trPr>
        <w:tc>
          <w:tcPr>
            <w:tcW w:w="994" w:type="pct"/>
          </w:tcPr>
          <w:p w:rsidR="00A8783E" w:rsidRPr="00A8783E" w:rsidRDefault="00A8783E" w:rsidP="00A8783E">
            <w:pPr>
              <w:spacing w:after="0" w:line="240" w:lineRule="auto"/>
              <w:rPr>
                <w:rFonts w:ascii="Times New Roman" w:hAnsi="Times New Roman"/>
                <w:b/>
                <w:bCs/>
                <w:color w:val="000000"/>
              </w:rPr>
            </w:pPr>
            <w:r w:rsidRPr="00A8783E">
              <w:rPr>
                <w:rFonts w:ascii="Times New Roman" w:hAnsi="Times New Roman"/>
                <w:b/>
                <w:bCs/>
                <w:color w:val="000000"/>
              </w:rPr>
              <w:t xml:space="preserve">Популация: </w:t>
            </w:r>
            <w:r w:rsidRPr="00A8783E">
              <w:rPr>
                <w:rFonts w:ascii="Times New Roman" w:hAnsi="Times New Roman"/>
                <w:color w:val="000000"/>
              </w:rPr>
              <w:t>Размер на гнездящата популация</w:t>
            </w:r>
          </w:p>
        </w:tc>
        <w:tc>
          <w:tcPr>
            <w:tcW w:w="874" w:type="pct"/>
          </w:tcPr>
          <w:p w:rsidR="00A8783E" w:rsidRPr="00A8783E" w:rsidRDefault="00A8783E" w:rsidP="00A8783E">
            <w:pPr>
              <w:spacing w:after="0" w:line="240" w:lineRule="auto"/>
              <w:rPr>
                <w:rFonts w:ascii="Times New Roman" w:hAnsi="Times New Roman"/>
                <w:color w:val="000000"/>
              </w:rPr>
            </w:pPr>
            <w:r w:rsidRPr="00A8783E">
              <w:rPr>
                <w:rFonts w:ascii="Times New Roman" w:hAnsi="Times New Roman"/>
                <w:color w:val="000000"/>
              </w:rPr>
              <w:t>Брой двойки</w:t>
            </w:r>
          </w:p>
        </w:tc>
        <w:tc>
          <w:tcPr>
            <w:tcW w:w="708" w:type="pct"/>
          </w:tcPr>
          <w:p w:rsidR="00A8783E" w:rsidRPr="00A8783E" w:rsidRDefault="00A8783E" w:rsidP="00A8783E">
            <w:pPr>
              <w:spacing w:after="0" w:line="240" w:lineRule="auto"/>
              <w:rPr>
                <w:rFonts w:ascii="Times New Roman" w:hAnsi="Times New Roman"/>
                <w:color w:val="000000"/>
              </w:rPr>
            </w:pPr>
            <w:r w:rsidRPr="00A8783E">
              <w:rPr>
                <w:rFonts w:ascii="Times New Roman" w:hAnsi="Times New Roman"/>
                <w:color w:val="000000"/>
              </w:rPr>
              <w:t>Най-малко 1 дв.</w:t>
            </w:r>
          </w:p>
        </w:tc>
        <w:tc>
          <w:tcPr>
            <w:tcW w:w="1518" w:type="pct"/>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Определена на база СФ, теренните проучвания през 2021 г. и други налични данни за гнезденето на вида в зоната.</w:t>
            </w:r>
          </w:p>
        </w:tc>
        <w:tc>
          <w:tcPr>
            <w:tcW w:w="905" w:type="pct"/>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1 гн. дв. чрез поддържане на подходящи хранителни местообитания.</w:t>
            </w:r>
          </w:p>
        </w:tc>
      </w:tr>
      <w:tr w:rsidR="00A8783E" w:rsidRPr="00A8783E" w:rsidTr="005B5318">
        <w:trPr>
          <w:jc w:val="center"/>
        </w:trPr>
        <w:tc>
          <w:tcPr>
            <w:tcW w:w="994" w:type="pct"/>
          </w:tcPr>
          <w:p w:rsidR="00A8783E" w:rsidRPr="00A8783E" w:rsidRDefault="00A8783E" w:rsidP="00A8783E">
            <w:pPr>
              <w:spacing w:after="0" w:line="240" w:lineRule="auto"/>
              <w:rPr>
                <w:rFonts w:ascii="Times New Roman" w:hAnsi="Times New Roman"/>
                <w:b/>
                <w:bCs/>
                <w:color w:val="000000"/>
              </w:rPr>
            </w:pPr>
            <w:r w:rsidRPr="00A8783E">
              <w:rPr>
                <w:rFonts w:ascii="Times New Roman" w:hAnsi="Times New Roman"/>
                <w:b/>
                <w:bCs/>
                <w:color w:val="000000"/>
              </w:rPr>
              <w:t xml:space="preserve">Местообитание на вида: </w:t>
            </w:r>
            <w:r w:rsidRPr="00A8783E">
              <w:rPr>
                <w:rFonts w:ascii="Times New Roman" w:hAnsi="Times New Roman"/>
                <w:bCs/>
                <w:color w:val="000000"/>
              </w:rPr>
              <w:t>площ на   подходящите гнездови местообитания</w:t>
            </w:r>
          </w:p>
        </w:tc>
        <w:tc>
          <w:tcPr>
            <w:tcW w:w="874" w:type="pct"/>
          </w:tcPr>
          <w:p w:rsidR="00A8783E" w:rsidRPr="00A8783E" w:rsidRDefault="00A8783E" w:rsidP="00A8783E">
            <w:pPr>
              <w:spacing w:after="0" w:line="240" w:lineRule="auto"/>
              <w:rPr>
                <w:rFonts w:ascii="Times New Roman" w:hAnsi="Times New Roman"/>
                <w:color w:val="000000"/>
              </w:rPr>
            </w:pPr>
            <w:r w:rsidRPr="00A8783E">
              <w:rPr>
                <w:rFonts w:ascii="Times New Roman" w:hAnsi="Times New Roman"/>
                <w:color w:val="000000"/>
                <w:lang w:val="en-US"/>
              </w:rPr>
              <w:t>ha</w:t>
            </w:r>
          </w:p>
        </w:tc>
        <w:tc>
          <w:tcPr>
            <w:tcW w:w="708" w:type="pct"/>
          </w:tcPr>
          <w:p w:rsidR="00A8783E" w:rsidRPr="00A8783E" w:rsidRDefault="00A8783E" w:rsidP="00A8783E">
            <w:pPr>
              <w:spacing w:after="0" w:line="240" w:lineRule="auto"/>
              <w:rPr>
                <w:rFonts w:ascii="Times New Roman" w:hAnsi="Times New Roman"/>
                <w:color w:val="000000"/>
              </w:rPr>
            </w:pPr>
            <w:r w:rsidRPr="00A8783E">
              <w:rPr>
                <w:rFonts w:ascii="Times New Roman" w:hAnsi="Times New Roman"/>
                <w:color w:val="000000"/>
              </w:rPr>
              <w:t>Неизвестно</w:t>
            </w:r>
          </w:p>
        </w:tc>
        <w:tc>
          <w:tcPr>
            <w:tcW w:w="1518" w:type="pct"/>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 местата където няма скалисти места подходящи за гнездене на вида, той гнезди в песъчливи, льосови брегове и оврази, а също и в покрайнини на гори и оазисни горички в стари гнезда на вранови птици. </w:t>
            </w:r>
          </w:p>
        </w:tc>
        <w:tc>
          <w:tcPr>
            <w:tcW w:w="905" w:type="pct"/>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Да се определи площта на подходящите за гнездене места на вида в зоната – площта на песъчливи, льосови брегове и оврази и покрайнини на гори и оазисни горички.</w:t>
            </w:r>
          </w:p>
        </w:tc>
      </w:tr>
      <w:tr w:rsidR="00A8783E" w:rsidRPr="00A8783E" w:rsidTr="005B5318">
        <w:trPr>
          <w:jc w:val="center"/>
        </w:trPr>
        <w:tc>
          <w:tcPr>
            <w:tcW w:w="994" w:type="pct"/>
          </w:tcPr>
          <w:p w:rsidR="00A8783E" w:rsidRPr="00A8783E" w:rsidRDefault="00A8783E" w:rsidP="00A8783E">
            <w:pPr>
              <w:spacing w:after="0" w:line="240" w:lineRule="auto"/>
              <w:rPr>
                <w:rFonts w:ascii="Times New Roman" w:hAnsi="Times New Roman"/>
                <w:color w:val="000000"/>
              </w:rPr>
            </w:pPr>
            <w:r w:rsidRPr="00A8783E">
              <w:rPr>
                <w:rFonts w:ascii="Times New Roman" w:hAnsi="Times New Roman"/>
                <w:b/>
                <w:bCs/>
                <w:color w:val="000000"/>
              </w:rPr>
              <w:t xml:space="preserve">Местообитание на вида: </w:t>
            </w:r>
            <w:r w:rsidRPr="00A8783E">
              <w:rPr>
                <w:rFonts w:ascii="Times New Roman" w:hAnsi="Times New Roman"/>
                <w:color w:val="000000"/>
              </w:rPr>
              <w:t>площ на</w:t>
            </w:r>
            <w:r w:rsidRPr="00A8783E">
              <w:rPr>
                <w:rFonts w:ascii="Times New Roman" w:hAnsi="Times New Roman"/>
                <w:b/>
                <w:bCs/>
                <w:color w:val="000000"/>
              </w:rPr>
              <w:t xml:space="preserve"> </w:t>
            </w:r>
            <w:r w:rsidRPr="00A8783E">
              <w:rPr>
                <w:rFonts w:ascii="Times New Roman" w:hAnsi="Times New Roman"/>
                <w:color w:val="000000"/>
              </w:rPr>
              <w:t xml:space="preserve">  подходящите хранителните местообитания</w:t>
            </w:r>
          </w:p>
          <w:p w:rsidR="00A8783E" w:rsidRPr="00A8783E" w:rsidRDefault="00A8783E" w:rsidP="00A8783E">
            <w:pPr>
              <w:spacing w:after="0" w:line="240" w:lineRule="auto"/>
              <w:rPr>
                <w:rFonts w:ascii="Times New Roman" w:hAnsi="Times New Roman"/>
                <w:color w:val="0070C0"/>
              </w:rPr>
            </w:pPr>
          </w:p>
        </w:tc>
        <w:tc>
          <w:tcPr>
            <w:tcW w:w="874" w:type="pct"/>
          </w:tcPr>
          <w:p w:rsidR="00A8783E" w:rsidRPr="00A8783E" w:rsidRDefault="00A8783E" w:rsidP="00A8783E">
            <w:pPr>
              <w:spacing w:after="0" w:line="240" w:lineRule="auto"/>
              <w:rPr>
                <w:rFonts w:ascii="Times New Roman" w:hAnsi="Times New Roman"/>
              </w:rPr>
            </w:pPr>
            <w:r w:rsidRPr="00A8783E">
              <w:rPr>
                <w:rFonts w:ascii="Times New Roman" w:hAnsi="Times New Roman"/>
                <w:lang w:val="en-US"/>
              </w:rPr>
              <w:t>ha</w:t>
            </w:r>
          </w:p>
          <w:p w:rsidR="00A8783E" w:rsidRPr="00A8783E" w:rsidRDefault="00A8783E" w:rsidP="00A8783E">
            <w:pPr>
              <w:spacing w:after="0" w:line="240" w:lineRule="auto"/>
              <w:rPr>
                <w:rFonts w:ascii="Times New Roman" w:hAnsi="Times New Roman"/>
              </w:rPr>
            </w:pPr>
          </w:p>
        </w:tc>
        <w:tc>
          <w:tcPr>
            <w:tcW w:w="708"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Най-малко 318</w:t>
            </w:r>
          </w:p>
        </w:tc>
        <w:tc>
          <w:tcPr>
            <w:tcW w:w="1518"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Определена на база на % участие на откритите местообитания в зоната: </w:t>
            </w:r>
            <w:r w:rsidRPr="00A8783E">
              <w:rPr>
                <w:rFonts w:ascii="Times New Roman" w:hAnsi="Times New Roman"/>
                <w:lang w:val="en-US"/>
              </w:rPr>
              <w:t>N</w:t>
            </w:r>
            <w:r w:rsidRPr="00A8783E">
              <w:rPr>
                <w:rFonts w:ascii="Times New Roman" w:hAnsi="Times New Roman"/>
                <w:lang w:val="ru-RU"/>
              </w:rPr>
              <w:t>08</w:t>
            </w:r>
            <w:r w:rsidRPr="00A8783E">
              <w:rPr>
                <w:rFonts w:ascii="Times New Roman" w:hAnsi="Times New Roman"/>
              </w:rPr>
              <w:t>-</w:t>
            </w:r>
            <w:r w:rsidRPr="00A8783E">
              <w:rPr>
                <w:lang w:val="ru-RU"/>
              </w:rPr>
              <w:t xml:space="preserve"> </w:t>
            </w:r>
            <w:r w:rsidRPr="00A8783E">
              <w:rPr>
                <w:rFonts w:ascii="Times New Roman" w:hAnsi="Times New Roman"/>
              </w:rPr>
              <w:t xml:space="preserve">Равнини, шубраци, </w:t>
            </w:r>
            <w:r w:rsidRPr="00A8783E">
              <w:rPr>
                <w:rFonts w:ascii="Times New Roman" w:hAnsi="Times New Roman"/>
                <w:lang w:val="en-US"/>
              </w:rPr>
              <w:t>N</w:t>
            </w:r>
            <w:r w:rsidRPr="00A8783E">
              <w:rPr>
                <w:rFonts w:ascii="Times New Roman" w:hAnsi="Times New Roman"/>
                <w:lang w:val="ru-RU"/>
              </w:rPr>
              <w:t>09-</w:t>
            </w:r>
            <w:r w:rsidRPr="00A8783E">
              <w:rPr>
                <w:rFonts w:ascii="Times New Roman" w:hAnsi="Times New Roman"/>
              </w:rPr>
              <w:t xml:space="preserve">сухи ливади, степи, </w:t>
            </w:r>
            <w:r w:rsidRPr="00A8783E">
              <w:rPr>
                <w:rFonts w:ascii="Times New Roman" w:hAnsi="Times New Roman"/>
                <w:lang w:val="en-US"/>
              </w:rPr>
              <w:t>N</w:t>
            </w:r>
            <w:r w:rsidRPr="00A8783E">
              <w:rPr>
                <w:rFonts w:ascii="Times New Roman" w:hAnsi="Times New Roman"/>
                <w:lang w:val="ru-RU"/>
              </w:rPr>
              <w:t>15-</w:t>
            </w:r>
            <w:r w:rsidRPr="00A8783E">
              <w:rPr>
                <w:rFonts w:ascii="Times New Roman" w:hAnsi="Times New Roman"/>
              </w:rPr>
              <w:t xml:space="preserve">други обработваеми земи. Тяхната обща площ е 318 </w:t>
            </w:r>
            <w:r w:rsidRPr="00A8783E">
              <w:rPr>
                <w:rFonts w:ascii="Times New Roman" w:hAnsi="Times New Roman"/>
                <w:lang w:val="en-US"/>
              </w:rPr>
              <w:t>ha</w:t>
            </w:r>
            <w:r w:rsidRPr="00A8783E">
              <w:rPr>
                <w:rFonts w:ascii="Times New Roman" w:hAnsi="Times New Roman"/>
              </w:rPr>
              <w:t>.</w:t>
            </w:r>
          </w:p>
        </w:tc>
        <w:tc>
          <w:tcPr>
            <w:tcW w:w="905"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Поддържане на площта на подходящите хранителни местообитания на вида в размер най-малко 318 ha. </w:t>
            </w:r>
            <w:r w:rsidRPr="00A8783E">
              <w:rPr>
                <w:rFonts w:ascii="Times New Roman" w:hAnsi="Times New Roman"/>
              </w:rPr>
              <w:lastRenderedPageBreak/>
              <w:t>Най-вероятно вида се храни и извън зоната, където има по-обширни открити местообитания.</w:t>
            </w:r>
          </w:p>
        </w:tc>
      </w:tr>
      <w:tr w:rsidR="00A8783E" w:rsidRPr="00A8783E" w:rsidTr="005B5318">
        <w:trPr>
          <w:jc w:val="center"/>
        </w:trPr>
        <w:tc>
          <w:tcPr>
            <w:tcW w:w="994" w:type="pct"/>
          </w:tcPr>
          <w:p w:rsidR="00A8783E" w:rsidRPr="00A8783E" w:rsidRDefault="00A8783E" w:rsidP="00A8783E">
            <w:pPr>
              <w:spacing w:after="0" w:line="240" w:lineRule="auto"/>
              <w:rPr>
                <w:rFonts w:ascii="Times New Roman" w:hAnsi="Times New Roman"/>
                <w:b/>
                <w:bCs/>
                <w:color w:val="000000"/>
              </w:rPr>
            </w:pPr>
            <w:r w:rsidRPr="00A8783E">
              <w:rPr>
                <w:rFonts w:ascii="Times New Roman" w:hAnsi="Times New Roman"/>
                <w:b/>
                <w:bCs/>
                <w:color w:val="000000"/>
              </w:rPr>
              <w:lastRenderedPageBreak/>
              <w:t xml:space="preserve">Местообитание на </w:t>
            </w:r>
          </w:p>
          <w:p w:rsidR="00A8783E" w:rsidRPr="00A8783E" w:rsidRDefault="00A8783E" w:rsidP="00A8783E">
            <w:pPr>
              <w:spacing w:after="0" w:line="240" w:lineRule="auto"/>
              <w:jc w:val="both"/>
              <w:rPr>
                <w:rFonts w:ascii="Times New Roman" w:hAnsi="Times New Roman"/>
                <w:bCs/>
                <w:color w:val="000000"/>
              </w:rPr>
            </w:pPr>
            <w:r w:rsidRPr="00A8783E">
              <w:rPr>
                <w:rFonts w:ascii="Times New Roman" w:hAnsi="Times New Roman"/>
                <w:b/>
                <w:bCs/>
                <w:color w:val="000000"/>
              </w:rPr>
              <w:t xml:space="preserve">вида: </w:t>
            </w:r>
            <w:r w:rsidRPr="00A8783E">
              <w:rPr>
                <w:rFonts w:ascii="Times New Roman" w:hAnsi="Times New Roman"/>
                <w:bCs/>
                <w:color w:val="000000"/>
              </w:rPr>
              <w:t xml:space="preserve">Качество на подходящите </w:t>
            </w:r>
          </w:p>
          <w:p w:rsidR="00A8783E" w:rsidRPr="00A8783E" w:rsidRDefault="00A8783E" w:rsidP="00A8783E">
            <w:pPr>
              <w:spacing w:after="0" w:line="240" w:lineRule="auto"/>
              <w:jc w:val="both"/>
              <w:rPr>
                <w:rFonts w:ascii="Times New Roman" w:hAnsi="Times New Roman"/>
                <w:bCs/>
                <w:color w:val="000000"/>
              </w:rPr>
            </w:pPr>
            <w:r w:rsidRPr="00A8783E">
              <w:rPr>
                <w:rFonts w:ascii="Times New Roman" w:hAnsi="Times New Roman"/>
                <w:bCs/>
                <w:color w:val="000000"/>
              </w:rPr>
              <w:t xml:space="preserve">хранителни местообитания на вида в зоната – начин на управление на </w:t>
            </w:r>
          </w:p>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Cs/>
                <w:color w:val="000000"/>
              </w:rPr>
              <w:t>пасища и ливади</w:t>
            </w:r>
          </w:p>
        </w:tc>
        <w:tc>
          <w:tcPr>
            <w:tcW w:w="874"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 екстензивно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управлявани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пасища и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ливади, като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част от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хранителното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местообитание </w:t>
            </w:r>
          </w:p>
          <w:p w:rsidR="00A8783E" w:rsidRPr="00A8783E" w:rsidRDefault="00A8783E" w:rsidP="00A8783E">
            <w:pPr>
              <w:spacing w:after="0" w:line="240" w:lineRule="auto"/>
              <w:rPr>
                <w:rFonts w:ascii="Times New Roman" w:hAnsi="Times New Roman"/>
              </w:rPr>
            </w:pPr>
            <w:r w:rsidRPr="00A8783E">
              <w:rPr>
                <w:rFonts w:ascii="Times New Roman" w:hAnsi="Times New Roman"/>
              </w:rPr>
              <w:t>на вида</w:t>
            </w:r>
          </w:p>
        </w:tc>
        <w:tc>
          <w:tcPr>
            <w:tcW w:w="708"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100% от пасищата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и ливадите, част от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хранителното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местообитание на вида се управляват </w:t>
            </w:r>
          </w:p>
          <w:p w:rsidR="00A8783E" w:rsidRPr="00A8783E" w:rsidRDefault="00A8783E" w:rsidP="00A8783E">
            <w:pPr>
              <w:spacing w:after="0" w:line="240" w:lineRule="auto"/>
              <w:rPr>
                <w:rFonts w:ascii="Times New Roman" w:hAnsi="Times New Roman"/>
              </w:rPr>
            </w:pPr>
            <w:r w:rsidRPr="00A8783E">
              <w:rPr>
                <w:rFonts w:ascii="Times New Roman" w:hAnsi="Times New Roman"/>
              </w:rPr>
              <w:t>екстензивно</w:t>
            </w:r>
          </w:p>
        </w:tc>
        <w:tc>
          <w:tcPr>
            <w:tcW w:w="1518" w:type="pct"/>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Видът предпочита да се храни в отворени местообитания - пасища, ливади, територии със смесено земеползване, в което съществена част от земите се управляват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като пасища и ливади. За да се поддържат тревните местообитания (ливади и пасища) във вид подходящ за търсене на храна от вида е необходима паша на домашни животни (0,3-1 ЖЕ/ha), както и редовна коситба на ливадите, с по-малко използване на торове и други химикали, които биха довели до изчезване на плячката на вида.</w:t>
            </w:r>
          </w:p>
        </w:tc>
        <w:tc>
          <w:tcPr>
            <w:tcW w:w="905" w:type="pct"/>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Подобряване на състоянието на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хранителното местообитание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на вида до постигане на  100%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екстензивно управление на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пасища и ливади, част от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хранителното местообитание </w:t>
            </w:r>
          </w:p>
          <w:p w:rsidR="00A8783E" w:rsidRPr="00A8783E" w:rsidRDefault="00A8783E" w:rsidP="00A8783E">
            <w:pPr>
              <w:spacing w:after="0" w:line="240" w:lineRule="auto"/>
              <w:rPr>
                <w:rFonts w:ascii="Times New Roman" w:hAnsi="Times New Roman"/>
              </w:rPr>
            </w:pPr>
            <w:r w:rsidRPr="00A8783E">
              <w:rPr>
                <w:rFonts w:ascii="Times New Roman" w:hAnsi="Times New Roman"/>
              </w:rPr>
              <w:t>на вида.</w:t>
            </w:r>
          </w:p>
        </w:tc>
      </w:tr>
    </w:tbl>
    <w:p w:rsidR="00A8783E" w:rsidRPr="00A8783E" w:rsidRDefault="00A8783E" w:rsidP="00A8783E">
      <w:pPr>
        <w:spacing w:after="160" w:line="259" w:lineRule="auto"/>
        <w:rPr>
          <w:rFonts w:ascii="Times New Roman" w:hAnsi="Times New Roman"/>
          <w:b/>
          <w:bCs/>
          <w:sz w:val="24"/>
          <w:szCs w:val="24"/>
        </w:rPr>
      </w:pPr>
    </w:p>
    <w:p w:rsidR="00A8783E" w:rsidRPr="00A8783E" w:rsidRDefault="00A8783E" w:rsidP="00A8783E">
      <w:pPr>
        <w:spacing w:after="16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Не е необходима актуализация на СФ на този етап.</w:t>
      </w:r>
    </w:p>
    <w:p w:rsidR="00A8783E" w:rsidRPr="00A8783E" w:rsidRDefault="00A8783E" w:rsidP="00A8783E">
      <w:pPr>
        <w:spacing w:after="160" w:line="259" w:lineRule="auto"/>
        <w:rPr>
          <w:lang w:val="ru-RU"/>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13" w:name="_Toc87031402"/>
      <w:bookmarkStart w:id="314" w:name="_Toc87467228"/>
      <w:bookmarkStart w:id="315" w:name="_Toc88638315"/>
      <w:bookmarkStart w:id="316" w:name="_Toc88865720"/>
      <w:bookmarkStart w:id="317" w:name="_Toc89106112"/>
      <w:bookmarkStart w:id="318" w:name="_Toc98741951"/>
      <w:bookmarkStart w:id="319" w:name="_Toc98838626"/>
      <w:r w:rsidRPr="00A8783E">
        <w:rPr>
          <w:rFonts w:ascii="Times New Roman" w:hAnsi="Times New Roman"/>
          <w:color w:val="1F497D"/>
          <w:sz w:val="28"/>
          <w:szCs w:val="28"/>
        </w:rPr>
        <w:t xml:space="preserve">Специфични цели за А097 </w:t>
      </w:r>
      <w:r w:rsidRPr="00A8783E">
        <w:rPr>
          <w:rFonts w:ascii="Times New Roman" w:hAnsi="Times New Roman"/>
          <w:i/>
          <w:iCs/>
          <w:color w:val="1F497D"/>
          <w:sz w:val="28"/>
          <w:szCs w:val="28"/>
        </w:rPr>
        <w:t>Falco vespertinus</w:t>
      </w:r>
      <w:r w:rsidRPr="00A8783E">
        <w:rPr>
          <w:rFonts w:ascii="Times New Roman" w:hAnsi="Times New Roman"/>
          <w:color w:val="1F497D"/>
          <w:sz w:val="28"/>
          <w:szCs w:val="28"/>
        </w:rPr>
        <w:t xml:space="preserve"> (вечерна ветрушка)</w:t>
      </w:r>
      <w:bookmarkEnd w:id="313"/>
      <w:bookmarkEnd w:id="314"/>
      <w:bookmarkEnd w:id="315"/>
      <w:bookmarkEnd w:id="316"/>
      <w:bookmarkEnd w:id="317"/>
      <w:bookmarkEnd w:id="318"/>
      <w:bookmarkEnd w:id="319"/>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lang w:val="ru-RU"/>
        </w:rPr>
        <w:t>1</w:t>
      </w:r>
      <w:r w:rsidRPr="00A8783E">
        <w:rPr>
          <w:rFonts w:ascii="Times New Roman" w:hAnsi="Times New Roman"/>
          <w:b/>
          <w:bCs/>
          <w:sz w:val="24"/>
          <w:szCs w:val="24"/>
        </w:rPr>
        <w:t>.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27-33 cm, размах на крилата: 70-74 cm. Дребна граблива птица с големина колкото обикновената ветрушка. Крилата са дълги и остри. При възрастните краката са оранжеви или оранжево червени. Мъжкият е тъмносив до черен, с ръждивочервена задна част на корема и подопашката. При женските плещите и опашката са тъмносиви, а главата и тялото отдолу – ръждивокафяви (Симеонов и др., 1990; Мичев и др., 2012).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Гнездещо-прелетен. Пролетният прелет е април-май, а есенният от края на август до октомври. По време на прелет образува и големи ята от 150-200 индивиди, най-значимото място за концентрация по време на есенната миграция в Европа е </w:t>
      </w:r>
      <w:r w:rsidRPr="00A8783E">
        <w:rPr>
          <w:rFonts w:ascii="Times New Roman" w:hAnsi="Times New Roman"/>
          <w:sz w:val="24"/>
          <w:szCs w:val="24"/>
        </w:rPr>
        <w:lastRenderedPageBreak/>
        <w:t>Атанасовското езеро, където са регистрирани до 3100 индивиди. По време на есенната миграция се среща по-често по Черноморското крайбрежие, нос Емине (223 инд.), курорта Албена, нос Калиакра, Ломовете, Луда Камчия, Кресна, Пловдив, Cофийската котловина, долното течение на река Арда, Котленска планина. Най-висока миграционна активност има през втората половина на септември (Симеонов и др. 1990; Мичев и др., 2012; Червена книга на Р България, 2015).</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Открити местообитания, оградени с малки гори, групи дървета и обработваеми площи с единични дървета и малки горички, разредени гори с обширни поляни, пасища, ливади, предимно с лесостепен характер, обширни земеделски местообитания, където предпочитат култивирани мозайки с наличие на угар, пасища или люцерна. Използва изградени гнезда на </w:t>
      </w:r>
      <w:r w:rsidRPr="00A8783E">
        <w:rPr>
          <w:rFonts w:ascii="Times New Roman" w:hAnsi="Times New Roman"/>
          <w:i/>
          <w:iCs/>
          <w:sz w:val="24"/>
          <w:szCs w:val="24"/>
        </w:rPr>
        <w:t>Corvus frugilegus, Pica pica, Corvus corone cornix, Buteo sp.</w:t>
      </w:r>
      <w:r w:rsidRPr="00A8783E">
        <w:rPr>
          <w:rFonts w:ascii="Times New Roman" w:hAnsi="Times New Roman"/>
          <w:sz w:val="24"/>
          <w:szCs w:val="24"/>
        </w:rPr>
        <w:t xml:space="preserve"> (Симеонов и др., 1990; Palatitz et al., 2015). През размножителния период индивидуалната хранителна територия при женските е 38 - 322 </w:t>
      </w:r>
      <w:r w:rsidRPr="00A8783E">
        <w:rPr>
          <w:rFonts w:ascii="Times New Roman" w:hAnsi="Times New Roman"/>
          <w:sz w:val="24"/>
          <w:szCs w:val="24"/>
          <w:lang w:val="en-US"/>
        </w:rPr>
        <w:t>ha</w:t>
      </w:r>
      <w:r w:rsidRPr="00A8783E">
        <w:rPr>
          <w:rFonts w:ascii="Times New Roman" w:hAnsi="Times New Roman"/>
          <w:sz w:val="24"/>
          <w:szCs w:val="24"/>
        </w:rPr>
        <w:t xml:space="preserve">, а при мъжките - 310 - 3467 </w:t>
      </w:r>
      <w:r w:rsidRPr="00A8783E">
        <w:rPr>
          <w:rFonts w:ascii="Times New Roman" w:hAnsi="Times New Roman"/>
          <w:sz w:val="24"/>
          <w:szCs w:val="24"/>
          <w:lang w:val="en-US"/>
        </w:rPr>
        <w:t>ha</w:t>
      </w:r>
      <w:r w:rsidRPr="00A8783E">
        <w:rPr>
          <w:rFonts w:ascii="Times New Roman" w:hAnsi="Times New Roman"/>
          <w:sz w:val="24"/>
          <w:szCs w:val="24"/>
        </w:rPr>
        <w:t xml:space="preserve"> (по Daskalova and Shurulinkov, 2018).</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Вечерната ветрушка е универсален хищник, най-често срещаната му плячка са безгръбначни, земноводни и дребни бозайници. През размножителния период се храни със следните групи: насекоми (10,2 % – 40 %), земноводни (3,8 %  – 23,2 %), влечуги (8,8 %  – 38 %), птици (9,4 %  – 12,2 %), бозайници (7,6 %  – 61,5 %) (Zoltán </w:t>
      </w:r>
      <w:r w:rsidRPr="00A8783E">
        <w:rPr>
          <w:rFonts w:ascii="Times New Roman" w:hAnsi="Times New Roman"/>
          <w:sz w:val="24"/>
          <w:szCs w:val="24"/>
          <w:lang w:val="en-US"/>
        </w:rPr>
        <w:t>and</w:t>
      </w:r>
      <w:r w:rsidRPr="00A8783E">
        <w:rPr>
          <w:rFonts w:ascii="Times New Roman" w:hAnsi="Times New Roman"/>
          <w:sz w:val="24"/>
          <w:szCs w:val="24"/>
        </w:rPr>
        <w:t xml:space="preserve"> László 1988). По време на есенната миграция (Кипър) храненето е изключително с насекоми – 99,9% (Alivizatos and Kassinis, 2021).</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Предимно в откритите равнинни части на Северна и Източна България, по-групирано в Добруджа и в района на Златията. Разпръснати непостоянни единични гнездовища има в ниските части на Южна България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Включен в Приложение 1 на Директивата за птиците и Приложение 2 и 3 на ЗБР. Включен в SPEC 3. Включен е в Червената книга на България със статус - критично застрашен CR. Според IUCN е NT (Near Threatened) за територията на континентална Европа.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2013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оценява на 0 – 15 двойки. Краткосрочната тенденция на популацията (за периода 2000 – 2018 г.) е намаляваща, а дългосрочната (за периода 1980 – 2018 г.) намаляваща. Посочени са следните заплахи и влияния: A02, A03, A04, A07, C03, D02, F03, J01, D06.</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Мигриращата</w:t>
      </w:r>
      <w:r w:rsidRPr="00A8783E">
        <w:rPr>
          <w:rFonts w:ascii="Times New Roman" w:hAnsi="Times New Roman"/>
          <w:sz w:val="24"/>
          <w:szCs w:val="24"/>
        </w:rPr>
        <w:t xml:space="preserve"> национална популация е оценена на 5000 – 16000 индивида. Краткосрочната тенденция на популацията (за периода 2000 – 2018 г.) е неизвестна, а дългосрочната (за периода 1980 – 2018 г.) също е неизвестна. Посочени са следните заплахи и влияния: A02, A03, A04, A07, F03, D06.</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 xml:space="preserve">мигриращ </w:t>
      </w:r>
      <w:r w:rsidRPr="00A8783E">
        <w:rPr>
          <w:rFonts w:ascii="Times New Roman" w:hAnsi="Times New Roman"/>
          <w:sz w:val="24"/>
          <w:szCs w:val="24"/>
        </w:rPr>
        <w:t xml:space="preserve">с численост до </w:t>
      </w:r>
      <w:r w:rsidRPr="00A8783E">
        <w:rPr>
          <w:rFonts w:ascii="Times New Roman" w:hAnsi="Times New Roman"/>
          <w:b/>
          <w:bCs/>
          <w:sz w:val="24"/>
          <w:szCs w:val="24"/>
        </w:rPr>
        <w:t>50 индивида</w:t>
      </w:r>
      <w:r w:rsidRPr="00A8783E">
        <w:rPr>
          <w:rFonts w:ascii="Times New Roman" w:hAnsi="Times New Roman"/>
          <w:sz w:val="24"/>
          <w:szCs w:val="24"/>
        </w:rPr>
        <w:t xml:space="preserve">, което представлява 0,3-1% от националната популация </w:t>
      </w:r>
      <w:r w:rsidRPr="00A8783E">
        <w:rPr>
          <w:rFonts w:ascii="Times New Roman" w:hAnsi="Times New Roman"/>
          <w:sz w:val="24"/>
          <w:szCs w:val="24"/>
          <w:lang w:val="ru-RU"/>
        </w:rPr>
        <w:t>(</w:t>
      </w:r>
      <w:r w:rsidRPr="00A8783E">
        <w:rPr>
          <w:rFonts w:ascii="Times New Roman" w:hAnsi="Times New Roman"/>
          <w:sz w:val="24"/>
          <w:szCs w:val="24"/>
        </w:rPr>
        <w:t>оценка „С“</w:t>
      </w:r>
      <w:r w:rsidRPr="00A8783E">
        <w:rPr>
          <w:rFonts w:ascii="Times New Roman" w:hAnsi="Times New Roman"/>
          <w:sz w:val="24"/>
          <w:szCs w:val="24"/>
          <w:lang w:val="ru-RU"/>
        </w:rPr>
        <w:t>)</w:t>
      </w:r>
      <w:r w:rsidRPr="00A8783E">
        <w:rPr>
          <w:rFonts w:ascii="Times New Roman" w:hAnsi="Times New Roman"/>
          <w:sz w:val="24"/>
          <w:szCs w:val="24"/>
        </w:rPr>
        <w:t xml:space="preserve">. Опазването на вида е добро (оценка „В“), популацията не е изолирана в рамките на </w:t>
      </w:r>
      <w:r w:rsidRPr="00A8783E">
        <w:rPr>
          <w:rFonts w:ascii="Times New Roman" w:hAnsi="Times New Roman"/>
          <w:sz w:val="24"/>
          <w:szCs w:val="24"/>
        </w:rPr>
        <w:lastRenderedPageBreak/>
        <w:t>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В средна Дунавска равнина видът се среща по време на пролетния и по-рядко на есенния прелет (Шурулинков и др., 2005). Според Костадинова, Граматиков (2007), видът присъства в зоната по време на миграция, но не е посочена численост. 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вечерната ветрушка е наблюдавана да мигрира на всички наблюдателни точки от морския бряг на запад до с. Сливата включително (Добруджа, Лудогорието и Дунавската равнина)</w:t>
      </w:r>
      <w:r w:rsidRPr="00A8783E">
        <w:rPr>
          <w:rFonts w:ascii="Times New Roman" w:hAnsi="Times New Roman"/>
          <w:sz w:val="24"/>
          <w:szCs w:val="24"/>
          <w:lang w:val="ru-RU"/>
        </w:rPr>
        <w:t>.</w:t>
      </w:r>
      <w:r w:rsidRPr="00A8783E">
        <w:rPr>
          <w:rFonts w:ascii="Times New Roman" w:hAnsi="Times New Roman"/>
          <w:sz w:val="24"/>
          <w:szCs w:val="24"/>
        </w:rPr>
        <w:t xml:space="preserve"> Основната част от наблюдаваните вечерни ветрушки са регистрирани само на една наблюдателна точка - Пленимир в Добруджа</w:t>
      </w:r>
      <w:r w:rsidRPr="00A8783E">
        <w:rPr>
          <w:rFonts w:ascii="Times New Roman" w:hAnsi="Times New Roman"/>
          <w:sz w:val="24"/>
          <w:szCs w:val="24"/>
          <w:lang w:val="ru-RU"/>
        </w:rPr>
        <w:t xml:space="preserve"> (</w:t>
      </w:r>
      <w:r w:rsidRPr="00A8783E">
        <w:rPr>
          <w:rFonts w:ascii="Times New Roman" w:hAnsi="Times New Roman"/>
          <w:sz w:val="24"/>
          <w:szCs w:val="24"/>
        </w:rPr>
        <w:t>Матеева и Янков, 2013</w:t>
      </w:r>
      <w:r w:rsidRPr="00A8783E">
        <w:rPr>
          <w:rFonts w:ascii="Times New Roman" w:hAnsi="Times New Roman"/>
          <w:sz w:val="24"/>
          <w:szCs w:val="24"/>
          <w:lang w:val="ru-RU"/>
        </w:rPr>
        <w:t>)</w:t>
      </w:r>
      <w:r w:rsidRPr="00A8783E">
        <w:rPr>
          <w:rFonts w:ascii="Times New Roman" w:hAnsi="Times New Roman"/>
          <w:sz w:val="24"/>
          <w:szCs w:val="24"/>
        </w:rPr>
        <w:t>.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A8783E">
        <w:rPr>
          <w:rFonts w:ascii="Times New Roman" w:hAnsi="Times New Roman"/>
          <w:sz w:val="24"/>
          <w:szCs w:val="24"/>
          <w:lang w:val="ru-RU"/>
        </w:rPr>
        <w:t xml:space="preserve"> </w:t>
      </w:r>
      <w:r w:rsidRPr="00A8783E">
        <w:rPr>
          <w:rFonts w:ascii="Times New Roman" w:hAnsi="Times New Roman"/>
          <w:sz w:val="24"/>
          <w:szCs w:val="24"/>
        </w:rPr>
        <w:t xml:space="preserve">Данните от </w:t>
      </w:r>
      <w:r w:rsidRPr="00A8783E">
        <w:rPr>
          <w:rFonts w:ascii="Times New Roman" w:hAnsi="Times New Roman"/>
          <w:sz w:val="24"/>
          <w:szCs w:val="24"/>
          <w:lang w:val="en-US"/>
        </w:rPr>
        <w:t>eBird</w:t>
      </w:r>
      <w:r w:rsidRPr="00A8783E">
        <w:rPr>
          <w:rFonts w:ascii="Times New Roman" w:hAnsi="Times New Roman"/>
          <w:sz w:val="24"/>
          <w:szCs w:val="24"/>
          <w:lang w:val="ru-RU"/>
        </w:rPr>
        <w:t>.</w:t>
      </w:r>
      <w:r w:rsidRPr="00A8783E">
        <w:rPr>
          <w:rFonts w:ascii="Times New Roman" w:hAnsi="Times New Roman"/>
          <w:sz w:val="24"/>
          <w:szCs w:val="24"/>
          <w:lang w:val="en-US"/>
        </w:rPr>
        <w:t>org</w:t>
      </w:r>
      <w:r w:rsidRPr="00A8783E">
        <w:rPr>
          <w:rFonts w:ascii="Times New Roman" w:hAnsi="Times New Roman"/>
          <w:sz w:val="24"/>
          <w:szCs w:val="24"/>
          <w:lang w:val="ru-RU"/>
        </w:rPr>
        <w:t xml:space="preserve"> </w:t>
      </w:r>
      <w:r w:rsidRPr="00A8783E">
        <w:rPr>
          <w:rFonts w:ascii="Times New Roman" w:hAnsi="Times New Roman"/>
          <w:sz w:val="24"/>
          <w:szCs w:val="24"/>
        </w:rPr>
        <w:t xml:space="preserve">показват, че вида е наблюдаван в зоната през май 2017 г. с численост 1 инд. </w:t>
      </w:r>
      <w:r w:rsidRPr="00A8783E">
        <w:rPr>
          <w:rFonts w:ascii="Times New Roman" w:hAnsi="Times New Roman"/>
          <w:sz w:val="24"/>
          <w:szCs w:val="24"/>
          <w:lang w:val="ru-RU"/>
        </w:rPr>
        <w:t>(</w:t>
      </w:r>
      <w:r w:rsidRPr="00A8783E">
        <w:rPr>
          <w:rFonts w:ascii="Times New Roman" w:hAnsi="Times New Roman"/>
          <w:sz w:val="24"/>
          <w:szCs w:val="24"/>
          <w:lang w:val="en-US"/>
        </w:rPr>
        <w:t>Alexander</w:t>
      </w:r>
      <w:r w:rsidRPr="00A8783E">
        <w:rPr>
          <w:rFonts w:ascii="Times New Roman" w:hAnsi="Times New Roman"/>
          <w:sz w:val="24"/>
          <w:szCs w:val="24"/>
          <w:lang w:val="ru-RU"/>
        </w:rPr>
        <w:t xml:space="preserve"> </w:t>
      </w:r>
      <w:r w:rsidRPr="00A8783E">
        <w:rPr>
          <w:rFonts w:ascii="Times New Roman" w:hAnsi="Times New Roman"/>
          <w:sz w:val="24"/>
          <w:szCs w:val="24"/>
          <w:lang w:val="en-US"/>
        </w:rPr>
        <w:t>Lees</w:t>
      </w:r>
      <w:r w:rsidRPr="00A8783E">
        <w:rPr>
          <w:rFonts w:ascii="Times New Roman" w:hAnsi="Times New Roman"/>
          <w:sz w:val="24"/>
          <w:szCs w:val="24"/>
          <w:lang w:val="ru-RU"/>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За мигриращата популация са посочени следните заплахи при докладването по чл. 12 от A02, A03, A04, A07, F03, D06. От тях потенциално валидни за СЗЗ „Сребърна” могат да бъдат тези, които са свързани с промяна в ползването на земите и земеделските площи - A02, A03, A04, </w:t>
      </w:r>
      <w:r w:rsidRPr="00A8783E">
        <w:rPr>
          <w:rFonts w:ascii="Times New Roman" w:hAnsi="Times New Roman"/>
          <w:sz w:val="24"/>
          <w:szCs w:val="24"/>
          <w:lang w:val="en-US"/>
        </w:rPr>
        <w:t>A</w:t>
      </w:r>
      <w:r w:rsidRPr="00A8783E">
        <w:rPr>
          <w:rFonts w:ascii="Times New Roman" w:hAnsi="Times New Roman"/>
          <w:sz w:val="24"/>
          <w:szCs w:val="24"/>
        </w:rPr>
        <w:t>07, тъй като в такива местообитания вида търси храна.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588"/>
        <w:gridCol w:w="1135"/>
        <w:gridCol w:w="2367"/>
        <w:gridCol w:w="2445"/>
      </w:tblGrid>
      <w:tr w:rsidR="00A8783E" w:rsidRPr="00A8783E" w:rsidTr="005B5318">
        <w:trPr>
          <w:tblHeader/>
          <w:jc w:val="center"/>
        </w:trPr>
        <w:tc>
          <w:tcPr>
            <w:tcW w:w="1753"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Параметър</w:t>
            </w:r>
          </w:p>
        </w:tc>
        <w:tc>
          <w:tcPr>
            <w:tcW w:w="1588"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Мерна единица </w:t>
            </w:r>
          </w:p>
        </w:tc>
        <w:tc>
          <w:tcPr>
            <w:tcW w:w="0" w:type="auto"/>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Целева стойност </w:t>
            </w:r>
          </w:p>
        </w:tc>
        <w:tc>
          <w:tcPr>
            <w:tcW w:w="0" w:type="auto"/>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Допълнителна информация </w:t>
            </w:r>
          </w:p>
        </w:tc>
        <w:tc>
          <w:tcPr>
            <w:tcW w:w="0" w:type="auto"/>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753"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мигриращата популацията</w:t>
            </w:r>
          </w:p>
        </w:tc>
        <w:tc>
          <w:tcPr>
            <w:tcW w:w="1588"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индивиди</w:t>
            </w:r>
          </w:p>
        </w:tc>
        <w:tc>
          <w:tcPr>
            <w:tcW w:w="0" w:type="auto"/>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до </w:t>
            </w:r>
            <w:r w:rsidRPr="00A8783E">
              <w:rPr>
                <w:rFonts w:ascii="Times New Roman" w:hAnsi="Times New Roman"/>
                <w:lang w:val="en-US"/>
              </w:rPr>
              <w:t xml:space="preserve">50 </w:t>
            </w:r>
            <w:r w:rsidRPr="00A8783E">
              <w:rPr>
                <w:rFonts w:ascii="Times New Roman" w:hAnsi="Times New Roman"/>
              </w:rPr>
              <w:t>инд.</w:t>
            </w:r>
          </w:p>
        </w:tc>
        <w:tc>
          <w:tcPr>
            <w:tcW w:w="0" w:type="auto"/>
          </w:tcPr>
          <w:p w:rsidR="00A8783E" w:rsidRPr="00A8783E" w:rsidRDefault="00A8783E" w:rsidP="00A8783E">
            <w:pPr>
              <w:spacing w:after="0" w:line="240" w:lineRule="auto"/>
              <w:rPr>
                <w:rFonts w:ascii="Times New Roman" w:hAnsi="Times New Roman"/>
              </w:rPr>
            </w:pPr>
            <w:r w:rsidRPr="00A8783E">
              <w:rPr>
                <w:rFonts w:ascii="Times New Roman" w:hAnsi="Times New Roman"/>
              </w:rPr>
              <w:t>Определена на база СФ. Няма друга актуална информация за количеството на птиците в зоната по време на миграция. Необходимо е да се постави междинна цел.</w:t>
            </w:r>
          </w:p>
        </w:tc>
        <w:tc>
          <w:tcPr>
            <w:tcW w:w="0" w:type="auto"/>
          </w:tcPr>
          <w:p w:rsidR="00A8783E" w:rsidRPr="00A8783E" w:rsidRDefault="00A8783E" w:rsidP="00A8783E">
            <w:pPr>
              <w:spacing w:after="0" w:line="240" w:lineRule="auto"/>
              <w:rPr>
                <w:rFonts w:ascii="Times New Roman" w:hAnsi="Times New Roman"/>
              </w:rPr>
            </w:pPr>
            <w:r w:rsidRPr="00A8783E">
              <w:rPr>
                <w:rFonts w:ascii="Times New Roman" w:hAnsi="Times New Roman"/>
              </w:rPr>
              <w:t>Междинна цел до 2025 г.: провеждане на проучване за установяване на текущата мигрираща численост на вида в зоната.</w:t>
            </w:r>
          </w:p>
        </w:tc>
      </w:tr>
      <w:tr w:rsidR="00A8783E" w:rsidRPr="00A8783E" w:rsidTr="005B5318">
        <w:trPr>
          <w:jc w:val="center"/>
        </w:trPr>
        <w:tc>
          <w:tcPr>
            <w:tcW w:w="1753" w:type="dxa"/>
          </w:tcPr>
          <w:p w:rsidR="00A8783E" w:rsidRPr="00A8783E" w:rsidRDefault="00A8783E" w:rsidP="00A8783E">
            <w:pPr>
              <w:spacing w:after="0" w:line="240" w:lineRule="auto"/>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площ</w:t>
            </w:r>
            <w:r w:rsidRPr="00A8783E">
              <w:rPr>
                <w:rFonts w:ascii="Times New Roman" w:hAnsi="Times New Roman"/>
                <w:b/>
                <w:bCs/>
              </w:rPr>
              <w:t xml:space="preserve"> </w:t>
            </w:r>
            <w:r w:rsidRPr="00A8783E">
              <w:rPr>
                <w:rFonts w:ascii="Times New Roman" w:hAnsi="Times New Roman"/>
              </w:rPr>
              <w:t>на  хранителните местообитания по време на миграция</w:t>
            </w:r>
          </w:p>
          <w:p w:rsidR="00A8783E" w:rsidRPr="00A8783E" w:rsidRDefault="00A8783E" w:rsidP="00A8783E">
            <w:pPr>
              <w:spacing w:after="0" w:line="240" w:lineRule="auto"/>
              <w:rPr>
                <w:rFonts w:ascii="Times New Roman" w:hAnsi="Times New Roman"/>
              </w:rPr>
            </w:pPr>
          </w:p>
        </w:tc>
        <w:tc>
          <w:tcPr>
            <w:tcW w:w="1588" w:type="dxa"/>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lang w:val="en-US"/>
              </w:rPr>
              <w:t>ha</w:t>
            </w:r>
          </w:p>
        </w:tc>
        <w:tc>
          <w:tcPr>
            <w:tcW w:w="0" w:type="auto"/>
          </w:tcPr>
          <w:p w:rsidR="00A8783E" w:rsidRPr="00A8783E" w:rsidRDefault="00A8783E" w:rsidP="00A8783E">
            <w:pPr>
              <w:spacing w:after="0" w:line="240" w:lineRule="auto"/>
              <w:rPr>
                <w:rFonts w:ascii="Times New Roman" w:hAnsi="Times New Roman"/>
              </w:rPr>
            </w:pPr>
            <w:r w:rsidRPr="00A8783E">
              <w:rPr>
                <w:rFonts w:ascii="Times New Roman" w:hAnsi="Times New Roman"/>
              </w:rPr>
              <w:t>Най-малко 318</w:t>
            </w:r>
          </w:p>
        </w:tc>
        <w:tc>
          <w:tcPr>
            <w:tcW w:w="0" w:type="auto"/>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Определена на база на % участие на откритите местообитания в зоната: </w:t>
            </w:r>
            <w:r w:rsidRPr="00A8783E">
              <w:rPr>
                <w:rFonts w:ascii="Times New Roman" w:hAnsi="Times New Roman"/>
                <w:lang w:val="en-US"/>
              </w:rPr>
              <w:t>N</w:t>
            </w:r>
            <w:r w:rsidRPr="00A8783E">
              <w:rPr>
                <w:rFonts w:ascii="Times New Roman" w:hAnsi="Times New Roman"/>
                <w:lang w:val="ru-RU"/>
              </w:rPr>
              <w:t>08</w:t>
            </w:r>
            <w:r w:rsidRPr="00A8783E">
              <w:rPr>
                <w:rFonts w:ascii="Times New Roman" w:hAnsi="Times New Roman"/>
              </w:rPr>
              <w:t>-</w:t>
            </w:r>
            <w:r w:rsidRPr="00A8783E">
              <w:rPr>
                <w:lang w:val="ru-RU"/>
              </w:rPr>
              <w:t xml:space="preserve"> </w:t>
            </w:r>
            <w:r w:rsidRPr="00A8783E">
              <w:rPr>
                <w:rFonts w:ascii="Times New Roman" w:hAnsi="Times New Roman"/>
              </w:rPr>
              <w:t xml:space="preserve">Равнини, шубраци, </w:t>
            </w:r>
            <w:r w:rsidRPr="00A8783E">
              <w:rPr>
                <w:rFonts w:ascii="Times New Roman" w:hAnsi="Times New Roman"/>
                <w:lang w:val="en-US"/>
              </w:rPr>
              <w:t>N</w:t>
            </w:r>
            <w:r w:rsidRPr="00A8783E">
              <w:rPr>
                <w:rFonts w:ascii="Times New Roman" w:hAnsi="Times New Roman"/>
                <w:lang w:val="ru-RU"/>
              </w:rPr>
              <w:t>09-</w:t>
            </w:r>
            <w:r w:rsidRPr="00A8783E">
              <w:rPr>
                <w:rFonts w:ascii="Times New Roman" w:hAnsi="Times New Roman"/>
              </w:rPr>
              <w:t xml:space="preserve">сухи ливади, степи, </w:t>
            </w:r>
            <w:r w:rsidRPr="00A8783E">
              <w:rPr>
                <w:rFonts w:ascii="Times New Roman" w:hAnsi="Times New Roman"/>
                <w:lang w:val="en-US"/>
              </w:rPr>
              <w:t>N</w:t>
            </w:r>
            <w:r w:rsidRPr="00A8783E">
              <w:rPr>
                <w:rFonts w:ascii="Times New Roman" w:hAnsi="Times New Roman"/>
                <w:lang w:val="ru-RU"/>
              </w:rPr>
              <w:t>15-</w:t>
            </w:r>
            <w:r w:rsidRPr="00A8783E">
              <w:rPr>
                <w:rFonts w:ascii="Times New Roman" w:hAnsi="Times New Roman"/>
              </w:rPr>
              <w:t xml:space="preserve">други обработваеми земи. Тяхната обща площ е 318 </w:t>
            </w:r>
            <w:r w:rsidRPr="00A8783E">
              <w:rPr>
                <w:rFonts w:ascii="Times New Roman" w:hAnsi="Times New Roman"/>
                <w:lang w:val="en-US"/>
              </w:rPr>
              <w:t>ha</w:t>
            </w:r>
            <w:r w:rsidRPr="00A8783E">
              <w:rPr>
                <w:rFonts w:ascii="Times New Roman" w:hAnsi="Times New Roman"/>
              </w:rPr>
              <w:t>.</w:t>
            </w:r>
          </w:p>
        </w:tc>
        <w:tc>
          <w:tcPr>
            <w:tcW w:w="0" w:type="auto"/>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от най-малко 318 ha. Най-вероятно вида се храни и извън зоната, където има по-обширни открити местообитания.</w:t>
            </w:r>
          </w:p>
        </w:tc>
      </w:tr>
    </w:tbl>
    <w:p w:rsidR="00A8783E" w:rsidRPr="00A8783E" w:rsidRDefault="00A8783E" w:rsidP="00A8783E">
      <w:pPr>
        <w:spacing w:after="160" w:line="259" w:lineRule="auto"/>
        <w:rPr>
          <w:rFonts w:ascii="Times New Roman" w:hAnsi="Times New Roman"/>
        </w:rPr>
      </w:pPr>
    </w:p>
    <w:p w:rsidR="00A8783E" w:rsidRPr="00A8783E" w:rsidRDefault="00A8783E" w:rsidP="00A8783E">
      <w:pPr>
        <w:spacing w:after="160" w:line="259" w:lineRule="auto"/>
        <w:jc w:val="both"/>
        <w:rPr>
          <w:rFonts w:ascii="Times New Roman" w:hAnsi="Times New Roman"/>
          <w:b/>
          <w:bCs/>
          <w:sz w:val="24"/>
          <w:szCs w:val="24"/>
        </w:rPr>
      </w:pPr>
      <w:r w:rsidRPr="00A8783E">
        <w:rPr>
          <w:rFonts w:ascii="Times New Roman" w:hAnsi="Times New Roman"/>
          <w:b/>
          <w:bCs/>
          <w:sz w:val="24"/>
          <w:szCs w:val="24"/>
        </w:rPr>
        <w:t>6</w:t>
      </w:r>
      <w:r w:rsidRPr="00A8783E">
        <w:rPr>
          <w:rFonts w:ascii="Times New Roman" w:hAnsi="Times New Roman"/>
          <w:b/>
          <w:bCs/>
        </w:rPr>
        <w:t xml:space="preserve">. </w:t>
      </w:r>
      <w:r w:rsidRPr="00A8783E">
        <w:rPr>
          <w:rFonts w:ascii="Times New Roman" w:hAnsi="Times New Roman"/>
          <w:b/>
          <w:bCs/>
          <w:sz w:val="24"/>
          <w:szCs w:val="24"/>
        </w:rPr>
        <w:t>Необходимост от промени в СФ за СЗЗ BG0000241 „Сребърна“</w:t>
      </w:r>
    </w:p>
    <w:p w:rsidR="00A8783E" w:rsidRPr="00A8783E" w:rsidRDefault="00A8783E" w:rsidP="00A8783E">
      <w:pPr>
        <w:spacing w:after="160" w:line="259" w:lineRule="auto"/>
        <w:rPr>
          <w:rFonts w:ascii="Times New Roman" w:hAnsi="Times New Roman"/>
          <w:sz w:val="24"/>
        </w:rPr>
      </w:pPr>
      <w:r w:rsidRPr="00A8783E">
        <w:rPr>
          <w:rFonts w:ascii="Times New Roman" w:hAnsi="Times New Roman"/>
          <w:sz w:val="24"/>
        </w:rPr>
        <w:t>Не са необходими промени в СФ на зоната на този етап.</w:t>
      </w: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20" w:name="_Toc87031403"/>
      <w:bookmarkStart w:id="321" w:name="_Toc87467230"/>
      <w:bookmarkStart w:id="322" w:name="_Toc88638317"/>
      <w:bookmarkStart w:id="323" w:name="_Toc88865721"/>
      <w:bookmarkStart w:id="324" w:name="_Toc89106113"/>
      <w:bookmarkStart w:id="325" w:name="_Toc98741952"/>
      <w:bookmarkStart w:id="326" w:name="_Toc98838627"/>
      <w:r w:rsidRPr="00A8783E">
        <w:rPr>
          <w:rFonts w:ascii="Times New Roman" w:hAnsi="Times New Roman"/>
          <w:color w:val="1F497D"/>
          <w:sz w:val="28"/>
          <w:szCs w:val="28"/>
        </w:rPr>
        <w:lastRenderedPageBreak/>
        <w:t xml:space="preserve">Специфични цели за A099 </w:t>
      </w:r>
      <w:r w:rsidRPr="00A8783E">
        <w:rPr>
          <w:rFonts w:ascii="Times New Roman" w:hAnsi="Times New Roman"/>
          <w:i/>
          <w:iCs/>
          <w:color w:val="1F497D"/>
          <w:sz w:val="28"/>
          <w:szCs w:val="28"/>
        </w:rPr>
        <w:t>Falco subbuteo</w:t>
      </w:r>
      <w:r w:rsidRPr="00A8783E">
        <w:rPr>
          <w:rFonts w:ascii="Times New Roman" w:hAnsi="Times New Roman"/>
          <w:color w:val="1F497D"/>
          <w:sz w:val="28"/>
          <w:szCs w:val="28"/>
        </w:rPr>
        <w:t xml:space="preserve"> (сокол орко)</w:t>
      </w:r>
      <w:bookmarkEnd w:id="320"/>
      <w:bookmarkEnd w:id="321"/>
      <w:bookmarkEnd w:id="322"/>
      <w:bookmarkEnd w:id="323"/>
      <w:bookmarkEnd w:id="324"/>
      <w:bookmarkEnd w:id="325"/>
      <w:bookmarkEnd w:id="326"/>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30-35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85-90 </w:t>
      </w:r>
      <w:r w:rsidRPr="00A8783E">
        <w:rPr>
          <w:rFonts w:ascii="Times New Roman" w:hAnsi="Times New Roman"/>
          <w:sz w:val="24"/>
          <w:szCs w:val="24"/>
          <w:lang w:val="en-US"/>
        </w:rPr>
        <w:t>cm</w:t>
      </w:r>
      <w:r w:rsidRPr="00A8783E">
        <w:rPr>
          <w:rFonts w:ascii="Times New Roman" w:hAnsi="Times New Roman"/>
          <w:sz w:val="24"/>
          <w:szCs w:val="24"/>
        </w:rPr>
        <w:t xml:space="preserve">. При възрастните главата и тялото отгоре са синьо сиви, а гърлото и главата отстрани са бели с добре забележими раздвоени бакенбарди; гърдите и коремът са светло кремави с добре изразени и многобройни черни стреловидни петна; подопашката при мъжките е ярко червена, а при женските – охриста. Лети с голяма скорост и акробатични изпълнения при преследване на плячката (Симеонов и др., 1990; Мичев и др., 2012).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Гнездящо-прелетен. Пролетният прелет започва в началото на април и продължава до средата на май. Есенният прелет е от последната десетдневка на август до края на октомври. Най-интензивен е есенният прелет през септември, мигрира на широк фронт поединично или на малки ята (Симеонов и др. 1990; Мичев и др., 2012; Червена книга на Р България 2015).</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Обитава редки, просветлени широколистни листопадни гори, смесени и иглолистни гори с поляни и с ниска растителност. Малки оазисни гори и крайречни дървета, алувиални и много влажни гори и храсталаци, също в ивици дървета, храсти и мозайки от тях, често покрай реки течащи води, в близост до пасища, ливади, обработваеми площи и други открити пространства. Обитава райони с надморска височина 0–2000 </w:t>
      </w:r>
      <w:r w:rsidRPr="00A8783E">
        <w:rPr>
          <w:rFonts w:ascii="Times New Roman" w:hAnsi="Times New Roman"/>
          <w:sz w:val="24"/>
          <w:szCs w:val="24"/>
          <w:lang w:val="en-US"/>
        </w:rPr>
        <w:t>m</w:t>
      </w:r>
      <w:r w:rsidRPr="00A8783E">
        <w:rPr>
          <w:rFonts w:ascii="Times New Roman" w:hAnsi="Times New Roman"/>
          <w:sz w:val="24"/>
          <w:szCs w:val="24"/>
        </w:rPr>
        <w:t xml:space="preserve"> н.в. (Червена книга на Р България 2015; Янков, ред., 2007). Ловува предимно птици и насекоми в широк кръг от местообитания, обикновено под 400 </w:t>
      </w:r>
      <w:r w:rsidRPr="00A8783E">
        <w:rPr>
          <w:rFonts w:ascii="Times New Roman" w:hAnsi="Times New Roman"/>
          <w:sz w:val="24"/>
          <w:szCs w:val="24"/>
          <w:lang w:val="en-US"/>
        </w:rPr>
        <w:t>m</w:t>
      </w:r>
      <w:r w:rsidRPr="00A8783E">
        <w:rPr>
          <w:rFonts w:ascii="Times New Roman" w:hAnsi="Times New Roman"/>
          <w:sz w:val="24"/>
          <w:szCs w:val="24"/>
        </w:rPr>
        <w:t xml:space="preserve"> до 1100 m, понякога над 1700-1900 </w:t>
      </w:r>
      <w:r w:rsidRPr="00A8783E">
        <w:rPr>
          <w:rFonts w:ascii="Times New Roman" w:hAnsi="Times New Roman"/>
          <w:sz w:val="24"/>
          <w:szCs w:val="24"/>
          <w:lang w:val="en-US"/>
        </w:rPr>
        <w:t>m</w:t>
      </w:r>
      <w:r w:rsidRPr="00A8783E">
        <w:rPr>
          <w:rFonts w:ascii="Times New Roman" w:hAnsi="Times New Roman"/>
          <w:sz w:val="24"/>
          <w:szCs w:val="24"/>
        </w:rPr>
        <w:t>. Основните местообитания включват интензивно или екстензивно управлявани земеделски земи, блата, реки, езера, тръстикови масиви, крайбрежни лагуни, блатни долини (Sergio et al., 2001). Според същия автор, в Англия, Франция, Нидерландия, Германия и Италия, 1-5 двойки обитават територия около 100 км</w:t>
      </w:r>
      <w:r w:rsidRPr="00A8783E">
        <w:rPr>
          <w:rFonts w:ascii="Times New Roman" w:hAnsi="Times New Roman"/>
          <w:sz w:val="24"/>
          <w:szCs w:val="24"/>
          <w:vertAlign w:val="superscript"/>
        </w:rPr>
        <w:t>2</w:t>
      </w:r>
      <w:r w:rsidRPr="00A8783E">
        <w:rPr>
          <w:rFonts w:ascii="Times New Roman" w:hAnsi="Times New Roman"/>
          <w:sz w:val="24"/>
          <w:szCs w:val="24"/>
        </w:rPr>
        <w:t xml:space="preserve"> (10000 ha).</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Храната си лови предимно във въздуха. Хранителният спектър се състои от насекоми и дребни птици, по-рядко прилепи, малки наземни бозайници и влечуги (Симеонов и др., 1990; Червена книга на Р България, 2015).</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Разпръснато на територията на цялата страна, както в равнини, така и високо в планините. Разпространението е по-плътно по поречията на повечето по-големи реки, както и по цялото Северно Черноморско крайбрежие (включително Добруджа), в Източните Родопи, хълмистите райони около р. Тунджа, северната част на Дунавската равнина, Източна Стара планина и др.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Включен в Приложение 3 на ЗБР. Не е включен в SPEC. Включен е в Червената книга на България със статус - уязвим VU. Според IUCN е слабо засегнат - LC (Least Concern) за територията на континентална Европа.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2013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оценява на 600-1100 двойки. Краткосрочната популационна тенденция (2000-2018) е неизвестна, а дългосрочната (1980-2018) е увеличаваща се. Не са посочени заплахи и влияния.</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lastRenderedPageBreak/>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СФ </w:t>
      </w:r>
      <w:r w:rsidRPr="00A8783E">
        <w:rPr>
          <w:rFonts w:ascii="Times New Roman" w:hAnsi="Times New Roman"/>
          <w:b/>
          <w:bCs/>
          <w:sz w:val="24"/>
          <w:szCs w:val="24"/>
        </w:rPr>
        <w:t xml:space="preserve">гнездящата </w:t>
      </w:r>
      <w:r w:rsidRPr="00A8783E">
        <w:rPr>
          <w:rFonts w:ascii="Times New Roman" w:hAnsi="Times New Roman"/>
          <w:sz w:val="24"/>
          <w:szCs w:val="24"/>
        </w:rPr>
        <w:t xml:space="preserve">популация на вида се оценява на </w:t>
      </w:r>
      <w:r w:rsidRPr="00A8783E">
        <w:rPr>
          <w:rFonts w:ascii="Times New Roman" w:hAnsi="Times New Roman"/>
          <w:b/>
          <w:bCs/>
          <w:sz w:val="24"/>
          <w:szCs w:val="24"/>
        </w:rPr>
        <w:t>1-2 двойки</w:t>
      </w:r>
      <w:r w:rsidRPr="00A8783E">
        <w:rPr>
          <w:rFonts w:ascii="Times New Roman" w:hAnsi="Times New Roman"/>
          <w:sz w:val="24"/>
          <w:szCs w:val="24"/>
        </w:rPr>
        <w:t>, което е 0,2 % от националната гнездяща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също </w:t>
      </w:r>
      <w:r w:rsidRPr="00A8783E">
        <w:rPr>
          <w:rFonts w:ascii="Times New Roman" w:hAnsi="Times New Roman"/>
          <w:b/>
          <w:bCs/>
          <w:sz w:val="24"/>
          <w:szCs w:val="24"/>
        </w:rPr>
        <w:t>мигриращ</w:t>
      </w:r>
      <w:r w:rsidRPr="00A8783E">
        <w:rPr>
          <w:rFonts w:ascii="Times New Roman" w:hAnsi="Times New Roman"/>
          <w:sz w:val="24"/>
          <w:szCs w:val="24"/>
        </w:rPr>
        <w:t xml:space="preserve"> с численост 25-30 инд. Вида не се докладва като мигриращ, също така не е известна числеността на мигриращата му популация в страната. Оценката на популацията е с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Гнездяща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средна Дунавска равнина е чест гнездящ вид, като гнезди в стари гнезда на вранови птици, по-често в акациеви и тополови гори, нерядко в близост до колонии на лястовици или испански врабчета. Вида е отчетен и в ПР Сребърна (Шурулинков и др., 2005; </w:t>
      </w:r>
      <w:r w:rsidRPr="00A8783E">
        <w:rPr>
          <w:rFonts w:ascii="Times New Roman" w:hAnsi="Times New Roman"/>
          <w:sz w:val="24"/>
          <w:szCs w:val="24"/>
          <w:lang w:val="en-US"/>
        </w:rPr>
        <w:t>Cheshmedzhiev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w:t>
      </w:r>
      <w:r w:rsidRPr="00A8783E">
        <w:rPr>
          <w:rFonts w:ascii="Times New Roman" w:hAnsi="Times New Roman"/>
          <w:sz w:val="24"/>
          <w:szCs w:val="24"/>
          <w:lang w:val="en-US"/>
        </w:rPr>
        <w:t>in</w:t>
      </w:r>
      <w:r w:rsidRPr="00A8783E">
        <w:rPr>
          <w:rFonts w:ascii="Times New Roman" w:hAnsi="Times New Roman"/>
          <w:sz w:val="24"/>
          <w:szCs w:val="24"/>
        </w:rPr>
        <w:t xml:space="preserve">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2019). През периода 2001-2003 г. вида също е гнездил в резервата </w:t>
      </w:r>
      <w:r w:rsidRPr="00A8783E">
        <w:rPr>
          <w:rFonts w:ascii="Times New Roman" w:hAnsi="Times New Roman"/>
          <w:sz w:val="24"/>
          <w:szCs w:val="24"/>
          <w:lang w:val="ru-RU"/>
        </w:rPr>
        <w:t>(</w:t>
      </w:r>
      <w:r w:rsidRPr="00A8783E">
        <w:rPr>
          <w:rFonts w:ascii="Times New Roman" w:hAnsi="Times New Roman"/>
          <w:sz w:val="24"/>
          <w:szCs w:val="24"/>
          <w:lang w:val="en-US"/>
        </w:rPr>
        <w:t>Kambourova</w:t>
      </w:r>
      <w:r w:rsidRPr="00A8783E">
        <w:rPr>
          <w:rFonts w:ascii="Times New Roman" w:hAnsi="Times New Roman"/>
          <w:sz w:val="24"/>
          <w:szCs w:val="24"/>
          <w:lang w:val="ru-RU"/>
        </w:rPr>
        <w:t>, 2012)</w:t>
      </w:r>
      <w:r w:rsidRPr="00A8783E">
        <w:rPr>
          <w:rFonts w:ascii="Times New Roman" w:hAnsi="Times New Roman"/>
          <w:sz w:val="24"/>
          <w:szCs w:val="24"/>
        </w:rPr>
        <w:t xml:space="preserve">. През гнездовия период на 2014 г. в Сребърна вида е наблюдаван с численост 1 инд. </w:t>
      </w:r>
      <w:r w:rsidRPr="00A8783E">
        <w:rPr>
          <w:rFonts w:ascii="Times New Roman" w:hAnsi="Times New Roman"/>
          <w:sz w:val="24"/>
          <w:szCs w:val="24"/>
          <w:lang w:val="ru-RU"/>
        </w:rPr>
        <w:t>(</w:t>
      </w:r>
      <w:r w:rsidRPr="00A8783E">
        <w:rPr>
          <w:rFonts w:ascii="Times New Roman" w:hAnsi="Times New Roman"/>
          <w:sz w:val="24"/>
          <w:szCs w:val="24"/>
        </w:rPr>
        <w:t>Актуализиран план на ПР Сребърна, 2015</w:t>
      </w:r>
      <w:r w:rsidRPr="00A8783E">
        <w:rPr>
          <w:rFonts w:ascii="Times New Roman" w:hAnsi="Times New Roman"/>
          <w:sz w:val="24"/>
          <w:szCs w:val="24"/>
          <w:lang w:val="ru-RU"/>
        </w:rPr>
        <w:t>)</w:t>
      </w:r>
      <w:r w:rsidRPr="00A8783E">
        <w:rPr>
          <w:rFonts w:ascii="Times New Roman" w:hAnsi="Times New Roman"/>
          <w:sz w:val="24"/>
          <w:szCs w:val="24"/>
        </w:rPr>
        <w:t>.</w:t>
      </w:r>
      <w:r w:rsidRPr="00A8783E">
        <w:rPr>
          <w:rFonts w:ascii="Times New Roman" w:hAnsi="Times New Roman"/>
          <w:sz w:val="24"/>
          <w:szCs w:val="24"/>
          <w:lang w:val="ru-RU"/>
        </w:rPr>
        <w:t xml:space="preserve">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средна Дунавска равнина е чест мигриращ вид, като се наблюдават единични птици или малки групи (Шурулинков и др., 2005). През пролетта соколът орко прелита над територията на цялата страна, като интензивен прелет е установен в източната част на страната при Суходол, и в Добруджа. В Дунавската равнина прелитат единични птици.</w:t>
      </w:r>
      <w:r w:rsidRPr="00A8783E">
        <w:t xml:space="preserve"> </w:t>
      </w:r>
      <w:r w:rsidRPr="00A8783E">
        <w:rPr>
          <w:rFonts w:ascii="Times New Roman" w:hAnsi="Times New Roman"/>
          <w:sz w:val="24"/>
          <w:szCs w:val="24"/>
        </w:rPr>
        <w:t xml:space="preserve">През есента соколите орко летят над територията на цялата страна </w:t>
      </w:r>
      <w:r w:rsidRPr="00A8783E">
        <w:rPr>
          <w:rFonts w:ascii="Times New Roman" w:hAnsi="Times New Roman"/>
          <w:sz w:val="24"/>
          <w:szCs w:val="24"/>
          <w:lang w:val="ru-RU"/>
        </w:rPr>
        <w:t>(</w:t>
      </w:r>
      <w:r w:rsidRPr="00A8783E">
        <w:rPr>
          <w:rFonts w:ascii="Times New Roman" w:hAnsi="Times New Roman"/>
          <w:sz w:val="24"/>
          <w:szCs w:val="24"/>
        </w:rPr>
        <w:t>Матеева и Янков, 2013</w:t>
      </w:r>
      <w:r w:rsidRPr="00A8783E">
        <w:rPr>
          <w:rFonts w:ascii="Times New Roman" w:hAnsi="Times New Roman"/>
          <w:sz w:val="24"/>
          <w:szCs w:val="24"/>
          <w:lang w:val="ru-RU"/>
        </w:rPr>
        <w:t xml:space="preserve">). </w:t>
      </w:r>
      <w:r w:rsidRPr="00A8783E">
        <w:rPr>
          <w:rFonts w:ascii="Times New Roman" w:hAnsi="Times New Roman"/>
          <w:sz w:val="24"/>
          <w:szCs w:val="24"/>
        </w:rPr>
        <w:t xml:space="preserve">Данните от </w:t>
      </w:r>
      <w:r w:rsidRPr="00A8783E">
        <w:rPr>
          <w:rFonts w:ascii="Times New Roman" w:hAnsi="Times New Roman"/>
          <w:sz w:val="24"/>
          <w:szCs w:val="24"/>
          <w:lang w:val="en-US"/>
        </w:rPr>
        <w:t>eBird</w:t>
      </w:r>
      <w:r w:rsidRPr="00A8783E">
        <w:rPr>
          <w:rFonts w:ascii="Times New Roman" w:hAnsi="Times New Roman"/>
          <w:sz w:val="24"/>
          <w:szCs w:val="24"/>
          <w:lang w:val="ru-RU"/>
        </w:rPr>
        <w:t>.</w:t>
      </w:r>
      <w:r w:rsidRPr="00A8783E">
        <w:rPr>
          <w:rFonts w:ascii="Times New Roman" w:hAnsi="Times New Roman"/>
          <w:sz w:val="24"/>
          <w:szCs w:val="24"/>
          <w:lang w:val="en-US"/>
        </w:rPr>
        <w:t>org</w:t>
      </w:r>
      <w:r w:rsidRPr="00A8783E">
        <w:rPr>
          <w:rFonts w:ascii="Times New Roman" w:hAnsi="Times New Roman"/>
          <w:sz w:val="24"/>
          <w:szCs w:val="24"/>
          <w:lang w:val="ru-RU"/>
        </w:rPr>
        <w:t xml:space="preserve"> </w:t>
      </w:r>
      <w:r w:rsidRPr="00A8783E">
        <w:rPr>
          <w:rFonts w:ascii="Times New Roman" w:hAnsi="Times New Roman"/>
          <w:sz w:val="24"/>
          <w:szCs w:val="24"/>
        </w:rPr>
        <w:t xml:space="preserve">показват, че вида е отчетен през септември 2021 г. с численост 1 инд. </w:t>
      </w:r>
      <w:r w:rsidRPr="00A8783E">
        <w:rPr>
          <w:rFonts w:ascii="Times New Roman" w:hAnsi="Times New Roman"/>
          <w:sz w:val="24"/>
          <w:szCs w:val="24"/>
          <w:lang w:val="ru-RU"/>
        </w:rPr>
        <w:t>(</w:t>
      </w:r>
      <w:r w:rsidRPr="00A8783E">
        <w:rPr>
          <w:rFonts w:ascii="Times New Roman" w:hAnsi="Times New Roman"/>
          <w:sz w:val="24"/>
          <w:szCs w:val="24"/>
          <w:lang w:val="en-US"/>
        </w:rPr>
        <w:t>Strahil</w:t>
      </w:r>
      <w:r w:rsidRPr="00A8783E">
        <w:rPr>
          <w:rFonts w:ascii="Times New Roman" w:hAnsi="Times New Roman"/>
          <w:sz w:val="24"/>
          <w:szCs w:val="24"/>
          <w:lang w:val="ru-RU"/>
        </w:rPr>
        <w:t xml:space="preserve"> </w:t>
      </w:r>
      <w:r w:rsidRPr="00A8783E">
        <w:rPr>
          <w:rFonts w:ascii="Times New Roman" w:hAnsi="Times New Roman"/>
          <w:sz w:val="24"/>
          <w:szCs w:val="24"/>
          <w:lang w:val="en-US"/>
        </w:rPr>
        <w:t>Peev</w:t>
      </w:r>
      <w:r w:rsidRPr="00A8783E">
        <w:rPr>
          <w:rFonts w:ascii="Times New Roman" w:hAnsi="Times New Roman"/>
          <w:sz w:val="24"/>
          <w:szCs w:val="24"/>
          <w:lang w:val="ru-RU"/>
        </w:rPr>
        <w:t>)</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 xml:space="preserve">Липсват други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5"/>
        <w:gridCol w:w="1496"/>
        <w:gridCol w:w="1496"/>
        <w:gridCol w:w="2441"/>
        <w:gridCol w:w="1950"/>
      </w:tblGrid>
      <w:tr w:rsidR="00A8783E" w:rsidRPr="00A8783E" w:rsidTr="005B5318">
        <w:trPr>
          <w:tblHeader/>
          <w:jc w:val="center"/>
        </w:trPr>
        <w:tc>
          <w:tcPr>
            <w:tcW w:w="1905"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Параметър</w:t>
            </w:r>
          </w:p>
        </w:tc>
        <w:tc>
          <w:tcPr>
            <w:tcW w:w="1496"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Мерна единица </w:t>
            </w:r>
          </w:p>
        </w:tc>
        <w:tc>
          <w:tcPr>
            <w:tcW w:w="1496"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Целева стойност </w:t>
            </w:r>
          </w:p>
        </w:tc>
        <w:tc>
          <w:tcPr>
            <w:tcW w:w="2441"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Допълнителна информация </w:t>
            </w:r>
          </w:p>
        </w:tc>
        <w:tc>
          <w:tcPr>
            <w:tcW w:w="1950"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90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Популация</w:t>
            </w:r>
            <w:r w:rsidRPr="00A8783E">
              <w:rPr>
                <w:rFonts w:ascii="Times New Roman" w:hAnsi="Times New Roman"/>
              </w:rPr>
              <w:t>: Размер на гнездящата популация</w:t>
            </w:r>
          </w:p>
        </w:tc>
        <w:tc>
          <w:tcPr>
            <w:tcW w:w="149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двойки</w:t>
            </w:r>
          </w:p>
        </w:tc>
        <w:tc>
          <w:tcPr>
            <w:tcW w:w="149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 дв.</w:t>
            </w:r>
          </w:p>
        </w:tc>
        <w:tc>
          <w:tcPr>
            <w:tcW w:w="244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от СФ и други публикувани източници за гнездовата численост на вида през различните години в зоната.</w:t>
            </w:r>
          </w:p>
        </w:tc>
        <w:tc>
          <w:tcPr>
            <w:tcW w:w="1950" w:type="dxa"/>
          </w:tcPr>
          <w:p w:rsidR="00A8783E" w:rsidRPr="00A8783E" w:rsidRDefault="00A8783E" w:rsidP="00A8783E">
            <w:pPr>
              <w:spacing w:after="0" w:line="240" w:lineRule="auto"/>
              <w:jc w:val="both"/>
              <w:rPr>
                <w:rFonts w:ascii="Times New Roman" w:hAnsi="Times New Roman"/>
                <w:color w:val="0070C0"/>
              </w:rPr>
            </w:pPr>
            <w:r w:rsidRPr="00A8783E">
              <w:rPr>
                <w:rFonts w:ascii="Times New Roman" w:hAnsi="Times New Roman"/>
              </w:rPr>
              <w:t>Поддържане на популацията на вида в зоната в размер от най-малко 1 гнездяща двойки. Необходимо е да се провежда мониторинг всяка година за установяване на числеността.</w:t>
            </w:r>
          </w:p>
        </w:tc>
      </w:tr>
      <w:tr w:rsidR="00A8783E" w:rsidRPr="00A8783E" w:rsidTr="005B5318">
        <w:trPr>
          <w:jc w:val="center"/>
        </w:trPr>
        <w:tc>
          <w:tcPr>
            <w:tcW w:w="1905"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lastRenderedPageBreak/>
              <w:t>Размер на мигрираща популацията</w:t>
            </w:r>
          </w:p>
        </w:tc>
        <w:tc>
          <w:tcPr>
            <w:tcW w:w="149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lastRenderedPageBreak/>
              <w:t xml:space="preserve">Брой </w:t>
            </w:r>
            <w:r w:rsidRPr="00A8783E">
              <w:rPr>
                <w:rFonts w:ascii="Times New Roman" w:hAnsi="Times New Roman"/>
              </w:rPr>
              <w:lastRenderedPageBreak/>
              <w:t>индивиди</w:t>
            </w:r>
          </w:p>
        </w:tc>
        <w:tc>
          <w:tcPr>
            <w:tcW w:w="149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lastRenderedPageBreak/>
              <w:t xml:space="preserve">Най-малко </w:t>
            </w:r>
            <w:r w:rsidRPr="00A8783E">
              <w:rPr>
                <w:rFonts w:ascii="Times New Roman" w:hAnsi="Times New Roman"/>
              </w:rPr>
              <w:lastRenderedPageBreak/>
              <w:t>25 инд.</w:t>
            </w:r>
          </w:p>
        </w:tc>
        <w:tc>
          <w:tcPr>
            <w:tcW w:w="2441"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lastRenderedPageBreak/>
              <w:t xml:space="preserve">Определена на база </w:t>
            </w:r>
            <w:r w:rsidRPr="00A8783E">
              <w:rPr>
                <w:rFonts w:ascii="Times New Roman" w:hAnsi="Times New Roman"/>
              </w:rPr>
              <w:lastRenderedPageBreak/>
              <w:t xml:space="preserve">СФ. Няма други данни за мигриращата популация на вида в зоната, поради което е необходимо да се постави междинна цел. </w:t>
            </w:r>
          </w:p>
        </w:tc>
        <w:tc>
          <w:tcPr>
            <w:tcW w:w="1950"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lastRenderedPageBreak/>
              <w:t xml:space="preserve">Междинна цел до </w:t>
            </w:r>
            <w:r w:rsidRPr="00A8783E">
              <w:rPr>
                <w:rFonts w:ascii="Times New Roman" w:hAnsi="Times New Roman"/>
              </w:rPr>
              <w:lastRenderedPageBreak/>
              <w:t>2025 г.: провеждане на проучване за установяване на текущата мигрираща численост на вида в зоната.</w:t>
            </w:r>
          </w:p>
        </w:tc>
      </w:tr>
      <w:tr w:rsidR="00A8783E" w:rsidRPr="00A8783E" w:rsidTr="005B5318">
        <w:trPr>
          <w:jc w:val="center"/>
        </w:trPr>
        <w:tc>
          <w:tcPr>
            <w:tcW w:w="1905" w:type="dxa"/>
          </w:tcPr>
          <w:p w:rsidR="00A8783E" w:rsidRPr="00A8783E" w:rsidRDefault="00A8783E" w:rsidP="00A8783E">
            <w:pPr>
              <w:spacing w:after="0" w:line="240" w:lineRule="auto"/>
              <w:rPr>
                <w:rFonts w:ascii="Times New Roman" w:hAnsi="Times New Roman"/>
              </w:rPr>
            </w:pPr>
            <w:r w:rsidRPr="00A8783E">
              <w:rPr>
                <w:rFonts w:ascii="Times New Roman" w:hAnsi="Times New Roman"/>
                <w:b/>
                <w:bCs/>
              </w:rPr>
              <w:lastRenderedPageBreak/>
              <w:t xml:space="preserve">Местообитание на вида: </w:t>
            </w:r>
            <w:r w:rsidRPr="00A8783E">
              <w:rPr>
                <w:rFonts w:ascii="Times New Roman" w:hAnsi="Times New Roman"/>
                <w:bCs/>
              </w:rPr>
              <w:t>площ</w:t>
            </w:r>
            <w:r w:rsidRPr="00A8783E">
              <w:rPr>
                <w:rFonts w:ascii="Times New Roman" w:hAnsi="Times New Roman"/>
                <w:b/>
                <w:bCs/>
              </w:rPr>
              <w:t xml:space="preserve"> </w:t>
            </w:r>
            <w:r w:rsidRPr="00A8783E">
              <w:rPr>
                <w:rFonts w:ascii="Times New Roman" w:hAnsi="Times New Roman"/>
              </w:rPr>
              <w:t>на подходящите хранителни местообитания</w:t>
            </w:r>
          </w:p>
          <w:p w:rsidR="00A8783E" w:rsidRPr="00A8783E" w:rsidRDefault="00A8783E" w:rsidP="00A8783E">
            <w:pPr>
              <w:spacing w:after="0" w:line="240" w:lineRule="auto"/>
              <w:rPr>
                <w:rFonts w:ascii="Times New Roman" w:hAnsi="Times New Roman"/>
              </w:rPr>
            </w:pPr>
          </w:p>
        </w:tc>
        <w:tc>
          <w:tcPr>
            <w:tcW w:w="1496" w:type="dxa"/>
          </w:tcPr>
          <w:p w:rsidR="00A8783E" w:rsidRPr="00A8783E" w:rsidRDefault="00A8783E" w:rsidP="00A8783E">
            <w:pPr>
              <w:spacing w:after="0" w:line="240" w:lineRule="auto"/>
              <w:rPr>
                <w:rFonts w:ascii="Times New Roman" w:hAnsi="Times New Roman"/>
              </w:rPr>
            </w:pPr>
            <w:r w:rsidRPr="00A8783E">
              <w:rPr>
                <w:rFonts w:ascii="Times New Roman" w:hAnsi="Times New Roman"/>
                <w:lang w:val="en-US"/>
              </w:rPr>
              <w:t>ha</w:t>
            </w:r>
          </w:p>
        </w:tc>
        <w:tc>
          <w:tcPr>
            <w:tcW w:w="149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Най-малко 318</w:t>
            </w:r>
          </w:p>
        </w:tc>
        <w:tc>
          <w:tcPr>
            <w:tcW w:w="2441"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Определена на база на % участие откритите местообитания в зоната: </w:t>
            </w:r>
            <w:r w:rsidRPr="00A8783E">
              <w:rPr>
                <w:rFonts w:ascii="Times New Roman" w:hAnsi="Times New Roman"/>
                <w:lang w:val="en-US"/>
              </w:rPr>
              <w:t>N</w:t>
            </w:r>
            <w:r w:rsidRPr="00A8783E">
              <w:rPr>
                <w:rFonts w:ascii="Times New Roman" w:hAnsi="Times New Roman"/>
                <w:lang w:val="ru-RU"/>
              </w:rPr>
              <w:t>08</w:t>
            </w:r>
            <w:r w:rsidRPr="00A8783E">
              <w:rPr>
                <w:rFonts w:ascii="Times New Roman" w:hAnsi="Times New Roman"/>
              </w:rPr>
              <w:t>-</w:t>
            </w:r>
            <w:r w:rsidRPr="00A8783E">
              <w:rPr>
                <w:lang w:val="ru-RU"/>
              </w:rPr>
              <w:t xml:space="preserve"> </w:t>
            </w:r>
            <w:r w:rsidRPr="00A8783E">
              <w:rPr>
                <w:rFonts w:ascii="Times New Roman" w:hAnsi="Times New Roman"/>
              </w:rPr>
              <w:t xml:space="preserve">Равнини, шубраци, </w:t>
            </w:r>
            <w:r w:rsidRPr="00A8783E">
              <w:rPr>
                <w:rFonts w:ascii="Times New Roman" w:hAnsi="Times New Roman"/>
                <w:lang w:val="en-US"/>
              </w:rPr>
              <w:t>N</w:t>
            </w:r>
            <w:r w:rsidRPr="00A8783E">
              <w:rPr>
                <w:rFonts w:ascii="Times New Roman" w:hAnsi="Times New Roman"/>
                <w:lang w:val="ru-RU"/>
              </w:rPr>
              <w:t>09-</w:t>
            </w:r>
            <w:r w:rsidRPr="00A8783E">
              <w:rPr>
                <w:rFonts w:ascii="Times New Roman" w:hAnsi="Times New Roman"/>
              </w:rPr>
              <w:t xml:space="preserve">сухи ливади, степи, </w:t>
            </w:r>
            <w:r w:rsidRPr="00A8783E">
              <w:rPr>
                <w:rFonts w:ascii="Times New Roman" w:hAnsi="Times New Roman"/>
                <w:lang w:val="en-US"/>
              </w:rPr>
              <w:t>N</w:t>
            </w:r>
            <w:r w:rsidRPr="00A8783E">
              <w:rPr>
                <w:rFonts w:ascii="Times New Roman" w:hAnsi="Times New Roman"/>
                <w:lang w:val="ru-RU"/>
              </w:rPr>
              <w:t>15-</w:t>
            </w:r>
            <w:r w:rsidRPr="00A8783E">
              <w:rPr>
                <w:rFonts w:ascii="Times New Roman" w:hAnsi="Times New Roman"/>
              </w:rPr>
              <w:t>други обработваеми земи. Тяхната обща площ е 318 ха.</w:t>
            </w:r>
          </w:p>
        </w:tc>
        <w:tc>
          <w:tcPr>
            <w:tcW w:w="1950"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Поддържане на площта на подходящите хранителни местообитания на вида в размер най-малко 318 ha. </w:t>
            </w:r>
          </w:p>
        </w:tc>
      </w:tr>
      <w:tr w:rsidR="00A8783E" w:rsidRPr="00A8783E" w:rsidTr="005B5318">
        <w:trPr>
          <w:jc w:val="center"/>
        </w:trPr>
        <w:tc>
          <w:tcPr>
            <w:tcW w:w="1905" w:type="dxa"/>
          </w:tcPr>
          <w:p w:rsidR="00A8783E" w:rsidRPr="00A8783E" w:rsidRDefault="00A8783E" w:rsidP="00A8783E">
            <w:pPr>
              <w:spacing w:after="0" w:line="240" w:lineRule="auto"/>
              <w:rPr>
                <w:rFonts w:ascii="Times New Roman" w:hAnsi="Times New Roman"/>
                <w:bCs/>
                <w:color w:val="000000"/>
                <w:sz w:val="20"/>
              </w:rPr>
            </w:pPr>
            <w:r w:rsidRPr="00A8783E">
              <w:rPr>
                <w:rFonts w:ascii="Times New Roman" w:hAnsi="Times New Roman"/>
                <w:b/>
                <w:bCs/>
                <w:color w:val="000000"/>
                <w:sz w:val="20"/>
              </w:rPr>
              <w:t xml:space="preserve">Местообитание на вида: </w:t>
            </w:r>
            <w:r w:rsidRPr="00A8783E">
              <w:rPr>
                <w:rFonts w:ascii="Times New Roman" w:hAnsi="Times New Roman"/>
                <w:bCs/>
                <w:color w:val="000000"/>
                <w:sz w:val="20"/>
              </w:rPr>
              <w:t xml:space="preserve">Качество на подходящите </w:t>
            </w:r>
          </w:p>
          <w:p w:rsidR="00A8783E" w:rsidRPr="00A8783E" w:rsidRDefault="00A8783E" w:rsidP="00A8783E">
            <w:pPr>
              <w:spacing w:after="0" w:line="240" w:lineRule="auto"/>
              <w:rPr>
                <w:rFonts w:ascii="Times New Roman" w:hAnsi="Times New Roman"/>
                <w:bCs/>
                <w:color w:val="000000"/>
                <w:sz w:val="20"/>
              </w:rPr>
            </w:pPr>
            <w:r w:rsidRPr="00A8783E">
              <w:rPr>
                <w:rFonts w:ascii="Times New Roman" w:hAnsi="Times New Roman"/>
                <w:bCs/>
                <w:color w:val="000000"/>
                <w:sz w:val="20"/>
              </w:rPr>
              <w:t xml:space="preserve">хранителни местообитания на вида в зоната – начин на управление на </w:t>
            </w:r>
          </w:p>
          <w:p w:rsidR="00A8783E" w:rsidRPr="00A8783E" w:rsidRDefault="00A8783E" w:rsidP="00A8783E">
            <w:pPr>
              <w:spacing w:after="0" w:line="240" w:lineRule="auto"/>
              <w:rPr>
                <w:rFonts w:ascii="Times New Roman" w:hAnsi="Times New Roman"/>
                <w:b/>
                <w:bCs/>
                <w:color w:val="000000"/>
                <w:sz w:val="20"/>
              </w:rPr>
            </w:pPr>
            <w:r w:rsidRPr="00A8783E">
              <w:rPr>
                <w:rFonts w:ascii="Times New Roman" w:hAnsi="Times New Roman"/>
                <w:bCs/>
                <w:color w:val="000000"/>
                <w:sz w:val="20"/>
              </w:rPr>
              <w:t>пасища и ливади</w:t>
            </w:r>
          </w:p>
        </w:tc>
        <w:tc>
          <w:tcPr>
            <w:tcW w:w="1496" w:type="dxa"/>
          </w:tcPr>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 xml:space="preserve">% екстензивно </w:t>
            </w:r>
          </w:p>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 xml:space="preserve">управлявани </w:t>
            </w:r>
          </w:p>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 xml:space="preserve">пасища и </w:t>
            </w:r>
          </w:p>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 xml:space="preserve">ливади, като </w:t>
            </w:r>
          </w:p>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 xml:space="preserve">част от </w:t>
            </w:r>
          </w:p>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 xml:space="preserve">хранителното </w:t>
            </w:r>
          </w:p>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 xml:space="preserve">местообитание </w:t>
            </w:r>
          </w:p>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на вида</w:t>
            </w:r>
          </w:p>
        </w:tc>
        <w:tc>
          <w:tcPr>
            <w:tcW w:w="1496" w:type="dxa"/>
          </w:tcPr>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 xml:space="preserve">100% от пасищата </w:t>
            </w:r>
          </w:p>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 xml:space="preserve">и ливадите, част от </w:t>
            </w:r>
          </w:p>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 xml:space="preserve">хранителното </w:t>
            </w:r>
          </w:p>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 xml:space="preserve">местообитание на вида се управляват </w:t>
            </w:r>
          </w:p>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екстензивно</w:t>
            </w:r>
          </w:p>
        </w:tc>
        <w:tc>
          <w:tcPr>
            <w:tcW w:w="2441" w:type="dxa"/>
          </w:tcPr>
          <w:p w:rsidR="00A8783E" w:rsidRPr="00A8783E" w:rsidRDefault="00A8783E" w:rsidP="00A8783E">
            <w:pPr>
              <w:spacing w:after="0" w:line="240" w:lineRule="auto"/>
              <w:jc w:val="both"/>
              <w:rPr>
                <w:rFonts w:ascii="Times New Roman" w:hAnsi="Times New Roman"/>
                <w:sz w:val="20"/>
              </w:rPr>
            </w:pPr>
            <w:r w:rsidRPr="00A8783E">
              <w:rPr>
                <w:rFonts w:ascii="Times New Roman" w:hAnsi="Times New Roman"/>
                <w:sz w:val="20"/>
              </w:rPr>
              <w:t>Видът предпочита да се храни в отворени местообитания - пасища, ливади, територии със смесено земеползване, в което съществена част от земите се управляват като пасища и ливади. За да се поддържат тревните местообитания (ливади и пасища) във вид подходящ за търсене на храна от вида е необходима паша на домашни животни (0,3-1 ЖЕ/ha), както и редовна коситба на ливадите, с по-малко използване на торове и други химикали, които биха довели до изчезване на плячката на вида.</w:t>
            </w:r>
          </w:p>
        </w:tc>
        <w:tc>
          <w:tcPr>
            <w:tcW w:w="1950" w:type="dxa"/>
          </w:tcPr>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 xml:space="preserve">Подобряване на състоянието на </w:t>
            </w:r>
          </w:p>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 xml:space="preserve">хранителното местообитание </w:t>
            </w:r>
          </w:p>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 xml:space="preserve">на вида до постигане на  100% </w:t>
            </w:r>
          </w:p>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 xml:space="preserve">екстензивно управление на </w:t>
            </w:r>
          </w:p>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 xml:space="preserve">пасища и ливади, част от </w:t>
            </w:r>
          </w:p>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 xml:space="preserve">хранителното местообитание </w:t>
            </w:r>
          </w:p>
          <w:p w:rsidR="00A8783E" w:rsidRPr="00A8783E" w:rsidRDefault="00A8783E" w:rsidP="00A8783E">
            <w:pPr>
              <w:spacing w:after="0" w:line="240" w:lineRule="auto"/>
              <w:rPr>
                <w:rFonts w:ascii="Times New Roman" w:hAnsi="Times New Roman"/>
                <w:sz w:val="20"/>
              </w:rPr>
            </w:pPr>
            <w:r w:rsidRPr="00A8783E">
              <w:rPr>
                <w:rFonts w:ascii="Times New Roman" w:hAnsi="Times New Roman"/>
                <w:sz w:val="20"/>
              </w:rPr>
              <w:t>на вида.</w:t>
            </w:r>
          </w:p>
        </w:tc>
      </w:tr>
    </w:tbl>
    <w:p w:rsidR="00A8783E" w:rsidRPr="00A8783E" w:rsidRDefault="00A8783E" w:rsidP="00A8783E">
      <w:pPr>
        <w:spacing w:after="160" w:line="259" w:lineRule="auto"/>
        <w:rPr>
          <w:rFonts w:ascii="Times New Roman" w:hAnsi="Times New Roman"/>
          <w:b/>
          <w:bCs/>
          <w:sz w:val="24"/>
          <w:szCs w:val="24"/>
        </w:rPr>
      </w:pPr>
    </w:p>
    <w:p w:rsidR="00A8783E" w:rsidRPr="00A8783E" w:rsidRDefault="00A8783E" w:rsidP="00A8783E">
      <w:pPr>
        <w:spacing w:after="16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after="0" w:line="240" w:lineRule="auto"/>
        <w:jc w:val="both"/>
        <w:rPr>
          <w:rFonts w:ascii="Times New Roman" w:hAnsi="Times New Roman" w:cs="Calibri"/>
          <w:sz w:val="24"/>
          <w:szCs w:val="20"/>
          <w:lang w:eastAsia="bg-BG"/>
        </w:rPr>
      </w:pPr>
      <w:bookmarkStart w:id="327" w:name="_Toc89106114"/>
      <w:r w:rsidRPr="00A8783E">
        <w:rPr>
          <w:rFonts w:ascii="Times New Roman" w:hAnsi="Times New Roman" w:cs="Calibri"/>
          <w:sz w:val="24"/>
          <w:szCs w:val="20"/>
          <w:lang w:eastAsia="bg-BG"/>
        </w:rPr>
        <w:t>По отношение на оценката на популацията и общата оценка на гнездовата популация е необходимо да се коригират от „В“ на „С“ (в зоната се опазват 0,2% от националната популация).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
        <w:gridCol w:w="670"/>
        <w:gridCol w:w="1023"/>
        <w:gridCol w:w="328"/>
        <w:gridCol w:w="488"/>
        <w:gridCol w:w="213"/>
        <w:gridCol w:w="216"/>
        <w:gridCol w:w="572"/>
        <w:gridCol w:w="616"/>
        <w:gridCol w:w="606"/>
        <w:gridCol w:w="587"/>
        <w:gridCol w:w="853"/>
        <w:gridCol w:w="496"/>
        <w:gridCol w:w="503"/>
        <w:gridCol w:w="633"/>
        <w:gridCol w:w="529"/>
        <w:gridCol w:w="581"/>
      </w:tblGrid>
      <w:tr w:rsidR="00A8783E" w:rsidRPr="00A8783E" w:rsidTr="005B5318">
        <w:trPr>
          <w:jc w:val="center"/>
        </w:trPr>
        <w:tc>
          <w:tcPr>
            <w:tcW w:w="1669" w:type="pct"/>
            <w:gridSpan w:val="6"/>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Species</w:t>
            </w:r>
          </w:p>
        </w:tc>
        <w:tc>
          <w:tcPr>
            <w:tcW w:w="2121" w:type="pct"/>
            <w:gridSpan w:val="7"/>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Population in the site</w:t>
            </w:r>
          </w:p>
        </w:tc>
        <w:tc>
          <w:tcPr>
            <w:tcW w:w="1210" w:type="pct"/>
            <w:gridSpan w:val="4"/>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Site assessment</w:t>
            </w:r>
          </w:p>
        </w:tc>
      </w:tr>
      <w:tr w:rsidR="00A8783E" w:rsidRPr="00A8783E" w:rsidTr="005B5318">
        <w:trPr>
          <w:jc w:val="center"/>
        </w:trPr>
        <w:tc>
          <w:tcPr>
            <w:tcW w:w="202" w:type="pct"/>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G</w:t>
            </w:r>
          </w:p>
        </w:tc>
        <w:tc>
          <w:tcPr>
            <w:tcW w:w="361" w:type="pct"/>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Code</w:t>
            </w:r>
          </w:p>
        </w:tc>
        <w:tc>
          <w:tcPr>
            <w:tcW w:w="551" w:type="pct"/>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Scientific Name</w:t>
            </w:r>
          </w:p>
        </w:tc>
        <w:tc>
          <w:tcPr>
            <w:tcW w:w="177" w:type="pct"/>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S</w:t>
            </w:r>
          </w:p>
        </w:tc>
        <w:tc>
          <w:tcPr>
            <w:tcW w:w="263" w:type="pct"/>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NP</w:t>
            </w:r>
          </w:p>
        </w:tc>
        <w:tc>
          <w:tcPr>
            <w:tcW w:w="232" w:type="pct"/>
            <w:gridSpan w:val="2"/>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T</w:t>
            </w:r>
          </w:p>
        </w:tc>
        <w:tc>
          <w:tcPr>
            <w:tcW w:w="636" w:type="pct"/>
            <w:gridSpan w:val="2"/>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Size</w:t>
            </w:r>
          </w:p>
        </w:tc>
        <w:tc>
          <w:tcPr>
            <w:tcW w:w="326" w:type="pct"/>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Unit</w:t>
            </w:r>
          </w:p>
        </w:tc>
        <w:tc>
          <w:tcPr>
            <w:tcW w:w="316" w:type="pct"/>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Cat.</w:t>
            </w:r>
          </w:p>
        </w:tc>
        <w:tc>
          <w:tcPr>
            <w:tcW w:w="459" w:type="pct"/>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D.qual.</w:t>
            </w:r>
          </w:p>
        </w:tc>
        <w:tc>
          <w:tcPr>
            <w:tcW w:w="538" w:type="pct"/>
            <w:gridSpan w:val="2"/>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A/B/C/D</w:t>
            </w:r>
          </w:p>
        </w:tc>
        <w:tc>
          <w:tcPr>
            <w:tcW w:w="941" w:type="pct"/>
            <w:gridSpan w:val="3"/>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A/B/C</w:t>
            </w:r>
          </w:p>
        </w:tc>
      </w:tr>
      <w:tr w:rsidR="00A8783E" w:rsidRPr="00A8783E" w:rsidTr="005B5318">
        <w:trPr>
          <w:jc w:val="center"/>
        </w:trPr>
        <w:tc>
          <w:tcPr>
            <w:tcW w:w="202" w:type="pct"/>
            <w:vMerge/>
            <w:shd w:val="clear" w:color="auto" w:fill="D9D9D9"/>
            <w:vAlign w:val="center"/>
          </w:tcPr>
          <w:p w:rsidR="00A8783E" w:rsidRPr="00A8783E" w:rsidRDefault="00A8783E" w:rsidP="00A8783E">
            <w:pPr>
              <w:spacing w:after="0" w:line="240" w:lineRule="auto"/>
              <w:rPr>
                <w:rFonts w:ascii="Times New Roman" w:hAnsi="Times New Roman" w:cs="Calibri"/>
                <w:sz w:val="20"/>
                <w:szCs w:val="20"/>
                <w:lang w:eastAsia="bg-BG"/>
              </w:rPr>
            </w:pPr>
          </w:p>
        </w:tc>
        <w:tc>
          <w:tcPr>
            <w:tcW w:w="361" w:type="pct"/>
            <w:vMerge/>
            <w:shd w:val="clear" w:color="auto" w:fill="D9D9D9"/>
            <w:vAlign w:val="center"/>
          </w:tcPr>
          <w:p w:rsidR="00A8783E" w:rsidRPr="00A8783E" w:rsidRDefault="00A8783E" w:rsidP="00A8783E">
            <w:pPr>
              <w:spacing w:after="0" w:line="240" w:lineRule="auto"/>
              <w:rPr>
                <w:rFonts w:ascii="Times New Roman" w:hAnsi="Times New Roman" w:cs="Calibri"/>
                <w:sz w:val="20"/>
                <w:szCs w:val="20"/>
                <w:lang w:eastAsia="bg-BG"/>
              </w:rPr>
            </w:pPr>
          </w:p>
        </w:tc>
        <w:tc>
          <w:tcPr>
            <w:tcW w:w="551" w:type="pct"/>
            <w:vMerge/>
            <w:shd w:val="clear" w:color="auto" w:fill="D9D9D9"/>
            <w:vAlign w:val="center"/>
          </w:tcPr>
          <w:p w:rsidR="00A8783E" w:rsidRPr="00A8783E" w:rsidRDefault="00A8783E" w:rsidP="00A8783E">
            <w:pPr>
              <w:spacing w:after="0" w:line="240" w:lineRule="auto"/>
              <w:rPr>
                <w:rFonts w:ascii="Times New Roman" w:hAnsi="Times New Roman" w:cs="Calibri"/>
                <w:sz w:val="20"/>
                <w:szCs w:val="20"/>
                <w:lang w:eastAsia="bg-BG"/>
              </w:rPr>
            </w:pPr>
          </w:p>
        </w:tc>
        <w:tc>
          <w:tcPr>
            <w:tcW w:w="177" w:type="pct"/>
            <w:vMerge/>
            <w:shd w:val="clear" w:color="auto" w:fill="D9D9D9"/>
            <w:vAlign w:val="center"/>
          </w:tcPr>
          <w:p w:rsidR="00A8783E" w:rsidRPr="00A8783E" w:rsidRDefault="00A8783E" w:rsidP="00A8783E">
            <w:pPr>
              <w:spacing w:after="0" w:line="240" w:lineRule="auto"/>
              <w:rPr>
                <w:rFonts w:ascii="Times New Roman" w:hAnsi="Times New Roman" w:cs="Calibri"/>
                <w:sz w:val="20"/>
                <w:szCs w:val="20"/>
                <w:lang w:eastAsia="bg-BG"/>
              </w:rPr>
            </w:pPr>
          </w:p>
        </w:tc>
        <w:tc>
          <w:tcPr>
            <w:tcW w:w="263" w:type="pct"/>
            <w:vMerge/>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p>
        </w:tc>
        <w:tc>
          <w:tcPr>
            <w:tcW w:w="232" w:type="pct"/>
            <w:gridSpan w:val="2"/>
            <w:vMerge/>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p>
        </w:tc>
        <w:tc>
          <w:tcPr>
            <w:tcW w:w="304" w:type="pc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Min</w:t>
            </w:r>
          </w:p>
        </w:tc>
        <w:tc>
          <w:tcPr>
            <w:tcW w:w="332" w:type="pc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Max</w:t>
            </w:r>
          </w:p>
        </w:tc>
        <w:tc>
          <w:tcPr>
            <w:tcW w:w="326" w:type="pct"/>
            <w:vMerge/>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p>
        </w:tc>
        <w:tc>
          <w:tcPr>
            <w:tcW w:w="316" w:type="pct"/>
            <w:vMerge/>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p>
        </w:tc>
        <w:tc>
          <w:tcPr>
            <w:tcW w:w="459" w:type="pct"/>
            <w:vMerge/>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p>
        </w:tc>
        <w:tc>
          <w:tcPr>
            <w:tcW w:w="538" w:type="pct"/>
            <w:gridSpan w:val="2"/>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Pop.</w:t>
            </w:r>
          </w:p>
        </w:tc>
        <w:tc>
          <w:tcPr>
            <w:tcW w:w="341" w:type="pc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Con.</w:t>
            </w:r>
          </w:p>
        </w:tc>
        <w:tc>
          <w:tcPr>
            <w:tcW w:w="285" w:type="pc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Iso.</w:t>
            </w:r>
          </w:p>
        </w:tc>
        <w:tc>
          <w:tcPr>
            <w:tcW w:w="316" w:type="pc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Glo.</w:t>
            </w:r>
          </w:p>
        </w:tc>
      </w:tr>
      <w:tr w:rsidR="00A8783E" w:rsidRPr="00A8783E" w:rsidTr="005B5318">
        <w:trPr>
          <w:jc w:val="center"/>
        </w:trPr>
        <w:tc>
          <w:tcPr>
            <w:tcW w:w="202"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eastAsia="bg-BG"/>
              </w:rPr>
            </w:pPr>
            <w:r w:rsidRPr="00A8783E">
              <w:rPr>
                <w:rFonts w:ascii="Times New Roman" w:hAnsi="Times New Roman" w:cs="Calibri"/>
                <w:sz w:val="20"/>
                <w:szCs w:val="20"/>
                <w:lang w:eastAsia="bg-BG"/>
              </w:rPr>
              <w:t>B</w:t>
            </w:r>
          </w:p>
        </w:tc>
        <w:tc>
          <w:tcPr>
            <w:tcW w:w="361"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eastAsia="bg-BG"/>
              </w:rPr>
            </w:pPr>
            <w:r w:rsidRPr="00A8783E">
              <w:rPr>
                <w:rFonts w:ascii="Times New Roman" w:hAnsi="Times New Roman" w:cs="Calibri"/>
                <w:sz w:val="20"/>
                <w:szCs w:val="20"/>
                <w:lang w:eastAsia="bg-BG"/>
              </w:rPr>
              <w:t>A099</w:t>
            </w:r>
          </w:p>
        </w:tc>
        <w:tc>
          <w:tcPr>
            <w:tcW w:w="551" w:type="pct"/>
            <w:shd w:val="clear" w:color="auto" w:fill="auto"/>
            <w:vAlign w:val="center"/>
          </w:tcPr>
          <w:p w:rsidR="00A8783E" w:rsidRPr="00A8783E" w:rsidRDefault="00A8783E" w:rsidP="00A8783E">
            <w:pPr>
              <w:spacing w:after="0" w:line="240" w:lineRule="auto"/>
              <w:rPr>
                <w:rFonts w:ascii="Times New Roman" w:hAnsi="Times New Roman" w:cs="Calibri"/>
                <w:i/>
                <w:sz w:val="20"/>
                <w:szCs w:val="20"/>
                <w:lang w:eastAsia="bg-BG"/>
              </w:rPr>
            </w:pPr>
            <w:r w:rsidRPr="00A8783E">
              <w:rPr>
                <w:rFonts w:ascii="Times New Roman" w:hAnsi="Times New Roman" w:cs="Calibri"/>
                <w:i/>
                <w:sz w:val="20"/>
                <w:szCs w:val="20"/>
                <w:lang w:eastAsia="bg-BG"/>
              </w:rPr>
              <w:t>Falco subbuteo</w:t>
            </w:r>
          </w:p>
        </w:tc>
        <w:tc>
          <w:tcPr>
            <w:tcW w:w="177"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eastAsia="bg-BG"/>
              </w:rPr>
            </w:pPr>
          </w:p>
        </w:tc>
        <w:tc>
          <w:tcPr>
            <w:tcW w:w="263" w:type="pct"/>
            <w:shd w:val="clear" w:color="auto" w:fill="auto"/>
            <w:vAlign w:val="center"/>
          </w:tcPr>
          <w:p w:rsidR="00A8783E" w:rsidRPr="00A8783E" w:rsidRDefault="00A8783E" w:rsidP="00A8783E">
            <w:pPr>
              <w:spacing w:after="0" w:line="240" w:lineRule="auto"/>
              <w:rPr>
                <w:rFonts w:ascii="Times New Roman" w:hAnsi="Times New Roman" w:cs="Calibri"/>
                <w:b/>
                <w:sz w:val="20"/>
                <w:szCs w:val="20"/>
                <w:lang w:eastAsia="bg-BG"/>
              </w:rPr>
            </w:pPr>
          </w:p>
        </w:tc>
        <w:tc>
          <w:tcPr>
            <w:tcW w:w="232" w:type="pct"/>
            <w:gridSpan w:val="2"/>
            <w:shd w:val="clear" w:color="auto" w:fill="auto"/>
            <w:vAlign w:val="center"/>
          </w:tcPr>
          <w:p w:rsidR="00A8783E" w:rsidRPr="00A8783E" w:rsidRDefault="00A8783E" w:rsidP="00A8783E">
            <w:pPr>
              <w:spacing w:after="0" w:line="240" w:lineRule="auto"/>
              <w:rPr>
                <w:rFonts w:ascii="Times New Roman" w:hAnsi="Times New Roman" w:cs="Calibri"/>
                <w:sz w:val="20"/>
                <w:szCs w:val="20"/>
                <w:lang w:val="en-US" w:eastAsia="bg-BG"/>
              </w:rPr>
            </w:pPr>
            <w:r w:rsidRPr="00A8783E">
              <w:rPr>
                <w:rFonts w:ascii="Times New Roman" w:hAnsi="Times New Roman" w:cs="Calibri"/>
                <w:sz w:val="20"/>
                <w:szCs w:val="20"/>
                <w:lang w:val="en-US" w:eastAsia="bg-BG"/>
              </w:rPr>
              <w:t>r</w:t>
            </w:r>
          </w:p>
        </w:tc>
        <w:tc>
          <w:tcPr>
            <w:tcW w:w="304"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eastAsia="bg-BG"/>
              </w:rPr>
            </w:pPr>
            <w:r w:rsidRPr="00A8783E">
              <w:rPr>
                <w:rFonts w:ascii="Times New Roman" w:hAnsi="Times New Roman" w:cs="Calibri"/>
                <w:sz w:val="20"/>
                <w:szCs w:val="20"/>
                <w:lang w:eastAsia="bg-BG"/>
              </w:rPr>
              <w:t>1</w:t>
            </w:r>
          </w:p>
        </w:tc>
        <w:tc>
          <w:tcPr>
            <w:tcW w:w="332"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eastAsia="bg-BG"/>
              </w:rPr>
            </w:pPr>
            <w:r w:rsidRPr="00A8783E">
              <w:rPr>
                <w:rFonts w:ascii="Times New Roman" w:hAnsi="Times New Roman" w:cs="Calibri"/>
                <w:sz w:val="20"/>
                <w:szCs w:val="20"/>
                <w:lang w:eastAsia="bg-BG"/>
              </w:rPr>
              <w:t>2</w:t>
            </w:r>
          </w:p>
        </w:tc>
        <w:tc>
          <w:tcPr>
            <w:tcW w:w="326"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eastAsia="bg-BG"/>
              </w:rPr>
            </w:pPr>
            <w:r w:rsidRPr="00A8783E">
              <w:rPr>
                <w:rFonts w:ascii="Times New Roman" w:hAnsi="Times New Roman" w:cs="Calibri"/>
                <w:sz w:val="20"/>
                <w:szCs w:val="20"/>
                <w:lang w:eastAsia="bg-BG"/>
              </w:rPr>
              <w:t>p</w:t>
            </w:r>
          </w:p>
        </w:tc>
        <w:tc>
          <w:tcPr>
            <w:tcW w:w="316" w:type="pct"/>
            <w:shd w:val="clear" w:color="auto" w:fill="auto"/>
            <w:vAlign w:val="center"/>
          </w:tcPr>
          <w:p w:rsidR="00A8783E" w:rsidRPr="00A8783E" w:rsidRDefault="00A8783E" w:rsidP="00A8783E">
            <w:pPr>
              <w:spacing w:after="0" w:line="240" w:lineRule="auto"/>
              <w:rPr>
                <w:rFonts w:ascii="Times New Roman" w:hAnsi="Times New Roman" w:cs="Calibri"/>
                <w:b/>
                <w:sz w:val="20"/>
                <w:szCs w:val="20"/>
                <w:lang w:eastAsia="bg-BG"/>
              </w:rPr>
            </w:pPr>
          </w:p>
        </w:tc>
        <w:tc>
          <w:tcPr>
            <w:tcW w:w="459"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eastAsia="bg-BG"/>
              </w:rPr>
            </w:pPr>
            <w:r w:rsidRPr="00A8783E">
              <w:rPr>
                <w:rFonts w:ascii="Times New Roman" w:hAnsi="Times New Roman" w:cs="Calibri"/>
                <w:sz w:val="20"/>
                <w:szCs w:val="20"/>
                <w:lang w:eastAsia="bg-BG"/>
              </w:rPr>
              <w:t>G</w:t>
            </w:r>
          </w:p>
        </w:tc>
        <w:tc>
          <w:tcPr>
            <w:tcW w:w="538" w:type="pct"/>
            <w:gridSpan w:val="2"/>
            <w:shd w:val="clear" w:color="auto" w:fill="auto"/>
            <w:vAlign w:val="center"/>
          </w:tcPr>
          <w:p w:rsidR="00A8783E" w:rsidRPr="00A8783E" w:rsidRDefault="00A8783E" w:rsidP="00A8783E">
            <w:pPr>
              <w:spacing w:after="0" w:line="240" w:lineRule="auto"/>
              <w:rPr>
                <w:rFonts w:ascii="Times New Roman" w:hAnsi="Times New Roman" w:cs="Calibri"/>
                <w:b/>
                <w:color w:val="FF0000"/>
                <w:sz w:val="20"/>
                <w:szCs w:val="20"/>
                <w:lang w:val="en-US" w:eastAsia="bg-BG"/>
              </w:rPr>
            </w:pPr>
            <w:r w:rsidRPr="00A8783E">
              <w:rPr>
                <w:rFonts w:ascii="Times New Roman" w:hAnsi="Times New Roman" w:cs="Calibri"/>
                <w:b/>
                <w:color w:val="FF0000"/>
                <w:sz w:val="20"/>
                <w:szCs w:val="20"/>
                <w:lang w:val="en-US" w:eastAsia="bg-BG"/>
              </w:rPr>
              <w:t>C</w:t>
            </w:r>
          </w:p>
        </w:tc>
        <w:tc>
          <w:tcPr>
            <w:tcW w:w="341"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val="en-US" w:eastAsia="bg-BG"/>
              </w:rPr>
            </w:pPr>
            <w:r w:rsidRPr="00A8783E">
              <w:rPr>
                <w:rFonts w:ascii="Times New Roman" w:hAnsi="Times New Roman" w:cs="Calibri"/>
                <w:sz w:val="20"/>
                <w:szCs w:val="20"/>
                <w:lang w:val="en-US" w:eastAsia="bg-BG"/>
              </w:rPr>
              <w:t>A</w:t>
            </w:r>
          </w:p>
        </w:tc>
        <w:tc>
          <w:tcPr>
            <w:tcW w:w="285"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eastAsia="bg-BG"/>
              </w:rPr>
            </w:pPr>
            <w:r w:rsidRPr="00A8783E">
              <w:rPr>
                <w:rFonts w:ascii="Times New Roman" w:hAnsi="Times New Roman" w:cs="Calibri"/>
                <w:sz w:val="20"/>
                <w:szCs w:val="20"/>
                <w:lang w:eastAsia="bg-BG"/>
              </w:rPr>
              <w:t>C</w:t>
            </w:r>
          </w:p>
        </w:tc>
        <w:tc>
          <w:tcPr>
            <w:tcW w:w="316" w:type="pct"/>
            <w:shd w:val="clear" w:color="auto" w:fill="auto"/>
            <w:vAlign w:val="center"/>
          </w:tcPr>
          <w:p w:rsidR="00A8783E" w:rsidRPr="00A8783E" w:rsidRDefault="00A8783E" w:rsidP="00A8783E">
            <w:pPr>
              <w:spacing w:after="0" w:line="240" w:lineRule="auto"/>
              <w:rPr>
                <w:rFonts w:ascii="Times New Roman" w:hAnsi="Times New Roman" w:cs="Calibri"/>
                <w:b/>
                <w:color w:val="FF0000"/>
                <w:sz w:val="20"/>
                <w:szCs w:val="20"/>
                <w:lang w:val="en-US" w:eastAsia="bg-BG"/>
              </w:rPr>
            </w:pPr>
            <w:r w:rsidRPr="00A8783E">
              <w:rPr>
                <w:rFonts w:ascii="Times New Roman" w:hAnsi="Times New Roman" w:cs="Calibri"/>
                <w:b/>
                <w:color w:val="FF0000"/>
                <w:sz w:val="20"/>
                <w:szCs w:val="20"/>
                <w:lang w:val="en-US" w:eastAsia="bg-BG"/>
              </w:rPr>
              <w:t>C</w:t>
            </w:r>
          </w:p>
        </w:tc>
      </w:tr>
    </w:tbl>
    <w:p w:rsidR="00A8783E" w:rsidRPr="00A8783E" w:rsidRDefault="00A8783E" w:rsidP="00A8783E">
      <w:pPr>
        <w:rPr>
          <w:rFonts w:ascii="Times New Roman" w:hAnsi="Times New Roman" w:cs="Calibri"/>
          <w:sz w:val="20"/>
          <w:szCs w:val="20"/>
          <w:lang w:eastAsia="bg-BG"/>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28" w:name="_Toc98741953"/>
      <w:bookmarkStart w:id="329" w:name="_Toc98838628"/>
      <w:r w:rsidRPr="00A8783E">
        <w:rPr>
          <w:rFonts w:ascii="Times New Roman" w:hAnsi="Times New Roman"/>
          <w:color w:val="1F497D"/>
          <w:sz w:val="28"/>
          <w:szCs w:val="28"/>
        </w:rPr>
        <w:lastRenderedPageBreak/>
        <w:t xml:space="preserve">Специфични цели за А118 </w:t>
      </w:r>
      <w:r w:rsidRPr="00A8783E">
        <w:rPr>
          <w:rFonts w:ascii="Times New Roman" w:hAnsi="Times New Roman"/>
          <w:i/>
          <w:iCs/>
          <w:color w:val="1F497D"/>
          <w:sz w:val="28"/>
          <w:szCs w:val="28"/>
        </w:rPr>
        <w:t xml:space="preserve">Rallus aquaticus </w:t>
      </w:r>
      <w:r w:rsidRPr="00A8783E">
        <w:rPr>
          <w:rFonts w:ascii="Times New Roman" w:hAnsi="Times New Roman"/>
          <w:color w:val="1F497D"/>
          <w:sz w:val="28"/>
          <w:szCs w:val="28"/>
        </w:rPr>
        <w:t>(крещалец)</w:t>
      </w:r>
      <w:bookmarkEnd w:id="327"/>
      <w:bookmarkEnd w:id="328"/>
      <w:bookmarkEnd w:id="329"/>
    </w:p>
    <w:p w:rsidR="00A8783E" w:rsidRPr="00A8783E" w:rsidRDefault="00A8783E" w:rsidP="00A8783E">
      <w:pPr>
        <w:spacing w:before="120" w:after="120" w:line="240" w:lineRule="auto"/>
        <w:rPr>
          <w:rFonts w:ascii="Times New Roman" w:hAnsi="Times New Roman"/>
          <w:b/>
          <w:bCs/>
          <w:sz w:val="24"/>
          <w:szCs w:val="24"/>
        </w:rPr>
      </w:pPr>
      <w:r w:rsidRPr="00A8783E">
        <w:rPr>
          <w:rFonts w:ascii="Times New Roman" w:hAnsi="Times New Roman"/>
          <w:b/>
          <w:bCs/>
          <w:sz w:val="24"/>
          <w:szCs w:val="24"/>
        </w:rPr>
        <w:t>1</w:t>
      </w:r>
      <w:r w:rsidRPr="00A8783E">
        <w:rPr>
          <w:rFonts w:ascii="Times New Roman" w:hAnsi="Times New Roman"/>
          <w:sz w:val="24"/>
          <w:szCs w:val="24"/>
        </w:rPr>
        <w:t xml:space="preserve">. </w:t>
      </w:r>
      <w:r w:rsidRPr="00A8783E">
        <w:rPr>
          <w:rFonts w:ascii="Times New Roman" w:hAnsi="Times New Roman"/>
          <w:b/>
          <w:bCs/>
          <w:sz w:val="24"/>
          <w:szCs w:val="24"/>
        </w:rPr>
        <w:t>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23-28 cm, размах на крилата: 38-45 cm. Възрастните отгоре са кафяви с черни ивици; главата отстрани и долната част на тялото са пепелявосиви, а слабините – черни с бели препаски. Клюнът е дълъг, прав и червен с черен връх, краката и пръстите са дълги и кафеникави. Двата пола са различими (женският е по-дребен и с по-къс клюн). Нямат сезонни различия. Младите отдолу са охристи. Отличава се от пъструшките по дългия клюн и характерния крясък (Симеонов и др., 1990; Мичев и др., 2012). </w:t>
      </w:r>
    </w:p>
    <w:p w:rsidR="00A8783E" w:rsidRPr="00A8783E" w:rsidRDefault="00A8783E" w:rsidP="00A8783E">
      <w:pPr>
        <w:spacing w:after="160" w:line="259" w:lineRule="auto"/>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Прелетен вид, постоянен само около Бургас и долината на р. Марица при Свиленград; постоянен в Софийското поле, също и в Розовата долина и в Средна гора. Вероятно е прелетен вид само за Северна България, а постоянен за Южна България. През зимата числеността му нараства за сметка на зимуващи птици от други части на ареала, но преки доказателства липсват (Симеонов и др., 1990). Обитава целогодишно разнообразни стоящи и течащи водоеми с гъста растителност и надморска височина до около 1200 m. (Мичев и др., 2012).</w:t>
      </w:r>
    </w:p>
    <w:p w:rsidR="00A8783E" w:rsidRPr="00A8783E" w:rsidRDefault="00A8783E" w:rsidP="00A8783E">
      <w:pPr>
        <w:spacing w:after="160" w:line="259" w:lineRule="auto"/>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Постоянна влажна зона със неподвижна или бавно движеща се прясна или бракична вода - сладководни блата, устия на реки, не замръзващи водоеми, планински ливади с гъста, висока растителност и изобилна растителност, която може да включва обикновена тръстика (</w:t>
      </w:r>
      <w:r w:rsidRPr="00A8783E">
        <w:rPr>
          <w:rFonts w:ascii="Times New Roman" w:hAnsi="Times New Roman"/>
          <w:i/>
          <w:iCs/>
          <w:sz w:val="24"/>
          <w:szCs w:val="24"/>
        </w:rPr>
        <w:t>Phragmites australis</w:t>
      </w:r>
      <w:r w:rsidRPr="00A8783E">
        <w:rPr>
          <w:rFonts w:ascii="Times New Roman" w:hAnsi="Times New Roman"/>
          <w:sz w:val="24"/>
          <w:szCs w:val="24"/>
        </w:rPr>
        <w:t>), папур (</w:t>
      </w:r>
      <w:r w:rsidRPr="00A8783E">
        <w:rPr>
          <w:rFonts w:ascii="Times New Roman" w:hAnsi="Times New Roman"/>
          <w:i/>
          <w:iCs/>
          <w:sz w:val="24"/>
          <w:szCs w:val="24"/>
        </w:rPr>
        <w:t>Typha latifolia</w:t>
      </w:r>
      <w:r w:rsidRPr="00A8783E">
        <w:rPr>
          <w:rFonts w:ascii="Times New Roman" w:hAnsi="Times New Roman"/>
          <w:sz w:val="24"/>
          <w:szCs w:val="24"/>
        </w:rPr>
        <w:t>), ирис (</w:t>
      </w:r>
      <w:r w:rsidRPr="00A8783E">
        <w:rPr>
          <w:rFonts w:ascii="Times New Roman" w:hAnsi="Times New Roman"/>
          <w:i/>
          <w:iCs/>
          <w:sz w:val="24"/>
          <w:szCs w:val="24"/>
        </w:rPr>
        <w:t>Iris germanica</w:t>
      </w:r>
      <w:r w:rsidRPr="00A8783E">
        <w:rPr>
          <w:rFonts w:ascii="Times New Roman" w:hAnsi="Times New Roman"/>
          <w:sz w:val="24"/>
          <w:szCs w:val="24"/>
        </w:rPr>
        <w:t>), лепка (</w:t>
      </w:r>
      <w:r w:rsidRPr="00A8783E">
        <w:rPr>
          <w:rFonts w:ascii="Times New Roman" w:hAnsi="Times New Roman"/>
          <w:i/>
          <w:iCs/>
          <w:sz w:val="24"/>
          <w:szCs w:val="24"/>
        </w:rPr>
        <w:t>Sparganium erectum</w:t>
      </w:r>
      <w:r w:rsidRPr="00A8783E">
        <w:rPr>
          <w:rFonts w:ascii="Times New Roman" w:hAnsi="Times New Roman"/>
          <w:sz w:val="24"/>
          <w:szCs w:val="24"/>
        </w:rPr>
        <w:t>) или острици (</w:t>
      </w:r>
      <w:r w:rsidRPr="00A8783E">
        <w:rPr>
          <w:rFonts w:ascii="Times New Roman" w:hAnsi="Times New Roman"/>
          <w:i/>
          <w:iCs/>
          <w:sz w:val="24"/>
          <w:szCs w:val="24"/>
        </w:rPr>
        <w:t>Carex hirta</w:t>
      </w:r>
      <w:r w:rsidRPr="00A8783E">
        <w:rPr>
          <w:rFonts w:ascii="Times New Roman" w:hAnsi="Times New Roman"/>
          <w:sz w:val="24"/>
          <w:szCs w:val="24"/>
        </w:rPr>
        <w:t xml:space="preserve">) (Симеонов и др., 1990; Taylor and van Perlo, 2000). Според </w:t>
      </w:r>
      <w:hyperlink r:id="rId213" w:history="1">
        <w:r w:rsidRPr="00A8783E">
          <w:rPr>
            <w:rFonts w:ascii="Times New Roman" w:hAnsi="Times New Roman"/>
            <w:sz w:val="24"/>
            <w:szCs w:val="24"/>
            <w:lang w:val="en-US"/>
          </w:rPr>
          <w:t> Jenkins</w:t>
        </w:r>
      </w:hyperlink>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(1995), за среден Уелс абсолютната плътност се оценява на 14 птици/</w:t>
      </w:r>
      <w:r w:rsidRPr="00A8783E">
        <w:rPr>
          <w:rFonts w:ascii="Times New Roman" w:hAnsi="Times New Roman"/>
          <w:sz w:val="24"/>
          <w:szCs w:val="24"/>
          <w:lang w:val="en-US"/>
        </w:rPr>
        <w:t>ha</w:t>
      </w:r>
      <w:r w:rsidRPr="00A8783E">
        <w:rPr>
          <w:rFonts w:ascii="Times New Roman" w:hAnsi="Times New Roman"/>
          <w:sz w:val="24"/>
          <w:szCs w:val="24"/>
        </w:rPr>
        <w:t xml:space="preserve">. Според Jedlikowski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(2014), в Североизточна Полша за 16 водни обекта средната плътност е 0.75 двойки/</w:t>
      </w:r>
      <w:r w:rsidRPr="00A8783E">
        <w:rPr>
          <w:rFonts w:ascii="Times New Roman" w:hAnsi="Times New Roman"/>
          <w:sz w:val="24"/>
          <w:szCs w:val="24"/>
          <w:lang w:val="en-US"/>
        </w:rPr>
        <w:t>ha</w:t>
      </w:r>
      <w:r w:rsidRPr="00A8783E">
        <w:rPr>
          <w:rFonts w:ascii="Times New Roman" w:hAnsi="Times New Roman"/>
          <w:sz w:val="24"/>
          <w:szCs w:val="24"/>
        </w:rPr>
        <w:t xml:space="preserve">. Гнезди в блатисти места с висока, гъста растителност, изграждайки гнездото си малко над нивото на водата от </w:t>
      </w:r>
      <w:r w:rsidRPr="00A8783E">
        <w:rPr>
          <w:rFonts w:ascii="Times New Roman" w:hAnsi="Times New Roman"/>
          <w:i/>
          <w:iCs/>
          <w:sz w:val="24"/>
          <w:szCs w:val="24"/>
        </w:rPr>
        <w:t>Typha spp., Carex spp., Hierochloe odorata, Alisma plantago-aquatica</w:t>
      </w:r>
      <w:r w:rsidRPr="00A8783E">
        <w:rPr>
          <w:rFonts w:ascii="Times New Roman" w:hAnsi="Times New Roman"/>
          <w:sz w:val="24"/>
          <w:szCs w:val="24"/>
        </w:rPr>
        <w:t xml:space="preserve"> и др.</w:t>
      </w:r>
      <w:r w:rsidRPr="00A8783E">
        <w:rPr>
          <w:rFonts w:cs="Calibri"/>
        </w:rPr>
        <w:t xml:space="preserve"> </w:t>
      </w:r>
      <w:r w:rsidRPr="00A8783E">
        <w:rPr>
          <w:rFonts w:ascii="Times New Roman" w:hAnsi="Times New Roman"/>
          <w:sz w:val="24"/>
          <w:szCs w:val="24"/>
        </w:rPr>
        <w:t xml:space="preserve">Дълбочината на водата в местата за гнездене варира между 8 и 45 </w:t>
      </w:r>
      <w:r w:rsidRPr="00A8783E">
        <w:rPr>
          <w:rFonts w:ascii="Times New Roman" w:hAnsi="Times New Roman"/>
          <w:sz w:val="24"/>
          <w:szCs w:val="24"/>
          <w:lang w:val="en-US"/>
        </w:rPr>
        <w:t>cm</w:t>
      </w:r>
      <w:r w:rsidRPr="00A8783E">
        <w:rPr>
          <w:rFonts w:ascii="Times New Roman" w:hAnsi="Times New Roman"/>
          <w:sz w:val="24"/>
          <w:szCs w:val="24"/>
        </w:rPr>
        <w:t xml:space="preserve">, гъстотата на растителността е между 240 и 554 растителни стъбла на квадратен метър, папур и тръстика (Stermin et al., 2011). Разстоянието между две съседни гнезда е средно 122,4 </w:t>
      </w:r>
      <w:r w:rsidRPr="00A8783E">
        <w:rPr>
          <w:rFonts w:ascii="Times New Roman" w:hAnsi="Times New Roman"/>
          <w:sz w:val="24"/>
          <w:szCs w:val="24"/>
          <w:lang w:val="en-US"/>
        </w:rPr>
        <w:t>m</w:t>
      </w:r>
      <w:r w:rsidRPr="00A8783E">
        <w:rPr>
          <w:rFonts w:ascii="Times New Roman" w:hAnsi="Times New Roman"/>
          <w:sz w:val="24"/>
          <w:szCs w:val="24"/>
        </w:rPr>
        <w:t xml:space="preserve"> (Jedlikowski et al., 2014).</w:t>
      </w:r>
    </w:p>
    <w:p w:rsidR="00A8783E" w:rsidRPr="00A8783E" w:rsidRDefault="00A8783E" w:rsidP="00A8783E">
      <w:pPr>
        <w:spacing w:after="160" w:line="259" w:lineRule="auto"/>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Крещалеца е всеяден. Храни се с пиявици, червеи, коремоноги, малки ракообразни, паяци и широка гама от сухоземни и водни насекоми и техните ларви. Малки гръбначни животни като земноводни, риби, птици и бозайници могат да бъдат убити или изядени като мърша. Растителната храна, която се консумира повече през есента и зимата, включва пъпки, цветя, издънки и семена на водни растения (Taylor and van Perlo, 2000).</w:t>
      </w:r>
    </w:p>
    <w:p w:rsidR="00A8783E" w:rsidRPr="00A8783E" w:rsidRDefault="00A8783E" w:rsidP="00A8783E">
      <w:pPr>
        <w:spacing w:after="160" w:line="259"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autoSpaceDE w:val="0"/>
        <w:autoSpaceDN w:val="0"/>
        <w:adjustRightInd w:val="0"/>
        <w:spacing w:before="120" w:after="120" w:line="240" w:lineRule="auto"/>
        <w:jc w:val="both"/>
        <w:rPr>
          <w:rFonts w:ascii="Times New Roman" w:eastAsia="GroteskHSBg-Light" w:hAnsi="Times New Roman"/>
          <w:sz w:val="24"/>
          <w:szCs w:val="24"/>
        </w:rPr>
      </w:pPr>
      <w:r w:rsidRPr="00A8783E">
        <w:rPr>
          <w:rFonts w:ascii="Times New Roman" w:eastAsia="GroteskHSBg-Light" w:hAnsi="Times New Roman"/>
          <w:sz w:val="24"/>
          <w:szCs w:val="24"/>
        </w:rPr>
        <w:t xml:space="preserve">Разпръснато в равнинните части на цялата страна в зависимост от наличието на влажни зони с водолюбива растителност, по-групирано по Черноморското крайбрежие, покрай р. Дунав и другите по-големи реки, Тракийската низина, Софийското поле и др. Поради особеностите на поведението му, които изискват специфични методи за установяване и преброяване, реалното му разпространение може да е по-широко от представеното. </w:t>
      </w:r>
      <w:r w:rsidRPr="00A8783E">
        <w:rPr>
          <w:rFonts w:ascii="Times New Roman" w:eastAsia="GroteskHSBg-Light" w:hAnsi="Times New Roman"/>
          <w:sz w:val="24"/>
          <w:szCs w:val="24"/>
        </w:rPr>
        <w:lastRenderedPageBreak/>
        <w:t>Най-значими са гнездовищата в Драгоманското блато, бившето Стралджанско блато и Дуранкулашкото езеро. Разпространението е стабилно, без значителни промени през различните години</w:t>
      </w:r>
      <w:r w:rsidRPr="00A8783E">
        <w:rPr>
          <w:rFonts w:ascii="Times New Roman" w:hAnsi="Times New Roman"/>
          <w:sz w:val="24"/>
          <w:szCs w:val="24"/>
        </w:rPr>
        <w:t xml:space="preserve">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Включен е в Приложение 2 на Директивата за птиците и Приложение 3 на ЗБР. Не е включен в SPEC. Не е включен в Червената книга на България. Според IUCN е слабо засегнат - </w:t>
      </w:r>
      <w:r w:rsidRPr="00A8783E">
        <w:rPr>
          <w:rFonts w:ascii="Times New Roman" w:hAnsi="Times New Roman"/>
          <w:sz w:val="24"/>
          <w:szCs w:val="24"/>
          <w:lang w:val="en-US"/>
        </w:rPr>
        <w:t>LC</w:t>
      </w:r>
      <w:r w:rsidRPr="00A8783E">
        <w:rPr>
          <w:rFonts w:ascii="Times New Roman" w:hAnsi="Times New Roman"/>
          <w:sz w:val="24"/>
          <w:szCs w:val="24"/>
        </w:rPr>
        <w:t xml:space="preserve"> (Least Concern), за територията на континентална Европа.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оценява на 2000 – 4000 двойки. Краткосрочната тенденция на популацията (за периода 2001 – 2018 г.) е стабилна, а дългосрочната (за периода 1980 – 2018 г.) също е стабилна. За гнездящата популация са посочени следните заплахи и влияния: </w:t>
      </w:r>
      <w:r w:rsidRPr="00A8783E">
        <w:rPr>
          <w:rFonts w:ascii="Times New Roman" w:hAnsi="Times New Roman"/>
          <w:sz w:val="24"/>
          <w:szCs w:val="24"/>
          <w:lang w:val="en-US"/>
        </w:rPr>
        <w:t>K</w:t>
      </w:r>
      <w:r w:rsidRPr="00A8783E">
        <w:rPr>
          <w:rFonts w:ascii="Times New Roman" w:hAnsi="Times New Roman"/>
          <w:sz w:val="24"/>
          <w:szCs w:val="24"/>
        </w:rPr>
        <w:t>04.</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СФ на зоната видът е преминаващ и гнездящ (постоянен). </w:t>
      </w:r>
      <w:r w:rsidRPr="00A8783E">
        <w:rPr>
          <w:rFonts w:ascii="Times New Roman" w:hAnsi="Times New Roman"/>
          <w:b/>
          <w:bCs/>
          <w:sz w:val="24"/>
          <w:szCs w:val="24"/>
        </w:rPr>
        <w:t xml:space="preserve">Гнездящата </w:t>
      </w:r>
      <w:r w:rsidRPr="00A8783E">
        <w:rPr>
          <w:rFonts w:ascii="Times New Roman" w:hAnsi="Times New Roman"/>
          <w:bCs/>
          <w:sz w:val="24"/>
          <w:szCs w:val="24"/>
        </w:rPr>
        <w:t>популация</w:t>
      </w:r>
      <w:r w:rsidRPr="00A8783E">
        <w:rPr>
          <w:rFonts w:ascii="Times New Roman" w:hAnsi="Times New Roman"/>
          <w:sz w:val="24"/>
          <w:szCs w:val="24"/>
        </w:rPr>
        <w:t xml:space="preserve"> се оценява на </w:t>
      </w:r>
      <w:r w:rsidRPr="00A8783E">
        <w:rPr>
          <w:rFonts w:ascii="Times New Roman" w:hAnsi="Times New Roman"/>
          <w:b/>
          <w:bCs/>
          <w:sz w:val="24"/>
          <w:szCs w:val="24"/>
        </w:rPr>
        <w:t>3-6 двойки</w:t>
      </w:r>
      <w:r w:rsidRPr="00A8783E">
        <w:rPr>
          <w:rFonts w:ascii="Times New Roman" w:hAnsi="Times New Roman"/>
          <w:sz w:val="24"/>
          <w:szCs w:val="24"/>
        </w:rPr>
        <w:t xml:space="preserve">, което представлява </w:t>
      </w:r>
      <w:r w:rsidRPr="00A8783E">
        <w:rPr>
          <w:rFonts w:ascii="Times New Roman" w:hAnsi="Times New Roman"/>
          <w:bCs/>
          <w:sz w:val="24"/>
          <w:szCs w:val="24"/>
        </w:rPr>
        <w:t xml:space="preserve">0,15 % </w:t>
      </w:r>
      <w:r w:rsidRPr="00A8783E">
        <w:rPr>
          <w:rFonts w:ascii="Times New Roman" w:hAnsi="Times New Roman"/>
          <w:sz w:val="24"/>
          <w:szCs w:val="24"/>
        </w:rPr>
        <w:t>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Числеността на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не е посочена – вида присъства в зоната (категория Р). Оценката на популацията е „</w:t>
      </w:r>
      <w:r w:rsidRPr="00A8783E">
        <w:rPr>
          <w:rFonts w:ascii="Times New Roman" w:hAnsi="Times New Roman"/>
          <w:sz w:val="24"/>
          <w:szCs w:val="24"/>
          <w:lang w:val="en-US" w:eastAsia="bg-BG"/>
        </w:rPr>
        <w:t>C</w:t>
      </w:r>
      <w:r w:rsidRPr="00A8783E">
        <w:rPr>
          <w:rFonts w:ascii="Times New Roman" w:hAnsi="Times New Roman"/>
          <w:sz w:val="24"/>
          <w:szCs w:val="24"/>
          <w:lang w:eastAsia="bg-BG"/>
        </w:rPr>
        <w:t xml:space="preserve">“.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4. Анализ на наличната информация</w:t>
      </w:r>
    </w:p>
    <w:p w:rsidR="00A8783E" w:rsidRPr="00A8783E" w:rsidRDefault="00A8783E" w:rsidP="00A8783E">
      <w:pPr>
        <w:tabs>
          <w:tab w:val="left" w:pos="4442"/>
        </w:tabs>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Гнездяща популация</w:t>
      </w:r>
    </w:p>
    <w:p w:rsidR="00A8783E" w:rsidRPr="00A8783E" w:rsidRDefault="00A8783E" w:rsidP="00A8783E">
      <w:pPr>
        <w:tabs>
          <w:tab w:val="left" w:pos="4442"/>
        </w:tabs>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Kamburova &amp; Michev (2003) през 2001-2002 г. в резерват „Сребърна“ са гнездили 1-2 двойки. По данни от </w:t>
      </w:r>
      <w:r w:rsidRPr="00A8783E">
        <w:rPr>
          <w:rFonts w:ascii="Times New Roman" w:hAnsi="Times New Roman"/>
          <w:sz w:val="24"/>
          <w:szCs w:val="24"/>
          <w:lang w:val="en-US"/>
        </w:rPr>
        <w:t>eBird</w:t>
      </w:r>
      <w:r w:rsidRPr="00A8783E">
        <w:rPr>
          <w:rFonts w:ascii="Times New Roman" w:hAnsi="Times New Roman"/>
          <w:sz w:val="24"/>
          <w:szCs w:val="24"/>
        </w:rPr>
        <w:t xml:space="preserve"> видът е регистриран през гнездовия период два пъти през 2001 г. и 2018 г. (</w:t>
      </w:r>
      <w:r w:rsidRPr="00A8783E">
        <w:rPr>
          <w:rFonts w:ascii="Times New Roman" w:hAnsi="Times New Roman"/>
          <w:sz w:val="24"/>
          <w:szCs w:val="24"/>
          <w:lang w:val="en-US"/>
        </w:rPr>
        <w:t>D</w:t>
      </w:r>
      <w:r w:rsidRPr="00A8783E">
        <w:rPr>
          <w:rFonts w:ascii="Times New Roman" w:hAnsi="Times New Roman"/>
          <w:sz w:val="24"/>
          <w:szCs w:val="24"/>
        </w:rPr>
        <w:t xml:space="preserve">. </w:t>
      </w:r>
      <w:r w:rsidRPr="00A8783E">
        <w:rPr>
          <w:rFonts w:ascii="Times New Roman" w:hAnsi="Times New Roman"/>
          <w:sz w:val="24"/>
          <w:szCs w:val="24"/>
          <w:lang w:val="en-US"/>
        </w:rPr>
        <w:t>Mitev</w:t>
      </w:r>
      <w:r w:rsidRPr="00A8783E">
        <w:rPr>
          <w:rFonts w:ascii="Times New Roman" w:hAnsi="Times New Roman"/>
          <w:sz w:val="24"/>
          <w:szCs w:val="24"/>
        </w:rPr>
        <w:t>). По време на теренни проучвания в защитената зона през гнездовия период на 2021 г. видът не беше установен.</w:t>
      </w:r>
    </w:p>
    <w:p w:rsidR="00A8783E" w:rsidRPr="00A8783E" w:rsidRDefault="00A8783E" w:rsidP="00A8783E">
      <w:pPr>
        <w:tabs>
          <w:tab w:val="left" w:pos="4442"/>
        </w:tabs>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tabs>
          <w:tab w:val="left" w:pos="4442"/>
        </w:tabs>
        <w:spacing w:before="120" w:after="120" w:line="240" w:lineRule="auto"/>
        <w:jc w:val="both"/>
        <w:rPr>
          <w:rFonts w:ascii="Times New Roman" w:hAnsi="Times New Roman"/>
          <w:sz w:val="24"/>
          <w:szCs w:val="24"/>
        </w:rPr>
      </w:pPr>
      <w:r w:rsidRPr="00A8783E">
        <w:rPr>
          <w:rFonts w:ascii="Times New Roman" w:hAnsi="Times New Roman"/>
          <w:sz w:val="24"/>
          <w:szCs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През 2021 г. видът е бил отбелязан през месец септември с численост 1 индивид (</w:t>
      </w:r>
      <w:r w:rsidRPr="00A8783E">
        <w:rPr>
          <w:rFonts w:ascii="Times New Roman" w:hAnsi="Times New Roman"/>
          <w:sz w:val="24"/>
          <w:szCs w:val="24"/>
          <w:lang w:val="en-US"/>
        </w:rPr>
        <w:t>ebird</w:t>
      </w:r>
      <w:r w:rsidRPr="00A8783E">
        <w:rPr>
          <w:rFonts w:ascii="Times New Roman" w:hAnsi="Times New Roman"/>
          <w:sz w:val="24"/>
          <w:szCs w:val="24"/>
        </w:rPr>
        <w:t>.</w:t>
      </w:r>
      <w:r w:rsidRPr="00A8783E">
        <w:rPr>
          <w:rFonts w:ascii="Times New Roman" w:hAnsi="Times New Roman"/>
          <w:sz w:val="24"/>
          <w:szCs w:val="24"/>
          <w:lang w:val="en-US"/>
        </w:rPr>
        <w:t>org</w:t>
      </w:r>
      <w:r w:rsidRPr="00A8783E">
        <w:rPr>
          <w:rFonts w:ascii="Times New Roman" w:hAnsi="Times New Roman"/>
          <w:sz w:val="24"/>
          <w:szCs w:val="24"/>
        </w:rPr>
        <w:t xml:space="preserve">, </w:t>
      </w:r>
      <w:r w:rsidRPr="00A8783E">
        <w:rPr>
          <w:rFonts w:ascii="Times New Roman" w:hAnsi="Times New Roman"/>
          <w:sz w:val="24"/>
          <w:szCs w:val="24"/>
          <w:lang w:val="en-US"/>
        </w:rPr>
        <w:t>S</w:t>
      </w:r>
      <w:r w:rsidRPr="00A8783E">
        <w:rPr>
          <w:rFonts w:ascii="Times New Roman" w:hAnsi="Times New Roman"/>
          <w:sz w:val="24"/>
          <w:szCs w:val="24"/>
        </w:rPr>
        <w:t xml:space="preserve">. </w:t>
      </w:r>
      <w:r w:rsidRPr="00A8783E">
        <w:rPr>
          <w:rFonts w:ascii="Times New Roman" w:hAnsi="Times New Roman"/>
          <w:sz w:val="24"/>
          <w:szCs w:val="24"/>
          <w:lang w:val="en-US"/>
        </w:rPr>
        <w:t>Gigov</w:t>
      </w:r>
      <w:r w:rsidRPr="00A8783E">
        <w:rPr>
          <w:rFonts w:ascii="Times New Roman" w:hAnsi="Times New Roman"/>
          <w:sz w:val="24"/>
          <w:szCs w:val="24"/>
        </w:rPr>
        <w:t>). През предходни години са отбелязвани 1-3 индивида в СЗЗ „Сребърна“ по време на есенната миграция (</w:t>
      </w:r>
      <w:r w:rsidRPr="00A8783E">
        <w:rPr>
          <w:rFonts w:ascii="Times New Roman" w:hAnsi="Times New Roman"/>
          <w:sz w:val="24"/>
          <w:szCs w:val="24"/>
          <w:lang w:val="en-US"/>
        </w:rPr>
        <w:t>ebird</w:t>
      </w:r>
      <w:r w:rsidRPr="00A8783E">
        <w:rPr>
          <w:rFonts w:ascii="Times New Roman" w:hAnsi="Times New Roman"/>
          <w:sz w:val="24"/>
          <w:szCs w:val="24"/>
        </w:rPr>
        <w:t>.</w:t>
      </w:r>
      <w:r w:rsidRPr="00A8783E">
        <w:rPr>
          <w:rFonts w:ascii="Times New Roman" w:hAnsi="Times New Roman"/>
          <w:sz w:val="24"/>
          <w:szCs w:val="24"/>
          <w:lang w:val="en-US"/>
        </w:rPr>
        <w:t>org</w:t>
      </w:r>
      <w:r w:rsidRPr="00A8783E">
        <w:rPr>
          <w:rFonts w:ascii="Times New Roman" w:hAnsi="Times New Roman"/>
          <w:sz w:val="24"/>
          <w:szCs w:val="24"/>
        </w:rPr>
        <w:t xml:space="preserve">; </w:t>
      </w:r>
      <w:r w:rsidRPr="00A8783E">
        <w:rPr>
          <w:rFonts w:ascii="Times New Roman" w:hAnsi="Times New Roman"/>
          <w:sz w:val="24"/>
          <w:szCs w:val="24"/>
          <w:lang w:val="en-US"/>
        </w:rPr>
        <w:t>observation</w:t>
      </w:r>
      <w:r w:rsidRPr="00A8783E">
        <w:rPr>
          <w:rFonts w:ascii="Times New Roman" w:hAnsi="Times New Roman"/>
          <w:sz w:val="24"/>
          <w:szCs w:val="24"/>
        </w:rPr>
        <w:t>.</w:t>
      </w:r>
      <w:r w:rsidRPr="00A8783E">
        <w:rPr>
          <w:rFonts w:ascii="Times New Roman" w:hAnsi="Times New Roman"/>
          <w:sz w:val="24"/>
          <w:szCs w:val="24"/>
          <w:lang w:val="en-US"/>
        </w:rPr>
        <w:t>org</w:t>
      </w:r>
      <w:r w:rsidRPr="00A8783E">
        <w:rPr>
          <w:rFonts w:ascii="Times New Roman" w:hAnsi="Times New Roman"/>
          <w:sz w:val="24"/>
          <w:szCs w:val="24"/>
        </w:rPr>
        <w:t xml:space="preserve">). През есенно-зимния период е намиран на рибарниците Обнова и в големия микроязовир в м. „Мъртвата долина“ край Плевен.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Посочена заплаха за вида в Докладването от 2019 г. е К04-Изменение на хидродинамичните характеристики, което е валидно и за СЗЗ „Сребърна“. Тази заплаха не е потенциално валидна за зоната. Заплахи за вида в зоната могат да бъдат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9"/>
        <w:gridCol w:w="1137"/>
        <w:gridCol w:w="1273"/>
        <w:gridCol w:w="2977"/>
        <w:gridCol w:w="2323"/>
      </w:tblGrid>
      <w:tr w:rsidR="00A8783E" w:rsidRPr="00A8783E" w:rsidTr="005B5318">
        <w:trPr>
          <w:tblHeader/>
          <w:jc w:val="center"/>
        </w:trPr>
        <w:tc>
          <w:tcPr>
            <w:tcW w:w="1529"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137"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73"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977"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323"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529"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lastRenderedPageBreak/>
              <w:t xml:space="preserve">Популация: </w:t>
            </w:r>
            <w:r w:rsidRPr="00A8783E">
              <w:rPr>
                <w:rFonts w:ascii="Times New Roman" w:hAnsi="Times New Roman"/>
              </w:rPr>
              <w:t>Размер на мигриращата популация</w:t>
            </w:r>
          </w:p>
        </w:tc>
        <w:tc>
          <w:tcPr>
            <w:tcW w:w="113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27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 инд.</w:t>
            </w:r>
          </w:p>
        </w:tc>
        <w:tc>
          <w:tcPr>
            <w:tcW w:w="297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 СФ липсват данни за концентрацията на вида по време на миграция в зоната. През 2021 г. видът е бил отбелязан през месец септември с численост 1 индивид (ebird.org, S. Gigov). През предходни години са отбелязвани 1-3 индивида в СЗЗ „Сребърна“ по време на есенната миграция (ebird.org; observation.org). </w:t>
            </w:r>
          </w:p>
        </w:tc>
        <w:tc>
          <w:tcPr>
            <w:tcW w:w="232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trHeight w:val="606"/>
          <w:jc w:val="center"/>
        </w:trPr>
        <w:tc>
          <w:tcPr>
            <w:tcW w:w="1529"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гнездовата популацията</w:t>
            </w:r>
          </w:p>
        </w:tc>
        <w:tc>
          <w:tcPr>
            <w:tcW w:w="113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гнездящи двойки</w:t>
            </w:r>
          </w:p>
        </w:tc>
        <w:tc>
          <w:tcPr>
            <w:tcW w:w="127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3 дв.</w:t>
            </w:r>
          </w:p>
        </w:tc>
        <w:tc>
          <w:tcPr>
            <w:tcW w:w="297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 настоящия СФ (актуализиран през 2018 г.) са посочени 3-6 гнездящи двойки. В резултат на извършен мониторинг в защитената зона през гнездовия период на 2021 г. видът не беше установен. </w:t>
            </w:r>
          </w:p>
        </w:tc>
        <w:tc>
          <w:tcPr>
            <w:tcW w:w="232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популацията на вида в зоната в размер от най-малко 3 гнездящи двойки.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до 2025 г: провеждане на проучване за установяване на гнездящата популация на вида в зоната в подходящите местообитания.</w:t>
            </w:r>
          </w:p>
        </w:tc>
      </w:tr>
      <w:tr w:rsidR="00A8783E" w:rsidRPr="00A8783E" w:rsidTr="005B5318">
        <w:trPr>
          <w:trHeight w:val="748"/>
          <w:jc w:val="center"/>
        </w:trPr>
        <w:tc>
          <w:tcPr>
            <w:tcW w:w="152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гнездови местообитания на вида</w:t>
            </w:r>
          </w:p>
        </w:tc>
        <w:tc>
          <w:tcPr>
            <w:tcW w:w="1137"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27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1 </w:t>
            </w:r>
            <w:r w:rsidRPr="00A8783E">
              <w:rPr>
                <w:rFonts w:ascii="Times New Roman" w:hAnsi="Times New Roman"/>
                <w:lang w:val="en-US"/>
              </w:rPr>
              <w:t>ha</w:t>
            </w:r>
            <w:r w:rsidRPr="00A8783E">
              <w:rPr>
                <w:rFonts w:ascii="Times New Roman" w:hAnsi="Times New Roman"/>
              </w:rPr>
              <w:t xml:space="preserve"> за </w:t>
            </w:r>
            <w:r w:rsidRPr="00A8783E">
              <w:rPr>
                <w:rFonts w:ascii="Times New Roman" w:hAnsi="Times New Roman"/>
                <w:lang w:val="ru-RU"/>
              </w:rPr>
              <w:t xml:space="preserve">1 </w:t>
            </w:r>
            <w:r w:rsidRPr="00A8783E">
              <w:rPr>
                <w:rFonts w:ascii="Times New Roman" w:hAnsi="Times New Roman"/>
              </w:rPr>
              <w:t>двойка</w:t>
            </w:r>
          </w:p>
        </w:tc>
        <w:tc>
          <w:tcPr>
            <w:tcW w:w="297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Гнездото е разположено в блатна растителност по ръба на малки открити площи, в тръстикови масиви, на полупотопени върби, понякога до 25 </w:t>
            </w:r>
            <w:r w:rsidRPr="00A8783E">
              <w:rPr>
                <w:rFonts w:ascii="Times New Roman" w:hAnsi="Times New Roman"/>
                <w:lang w:val="en-US"/>
              </w:rPr>
              <w:t>m</w:t>
            </w:r>
            <w:r w:rsidRPr="00A8783E">
              <w:rPr>
                <w:rFonts w:ascii="Times New Roman" w:hAnsi="Times New Roman"/>
              </w:rPr>
              <w:t>. от водна площ (Симеонов и др., 1990). Дълбочината на водата в местата за гнездене варира между 8 и 45 cm, гъстотата на растителността е между 240 и 554 растителни стъбла на квадратен метър, папур и тръстика.</w:t>
            </w:r>
          </w:p>
        </w:tc>
        <w:tc>
          <w:tcPr>
            <w:tcW w:w="232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площта на подходящите гнездови местообитания на вида в защитената зона. Поддържане на нивото на водата в съответствие с изискванията на вида. Поддържане на гъста водна растителност. Да се избягва пълното премахване на стара растителност.</w:t>
            </w:r>
          </w:p>
        </w:tc>
      </w:tr>
      <w:tr w:rsidR="00A8783E" w:rsidRPr="00A8783E" w:rsidTr="005B5318">
        <w:trPr>
          <w:trHeight w:val="748"/>
          <w:jc w:val="center"/>
        </w:trPr>
        <w:tc>
          <w:tcPr>
            <w:tcW w:w="1529"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 xml:space="preserve">Площ на подходящите хранителни местообитания на вида </w:t>
            </w:r>
          </w:p>
        </w:tc>
        <w:tc>
          <w:tcPr>
            <w:tcW w:w="1137"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27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56</w:t>
            </w:r>
            <w:r w:rsidRPr="00A8783E">
              <w:rPr>
                <w:rFonts w:ascii="Times New Roman" w:hAnsi="Times New Roman"/>
                <w:lang w:val="en-US"/>
              </w:rPr>
              <w:t>5</w:t>
            </w:r>
            <w:r w:rsidRPr="00A8783E">
              <w:rPr>
                <w:rFonts w:ascii="Times New Roman" w:hAnsi="Times New Roman"/>
              </w:rPr>
              <w:t>,</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от тях 370 </w:t>
            </w:r>
            <w:r w:rsidRPr="00A8783E">
              <w:rPr>
                <w:rFonts w:ascii="Times New Roman" w:hAnsi="Times New Roman"/>
                <w:lang w:val="en-US"/>
              </w:rPr>
              <w:t xml:space="preserve">ha </w:t>
            </w:r>
            <w:r w:rsidRPr="00A8783E">
              <w:rPr>
                <w:rFonts w:ascii="Times New Roman" w:hAnsi="Times New Roman"/>
              </w:rPr>
              <w:t>са само тръстика</w:t>
            </w:r>
          </w:p>
        </w:tc>
        <w:tc>
          <w:tcPr>
            <w:tcW w:w="297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Включва и гнездовото местообитание. Обхваща</w:t>
            </w:r>
            <w:r w:rsidRPr="00A8783E">
              <w:rPr>
                <w:lang w:val="ru-RU"/>
              </w:rPr>
              <w:t xml:space="preserve"> </w:t>
            </w:r>
            <w:r w:rsidRPr="00A8783E">
              <w:rPr>
                <w:rFonts w:ascii="Times New Roman" w:hAnsi="Times New Roman"/>
              </w:rPr>
              <w:t>сладководни блата, водоеми, планински ливади с гъста, висока растителност и изобилна растителност, която може да включва обикновена тръстика, папур, ирис, лепка или острици.</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Данните са взети от СФ като % на местообитание N07 – мочурища и блата.</w:t>
            </w:r>
          </w:p>
        </w:tc>
        <w:tc>
          <w:tcPr>
            <w:tcW w:w="232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площта на подходящите хранителни местообитания на вида в размер най-малко 565 </w:t>
            </w:r>
            <w:r w:rsidRPr="00A8783E">
              <w:rPr>
                <w:rFonts w:ascii="Times New Roman" w:hAnsi="Times New Roman"/>
                <w:lang w:val="en-US"/>
              </w:rPr>
              <w:t>ha</w:t>
            </w:r>
            <w:r w:rsidRPr="00A8783E">
              <w:rPr>
                <w:rFonts w:ascii="Times New Roman" w:hAnsi="Times New Roman"/>
              </w:rPr>
              <w:t>.</w:t>
            </w:r>
          </w:p>
        </w:tc>
      </w:tr>
      <w:tr w:rsidR="00A8783E" w:rsidRPr="00A8783E" w:rsidTr="005B5318">
        <w:trPr>
          <w:trHeight w:val="2921"/>
          <w:jc w:val="center"/>
        </w:trPr>
        <w:tc>
          <w:tcPr>
            <w:tcW w:w="1529"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lastRenderedPageBreak/>
              <w:t xml:space="preserve">Местообитание на вида: </w:t>
            </w:r>
            <w:r w:rsidRPr="00A8783E">
              <w:rPr>
                <w:rFonts w:ascii="Times New Roman" w:hAnsi="Times New Roman"/>
              </w:rPr>
              <w:t>Екологично състояние на водните тела с местообитания на вида – по биологичен елемент водни безгръбначни (JDS4-Aquatic Macroinvertebrates)</w:t>
            </w:r>
          </w:p>
        </w:tc>
        <w:tc>
          <w:tcPr>
            <w:tcW w:w="113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 степенна скала за екологично състояние</w:t>
            </w:r>
          </w:p>
        </w:tc>
        <w:tc>
          <w:tcPr>
            <w:tcW w:w="127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1-Отлично/2-Добро</w:t>
            </w:r>
          </w:p>
        </w:tc>
        <w:tc>
          <w:tcPr>
            <w:tcW w:w="2977" w:type="dxa"/>
          </w:tcPr>
          <w:tbl>
            <w:tblPr>
              <w:tblW w:w="3923" w:type="dxa"/>
              <w:jc w:val="center"/>
              <w:tblLayout w:type="fixed"/>
              <w:tblCellMar>
                <w:left w:w="70" w:type="dxa"/>
                <w:right w:w="70" w:type="dxa"/>
              </w:tblCellMar>
              <w:tblLook w:val="00A0" w:firstRow="1" w:lastRow="0" w:firstColumn="1" w:lastColumn="0" w:noHBand="0" w:noVBand="0"/>
            </w:tblPr>
            <w:tblGrid>
              <w:gridCol w:w="3923"/>
            </w:tblGrid>
            <w:tr w:rsidR="00A8783E" w:rsidRPr="00A8783E" w:rsidTr="005B5318">
              <w:trPr>
                <w:trHeight w:val="64"/>
                <w:jc w:val="center"/>
              </w:trPr>
              <w:tc>
                <w:tcPr>
                  <w:tcW w:w="3923"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532"/>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300"/>
                <w:jc w:val="center"/>
              </w:trPr>
              <w:tc>
                <w:tcPr>
                  <w:tcW w:w="3923"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532"/>
                    <w:rPr>
                      <w:rFonts w:ascii="Times New Roman" w:hAnsi="Times New Roman"/>
                    </w:rPr>
                  </w:pPr>
                  <w:r w:rsidRPr="00A8783E">
                    <w:rPr>
                      <w:rFonts w:ascii="Times New Roman" w:hAnsi="Times New Roman"/>
                    </w:rPr>
                    <w:t>1-Отлично - High</w:t>
                  </w:r>
                </w:p>
              </w:tc>
            </w:tr>
            <w:tr w:rsidR="00A8783E" w:rsidRPr="00A8783E" w:rsidTr="005B5318">
              <w:trPr>
                <w:trHeight w:val="300"/>
                <w:jc w:val="center"/>
              </w:trPr>
              <w:tc>
                <w:tcPr>
                  <w:tcW w:w="3923"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532"/>
                    <w:rPr>
                      <w:rFonts w:ascii="Times New Roman" w:hAnsi="Times New Roman"/>
                    </w:rPr>
                  </w:pPr>
                  <w:r w:rsidRPr="00A8783E">
                    <w:rPr>
                      <w:rFonts w:ascii="Times New Roman" w:hAnsi="Times New Roman"/>
                    </w:rPr>
                    <w:t>2-Добро - Good</w:t>
                  </w:r>
                </w:p>
              </w:tc>
            </w:tr>
            <w:tr w:rsidR="00A8783E" w:rsidRPr="00A8783E" w:rsidTr="005B5318">
              <w:trPr>
                <w:trHeight w:val="300"/>
                <w:jc w:val="center"/>
              </w:trPr>
              <w:tc>
                <w:tcPr>
                  <w:tcW w:w="3923"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532"/>
                    <w:rPr>
                      <w:rFonts w:ascii="Times New Roman" w:hAnsi="Times New Roman"/>
                    </w:rPr>
                  </w:pPr>
                  <w:r w:rsidRPr="00A8783E">
                    <w:rPr>
                      <w:rFonts w:ascii="Times New Roman" w:hAnsi="Times New Roman"/>
                    </w:rPr>
                    <w:t>3-Умерено - Moderate</w:t>
                  </w:r>
                </w:p>
              </w:tc>
            </w:tr>
            <w:tr w:rsidR="00A8783E" w:rsidRPr="00A8783E" w:rsidTr="005B5318">
              <w:trPr>
                <w:trHeight w:val="300"/>
                <w:jc w:val="center"/>
              </w:trPr>
              <w:tc>
                <w:tcPr>
                  <w:tcW w:w="3923"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532"/>
                    <w:rPr>
                      <w:rFonts w:ascii="Times New Roman" w:hAnsi="Times New Roman"/>
                    </w:rPr>
                  </w:pPr>
                  <w:r w:rsidRPr="00A8783E">
                    <w:rPr>
                      <w:rFonts w:ascii="Times New Roman" w:hAnsi="Times New Roman"/>
                    </w:rPr>
                    <w:t>4-Лошо - Poor</w:t>
                  </w:r>
                </w:p>
              </w:tc>
            </w:tr>
            <w:tr w:rsidR="00A8783E" w:rsidRPr="00A8783E" w:rsidTr="005B5318">
              <w:trPr>
                <w:trHeight w:val="300"/>
                <w:jc w:val="center"/>
              </w:trPr>
              <w:tc>
                <w:tcPr>
                  <w:tcW w:w="3923"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532"/>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Екологичното състояние на водите на р. Дунав в пункт „Силистра“ е оценено на </w:t>
            </w:r>
            <w:r w:rsidRPr="00A8783E">
              <w:rPr>
                <w:rFonts w:ascii="Times New Roman" w:hAnsi="Times New Roman"/>
                <w:b/>
                <w:bCs/>
              </w:rPr>
              <w:t>умерено (3)</w:t>
            </w:r>
            <w:r w:rsidRPr="00A8783E">
              <w:rPr>
                <w:rFonts w:ascii="Times New Roman" w:hAnsi="Times New Roman"/>
              </w:rPr>
              <w:t xml:space="preserve"> според доклада на JDS4 (2019-2020, табл. 1, стр. 62).</w:t>
            </w:r>
            <w:r w:rsidRPr="00A8783E">
              <w:rPr>
                <w:rFonts w:cs="Calibri"/>
              </w:rPr>
              <w:t xml:space="preserve"> </w:t>
            </w:r>
            <w:r w:rsidRPr="00A8783E">
              <w:rPr>
                <w:rFonts w:ascii="Times New Roman" w:hAnsi="Times New Roman"/>
              </w:rPr>
              <w:t xml:space="preserve">Според данните от биологичния мониторинг на повърхностните води през 2020 г. ЕС на ез. Сребърна е определено като </w:t>
            </w:r>
            <w:r w:rsidRPr="00A8783E">
              <w:rPr>
                <w:rFonts w:ascii="Times New Roman" w:hAnsi="Times New Roman"/>
                <w:b/>
              </w:rPr>
              <w:t>Отлично</w:t>
            </w:r>
            <w:r w:rsidRPr="00A8783E">
              <w:rPr>
                <w:rFonts w:ascii="Times New Roman" w:hAnsi="Times New Roman"/>
              </w:rPr>
              <w:t xml:space="preserve"> по БЕК Макрозообентос и </w:t>
            </w:r>
            <w:r w:rsidRPr="00A8783E">
              <w:rPr>
                <w:rFonts w:ascii="Times New Roman" w:hAnsi="Times New Roman"/>
                <w:b/>
              </w:rPr>
              <w:t>Умерено</w:t>
            </w:r>
            <w:r w:rsidRPr="00A8783E">
              <w:rPr>
                <w:rFonts w:ascii="Times New Roman" w:hAnsi="Times New Roman"/>
              </w:rPr>
              <w:t xml:space="preserve"> по БЕК Риби.</w:t>
            </w:r>
          </w:p>
        </w:tc>
        <w:tc>
          <w:tcPr>
            <w:tcW w:w="232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60" w:line="259" w:lineRule="auto"/>
        <w:jc w:val="both"/>
        <w:rPr>
          <w:rFonts w:ascii="Times New Roman" w:hAnsi="Times New Roman"/>
          <w:sz w:val="24"/>
          <w:szCs w:val="24"/>
        </w:rPr>
      </w:pPr>
    </w:p>
    <w:p w:rsidR="00A8783E" w:rsidRPr="00A8783E" w:rsidRDefault="00A8783E" w:rsidP="00A8783E">
      <w:pPr>
        <w:spacing w:before="120" w:after="120" w:line="240"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Предвид наличната информация за настоящата концентрираща се численост на вида в защитената зона по време на миграция е необходима актуализация на СФ в частта за мигриращата популация (в червено): Добавяне на параметри за концентрираща се популация на вида по време на миграция и промяна на категорията в колона </w:t>
      </w:r>
      <w:r w:rsidRPr="00A8783E">
        <w:rPr>
          <w:rFonts w:ascii="Times New Roman" w:hAnsi="Times New Roman"/>
          <w:sz w:val="24"/>
          <w:szCs w:val="24"/>
          <w:lang w:val="en-US"/>
        </w:rPr>
        <w:t>Data</w:t>
      </w:r>
      <w:r w:rsidRPr="00A8783E">
        <w:rPr>
          <w:rFonts w:ascii="Times New Roman" w:hAnsi="Times New Roman"/>
          <w:sz w:val="24"/>
          <w:szCs w:val="24"/>
        </w:rPr>
        <w:t xml:space="preserve"> </w:t>
      </w:r>
      <w:r w:rsidRPr="00A8783E">
        <w:rPr>
          <w:rFonts w:ascii="Times New Roman" w:hAnsi="Times New Roman"/>
          <w:sz w:val="24"/>
          <w:szCs w:val="24"/>
          <w:lang w:val="en-US"/>
        </w:rPr>
        <w:t>quality</w:t>
      </w:r>
      <w:r w:rsidRPr="00A8783E">
        <w:rPr>
          <w:rFonts w:ascii="Times New Roman" w:hAnsi="Times New Roman"/>
          <w:sz w:val="24"/>
          <w:szCs w:val="24"/>
        </w:rPr>
        <w:t xml:space="preserve"> от „</w:t>
      </w:r>
      <w:r w:rsidRPr="00A8783E">
        <w:rPr>
          <w:rFonts w:ascii="Times New Roman" w:hAnsi="Times New Roman"/>
          <w:sz w:val="24"/>
          <w:szCs w:val="24"/>
          <w:lang w:val="en-US"/>
        </w:rPr>
        <w:t>DD</w:t>
      </w:r>
      <w:r w:rsidRPr="00A8783E">
        <w:rPr>
          <w:rFonts w:ascii="Times New Roman" w:hAnsi="Times New Roman"/>
          <w:sz w:val="24"/>
          <w:szCs w:val="24"/>
        </w:rPr>
        <w:t>“ на „</w:t>
      </w:r>
      <w:r w:rsidRPr="00A8783E">
        <w:rPr>
          <w:rFonts w:ascii="Times New Roman" w:hAnsi="Times New Roman"/>
          <w:sz w:val="24"/>
          <w:szCs w:val="24"/>
          <w:lang w:val="en-US"/>
        </w:rPr>
        <w:t>G</w:t>
      </w:r>
      <w:r w:rsidRPr="00A8783E">
        <w:rPr>
          <w:rFonts w:ascii="Times New Roman"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
        <w:gridCol w:w="714"/>
        <w:gridCol w:w="1157"/>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3557" w:type="dxa"/>
            <w:gridSpan w:val="5"/>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Species</w:t>
            </w:r>
          </w:p>
        </w:tc>
        <w:tc>
          <w:tcPr>
            <w:tcW w:w="5297" w:type="dxa"/>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Population in the site</w:t>
            </w:r>
          </w:p>
        </w:tc>
        <w:tc>
          <w:tcPr>
            <w:tcW w:w="3033" w:type="dxa"/>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Site assessment</w:t>
            </w:r>
          </w:p>
        </w:tc>
      </w:tr>
      <w:tr w:rsidR="00A8783E" w:rsidRPr="00A8783E" w:rsidTr="005B5318">
        <w:trPr>
          <w:jc w:val="center"/>
        </w:trPr>
        <w:tc>
          <w:tcPr>
            <w:tcW w:w="405" w:type="dxa"/>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G</w:t>
            </w:r>
          </w:p>
        </w:tc>
        <w:tc>
          <w:tcPr>
            <w:tcW w:w="750" w:type="dxa"/>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Code</w:t>
            </w:r>
          </w:p>
        </w:tc>
        <w:tc>
          <w:tcPr>
            <w:tcW w:w="1327" w:type="dxa"/>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Scientific Name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S</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NP</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T</w:t>
            </w: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Size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Unit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Cat.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D.qual.</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A/B/C/D</w:t>
            </w:r>
          </w:p>
        </w:tc>
        <w:tc>
          <w:tcPr>
            <w:tcW w:w="0" w:type="auto"/>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A/B/C</w:t>
            </w:r>
          </w:p>
        </w:tc>
      </w:tr>
      <w:tr w:rsidR="00A8783E" w:rsidRPr="00A8783E" w:rsidTr="005B5318">
        <w:trPr>
          <w:jc w:val="center"/>
        </w:trPr>
        <w:tc>
          <w:tcPr>
            <w:tcW w:w="405" w:type="dxa"/>
            <w:vMerge/>
            <w:shd w:val="clear" w:color="auto" w:fill="D9D9D9"/>
            <w:vAlign w:val="center"/>
          </w:tcPr>
          <w:p w:rsidR="00A8783E" w:rsidRPr="00A8783E" w:rsidRDefault="00A8783E" w:rsidP="00A8783E">
            <w:pPr>
              <w:spacing w:after="0" w:line="240" w:lineRule="auto"/>
              <w:rPr>
                <w:rFonts w:ascii="Times New Roman" w:hAnsi="Times New Roman"/>
                <w:sz w:val="20"/>
                <w:szCs w:val="20"/>
                <w:lang w:val="en-US" w:eastAsia="en-GB"/>
              </w:rPr>
            </w:pPr>
          </w:p>
        </w:tc>
        <w:tc>
          <w:tcPr>
            <w:tcW w:w="750" w:type="dxa"/>
            <w:vMerge/>
            <w:shd w:val="clear" w:color="auto" w:fill="D9D9D9"/>
            <w:vAlign w:val="center"/>
          </w:tcPr>
          <w:p w:rsidR="00A8783E" w:rsidRPr="00A8783E" w:rsidRDefault="00A8783E" w:rsidP="00A8783E">
            <w:pPr>
              <w:spacing w:after="0" w:line="240" w:lineRule="auto"/>
              <w:rPr>
                <w:rFonts w:ascii="Times New Roman" w:hAnsi="Times New Roman"/>
                <w:sz w:val="20"/>
                <w:szCs w:val="20"/>
                <w:lang w:val="en-US" w:eastAsia="en-GB"/>
              </w:rPr>
            </w:pPr>
          </w:p>
        </w:tc>
        <w:tc>
          <w:tcPr>
            <w:tcW w:w="1327" w:type="dxa"/>
            <w:vMerge/>
            <w:shd w:val="clear" w:color="auto" w:fill="D9D9D9"/>
            <w:vAlign w:val="center"/>
          </w:tcPr>
          <w:p w:rsidR="00A8783E" w:rsidRPr="00A8783E" w:rsidRDefault="00A8783E" w:rsidP="00A8783E">
            <w:pPr>
              <w:spacing w:after="0" w:line="240" w:lineRule="auto"/>
              <w:rPr>
                <w:rFonts w:ascii="Times New Roman" w:hAnsi="Times New Roman"/>
                <w:sz w:val="20"/>
                <w:szCs w:val="20"/>
                <w:lang w:val="en-US"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sz w:val="20"/>
                <w:szCs w:val="20"/>
                <w:lang w:val="en-US"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Min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Max</w:t>
            </w: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Pop.</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Con.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Iso.</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sz w:val="20"/>
                <w:szCs w:val="20"/>
                <w:lang w:val="en-US" w:eastAsia="en-GB"/>
              </w:rPr>
              <w:t>Glo.</w:t>
            </w:r>
          </w:p>
        </w:tc>
      </w:tr>
      <w:tr w:rsidR="00A8783E" w:rsidRPr="00A8783E" w:rsidTr="005B5318">
        <w:trPr>
          <w:jc w:val="center"/>
        </w:trPr>
        <w:tc>
          <w:tcPr>
            <w:tcW w:w="405" w:type="dxa"/>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sz w:val="20"/>
                <w:szCs w:val="20"/>
                <w:lang w:val="en-US" w:eastAsia="en-GB"/>
              </w:rPr>
              <w:t>В</w:t>
            </w:r>
          </w:p>
        </w:tc>
        <w:tc>
          <w:tcPr>
            <w:tcW w:w="750" w:type="dxa"/>
            <w:vAlign w:val="center"/>
          </w:tcPr>
          <w:p w:rsidR="00A8783E" w:rsidRPr="00A8783E" w:rsidRDefault="00A8783E" w:rsidP="00A8783E">
            <w:pPr>
              <w:spacing w:after="0" w:line="240" w:lineRule="auto"/>
              <w:rPr>
                <w:rFonts w:ascii="Times New Roman" w:hAnsi="Times New Roman"/>
                <w:sz w:val="20"/>
                <w:szCs w:val="20"/>
                <w:lang w:eastAsia="en-GB"/>
              </w:rPr>
            </w:pPr>
            <w:r w:rsidRPr="00A8783E">
              <w:rPr>
                <w:rFonts w:ascii="Times New Roman" w:hAnsi="Times New Roman"/>
                <w:sz w:val="20"/>
                <w:szCs w:val="20"/>
                <w:lang w:val="en-US"/>
              </w:rPr>
              <w:t>А</w:t>
            </w:r>
            <w:r w:rsidRPr="00A8783E">
              <w:rPr>
                <w:rFonts w:ascii="Times New Roman" w:hAnsi="Times New Roman"/>
                <w:sz w:val="20"/>
                <w:szCs w:val="20"/>
              </w:rPr>
              <w:t>118</w:t>
            </w:r>
          </w:p>
        </w:tc>
        <w:tc>
          <w:tcPr>
            <w:tcW w:w="1327" w:type="dxa"/>
            <w:vAlign w:val="center"/>
          </w:tcPr>
          <w:p w:rsidR="00A8783E" w:rsidRPr="00A8783E" w:rsidRDefault="00A8783E" w:rsidP="00A8783E">
            <w:pPr>
              <w:spacing w:after="0" w:line="240" w:lineRule="auto"/>
              <w:rPr>
                <w:rFonts w:ascii="Times New Roman" w:hAnsi="Times New Roman"/>
                <w:i/>
                <w:iCs/>
                <w:sz w:val="20"/>
                <w:szCs w:val="20"/>
                <w:lang w:val="en-US" w:eastAsia="en-GB"/>
              </w:rPr>
            </w:pPr>
            <w:r w:rsidRPr="00A8783E">
              <w:rPr>
                <w:rFonts w:ascii="Times New Roman" w:hAnsi="Times New Roman"/>
                <w:i/>
                <w:iCs/>
                <w:sz w:val="20"/>
                <w:szCs w:val="20"/>
                <w:lang w:val="en-US"/>
              </w:rPr>
              <w:t>Rallus aquaticus</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val="en-US" w:eastAsia="en-GB"/>
              </w:rPr>
            </w:pPr>
          </w:p>
        </w:tc>
        <w:tc>
          <w:tcPr>
            <w:tcW w:w="0" w:type="auto"/>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sz w:val="20"/>
                <w:szCs w:val="20"/>
                <w:lang w:val="en-US"/>
              </w:rPr>
              <w:t>c</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val="en-GB" w:eastAsia="en-GB"/>
              </w:rPr>
            </w:pPr>
            <w:r w:rsidRPr="00A8783E">
              <w:rPr>
                <w:rFonts w:ascii="Times New Roman" w:hAnsi="Times New Roman"/>
                <w:b/>
                <w:bCs/>
                <w:color w:val="FF0000"/>
                <w:sz w:val="20"/>
                <w:szCs w:val="20"/>
                <w:lang w:val="en-GB"/>
              </w:rPr>
              <w:t>1</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b/>
                <w:bCs/>
                <w:color w:val="FF0000"/>
                <w:sz w:val="20"/>
                <w:szCs w:val="20"/>
                <w:lang w:val="en-US"/>
              </w:rPr>
              <w:t>3</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eastAsia="en-GB"/>
              </w:rPr>
            </w:pPr>
            <w:r w:rsidRPr="00A8783E">
              <w:rPr>
                <w:rFonts w:ascii="Times New Roman" w:hAnsi="Times New Roman"/>
                <w:sz w:val="20"/>
                <w:szCs w:val="20"/>
                <w:lang w:val="en-US"/>
              </w:rPr>
              <w:t>i</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val="en-US" w:eastAsia="en-GB"/>
              </w:rPr>
            </w:pP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val="en-US" w:eastAsia="en-GB"/>
              </w:rPr>
            </w:pPr>
            <w:r w:rsidRPr="00A8783E">
              <w:rPr>
                <w:rFonts w:ascii="Times New Roman" w:hAnsi="Times New Roman"/>
                <w:b/>
                <w:color w:val="FF0000"/>
                <w:sz w:val="20"/>
                <w:szCs w:val="20"/>
                <w:lang w:val="en-US"/>
              </w:rPr>
              <w:t>G</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val="en-GB" w:eastAsia="en-GB"/>
              </w:rPr>
            </w:pPr>
            <w:r w:rsidRPr="00A8783E">
              <w:rPr>
                <w:rFonts w:ascii="Times New Roman" w:hAnsi="Times New Roman"/>
                <w:sz w:val="20"/>
                <w:szCs w:val="20"/>
                <w:lang w:val="en-GB"/>
              </w:rPr>
              <w:t>C</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sz w:val="20"/>
                <w:szCs w:val="20"/>
                <w:lang w:val="en-US"/>
              </w:rPr>
              <w:t>B</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sz w:val="20"/>
                <w:szCs w:val="20"/>
                <w:lang w:val="en-US"/>
              </w:rPr>
              <w:t>C</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val="en-US" w:eastAsia="en-GB"/>
              </w:rPr>
            </w:pPr>
            <w:r w:rsidRPr="00A8783E">
              <w:rPr>
                <w:rFonts w:ascii="Times New Roman" w:hAnsi="Times New Roman"/>
                <w:sz w:val="20"/>
                <w:szCs w:val="20"/>
                <w:lang w:val="en-US"/>
              </w:rPr>
              <w:t>C</w:t>
            </w:r>
          </w:p>
        </w:tc>
      </w:tr>
    </w:tbl>
    <w:p w:rsidR="00A8783E" w:rsidRPr="00A8783E" w:rsidRDefault="00A8783E" w:rsidP="00A8783E">
      <w:pPr>
        <w:spacing w:after="160" w:line="259" w:lineRule="auto"/>
        <w:rPr>
          <w:lang w:val="en-US"/>
        </w:rPr>
      </w:pPr>
    </w:p>
    <w:p w:rsidR="00A8783E" w:rsidRPr="00A8783E" w:rsidRDefault="00A8783E" w:rsidP="00A8783E">
      <w:pPr>
        <w:keepNext/>
        <w:keepLines/>
        <w:spacing w:before="120" w:after="120" w:line="240" w:lineRule="auto"/>
        <w:outlineLvl w:val="1"/>
        <w:rPr>
          <w:rFonts w:ascii="Times New Roman" w:hAnsi="Times New Roman"/>
          <w:color w:val="1F497D"/>
          <w:sz w:val="28"/>
          <w:szCs w:val="28"/>
        </w:rPr>
      </w:pPr>
      <w:bookmarkStart w:id="330" w:name="_Toc89106115"/>
      <w:bookmarkStart w:id="331" w:name="_Toc98741954"/>
      <w:bookmarkStart w:id="332" w:name="_Toc98838629"/>
      <w:bookmarkStart w:id="333" w:name="_Toc86409831"/>
      <w:r w:rsidRPr="00A8783E">
        <w:rPr>
          <w:rFonts w:ascii="Times New Roman" w:hAnsi="Times New Roman"/>
          <w:color w:val="1F497D"/>
          <w:sz w:val="28"/>
          <w:szCs w:val="28"/>
        </w:rPr>
        <w:t xml:space="preserve">Специфични цели за  А119 </w:t>
      </w:r>
      <w:r w:rsidRPr="00A8783E">
        <w:rPr>
          <w:rFonts w:ascii="Times New Roman" w:hAnsi="Times New Roman"/>
          <w:i/>
          <w:iCs/>
          <w:color w:val="1F497D"/>
          <w:sz w:val="28"/>
          <w:szCs w:val="28"/>
        </w:rPr>
        <w:t>Porzana porzana</w:t>
      </w:r>
      <w:r w:rsidRPr="00A8783E">
        <w:rPr>
          <w:rFonts w:ascii="Times New Roman" w:hAnsi="Times New Roman"/>
          <w:color w:val="1F497D"/>
          <w:sz w:val="28"/>
          <w:szCs w:val="28"/>
        </w:rPr>
        <w:t xml:space="preserve"> (голяма пъструшка)</w:t>
      </w:r>
      <w:bookmarkEnd w:id="330"/>
      <w:bookmarkEnd w:id="331"/>
      <w:bookmarkEnd w:id="332"/>
    </w:p>
    <w:p w:rsidR="00A8783E" w:rsidRPr="00A8783E" w:rsidRDefault="00A8783E" w:rsidP="00A8783E">
      <w:pPr>
        <w:spacing w:before="120" w:after="120" w:line="240" w:lineRule="auto"/>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color w:val="C00000"/>
          <w:sz w:val="24"/>
          <w:szCs w:val="24"/>
        </w:rPr>
      </w:pPr>
      <w:r w:rsidRPr="00A8783E">
        <w:rPr>
          <w:rFonts w:ascii="Times New Roman" w:hAnsi="Times New Roman"/>
          <w:sz w:val="24"/>
          <w:szCs w:val="24"/>
        </w:rPr>
        <w:t xml:space="preserve">Дължината на тялото: 22-24 cm, размах на крилата: 37-42 cm. Мъжкият отгоре е кафяв с черни и бели пъстрини; бузите, шията и гърдите са тъмносиви с бели петънца, а останалата долна част на тялото – белезникава с кафяви препаски по слабините. Клюнът е жълтеникав с червена основа, а краката зеленикави. Женската има повече бели петънца по бузите. При младите шията и бузите са светло ръждивокафяви, а подбрадието е белезникаво. Активна нощем. Бяга бързо из гъстата растителност, но лети бавно и лошо. За разлика от другите пъструшки се отличава по препаските на гърдите, избягва да плува, а прелита по-големите открити водни пространства (Симеонов и др., 1990; Мичев и др., 2012). </w:t>
      </w:r>
    </w:p>
    <w:p w:rsidR="00A8783E" w:rsidRPr="00A8783E" w:rsidRDefault="00A8783E" w:rsidP="00A8783E">
      <w:pPr>
        <w:spacing w:before="120" w:after="120" w:line="240" w:lineRule="auto"/>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Прелетен и вероятно преминаващ вид. Миграцията по Черноморското крайбрежие е от края на август до началото на ноември и през март-април; в Софийското поле – септември-октомври и март-април. На Балканския полуостров обитава плитки влажни зони, обрасли с гъста растителност и надморска височина до около 1800 m. По време на миграции и през зимата се среща рядко по морски крайбрежия и прилежащи влажни зони (Симеонов и др., 1990; Мичев и др., 2012; Червена книга на Р България 2015).</w:t>
      </w:r>
    </w:p>
    <w:p w:rsidR="00A8783E" w:rsidRPr="00A8783E" w:rsidRDefault="00A8783E" w:rsidP="00A8783E">
      <w:pPr>
        <w:spacing w:before="120" w:after="120" w:line="240" w:lineRule="auto"/>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sz w:val="24"/>
          <w:szCs w:val="24"/>
        </w:rPr>
        <w:t>Влажни зони с различна големина и соленост, блатисти места с висока, гъста растителност. Изгражда гнездото си малко над нивото на водата</w:t>
      </w:r>
      <w:r w:rsidRPr="00A8783E">
        <w:rPr>
          <w:rFonts w:ascii="Times New Roman" w:hAnsi="Times New Roman"/>
          <w:i/>
          <w:iCs/>
          <w:sz w:val="24"/>
          <w:szCs w:val="24"/>
        </w:rPr>
        <w:t>.</w:t>
      </w:r>
      <w:r w:rsidRPr="00A8783E">
        <w:rPr>
          <w:rFonts w:ascii="Times New Roman" w:hAnsi="Times New Roman"/>
          <w:sz w:val="24"/>
          <w:szCs w:val="24"/>
        </w:rPr>
        <w:t xml:space="preserve"> Обитава също обширни мочурища и мочурливи ливади, оризища, торфени блата и влажни ливади по периферията им обрасли предимно с </w:t>
      </w:r>
      <w:r w:rsidRPr="00A8783E">
        <w:rPr>
          <w:rFonts w:ascii="Times New Roman" w:hAnsi="Times New Roman"/>
          <w:i/>
          <w:iCs/>
          <w:sz w:val="24"/>
          <w:szCs w:val="24"/>
        </w:rPr>
        <w:t>Typha spp., Carex spp.,</w:t>
      </w:r>
      <w:r w:rsidRPr="00A8783E">
        <w:rPr>
          <w:rFonts w:ascii="Times New Roman" w:hAnsi="Times New Roman"/>
          <w:sz w:val="24"/>
          <w:szCs w:val="24"/>
        </w:rPr>
        <w:t xml:space="preserve"> </w:t>
      </w:r>
      <w:r w:rsidRPr="00A8783E">
        <w:rPr>
          <w:rFonts w:ascii="Times New Roman" w:hAnsi="Times New Roman"/>
          <w:i/>
          <w:iCs/>
          <w:sz w:val="24"/>
          <w:szCs w:val="24"/>
        </w:rPr>
        <w:t>Phragmites australis, Alisma plantago-aquatica,</w:t>
      </w:r>
      <w:r w:rsidRPr="00A8783E">
        <w:rPr>
          <w:rFonts w:ascii="Times New Roman" w:hAnsi="Times New Roman"/>
          <w:sz w:val="24"/>
          <w:szCs w:val="24"/>
        </w:rPr>
        <w:t xml:space="preserve"> </w:t>
      </w:r>
      <w:r w:rsidRPr="00A8783E">
        <w:rPr>
          <w:rFonts w:ascii="Times New Roman" w:hAnsi="Times New Roman"/>
          <w:i/>
          <w:iCs/>
          <w:sz w:val="24"/>
          <w:szCs w:val="24"/>
        </w:rPr>
        <w:t>Glyceria maxima,</w:t>
      </w:r>
      <w:r w:rsidRPr="00A8783E">
        <w:rPr>
          <w:rFonts w:ascii="Times New Roman" w:hAnsi="Times New Roman"/>
          <w:sz w:val="24"/>
          <w:szCs w:val="24"/>
        </w:rPr>
        <w:t xml:space="preserve"> с предпочитана дълбочина 10–20 </w:t>
      </w:r>
      <w:r w:rsidRPr="00A8783E">
        <w:rPr>
          <w:rFonts w:ascii="Times New Roman" w:hAnsi="Times New Roman"/>
          <w:sz w:val="24"/>
          <w:szCs w:val="24"/>
          <w:lang w:val="en-US"/>
        </w:rPr>
        <w:t>cm</w:t>
      </w:r>
      <w:r w:rsidRPr="00A8783E">
        <w:rPr>
          <w:rFonts w:ascii="Times New Roman" w:hAnsi="Times New Roman"/>
          <w:sz w:val="24"/>
          <w:szCs w:val="24"/>
        </w:rPr>
        <w:t xml:space="preserve">  с височина на растителността по-ниска от 1,5 </w:t>
      </w:r>
      <w:r w:rsidRPr="00A8783E">
        <w:rPr>
          <w:rFonts w:ascii="Times New Roman" w:hAnsi="Times New Roman"/>
          <w:sz w:val="24"/>
          <w:szCs w:val="24"/>
          <w:lang w:val="en-US"/>
        </w:rPr>
        <w:t>m</w:t>
      </w:r>
      <w:r w:rsidRPr="00A8783E">
        <w:rPr>
          <w:rFonts w:ascii="Times New Roman" w:hAnsi="Times New Roman"/>
          <w:sz w:val="24"/>
          <w:szCs w:val="24"/>
        </w:rPr>
        <w:t xml:space="preserve"> и висок процент покритие на стара растителност в радиус от 3 m около гнездата. В бракичните водоеми по Черноморието се наблюдават предимно скитащи и мигриращи птици (Симеонов и др., 1990; Gilbert 2002; Червена книга на Р България 2015). Според Gilbert (2002), за Полша, средната плътност е 12 възрастни /1.4 ha. </w:t>
      </w:r>
    </w:p>
    <w:p w:rsidR="00A8783E" w:rsidRPr="00A8783E" w:rsidRDefault="00A8783E" w:rsidP="00A8783E">
      <w:pPr>
        <w:spacing w:before="120" w:after="120" w:line="240" w:lineRule="auto"/>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Видът е всеяден, диетата му се състои от малки възрастни водни насекоми и ларви (напр. </w:t>
      </w:r>
      <w:r w:rsidRPr="00A8783E">
        <w:rPr>
          <w:rFonts w:ascii="Times New Roman" w:hAnsi="Times New Roman"/>
          <w:i/>
          <w:iCs/>
          <w:sz w:val="24"/>
          <w:szCs w:val="24"/>
        </w:rPr>
        <w:t>Trichoptera, Odonata, Diptera, Coleoptera, Hemiptera, Lepidoptera</w:t>
      </w:r>
      <w:r w:rsidRPr="00A8783E">
        <w:rPr>
          <w:rFonts w:ascii="Times New Roman" w:hAnsi="Times New Roman"/>
          <w:sz w:val="24"/>
          <w:szCs w:val="24"/>
        </w:rPr>
        <w:t xml:space="preserve">), земни червеи, мекотели, паякообразни  (напр. паяци и водни акари) и дребни многожилни риби (1-2 cm дълги), както и водорасли и издънки, листа, корени и семена на </w:t>
      </w:r>
      <w:r w:rsidRPr="00A8783E">
        <w:rPr>
          <w:rFonts w:ascii="Times New Roman" w:hAnsi="Times New Roman"/>
          <w:i/>
          <w:iCs/>
          <w:sz w:val="24"/>
          <w:szCs w:val="24"/>
        </w:rPr>
        <w:t>Panicum, Oryza, Carex и Schoenoplectus</w:t>
      </w:r>
      <w:r w:rsidRPr="00A8783E">
        <w:rPr>
          <w:rFonts w:ascii="Times New Roman" w:hAnsi="Times New Roman"/>
          <w:sz w:val="24"/>
          <w:szCs w:val="24"/>
        </w:rPr>
        <w:t xml:space="preserve"> (Taylor </w:t>
      </w:r>
      <w:r w:rsidRPr="00A8783E">
        <w:rPr>
          <w:rFonts w:ascii="Times New Roman" w:hAnsi="Times New Roman"/>
          <w:sz w:val="24"/>
          <w:szCs w:val="24"/>
          <w:lang w:val="en-US"/>
        </w:rPr>
        <w:t>and</w:t>
      </w:r>
      <w:r w:rsidRPr="00A8783E">
        <w:rPr>
          <w:rFonts w:ascii="Times New Roman" w:hAnsi="Times New Roman"/>
          <w:sz w:val="24"/>
          <w:szCs w:val="24"/>
        </w:rPr>
        <w:t xml:space="preserve"> van Perlo, 2000).</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autoSpaceDE w:val="0"/>
        <w:autoSpaceDN w:val="0"/>
        <w:adjustRightInd w:val="0"/>
        <w:spacing w:before="120" w:after="120" w:line="240" w:lineRule="auto"/>
        <w:jc w:val="both"/>
        <w:rPr>
          <w:rFonts w:ascii="Times New Roman" w:eastAsia="GroteskHSBg-Light" w:hAnsi="Times New Roman"/>
          <w:sz w:val="24"/>
          <w:szCs w:val="24"/>
        </w:rPr>
      </w:pPr>
      <w:r w:rsidRPr="00A8783E">
        <w:rPr>
          <w:rFonts w:ascii="Times New Roman" w:eastAsia="GroteskHSBg-Light" w:hAnsi="Times New Roman"/>
          <w:sz w:val="24"/>
          <w:szCs w:val="24"/>
        </w:rPr>
        <w:t>Разпръснато в ниските части на цялата страна, главно по Черноморското крайбрежие, в Софийското поле, бившето Стралджанско блато, с изолирани находища покрай р. Дунав, в Тракийската низина, Дунавската равнина, долината на река Струма и др. Поради скрития начин на живот и кратък период на токуване вероятно са известни не всички действителни гнездовища</w:t>
      </w:r>
      <w:r w:rsidRPr="00A8783E">
        <w:rPr>
          <w:rFonts w:ascii="Times New Roman" w:hAnsi="Times New Roman"/>
          <w:sz w:val="24"/>
          <w:szCs w:val="24"/>
        </w:rPr>
        <w:t xml:space="preserve">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Включен в Приложение 1 на Директивата за птиците и Приложение 2 и 3 на ЗБР</w:t>
      </w:r>
      <w:r w:rsidRPr="00A8783E">
        <w:rPr>
          <w:rFonts w:ascii="Times New Roman" w:hAnsi="Times New Roman"/>
          <w:color w:val="C00000"/>
          <w:sz w:val="24"/>
          <w:szCs w:val="24"/>
        </w:rPr>
        <w:t xml:space="preserve">. </w:t>
      </w:r>
      <w:r w:rsidRPr="00A8783E">
        <w:rPr>
          <w:rFonts w:ascii="Times New Roman" w:hAnsi="Times New Roman"/>
          <w:sz w:val="24"/>
          <w:szCs w:val="24"/>
        </w:rPr>
        <w:t>Включен е в Червената книга на България със статус-застрашен (</w:t>
      </w:r>
      <w:r w:rsidRPr="00A8783E">
        <w:rPr>
          <w:rFonts w:ascii="Times New Roman" w:hAnsi="Times New Roman"/>
          <w:sz w:val="24"/>
          <w:szCs w:val="24"/>
          <w:lang w:val="en-US"/>
        </w:rPr>
        <w:t>EN</w:t>
      </w:r>
      <w:r w:rsidRPr="00A8783E">
        <w:rPr>
          <w:rFonts w:ascii="Times New Roman" w:hAnsi="Times New Roman"/>
          <w:sz w:val="24"/>
          <w:szCs w:val="24"/>
        </w:rPr>
        <w:t xml:space="preserve">). Според IUCN е слабо засегнат - </w:t>
      </w:r>
      <w:r w:rsidRPr="00A8783E">
        <w:rPr>
          <w:rFonts w:ascii="Times New Roman" w:hAnsi="Times New Roman"/>
          <w:sz w:val="24"/>
          <w:szCs w:val="24"/>
          <w:lang w:val="en-US"/>
        </w:rPr>
        <w:t>LC</w:t>
      </w:r>
      <w:r w:rsidRPr="00A8783E">
        <w:rPr>
          <w:rFonts w:ascii="Times New Roman" w:hAnsi="Times New Roman"/>
          <w:sz w:val="24"/>
          <w:szCs w:val="24"/>
        </w:rPr>
        <w:t xml:space="preserve"> (Least Concern), за територията на континентална Европа.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оценява на 150 – 300 двойки. Краткосрочната тенденция на популацията (за периода 2001 – 2018 г.) е неизвестна, а дългосрочната (за периода 1980 – 2018 г.) също е неизвестна. За гнездящата популация са посочени следните заплахи и влияния: J03.</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гнездящ</w:t>
      </w:r>
      <w:r w:rsidRPr="00A8783E">
        <w:rPr>
          <w:rFonts w:ascii="Times New Roman" w:hAnsi="Times New Roman"/>
          <w:sz w:val="24"/>
          <w:szCs w:val="24"/>
        </w:rPr>
        <w:t xml:space="preserve"> с 1-2 двойки, което е 0,66 % от националната гнездяща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Видът е със скрит начин на живот като мъжкият токува главно през тъмната част на денонощието. Видът се установява, че присъства в дадена територия най-често по токуването на мъжките индивиди през май и юни (</w:t>
      </w:r>
      <w:r w:rsidRPr="00A8783E">
        <w:rPr>
          <w:rFonts w:ascii="Times New Roman" w:hAnsi="Times New Roman"/>
          <w:sz w:val="24"/>
          <w:szCs w:val="24"/>
          <w:lang w:val="en-US"/>
        </w:rPr>
        <w:t>Delov</w:t>
      </w:r>
      <w:r w:rsidRPr="00A8783E">
        <w:rPr>
          <w:rFonts w:ascii="Times New Roman" w:hAnsi="Times New Roman"/>
          <w:sz w:val="24"/>
          <w:szCs w:val="24"/>
        </w:rPr>
        <w:t>, 2000). Според Костадинова и Граматиков (2007) не присъства в зоната по време на гнездене. В периода 2001-2003 г. в ПР Сребърна е установена 1 дв. (</w:t>
      </w:r>
      <w:r w:rsidRPr="00A8783E">
        <w:rPr>
          <w:rFonts w:ascii="Times New Roman" w:hAnsi="Times New Roman"/>
          <w:sz w:val="24"/>
          <w:szCs w:val="24"/>
          <w:lang w:val="en-US"/>
        </w:rPr>
        <w:t>Kambourova</w:t>
      </w:r>
      <w:r w:rsidRPr="00A8783E">
        <w:rPr>
          <w:rFonts w:ascii="Times New Roman" w:hAnsi="Times New Roman"/>
          <w:sz w:val="24"/>
          <w:szCs w:val="24"/>
        </w:rPr>
        <w:t xml:space="preserve">, 2005). По данни от eBird и https://observation.org  за 2020 и 2021 г., видът не е наблюдаван в зоната. По време на теренното проучване през май и юни 2021 г. не са установени птици от вида в зоната.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Посочената заплаха J03-“</w:t>
      </w:r>
      <w:r w:rsidRPr="00A8783E">
        <w:rPr>
          <w:rFonts w:ascii="Times New Roman" w:hAnsi="Times New Roman" w:cs="Calibri"/>
          <w:sz w:val="24"/>
          <w:szCs w:val="24"/>
        </w:rPr>
        <w:t>Замърсяване на въздуха от смесени източници, въздушнопреносими замърсители”</w:t>
      </w:r>
      <w:r w:rsidRPr="00A8783E">
        <w:rPr>
          <w:rFonts w:ascii="Times New Roman" w:hAnsi="Times New Roman"/>
          <w:sz w:val="24"/>
          <w:szCs w:val="24"/>
        </w:rPr>
        <w:t xml:space="preserve"> в докладването по чл. 12 за вида,  няма отношение към зоната.</w:t>
      </w:r>
      <w:r w:rsidRPr="00A8783E">
        <w:rPr>
          <w:rFonts w:cs="Calibri"/>
        </w:rPr>
        <w:t xml:space="preserve"> </w:t>
      </w:r>
      <w:r w:rsidRPr="00A8783E">
        <w:rPr>
          <w:rFonts w:ascii="Times New Roman" w:hAnsi="Times New Roman"/>
          <w:sz w:val="24"/>
          <w:szCs w:val="24"/>
        </w:rPr>
        <w:t>Заплахи за вида в зоната могат да бъдат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2"/>
        <w:gridCol w:w="1134"/>
        <w:gridCol w:w="1276"/>
        <w:gridCol w:w="2835"/>
        <w:gridCol w:w="2052"/>
      </w:tblGrid>
      <w:tr w:rsidR="00A8783E" w:rsidRPr="00A8783E" w:rsidTr="005B5318">
        <w:trPr>
          <w:tblHeader/>
          <w:jc w:val="center"/>
        </w:trPr>
        <w:tc>
          <w:tcPr>
            <w:tcW w:w="1912"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Параметър</w:t>
            </w:r>
          </w:p>
        </w:tc>
        <w:tc>
          <w:tcPr>
            <w:tcW w:w="1134"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Мерна единица</w:t>
            </w:r>
          </w:p>
        </w:tc>
        <w:tc>
          <w:tcPr>
            <w:tcW w:w="1276"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Целева стойност</w:t>
            </w:r>
          </w:p>
        </w:tc>
        <w:tc>
          <w:tcPr>
            <w:tcW w:w="2835"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Допълнителна информация</w:t>
            </w:r>
          </w:p>
        </w:tc>
        <w:tc>
          <w:tcPr>
            <w:tcW w:w="2052"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jc w:val="center"/>
        </w:trPr>
        <w:tc>
          <w:tcPr>
            <w:tcW w:w="1912" w:type="dxa"/>
          </w:tcPr>
          <w:p w:rsidR="00A8783E" w:rsidRPr="00A8783E" w:rsidRDefault="00A8783E" w:rsidP="00A8783E">
            <w:pPr>
              <w:spacing w:after="0" w:line="240" w:lineRule="auto"/>
              <w:rPr>
                <w:rFonts w:ascii="Times New Roman" w:hAnsi="Times New Roman"/>
              </w:rPr>
            </w:pPr>
            <w:r w:rsidRPr="00A8783E">
              <w:rPr>
                <w:rFonts w:ascii="Times New Roman" w:hAnsi="Times New Roman"/>
                <w:b/>
              </w:rPr>
              <w:t>Популация</w:t>
            </w:r>
            <w:r w:rsidRPr="00A8783E">
              <w:rPr>
                <w:rFonts w:ascii="Times New Roman" w:hAnsi="Times New Roman"/>
              </w:rPr>
              <w:t>: Размер на гнездовата популацията</w:t>
            </w:r>
          </w:p>
        </w:tc>
        <w:tc>
          <w:tcPr>
            <w:tcW w:w="113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гнездящи двойки</w:t>
            </w:r>
          </w:p>
        </w:tc>
        <w:tc>
          <w:tcPr>
            <w:tcW w:w="12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Най-малко 1 дв. </w:t>
            </w:r>
          </w:p>
        </w:tc>
        <w:tc>
          <w:tcPr>
            <w:tcW w:w="2835"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Определен на база СФ и изследване на </w:t>
            </w:r>
            <w:r w:rsidRPr="00A8783E">
              <w:rPr>
                <w:rFonts w:ascii="Times New Roman" w:hAnsi="Times New Roman"/>
                <w:lang w:val="en-US"/>
              </w:rPr>
              <w:t>Kambourova</w:t>
            </w:r>
            <w:r w:rsidRPr="00A8783E">
              <w:rPr>
                <w:rFonts w:ascii="Times New Roman" w:hAnsi="Times New Roman"/>
              </w:rPr>
              <w:t xml:space="preserve"> (2005), която установява 1 дв. в зоната. За установяване на текущата гнездова популация в зоната са необходими проучвания чрез специфична методика, тъй като видът е нощно активен.</w:t>
            </w:r>
          </w:p>
        </w:tc>
        <w:tc>
          <w:tcPr>
            <w:tcW w:w="2052"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популацията на вида в зоната в размер от най-малко 1 двойка чрез запазване на подходящите местообитания за вида в зоната.</w:t>
            </w:r>
          </w:p>
          <w:p w:rsidR="00A8783E" w:rsidRPr="00A8783E" w:rsidRDefault="00A8783E" w:rsidP="00A8783E">
            <w:pPr>
              <w:spacing w:after="0" w:line="240" w:lineRule="auto"/>
              <w:rPr>
                <w:rFonts w:ascii="Times New Roman" w:hAnsi="Times New Roman"/>
              </w:rPr>
            </w:pPr>
          </w:p>
        </w:tc>
      </w:tr>
      <w:tr w:rsidR="00A8783E" w:rsidRPr="00A8783E" w:rsidTr="005B5318">
        <w:trPr>
          <w:jc w:val="center"/>
        </w:trPr>
        <w:tc>
          <w:tcPr>
            <w:tcW w:w="1912"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rPr>
              <w:t>Местообитание на вида</w:t>
            </w:r>
            <w:r w:rsidRPr="00A8783E">
              <w:rPr>
                <w:rFonts w:ascii="Times New Roman" w:hAnsi="Times New Roman"/>
              </w:rPr>
              <w:t>: площ на подходящите гнездови и хранителни местообитания на вида</w:t>
            </w:r>
          </w:p>
        </w:tc>
        <w:tc>
          <w:tcPr>
            <w:tcW w:w="1134" w:type="dxa"/>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rPr>
              <w:t>ha</w:t>
            </w:r>
          </w:p>
        </w:tc>
        <w:tc>
          <w:tcPr>
            <w:tcW w:w="1276" w:type="dxa"/>
          </w:tcPr>
          <w:p w:rsidR="00A8783E" w:rsidRPr="00A8783E" w:rsidRDefault="00A8783E" w:rsidP="00A8783E">
            <w:pPr>
              <w:spacing w:after="0" w:line="240" w:lineRule="auto"/>
              <w:rPr>
                <w:rFonts w:cs="Calibri"/>
              </w:rPr>
            </w:pPr>
            <w:r w:rsidRPr="00A8783E">
              <w:rPr>
                <w:rFonts w:ascii="Times New Roman" w:hAnsi="Times New Roman"/>
              </w:rPr>
              <w:t>Най-малко 565,</w:t>
            </w:r>
            <w:r w:rsidRPr="00A8783E">
              <w:rPr>
                <w:rFonts w:cs="Calibri"/>
              </w:rPr>
              <w:t xml:space="preserve"> </w:t>
            </w:r>
          </w:p>
          <w:p w:rsidR="00A8783E" w:rsidRPr="00A8783E" w:rsidRDefault="00A8783E" w:rsidP="00A8783E">
            <w:pPr>
              <w:spacing w:after="0" w:line="240" w:lineRule="auto"/>
              <w:rPr>
                <w:rFonts w:ascii="Times New Roman" w:hAnsi="Times New Roman"/>
              </w:rPr>
            </w:pPr>
            <w:r w:rsidRPr="00A8783E">
              <w:rPr>
                <w:rFonts w:ascii="Times New Roman" w:hAnsi="Times New Roman"/>
              </w:rPr>
              <w:t>от тях 370 ha са само тръстика</w:t>
            </w:r>
          </w:p>
        </w:tc>
        <w:tc>
          <w:tcPr>
            <w:tcW w:w="2835"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Включва гнездовото и хранителното местообитание. Площта е определена на база % участие на местообитание N07-мочурища и блата в СФ на зоната.</w:t>
            </w:r>
          </w:p>
        </w:tc>
        <w:tc>
          <w:tcPr>
            <w:tcW w:w="2052"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площта на подходящите гнездови и хранителни местообитания на вида в размер от най-малко 565 ha.</w:t>
            </w:r>
          </w:p>
        </w:tc>
      </w:tr>
      <w:tr w:rsidR="00A8783E" w:rsidRPr="00A8783E" w:rsidTr="005B5318">
        <w:trPr>
          <w:jc w:val="center"/>
        </w:trPr>
        <w:tc>
          <w:tcPr>
            <w:tcW w:w="1912"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Екологично състояние на водните тела с местообитания на вида, по биологичен елемент риби (JDS4-Fish)</w:t>
            </w:r>
          </w:p>
        </w:tc>
        <w:tc>
          <w:tcPr>
            <w:tcW w:w="113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5 степенна скала</w:t>
            </w:r>
          </w:p>
        </w:tc>
        <w:tc>
          <w:tcPr>
            <w:tcW w:w="12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2-Добро или 1-Отлично</w:t>
            </w:r>
          </w:p>
        </w:tc>
        <w:tc>
          <w:tcPr>
            <w:tcW w:w="2835" w:type="dxa"/>
          </w:tcPr>
          <w:tbl>
            <w:tblPr>
              <w:tblW w:w="2666" w:type="dxa"/>
              <w:tblInd w:w="3" w:type="dxa"/>
              <w:tblLayout w:type="fixed"/>
              <w:tblCellMar>
                <w:left w:w="70" w:type="dxa"/>
                <w:right w:w="70" w:type="dxa"/>
              </w:tblCellMar>
              <w:tblLook w:val="00A0" w:firstRow="1" w:lastRow="0" w:firstColumn="1" w:lastColumn="0" w:noHBand="0" w:noVBand="0"/>
            </w:tblPr>
            <w:tblGrid>
              <w:gridCol w:w="2666"/>
            </w:tblGrid>
            <w:tr w:rsidR="00A8783E" w:rsidRPr="00A8783E" w:rsidTr="005B5318">
              <w:trPr>
                <w:trHeight w:val="267"/>
              </w:trPr>
              <w:tc>
                <w:tcPr>
                  <w:tcW w:w="2666"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jc w:val="center"/>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67"/>
              </w:trPr>
              <w:tc>
                <w:tcPr>
                  <w:tcW w:w="2666"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1-Отлично - High</w:t>
                  </w:r>
                </w:p>
              </w:tc>
            </w:tr>
            <w:tr w:rsidR="00A8783E" w:rsidRPr="00A8783E" w:rsidTr="005B5318">
              <w:trPr>
                <w:trHeight w:val="267"/>
              </w:trPr>
              <w:tc>
                <w:tcPr>
                  <w:tcW w:w="2666"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2-Добро - Good</w:t>
                  </w:r>
                </w:p>
              </w:tc>
            </w:tr>
            <w:tr w:rsidR="00A8783E" w:rsidRPr="00A8783E" w:rsidTr="005B5318">
              <w:trPr>
                <w:trHeight w:val="267"/>
              </w:trPr>
              <w:tc>
                <w:tcPr>
                  <w:tcW w:w="2666"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3-Умерено - Moderate</w:t>
                  </w:r>
                </w:p>
              </w:tc>
            </w:tr>
            <w:tr w:rsidR="00A8783E" w:rsidRPr="00A8783E" w:rsidTr="005B5318">
              <w:trPr>
                <w:trHeight w:val="267"/>
              </w:trPr>
              <w:tc>
                <w:tcPr>
                  <w:tcW w:w="2666"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4-Лошо - Poor</w:t>
                  </w:r>
                </w:p>
              </w:tc>
            </w:tr>
            <w:tr w:rsidR="00A8783E" w:rsidRPr="00A8783E" w:rsidTr="005B5318">
              <w:trPr>
                <w:trHeight w:val="267"/>
              </w:trPr>
              <w:tc>
                <w:tcPr>
                  <w:tcW w:w="2666"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по р. Дунав по показател риби (пункт Русе и Силистра) е оценено на </w:t>
            </w:r>
            <w:r w:rsidRPr="00A8783E">
              <w:rPr>
                <w:rFonts w:ascii="Times New Roman" w:hAnsi="Times New Roman"/>
                <w:b/>
                <w:bCs/>
              </w:rPr>
              <w:t xml:space="preserve">умерено (3) </w:t>
            </w:r>
            <w:r w:rsidRPr="00A8783E">
              <w:rPr>
                <w:rFonts w:ascii="Times New Roman" w:hAnsi="Times New Roman"/>
              </w:rPr>
              <w:t>според доклада на JDS4 (2019-2020, стр. 51).</w:t>
            </w:r>
            <w:r w:rsidRPr="00A8783E">
              <w:rPr>
                <w:rFonts w:cs="Calibri"/>
              </w:rPr>
              <w:t xml:space="preserve"> </w:t>
            </w:r>
            <w:r w:rsidRPr="00A8783E">
              <w:rPr>
                <w:rFonts w:ascii="Times New Roman" w:hAnsi="Times New Roman"/>
              </w:rPr>
              <w:t xml:space="preserve">Според данните от биологичния мониторинг на повърхностните води през 2020 г. ЕС на ез. Сребърна </w:t>
            </w:r>
            <w:r w:rsidRPr="00A8783E">
              <w:rPr>
                <w:rFonts w:ascii="Times New Roman" w:hAnsi="Times New Roman"/>
              </w:rPr>
              <w:lastRenderedPageBreak/>
              <w:t xml:space="preserve">е определено като </w:t>
            </w:r>
            <w:r w:rsidRPr="00A8783E">
              <w:rPr>
                <w:rFonts w:ascii="Times New Roman" w:hAnsi="Times New Roman"/>
                <w:b/>
              </w:rPr>
              <w:t>Отлично</w:t>
            </w:r>
            <w:r w:rsidRPr="00A8783E">
              <w:rPr>
                <w:rFonts w:ascii="Times New Roman" w:hAnsi="Times New Roman"/>
              </w:rPr>
              <w:t xml:space="preserve"> (</w:t>
            </w:r>
            <w:r w:rsidRPr="00A8783E">
              <w:rPr>
                <w:rFonts w:ascii="Times New Roman" w:hAnsi="Times New Roman"/>
                <w:b/>
              </w:rPr>
              <w:t>1</w:t>
            </w:r>
            <w:r w:rsidRPr="00A8783E">
              <w:rPr>
                <w:rFonts w:ascii="Times New Roman" w:hAnsi="Times New Roman"/>
              </w:rPr>
              <w:t xml:space="preserve">) по БЕК Макрозообентос и </w:t>
            </w:r>
            <w:r w:rsidRPr="00A8783E">
              <w:rPr>
                <w:rFonts w:ascii="Times New Roman" w:hAnsi="Times New Roman"/>
                <w:b/>
              </w:rPr>
              <w:t>Умерено</w:t>
            </w:r>
            <w:r w:rsidRPr="00A8783E">
              <w:rPr>
                <w:rFonts w:ascii="Times New Roman" w:hAnsi="Times New Roman"/>
              </w:rPr>
              <w:t xml:space="preserve"> по БЕК Риби.</w:t>
            </w:r>
          </w:p>
        </w:tc>
        <w:tc>
          <w:tcPr>
            <w:tcW w:w="2052"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lastRenderedPageBreak/>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60" w:line="259" w:lineRule="auto"/>
        <w:rPr>
          <w:rFonts w:ascii="Times New Roman" w:hAnsi="Times New Roman"/>
          <w:b/>
          <w:bCs/>
          <w:sz w:val="24"/>
          <w:szCs w:val="24"/>
        </w:rPr>
      </w:pPr>
    </w:p>
    <w:p w:rsidR="00A8783E" w:rsidRPr="00A8783E" w:rsidRDefault="00A8783E" w:rsidP="00A8783E">
      <w:pPr>
        <w:spacing w:after="16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Не са необходими промени в СФ.</w:t>
      </w:r>
    </w:p>
    <w:bookmarkEnd w:id="333"/>
    <w:p w:rsidR="00A8783E" w:rsidRPr="00A8783E" w:rsidRDefault="00A8783E" w:rsidP="00A8783E">
      <w:pPr>
        <w:keepNext/>
        <w:keepLines/>
        <w:spacing w:before="40" w:after="0" w:line="259" w:lineRule="auto"/>
        <w:rPr>
          <w:rFonts w:ascii="Calibri Light" w:hAnsi="Calibri Light" w:cs="Calibri Light"/>
          <w:color w:val="2E74B5"/>
          <w:sz w:val="26"/>
          <w:szCs w:val="26"/>
        </w:rPr>
      </w:pPr>
    </w:p>
    <w:p w:rsidR="00A8783E" w:rsidRPr="00A8783E" w:rsidRDefault="00A8783E" w:rsidP="00A8783E">
      <w:pPr>
        <w:keepNext/>
        <w:keepLines/>
        <w:spacing w:before="120" w:after="120" w:line="240" w:lineRule="auto"/>
        <w:outlineLvl w:val="1"/>
        <w:rPr>
          <w:rFonts w:ascii="Times New Roman" w:hAnsi="Times New Roman"/>
          <w:color w:val="1F497D"/>
          <w:sz w:val="28"/>
          <w:szCs w:val="28"/>
        </w:rPr>
      </w:pPr>
      <w:bookmarkStart w:id="334" w:name="_Toc89106116"/>
      <w:bookmarkStart w:id="335" w:name="_Toc98741955"/>
      <w:bookmarkStart w:id="336" w:name="_Toc98838630"/>
      <w:r w:rsidRPr="00A8783E">
        <w:rPr>
          <w:rFonts w:ascii="Times New Roman" w:hAnsi="Times New Roman"/>
          <w:color w:val="1F497D"/>
          <w:sz w:val="28"/>
          <w:szCs w:val="28"/>
        </w:rPr>
        <w:t xml:space="preserve">Специфични цели за </w:t>
      </w:r>
      <w:r w:rsidRPr="00A8783E">
        <w:rPr>
          <w:rFonts w:ascii="Times New Roman" w:hAnsi="Times New Roman"/>
          <w:color w:val="1F497D"/>
          <w:sz w:val="28"/>
          <w:szCs w:val="28"/>
          <w:lang w:val="en-US"/>
        </w:rPr>
        <w:t>A</w:t>
      </w:r>
      <w:r w:rsidRPr="00A8783E">
        <w:rPr>
          <w:rFonts w:ascii="Times New Roman" w:hAnsi="Times New Roman"/>
          <w:color w:val="1F497D"/>
          <w:sz w:val="28"/>
          <w:szCs w:val="28"/>
        </w:rPr>
        <w:t xml:space="preserve">120/А892 </w:t>
      </w:r>
      <w:r w:rsidRPr="00A8783E">
        <w:rPr>
          <w:rFonts w:ascii="Times New Roman" w:hAnsi="Times New Roman"/>
          <w:i/>
          <w:color w:val="1F497D"/>
          <w:sz w:val="28"/>
          <w:szCs w:val="28"/>
          <w:lang w:val="en-US"/>
        </w:rPr>
        <w:t>Porzana</w:t>
      </w:r>
      <w:r w:rsidRPr="00A8783E">
        <w:rPr>
          <w:rFonts w:ascii="Times New Roman" w:hAnsi="Times New Roman"/>
          <w:i/>
          <w:color w:val="1F497D"/>
          <w:sz w:val="28"/>
          <w:szCs w:val="28"/>
        </w:rPr>
        <w:t xml:space="preserve"> </w:t>
      </w:r>
      <w:r w:rsidRPr="00A8783E">
        <w:rPr>
          <w:rFonts w:ascii="Times New Roman" w:hAnsi="Times New Roman"/>
          <w:i/>
          <w:color w:val="1F497D"/>
          <w:sz w:val="28"/>
          <w:szCs w:val="28"/>
          <w:lang w:val="en-US"/>
        </w:rPr>
        <w:t>parva</w:t>
      </w:r>
      <w:r w:rsidRPr="00A8783E">
        <w:rPr>
          <w:rFonts w:ascii="Times New Roman" w:hAnsi="Times New Roman"/>
          <w:i/>
          <w:color w:val="1F497D"/>
          <w:sz w:val="28"/>
          <w:szCs w:val="28"/>
        </w:rPr>
        <w:t xml:space="preserve"> / </w:t>
      </w:r>
      <w:r w:rsidRPr="00A8783E">
        <w:rPr>
          <w:rFonts w:ascii="Times New Roman" w:hAnsi="Times New Roman"/>
          <w:i/>
          <w:color w:val="1F497D"/>
          <w:sz w:val="28"/>
          <w:szCs w:val="28"/>
          <w:lang w:val="en-US"/>
        </w:rPr>
        <w:t>Zapornia</w:t>
      </w:r>
      <w:r w:rsidRPr="00A8783E">
        <w:rPr>
          <w:rFonts w:ascii="Times New Roman" w:hAnsi="Times New Roman"/>
          <w:i/>
          <w:iCs/>
          <w:color w:val="1F497D"/>
          <w:sz w:val="28"/>
          <w:szCs w:val="28"/>
        </w:rPr>
        <w:t xml:space="preserve"> parva</w:t>
      </w:r>
      <w:r w:rsidRPr="00A8783E">
        <w:rPr>
          <w:rFonts w:ascii="Times New Roman" w:hAnsi="Times New Roman"/>
          <w:color w:val="1F497D"/>
          <w:sz w:val="28"/>
          <w:szCs w:val="28"/>
        </w:rPr>
        <w:t xml:space="preserve"> (средна пъструшка)</w:t>
      </w:r>
      <w:bookmarkEnd w:id="334"/>
      <w:bookmarkEnd w:id="335"/>
      <w:bookmarkEnd w:id="336"/>
    </w:p>
    <w:p w:rsidR="00A8783E" w:rsidRPr="00A8783E" w:rsidRDefault="00A8783E" w:rsidP="00A8783E">
      <w:pPr>
        <w:spacing w:before="120" w:after="120" w:line="240" w:lineRule="auto"/>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18-20 cm, размах на крилата: 34-39 cm. Двата пола са отличими един от друг. Сезонни различия има само при мъжкия. Мъжкият отгоре е ръждивокафява с големи черни петна и бели резки; бузите, шията и долната част на тялото са синьо сиви, а по слабините има белезникави препаски. Клюнът и краката са зеленикави. Женската отдолу е светлокафява и има сива надочна ивица. Младите наподобяват женските, но надочната ивица е кафява и отдолу са с кафяви препаски. Особено внимание изисква разграничаването на мъжкият от възрастните мъжки и женски на малката пъструшка. От декември до май всяка пъструшка с ръждивокафява долна страна на тялото би трябвало да е женска средна пъструшка (Симеонов и др., 1990; Мичев и др., 2012). </w:t>
      </w:r>
    </w:p>
    <w:p w:rsidR="00A8783E" w:rsidRPr="00A8783E" w:rsidRDefault="00A8783E" w:rsidP="00A8783E">
      <w:pPr>
        <w:spacing w:after="160" w:line="259" w:lineRule="auto"/>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Гнездещо-прелетен вид с фрагментирано разпространение. По Черноморското крайбрежие долита през април. Сроковете за миграцията в Розовата долина са март и октомври, а в Софийското поле: март и септември-началото на октомври. Токуването на мъжките е от средата на април до средата на първата десетдневка на юни. По време на миграции се среща рядко по морски крайбрежия (Симеонов и др., 1990; Мичев и др., 2012; Червена книга на Р България 2015).</w:t>
      </w:r>
    </w:p>
    <w:p w:rsidR="00A8783E" w:rsidRPr="00A8783E" w:rsidRDefault="00A8783E" w:rsidP="00A8783E">
      <w:pPr>
        <w:spacing w:after="160" w:line="259" w:lineRule="auto"/>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sz w:val="24"/>
          <w:szCs w:val="24"/>
        </w:rPr>
        <w:t>Обитава значителни по площ водоеми, сладководни и полусолени блата, обширни мочурища и мочурливи ливади, оризища, торфени блата и влажни ливади по периферията им предимно обрасли с гъста тръстика и папур. Обширни, рехави тръстикови масиви, изпъстрени с малки водни огледала и плаваща водна растителност; отводнителни канали. Гнездата са разположени на водната повърхност или над нивото на водата сред тръстиката. Изградени са от тънки стъбла и листа на тръстика,</w:t>
      </w:r>
      <w:r w:rsidRPr="00A8783E">
        <w:rPr>
          <w:rFonts w:ascii="Times New Roman" w:hAnsi="Times New Roman"/>
          <w:i/>
          <w:iCs/>
          <w:sz w:val="24"/>
          <w:szCs w:val="24"/>
        </w:rPr>
        <w:t xml:space="preserve"> Typha spp., Carex spp.,</w:t>
      </w:r>
      <w:r w:rsidRPr="00A8783E">
        <w:rPr>
          <w:sz w:val="24"/>
          <w:szCs w:val="24"/>
        </w:rPr>
        <w:t xml:space="preserve"> </w:t>
      </w:r>
      <w:r w:rsidRPr="00A8783E">
        <w:rPr>
          <w:rFonts w:ascii="Times New Roman" w:hAnsi="Times New Roman"/>
          <w:i/>
          <w:iCs/>
          <w:sz w:val="24"/>
          <w:szCs w:val="24"/>
        </w:rPr>
        <w:t>Phragmites australis, Alisma plantago-aquatica,</w:t>
      </w:r>
      <w:r w:rsidRPr="00A8783E">
        <w:rPr>
          <w:sz w:val="24"/>
          <w:szCs w:val="24"/>
        </w:rPr>
        <w:t xml:space="preserve"> </w:t>
      </w:r>
      <w:r w:rsidRPr="00A8783E">
        <w:rPr>
          <w:rFonts w:ascii="Times New Roman" w:hAnsi="Times New Roman"/>
          <w:i/>
          <w:iCs/>
          <w:sz w:val="24"/>
          <w:szCs w:val="24"/>
        </w:rPr>
        <w:t>Glyceria maxima</w:t>
      </w:r>
      <w:r w:rsidRPr="00A8783E">
        <w:rPr>
          <w:rFonts w:ascii="Times New Roman" w:hAnsi="Times New Roman"/>
          <w:sz w:val="24"/>
          <w:szCs w:val="24"/>
        </w:rPr>
        <w:t xml:space="preserve"> (Симеонов и др. 1990; Jedlikowski et al. 2014; Червена книга на Р България, 2015). Според Jedlikowski et al. (2014), в Североизточна Полша за 14 водни обекта средната плътност е 1.07 двойки/</w:t>
      </w:r>
      <w:r w:rsidRPr="00A8783E">
        <w:rPr>
          <w:rFonts w:ascii="Times New Roman" w:hAnsi="Times New Roman"/>
          <w:sz w:val="24"/>
          <w:szCs w:val="24"/>
          <w:lang w:val="en-US"/>
        </w:rPr>
        <w:t>ha</w:t>
      </w:r>
      <w:r w:rsidRPr="00A8783E">
        <w:rPr>
          <w:rFonts w:ascii="Times New Roman" w:hAnsi="Times New Roman"/>
          <w:sz w:val="24"/>
          <w:szCs w:val="24"/>
        </w:rPr>
        <w:t xml:space="preserve">. Дълбочината на водата в местата за гнездене варира между 40 и 91 </w:t>
      </w:r>
      <w:r w:rsidRPr="00A8783E">
        <w:rPr>
          <w:rFonts w:ascii="Times New Roman" w:hAnsi="Times New Roman"/>
          <w:sz w:val="24"/>
          <w:szCs w:val="24"/>
          <w:lang w:val="en-US"/>
        </w:rPr>
        <w:t>cm</w:t>
      </w:r>
      <w:r w:rsidRPr="00A8783E">
        <w:rPr>
          <w:rFonts w:ascii="Times New Roman" w:hAnsi="Times New Roman"/>
          <w:sz w:val="24"/>
          <w:szCs w:val="24"/>
        </w:rPr>
        <w:t xml:space="preserve">, гъстотата на растителността е между 321 и 467 растителни стъбла на квадратен метър, като папурът доминира (Stermin et al., 2011). Разстоянието между две съседни гнезда е средно 75,9 </w:t>
      </w:r>
      <w:r w:rsidRPr="00A8783E">
        <w:rPr>
          <w:rFonts w:ascii="Times New Roman" w:hAnsi="Times New Roman"/>
          <w:sz w:val="24"/>
          <w:szCs w:val="24"/>
          <w:lang w:val="en-US"/>
        </w:rPr>
        <w:t>cm</w:t>
      </w:r>
      <w:r w:rsidRPr="00A8783E">
        <w:rPr>
          <w:rFonts w:ascii="Times New Roman" w:hAnsi="Times New Roman"/>
          <w:sz w:val="24"/>
          <w:szCs w:val="24"/>
        </w:rPr>
        <w:t xml:space="preserve"> (Jedlikowski et al., 2014).</w:t>
      </w:r>
    </w:p>
    <w:p w:rsidR="00A8783E" w:rsidRPr="00A8783E" w:rsidRDefault="00A8783E" w:rsidP="00A8783E">
      <w:pPr>
        <w:spacing w:after="160" w:line="259" w:lineRule="auto"/>
        <w:rPr>
          <w:rFonts w:ascii="Times New Roman" w:hAnsi="Times New Roman"/>
          <w:i/>
          <w:iCs/>
          <w:sz w:val="24"/>
          <w:szCs w:val="24"/>
        </w:rPr>
      </w:pPr>
      <w:r w:rsidRPr="00A8783E">
        <w:rPr>
          <w:rFonts w:ascii="Times New Roman" w:hAnsi="Times New Roman"/>
          <w:i/>
          <w:iCs/>
          <w:sz w:val="24"/>
          <w:szCs w:val="24"/>
        </w:rPr>
        <w:lastRenderedPageBreak/>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Ядат предимно водни насекоми и дребни безгръбначни - червеи, паяци, насекоми и охлюви, както и семена от водни растения и вегетативни части, и по-рядко водни насекоми и дребни безгръбначни (Ciach, 2004; Червена книга на Р България 2015).</w:t>
      </w:r>
    </w:p>
    <w:p w:rsidR="00A8783E" w:rsidRPr="00A8783E" w:rsidRDefault="00A8783E" w:rsidP="00A8783E">
      <w:pPr>
        <w:spacing w:after="160" w:line="259"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autoSpaceDE w:val="0"/>
        <w:autoSpaceDN w:val="0"/>
        <w:adjustRightInd w:val="0"/>
        <w:spacing w:before="120" w:after="120" w:line="240" w:lineRule="auto"/>
        <w:jc w:val="both"/>
        <w:rPr>
          <w:rFonts w:ascii="Times New Roman" w:eastAsia="GroteskHSBg-Light" w:hAnsi="Times New Roman"/>
          <w:sz w:val="24"/>
          <w:szCs w:val="24"/>
        </w:rPr>
      </w:pPr>
      <w:r w:rsidRPr="00A8783E">
        <w:rPr>
          <w:rFonts w:ascii="Times New Roman" w:eastAsia="GroteskHSBg-Light" w:hAnsi="Times New Roman"/>
          <w:sz w:val="24"/>
          <w:szCs w:val="24"/>
        </w:rPr>
        <w:t xml:space="preserve">С разпръснати изолирани гнездовища, основно по Дунавското и Черноморското крайбрежие и Софийското поле, но и в бившето Стралджанско блато, Тракийската низина, Чокльово блато и др. В редица находища гнезди непериодично, включително в наглед много подходящи биотопи (Драгоманско блато, рибарници Орсоя, Чокльово блато). Поради потайния начин на живот и кратък период на токуване е възможно някои находища да са останали неустановени. Най-значимо гнездовище е Дуранкулашкото езеро – Орлово блато. На второ място по значимост като цяло е Дунавското крайбрежие, особено рибарниците Мечка и Калимок. Във вътрешността на страната важно гнездовище са рибарници Петърч </w:t>
      </w:r>
      <w:r w:rsidRPr="00A8783E">
        <w:rPr>
          <w:rFonts w:ascii="Times New Roman" w:hAnsi="Times New Roman"/>
          <w:sz w:val="24"/>
          <w:szCs w:val="24"/>
        </w:rPr>
        <w:t>(Янков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Включен в Приложение 1 на Директивата за птиците и Приложение 2 и 3 на ЗБР. Включен е в Червената книга на България със статус - критично застрашен CR. Според IUCN е слабо засегнат - </w:t>
      </w:r>
      <w:r w:rsidRPr="00A8783E">
        <w:rPr>
          <w:rFonts w:ascii="Times New Roman" w:hAnsi="Times New Roman"/>
          <w:sz w:val="24"/>
          <w:szCs w:val="24"/>
          <w:lang w:val="en-US"/>
        </w:rPr>
        <w:t>LC</w:t>
      </w:r>
      <w:r w:rsidRPr="00A8783E">
        <w:rPr>
          <w:rFonts w:ascii="Times New Roman" w:hAnsi="Times New Roman"/>
          <w:sz w:val="24"/>
          <w:szCs w:val="24"/>
        </w:rPr>
        <w:t xml:space="preserve"> (Least Concern), за територията на континентална Европа.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оценява на 300 – 600 брой пеещи мъжки. Краткосрочната тенденция на популацията (за периода 2001 – 2018 г.) е неизвестна, а дългосрочната (за периода 1980 – 2018 г.) неизвестна. За гнездящата популация са посочени следните заплахи и влияния: J03.</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lang w:eastAsia="bg-BG"/>
        </w:rPr>
        <w:t xml:space="preserve">Съгласно стандартния формуляр за данни СФ на зоната видът е гнездящ. </w:t>
      </w:r>
      <w:r w:rsidRPr="00A8783E">
        <w:rPr>
          <w:rFonts w:ascii="Times New Roman" w:hAnsi="Times New Roman"/>
          <w:b/>
          <w:bCs/>
          <w:sz w:val="24"/>
          <w:szCs w:val="24"/>
        </w:rPr>
        <w:t xml:space="preserve">Гнездящата </w:t>
      </w:r>
      <w:r w:rsidRPr="00A8783E">
        <w:rPr>
          <w:rFonts w:ascii="Times New Roman" w:hAnsi="Times New Roman"/>
          <w:bCs/>
          <w:sz w:val="24"/>
          <w:szCs w:val="24"/>
        </w:rPr>
        <w:t>популация</w:t>
      </w:r>
      <w:r w:rsidRPr="00A8783E">
        <w:rPr>
          <w:rFonts w:ascii="Times New Roman" w:hAnsi="Times New Roman"/>
          <w:sz w:val="24"/>
          <w:szCs w:val="24"/>
        </w:rPr>
        <w:t xml:space="preserve"> се оценява на </w:t>
      </w:r>
      <w:r w:rsidRPr="00A8783E">
        <w:rPr>
          <w:rFonts w:ascii="Times New Roman" w:hAnsi="Times New Roman"/>
          <w:b/>
          <w:bCs/>
          <w:sz w:val="24"/>
          <w:szCs w:val="24"/>
        </w:rPr>
        <w:t>1-2 двойки</w:t>
      </w:r>
      <w:r w:rsidRPr="00A8783E">
        <w:rPr>
          <w:rFonts w:ascii="Times New Roman" w:hAnsi="Times New Roman"/>
          <w:sz w:val="24"/>
          <w:szCs w:val="24"/>
        </w:rPr>
        <w:t xml:space="preserve">, което представлява </w:t>
      </w:r>
      <w:r w:rsidRPr="00A8783E">
        <w:rPr>
          <w:rFonts w:ascii="Times New Roman" w:hAnsi="Times New Roman"/>
          <w:bCs/>
          <w:sz w:val="24"/>
          <w:szCs w:val="24"/>
        </w:rPr>
        <w:t xml:space="preserve">0,33 % </w:t>
      </w:r>
      <w:r w:rsidRPr="00A8783E">
        <w:rPr>
          <w:rFonts w:ascii="Times New Roman" w:hAnsi="Times New Roman"/>
          <w:sz w:val="24"/>
          <w:szCs w:val="24"/>
        </w:rPr>
        <w:t>от националната популация (оценка „С“). Опазването на вида е добро (оценка „</w:t>
      </w:r>
      <w:r w:rsidRPr="00A8783E">
        <w:rPr>
          <w:rFonts w:ascii="Times New Roman" w:hAnsi="Times New Roman"/>
          <w:sz w:val="24"/>
          <w:szCs w:val="24"/>
          <w:lang w:val="en-US"/>
        </w:rPr>
        <w:t>B</w:t>
      </w:r>
      <w:r w:rsidRPr="00A8783E">
        <w:rPr>
          <w:rFonts w:ascii="Times New Roman" w:hAnsi="Times New Roman"/>
          <w:sz w:val="24"/>
          <w:szCs w:val="24"/>
        </w:rPr>
        <w:t>“), популацията не е изолирана в рамките на разширен ареал (оценка „С“). Общата оценка на стойността на зоната за съхранение на вида е „</w:t>
      </w:r>
      <w:r w:rsidRPr="00A8783E">
        <w:rPr>
          <w:rFonts w:ascii="Times New Roman" w:hAnsi="Times New Roman"/>
          <w:sz w:val="24"/>
          <w:szCs w:val="24"/>
          <w:lang w:val="en-US"/>
        </w:rPr>
        <w:t>C</w:t>
      </w:r>
      <w:r w:rsidRPr="00A8783E">
        <w:rPr>
          <w:rFonts w:ascii="Times New Roman" w:hAnsi="Times New Roman"/>
          <w:sz w:val="24"/>
          <w:szCs w:val="24"/>
        </w:rPr>
        <w:t>“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4. Анализ на наличната информация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Видът е със скрит начин на живот като мъжкият токува главно през тъмната част на денонощието. Видът се установява, че присъства в дадена територия най-често по токуването на мъжките индивиди през май и юни. Резултатите от мониторинг на водолюбивите птици в защитена зона „Сребърна” за периода 2010-2012 г. не показват гнездене на средната пъструшка (Матеева и др., 2013 г.). Видът е регистриран в резерват „Сребърна“ с численост 3 индивида през месец май 2012 г. (observation.org). По време на теренното проучване в защитената зона през гнездовия период на 2021 г. видът не беше отчетен. Няма други публикувани данни за гнезденето на вида в защитената зона. Необходими са проучвания в защитената зона по определена методика, за да се установи дали видът гнезди понастоящем в зоната.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Посочените заплахи за вида в Докладването от 2019 г. - J03 - замърсяване на въздуха от смесени източници, въздушнопреносими замърсители не са валидни за СЗЗ „Сребърна“. Заплахи за вида могат да бъдат ниското ниво на водата в езерото и премахването на мъртва водна растителност, която служи за прикритие от хищници и неблагоприятни условия (горещини, дъждове). Листата и стъблата от предходната </w:t>
      </w:r>
      <w:r w:rsidRPr="00A8783E">
        <w:rPr>
          <w:rFonts w:ascii="Times New Roman" w:hAnsi="Times New Roman"/>
          <w:sz w:val="24"/>
          <w:szCs w:val="24"/>
        </w:rPr>
        <w:lastRenderedPageBreak/>
        <w:t>година са важен материал за гнездата. Конкуренцията с крещалеца също може да има негативен ефект, тъй като той е силно териториален и агресивен с другите видове птици по време на гнездовия период. За да се намали тази конкуренция е необходимо да се поддържа разнообразие на местообитанията според изискванията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134"/>
        <w:gridCol w:w="1134"/>
        <w:gridCol w:w="3053"/>
        <w:gridCol w:w="2485"/>
      </w:tblGrid>
      <w:tr w:rsidR="00A8783E" w:rsidRPr="00A8783E" w:rsidTr="005B5318">
        <w:trPr>
          <w:tblHeader/>
          <w:jc w:val="center"/>
        </w:trPr>
        <w:tc>
          <w:tcPr>
            <w:tcW w:w="169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3053"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48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696"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гнездовата популацията</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гнездящи двойки</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 двойка</w:t>
            </w:r>
          </w:p>
        </w:tc>
        <w:tc>
          <w:tcPr>
            <w:tcW w:w="305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 настоящия СФ (актуализиран през 2018 г.) са посочени 1-2 гнездящи двойки. В резултат на извършения мониторинг в защитената зона през гнездовия период на 2021 г. видът не беше установен, вероятно поради скрития начин на живот, който води. Няма други публикувани данни за гнезденето на вида в защитената зона.</w:t>
            </w:r>
          </w:p>
        </w:tc>
        <w:tc>
          <w:tcPr>
            <w:tcW w:w="248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популацията на вида в зоната в размер от най-малко 1 гнездяща двойка.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Междинна цел</w:t>
            </w:r>
            <w:r w:rsidRPr="00A8783E">
              <w:rPr>
                <w:rFonts w:ascii="Times New Roman" w:hAnsi="Times New Roman"/>
              </w:rPr>
              <w:t>: Да се извърши целенасочен мониторинг за установяване на точния брой гнездящи двойки до 2025 г.</w:t>
            </w:r>
          </w:p>
        </w:tc>
      </w:tr>
      <w:tr w:rsidR="00A8783E" w:rsidRPr="00A8783E" w:rsidTr="005B5318">
        <w:trPr>
          <w:trHeight w:val="748"/>
          <w:jc w:val="center"/>
        </w:trPr>
        <w:tc>
          <w:tcPr>
            <w:tcW w:w="169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гнездови местообитания на вида</w:t>
            </w:r>
          </w:p>
        </w:tc>
        <w:tc>
          <w:tcPr>
            <w:tcW w:w="1134"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134" w:type="dxa"/>
          </w:tcPr>
          <w:p w:rsidR="00A8783E" w:rsidRPr="00A8783E" w:rsidRDefault="00A8783E" w:rsidP="00A8783E">
            <w:pPr>
              <w:spacing w:after="0" w:line="240" w:lineRule="auto"/>
              <w:jc w:val="both"/>
              <w:rPr>
                <w:rFonts w:ascii="Times New Roman" w:hAnsi="Times New Roman"/>
                <w:lang w:val="ru-RU"/>
              </w:rPr>
            </w:pPr>
            <w:r w:rsidRPr="00A8783E">
              <w:rPr>
                <w:rFonts w:ascii="Times New Roman" w:hAnsi="Times New Roman"/>
              </w:rPr>
              <w:t xml:space="preserve">Най-малко 1 </w:t>
            </w:r>
            <w:r w:rsidRPr="00A8783E">
              <w:rPr>
                <w:rFonts w:ascii="Times New Roman" w:hAnsi="Times New Roman"/>
                <w:lang w:val="en-US"/>
              </w:rPr>
              <w:t>ha</w:t>
            </w:r>
            <w:r w:rsidRPr="00A8783E">
              <w:rPr>
                <w:rFonts w:ascii="Times New Roman" w:hAnsi="Times New Roman"/>
              </w:rPr>
              <w:t xml:space="preserve"> за 1 двойка</w:t>
            </w:r>
          </w:p>
        </w:tc>
        <w:tc>
          <w:tcPr>
            <w:tcW w:w="305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Дълбочината на водата в местата за гнездене варира между 40 и 91 см, гъстотата на растителността е между 321 и 467 растителни стъбла на квадратен метър, като папурът доминира </w:t>
            </w:r>
            <w:r w:rsidRPr="00A8783E">
              <w:rPr>
                <w:rFonts w:ascii="Times New Roman" w:hAnsi="Times New Roman"/>
                <w:lang w:val="ru-RU"/>
              </w:rPr>
              <w:t>(</w:t>
            </w:r>
            <w:r w:rsidRPr="00A8783E">
              <w:rPr>
                <w:rFonts w:ascii="Times New Roman" w:hAnsi="Times New Roman"/>
                <w:lang w:val="en-US"/>
              </w:rPr>
              <w:t>Stermin</w:t>
            </w:r>
            <w:r w:rsidRPr="00A8783E">
              <w:rPr>
                <w:rFonts w:ascii="Times New Roman" w:hAnsi="Times New Roman"/>
                <w:lang w:val="ru-RU"/>
              </w:rPr>
              <w:t xml:space="preserve"> </w:t>
            </w:r>
            <w:r w:rsidRPr="00A8783E">
              <w:rPr>
                <w:rFonts w:ascii="Times New Roman" w:hAnsi="Times New Roman"/>
                <w:lang w:val="en-US"/>
              </w:rPr>
              <w:t>et</w:t>
            </w:r>
            <w:r w:rsidRPr="00A8783E">
              <w:rPr>
                <w:rFonts w:ascii="Times New Roman" w:hAnsi="Times New Roman"/>
                <w:lang w:val="ru-RU"/>
              </w:rPr>
              <w:t xml:space="preserve"> </w:t>
            </w:r>
            <w:r w:rsidRPr="00A8783E">
              <w:rPr>
                <w:rFonts w:ascii="Times New Roman" w:hAnsi="Times New Roman"/>
                <w:lang w:val="en-US"/>
              </w:rPr>
              <w:t>al</w:t>
            </w:r>
            <w:r w:rsidRPr="00A8783E">
              <w:rPr>
                <w:rFonts w:ascii="Times New Roman" w:hAnsi="Times New Roman"/>
                <w:lang w:val="ru-RU"/>
              </w:rPr>
              <w:t>., 2011).</w:t>
            </w:r>
            <w:r w:rsidRPr="00A8783E">
              <w:rPr>
                <w:rFonts w:ascii="Times New Roman" w:hAnsi="Times New Roman"/>
              </w:rPr>
              <w:t xml:space="preserve"> Разстоянието между две съседни гнезда е средно 75,9 м (</w:t>
            </w:r>
            <w:r w:rsidRPr="00A8783E">
              <w:rPr>
                <w:rFonts w:ascii="Times New Roman" w:hAnsi="Times New Roman"/>
                <w:lang w:val="en-US"/>
              </w:rPr>
              <w:t>Jedlikowski</w:t>
            </w:r>
            <w:r w:rsidRPr="00A8783E">
              <w:rPr>
                <w:rFonts w:ascii="Times New Roman" w:hAnsi="Times New Roman"/>
              </w:rPr>
              <w:t xml:space="preserve"> </w:t>
            </w:r>
            <w:r w:rsidRPr="00A8783E">
              <w:rPr>
                <w:rFonts w:ascii="Times New Roman" w:hAnsi="Times New Roman"/>
                <w:lang w:val="en-US"/>
              </w:rPr>
              <w:t>et</w:t>
            </w:r>
            <w:r w:rsidRPr="00A8783E">
              <w:rPr>
                <w:rFonts w:ascii="Times New Roman" w:hAnsi="Times New Roman"/>
              </w:rPr>
              <w:t xml:space="preserve"> </w:t>
            </w:r>
            <w:r w:rsidRPr="00A8783E">
              <w:rPr>
                <w:rFonts w:ascii="Times New Roman" w:hAnsi="Times New Roman"/>
                <w:lang w:val="en-US"/>
              </w:rPr>
              <w:t>al</w:t>
            </w:r>
            <w:r w:rsidRPr="00A8783E">
              <w:rPr>
                <w:rFonts w:ascii="Times New Roman" w:hAnsi="Times New Roman"/>
              </w:rPr>
              <w:t>., 2014).</w:t>
            </w:r>
          </w:p>
        </w:tc>
        <w:tc>
          <w:tcPr>
            <w:tcW w:w="248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площта на подходящите гнездови местообитания на вида в защитената зона. Поддържане на подходящо ниво на водата и гъста водна растителност. Да се избягва пълното премахване на стара растителност.</w:t>
            </w:r>
          </w:p>
        </w:tc>
      </w:tr>
      <w:tr w:rsidR="00A8783E" w:rsidRPr="00A8783E" w:rsidTr="005B5318">
        <w:trPr>
          <w:trHeight w:val="748"/>
          <w:jc w:val="center"/>
        </w:trPr>
        <w:tc>
          <w:tcPr>
            <w:tcW w:w="1696"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 xml:space="preserve">Площ на подходящите хранителни местообитания на вида </w:t>
            </w:r>
          </w:p>
        </w:tc>
        <w:tc>
          <w:tcPr>
            <w:tcW w:w="1134"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134" w:type="dxa"/>
          </w:tcPr>
          <w:p w:rsidR="00A8783E" w:rsidRPr="00A8783E" w:rsidRDefault="00A8783E" w:rsidP="00A8783E">
            <w:pPr>
              <w:spacing w:after="0" w:line="240" w:lineRule="auto"/>
              <w:rPr>
                <w:rFonts w:cs="Calibri"/>
              </w:rPr>
            </w:pPr>
            <w:r w:rsidRPr="00A8783E">
              <w:rPr>
                <w:rFonts w:ascii="Times New Roman" w:hAnsi="Times New Roman"/>
              </w:rPr>
              <w:t>Най-малко 565,</w:t>
            </w:r>
            <w:r w:rsidRPr="00A8783E">
              <w:rPr>
                <w:rFonts w:cs="Calibri"/>
              </w:rPr>
              <w:t xml:space="preserve"> </w:t>
            </w:r>
          </w:p>
          <w:p w:rsidR="00A8783E" w:rsidRPr="00A8783E" w:rsidRDefault="00A8783E" w:rsidP="00A8783E">
            <w:pPr>
              <w:spacing w:after="0" w:line="240" w:lineRule="auto"/>
              <w:rPr>
                <w:rFonts w:ascii="Times New Roman" w:hAnsi="Times New Roman"/>
              </w:rPr>
            </w:pPr>
            <w:r w:rsidRPr="00A8783E">
              <w:rPr>
                <w:rFonts w:ascii="Times New Roman" w:hAnsi="Times New Roman"/>
              </w:rPr>
              <w:t>от тях 370 ha са само тръстика</w:t>
            </w:r>
          </w:p>
        </w:tc>
        <w:tc>
          <w:tcPr>
            <w:tcW w:w="3053"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Включва гнездовото и хранителното местообитание. Площта е определена на база % участие на местообитание N07-мочурища и блата в СФ на зоната.</w:t>
            </w:r>
          </w:p>
        </w:tc>
        <w:tc>
          <w:tcPr>
            <w:tcW w:w="2485"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площта на подходящите гнездови и хранителни местообитания на вида в размер от най-малко 565 ha.</w:t>
            </w:r>
          </w:p>
        </w:tc>
      </w:tr>
      <w:tr w:rsidR="00A8783E" w:rsidRPr="00A8783E" w:rsidTr="005B5318">
        <w:trPr>
          <w:trHeight w:val="1504"/>
          <w:jc w:val="center"/>
        </w:trPr>
        <w:tc>
          <w:tcPr>
            <w:tcW w:w="169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Екологично състояние на водните тела с местообитания на вида – по биологичен елемент водни безгръбначни (JDS4-Aquatic Macroinvertebrates)</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 степенна скала за екологично състояние</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1-Отлично/2-Добро</w:t>
            </w:r>
          </w:p>
        </w:tc>
        <w:tc>
          <w:tcPr>
            <w:tcW w:w="3053" w:type="dxa"/>
          </w:tcPr>
          <w:tbl>
            <w:tblPr>
              <w:tblW w:w="3265" w:type="dxa"/>
              <w:jc w:val="center"/>
              <w:tblLayout w:type="fixed"/>
              <w:tblCellMar>
                <w:left w:w="70" w:type="dxa"/>
                <w:right w:w="70" w:type="dxa"/>
              </w:tblCellMar>
              <w:tblLook w:val="00A0" w:firstRow="1" w:lastRow="0" w:firstColumn="1" w:lastColumn="0" w:noHBand="0" w:noVBand="0"/>
            </w:tblPr>
            <w:tblGrid>
              <w:gridCol w:w="3265"/>
            </w:tblGrid>
            <w:tr w:rsidR="00A8783E" w:rsidRPr="00A8783E" w:rsidTr="005B5318">
              <w:trPr>
                <w:trHeight w:val="59"/>
                <w:jc w:val="center"/>
              </w:trPr>
              <w:tc>
                <w:tcPr>
                  <w:tcW w:w="3265"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243"/>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77"/>
                <w:jc w:val="center"/>
              </w:trPr>
              <w:tc>
                <w:tcPr>
                  <w:tcW w:w="3265"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243"/>
                    <w:rPr>
                      <w:rFonts w:ascii="Times New Roman" w:hAnsi="Times New Roman"/>
                    </w:rPr>
                  </w:pPr>
                  <w:r w:rsidRPr="00A8783E">
                    <w:rPr>
                      <w:rFonts w:ascii="Times New Roman" w:hAnsi="Times New Roman"/>
                    </w:rPr>
                    <w:t>1-Отлично - High</w:t>
                  </w:r>
                </w:p>
              </w:tc>
            </w:tr>
            <w:tr w:rsidR="00A8783E" w:rsidRPr="00A8783E" w:rsidTr="005B5318">
              <w:trPr>
                <w:trHeight w:val="277"/>
                <w:jc w:val="center"/>
              </w:trPr>
              <w:tc>
                <w:tcPr>
                  <w:tcW w:w="3265"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243"/>
                    <w:rPr>
                      <w:rFonts w:ascii="Times New Roman" w:hAnsi="Times New Roman"/>
                    </w:rPr>
                  </w:pPr>
                  <w:r w:rsidRPr="00A8783E">
                    <w:rPr>
                      <w:rFonts w:ascii="Times New Roman" w:hAnsi="Times New Roman"/>
                    </w:rPr>
                    <w:t>2-Добро - Good</w:t>
                  </w:r>
                </w:p>
              </w:tc>
            </w:tr>
            <w:tr w:rsidR="00A8783E" w:rsidRPr="00A8783E" w:rsidTr="005B5318">
              <w:trPr>
                <w:trHeight w:val="277"/>
                <w:jc w:val="center"/>
              </w:trPr>
              <w:tc>
                <w:tcPr>
                  <w:tcW w:w="3265"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243"/>
                    <w:rPr>
                      <w:rFonts w:ascii="Times New Roman" w:hAnsi="Times New Roman"/>
                    </w:rPr>
                  </w:pPr>
                  <w:r w:rsidRPr="00A8783E">
                    <w:rPr>
                      <w:rFonts w:ascii="Times New Roman" w:hAnsi="Times New Roman"/>
                    </w:rPr>
                    <w:t>3-Умерено - Moderate</w:t>
                  </w:r>
                </w:p>
              </w:tc>
            </w:tr>
            <w:tr w:rsidR="00A8783E" w:rsidRPr="00A8783E" w:rsidTr="005B5318">
              <w:trPr>
                <w:trHeight w:val="277"/>
                <w:jc w:val="center"/>
              </w:trPr>
              <w:tc>
                <w:tcPr>
                  <w:tcW w:w="3265"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243"/>
                    <w:rPr>
                      <w:rFonts w:ascii="Times New Roman" w:hAnsi="Times New Roman"/>
                    </w:rPr>
                  </w:pPr>
                  <w:r w:rsidRPr="00A8783E">
                    <w:rPr>
                      <w:rFonts w:ascii="Times New Roman" w:hAnsi="Times New Roman"/>
                    </w:rPr>
                    <w:t>4-Лошо - Poor</w:t>
                  </w:r>
                </w:p>
              </w:tc>
            </w:tr>
            <w:tr w:rsidR="00A8783E" w:rsidRPr="00A8783E" w:rsidTr="005B5318">
              <w:trPr>
                <w:trHeight w:val="277"/>
                <w:jc w:val="center"/>
              </w:trPr>
              <w:tc>
                <w:tcPr>
                  <w:tcW w:w="3265"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243"/>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на р. Дунав в пункт „Силистра“ е оценено на </w:t>
            </w:r>
            <w:r w:rsidRPr="00A8783E">
              <w:rPr>
                <w:rFonts w:ascii="Times New Roman" w:hAnsi="Times New Roman"/>
                <w:b/>
                <w:bCs/>
              </w:rPr>
              <w:t>умерено (3)</w:t>
            </w:r>
            <w:r w:rsidRPr="00A8783E">
              <w:rPr>
                <w:rFonts w:ascii="Times New Roman" w:hAnsi="Times New Roman"/>
              </w:rPr>
              <w:t xml:space="preserve"> според доклада на JDS4 (2019-2020, табл. 1, стр. 62).</w:t>
            </w:r>
            <w:r w:rsidRPr="00A8783E">
              <w:rPr>
                <w:rFonts w:cs="Calibri"/>
              </w:rPr>
              <w:t xml:space="preserve"> </w:t>
            </w:r>
            <w:r w:rsidRPr="00A8783E">
              <w:rPr>
                <w:rFonts w:ascii="Times New Roman" w:hAnsi="Times New Roman"/>
              </w:rPr>
              <w:t xml:space="preserve">Според данните от </w:t>
            </w:r>
            <w:r w:rsidRPr="00A8783E">
              <w:rPr>
                <w:rFonts w:ascii="Times New Roman" w:hAnsi="Times New Roman"/>
              </w:rPr>
              <w:lastRenderedPageBreak/>
              <w:t xml:space="preserve">биологичния мониторинг на повърхностните води през 2020 г. ЕС на ез. Сребърна е определено като </w:t>
            </w:r>
            <w:r w:rsidRPr="00A8783E">
              <w:rPr>
                <w:rFonts w:ascii="Times New Roman" w:hAnsi="Times New Roman"/>
                <w:b/>
              </w:rPr>
              <w:t>Отлично</w:t>
            </w:r>
            <w:r w:rsidRPr="00A8783E">
              <w:rPr>
                <w:rFonts w:ascii="Times New Roman" w:hAnsi="Times New Roman"/>
              </w:rPr>
              <w:t xml:space="preserve"> по БЕК Макрозообентос и </w:t>
            </w:r>
            <w:r w:rsidRPr="00A8783E">
              <w:rPr>
                <w:rFonts w:ascii="Times New Roman" w:hAnsi="Times New Roman"/>
                <w:b/>
              </w:rPr>
              <w:t>Умерено</w:t>
            </w:r>
            <w:r w:rsidRPr="00A8783E">
              <w:rPr>
                <w:rFonts w:ascii="Times New Roman" w:hAnsi="Times New Roman"/>
              </w:rPr>
              <w:t xml:space="preserve"> по БЕК Риби</w:t>
            </w:r>
          </w:p>
        </w:tc>
        <w:tc>
          <w:tcPr>
            <w:tcW w:w="248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60" w:line="259" w:lineRule="auto"/>
        <w:jc w:val="both"/>
        <w:rPr>
          <w:rFonts w:ascii="Times New Roman" w:hAnsi="Times New Roman"/>
          <w:sz w:val="24"/>
          <w:szCs w:val="24"/>
        </w:rPr>
      </w:pPr>
    </w:p>
    <w:p w:rsidR="00A8783E" w:rsidRPr="00A8783E" w:rsidRDefault="00A8783E" w:rsidP="00A8783E">
      <w:pPr>
        <w:spacing w:after="12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after="120" w:line="259" w:lineRule="auto"/>
        <w:rPr>
          <w:rFonts w:ascii="Times New Roman" w:hAnsi="Times New Roman"/>
          <w:sz w:val="24"/>
          <w:szCs w:val="24"/>
        </w:rPr>
      </w:pPr>
      <w:r w:rsidRPr="00A8783E">
        <w:rPr>
          <w:rFonts w:ascii="Times New Roman" w:hAnsi="Times New Roman"/>
          <w:sz w:val="24"/>
          <w:szCs w:val="24"/>
        </w:rPr>
        <w:t>Актуализиране на кода (</w:t>
      </w:r>
      <w:r w:rsidRPr="00A8783E">
        <w:rPr>
          <w:rFonts w:ascii="Times New Roman" w:hAnsi="Times New Roman"/>
          <w:sz w:val="24"/>
          <w:szCs w:val="24"/>
          <w:lang w:val="en-GB"/>
        </w:rPr>
        <w:t>code</w:t>
      </w:r>
      <w:r w:rsidRPr="00A8783E">
        <w:rPr>
          <w:rFonts w:ascii="Times New Roman" w:hAnsi="Times New Roman"/>
          <w:sz w:val="24"/>
          <w:szCs w:val="24"/>
        </w:rPr>
        <w:t>) и научното наименование (Scientific Name), съобразно Докладването от 2019 г.</w:t>
      </w: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005"/>
        <w:gridCol w:w="328"/>
        <w:gridCol w:w="483"/>
        <w:gridCol w:w="13"/>
        <w:gridCol w:w="337"/>
        <w:gridCol w:w="572"/>
        <w:gridCol w:w="605"/>
        <w:gridCol w:w="594"/>
        <w:gridCol w:w="578"/>
        <w:gridCol w:w="839"/>
        <w:gridCol w:w="13"/>
        <w:gridCol w:w="937"/>
        <w:gridCol w:w="622"/>
        <w:gridCol w:w="522"/>
        <w:gridCol w:w="578"/>
      </w:tblGrid>
      <w:tr w:rsidR="00A8783E" w:rsidRPr="00A8783E" w:rsidTr="005B5318">
        <w:trPr>
          <w:jc w:val="center"/>
        </w:trPr>
        <w:tc>
          <w:tcPr>
            <w:tcW w:w="1580" w:type="pct"/>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Species</w:t>
            </w:r>
          </w:p>
        </w:tc>
        <w:tc>
          <w:tcPr>
            <w:tcW w:w="1953" w:type="pct"/>
            <w:gridSpan w:val="7"/>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Population in the site</w:t>
            </w:r>
          </w:p>
        </w:tc>
        <w:tc>
          <w:tcPr>
            <w:tcW w:w="1468" w:type="pct"/>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Site assessment</w:t>
            </w:r>
          </w:p>
        </w:tc>
      </w:tr>
      <w:tr w:rsidR="00A8783E" w:rsidRPr="00A8783E" w:rsidTr="005B5318">
        <w:trPr>
          <w:jc w:val="center"/>
        </w:trPr>
        <w:tc>
          <w:tcPr>
            <w:tcW w:w="205"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G</w:t>
            </w:r>
          </w:p>
        </w:tc>
        <w:tc>
          <w:tcPr>
            <w:tcW w:w="365"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Code</w:t>
            </w:r>
          </w:p>
        </w:tc>
        <w:tc>
          <w:tcPr>
            <w:tcW w:w="555"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Scientific Name</w:t>
            </w:r>
          </w:p>
        </w:tc>
        <w:tc>
          <w:tcPr>
            <w:tcW w:w="181"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w:t>
            </w:r>
          </w:p>
        </w:tc>
        <w:tc>
          <w:tcPr>
            <w:tcW w:w="267"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NP</w:t>
            </w:r>
          </w:p>
        </w:tc>
        <w:tc>
          <w:tcPr>
            <w:tcW w:w="193" w:type="pct"/>
            <w:gridSpan w:val="2"/>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T</w:t>
            </w:r>
          </w:p>
        </w:tc>
        <w:tc>
          <w:tcPr>
            <w:tcW w:w="650"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Size</w:t>
            </w:r>
          </w:p>
        </w:tc>
        <w:tc>
          <w:tcPr>
            <w:tcW w:w="328"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Unit</w:t>
            </w:r>
          </w:p>
        </w:tc>
        <w:tc>
          <w:tcPr>
            <w:tcW w:w="319"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Cat.</w:t>
            </w:r>
          </w:p>
        </w:tc>
        <w:tc>
          <w:tcPr>
            <w:tcW w:w="463" w:type="pct"/>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D.qual.</w:t>
            </w:r>
          </w:p>
        </w:tc>
        <w:tc>
          <w:tcPr>
            <w:tcW w:w="524"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A/B/C/D</w:t>
            </w:r>
          </w:p>
        </w:tc>
        <w:tc>
          <w:tcPr>
            <w:tcW w:w="950" w:type="pct"/>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A/B/C</w:t>
            </w:r>
          </w:p>
        </w:tc>
      </w:tr>
      <w:tr w:rsidR="00A8783E" w:rsidRPr="00A8783E" w:rsidTr="005B5318">
        <w:trPr>
          <w:jc w:val="center"/>
        </w:trPr>
        <w:tc>
          <w:tcPr>
            <w:tcW w:w="205"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rPr>
            </w:pPr>
          </w:p>
        </w:tc>
        <w:tc>
          <w:tcPr>
            <w:tcW w:w="365"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rPr>
            </w:pPr>
          </w:p>
        </w:tc>
        <w:tc>
          <w:tcPr>
            <w:tcW w:w="555"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rPr>
            </w:pPr>
          </w:p>
        </w:tc>
        <w:tc>
          <w:tcPr>
            <w:tcW w:w="181"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rPr>
            </w:pPr>
          </w:p>
        </w:tc>
        <w:tc>
          <w:tcPr>
            <w:tcW w:w="267"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193" w:type="pct"/>
            <w:gridSpan w:val="2"/>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316"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Min</w:t>
            </w:r>
          </w:p>
        </w:tc>
        <w:tc>
          <w:tcPr>
            <w:tcW w:w="334"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Max</w:t>
            </w:r>
          </w:p>
        </w:tc>
        <w:tc>
          <w:tcPr>
            <w:tcW w:w="328"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319"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463" w:type="pct"/>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524" w:type="pct"/>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Pop.</w:t>
            </w:r>
          </w:p>
        </w:tc>
        <w:tc>
          <w:tcPr>
            <w:tcW w:w="343"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Con.</w:t>
            </w:r>
          </w:p>
        </w:tc>
        <w:tc>
          <w:tcPr>
            <w:tcW w:w="288"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Iso.</w:t>
            </w:r>
          </w:p>
        </w:tc>
        <w:tc>
          <w:tcPr>
            <w:tcW w:w="319" w:type="pc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Glo.</w:t>
            </w:r>
          </w:p>
        </w:tc>
      </w:tr>
      <w:tr w:rsidR="00A8783E" w:rsidRPr="00A8783E" w:rsidTr="005B5318">
        <w:trPr>
          <w:jc w:val="center"/>
        </w:trPr>
        <w:tc>
          <w:tcPr>
            <w:tcW w:w="205" w:type="pct"/>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В</w:t>
            </w:r>
          </w:p>
        </w:tc>
        <w:tc>
          <w:tcPr>
            <w:tcW w:w="365" w:type="pct"/>
            <w:vAlign w:val="center"/>
          </w:tcPr>
          <w:p w:rsidR="00A8783E" w:rsidRPr="00A8783E" w:rsidRDefault="00A8783E" w:rsidP="00A8783E">
            <w:pPr>
              <w:spacing w:after="0" w:line="240" w:lineRule="auto"/>
              <w:rPr>
                <w:rFonts w:ascii="Times New Roman" w:hAnsi="Times New Roman"/>
                <w:b/>
                <w:bCs/>
                <w:color w:val="FF0000"/>
                <w:sz w:val="20"/>
                <w:szCs w:val="20"/>
              </w:rPr>
            </w:pPr>
            <w:r w:rsidRPr="00A8783E">
              <w:rPr>
                <w:rFonts w:ascii="Times New Roman" w:hAnsi="Times New Roman"/>
                <w:b/>
                <w:bCs/>
                <w:color w:val="FF0000"/>
                <w:sz w:val="20"/>
                <w:szCs w:val="20"/>
              </w:rPr>
              <w:t>A892</w:t>
            </w:r>
          </w:p>
        </w:tc>
        <w:tc>
          <w:tcPr>
            <w:tcW w:w="555" w:type="pct"/>
            <w:vAlign w:val="center"/>
          </w:tcPr>
          <w:p w:rsidR="00A8783E" w:rsidRPr="00A8783E" w:rsidRDefault="00A8783E" w:rsidP="00A8783E">
            <w:pPr>
              <w:spacing w:after="0" w:line="240" w:lineRule="auto"/>
              <w:rPr>
                <w:rFonts w:ascii="Times New Roman" w:hAnsi="Times New Roman"/>
                <w:i/>
                <w:iCs/>
                <w:color w:val="FF0000"/>
                <w:sz w:val="20"/>
                <w:szCs w:val="20"/>
                <w:lang w:val="en-US"/>
              </w:rPr>
            </w:pPr>
            <w:r w:rsidRPr="00A8783E">
              <w:rPr>
                <w:rFonts w:ascii="Times New Roman" w:hAnsi="Times New Roman"/>
                <w:b/>
                <w:i/>
                <w:iCs/>
                <w:color w:val="FF0000"/>
                <w:sz w:val="20"/>
                <w:szCs w:val="20"/>
                <w:lang w:val="en-GB"/>
              </w:rPr>
              <w:t>Zapornia</w:t>
            </w:r>
            <w:r w:rsidRPr="00A8783E">
              <w:rPr>
                <w:rFonts w:ascii="Times New Roman" w:hAnsi="Times New Roman"/>
                <w:i/>
                <w:iCs/>
                <w:color w:val="FF0000"/>
                <w:sz w:val="20"/>
                <w:szCs w:val="20"/>
                <w:lang w:val="en-GB"/>
              </w:rPr>
              <w:t xml:space="preserve"> </w:t>
            </w:r>
            <w:r w:rsidRPr="00A8783E">
              <w:rPr>
                <w:rFonts w:ascii="Times New Roman" w:hAnsi="Times New Roman"/>
                <w:i/>
                <w:iCs/>
                <w:sz w:val="20"/>
                <w:szCs w:val="20"/>
                <w:lang w:val="en-GB"/>
              </w:rPr>
              <w:t>parva</w:t>
            </w:r>
          </w:p>
        </w:tc>
        <w:tc>
          <w:tcPr>
            <w:tcW w:w="181" w:type="pct"/>
            <w:vAlign w:val="center"/>
          </w:tcPr>
          <w:p w:rsidR="00A8783E" w:rsidRPr="00A8783E" w:rsidRDefault="00A8783E" w:rsidP="00A8783E">
            <w:pPr>
              <w:spacing w:after="0" w:line="240" w:lineRule="auto"/>
              <w:rPr>
                <w:rFonts w:ascii="Times New Roman" w:hAnsi="Times New Roman"/>
                <w:sz w:val="20"/>
                <w:szCs w:val="20"/>
              </w:rPr>
            </w:pPr>
          </w:p>
        </w:tc>
        <w:tc>
          <w:tcPr>
            <w:tcW w:w="267" w:type="pct"/>
            <w:vAlign w:val="center"/>
          </w:tcPr>
          <w:p w:rsidR="00A8783E" w:rsidRPr="00A8783E" w:rsidRDefault="00A8783E" w:rsidP="00A8783E">
            <w:pPr>
              <w:spacing w:after="0" w:line="240" w:lineRule="auto"/>
              <w:rPr>
                <w:rFonts w:ascii="Times New Roman" w:hAnsi="Times New Roman"/>
                <w:b/>
                <w:bCs/>
                <w:sz w:val="20"/>
                <w:szCs w:val="20"/>
              </w:rPr>
            </w:pPr>
          </w:p>
        </w:tc>
        <w:tc>
          <w:tcPr>
            <w:tcW w:w="193" w:type="pct"/>
            <w:gridSpan w:val="2"/>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sz w:val="20"/>
                <w:szCs w:val="20"/>
                <w:lang w:val="en-US"/>
              </w:rPr>
              <w:t>r</w:t>
            </w:r>
          </w:p>
        </w:tc>
        <w:tc>
          <w:tcPr>
            <w:tcW w:w="316"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1</w:t>
            </w:r>
          </w:p>
        </w:tc>
        <w:tc>
          <w:tcPr>
            <w:tcW w:w="334"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2</w:t>
            </w:r>
          </w:p>
        </w:tc>
        <w:tc>
          <w:tcPr>
            <w:tcW w:w="328" w:type="pct"/>
            <w:vAlign w:val="center"/>
          </w:tcPr>
          <w:p w:rsidR="00A8783E" w:rsidRPr="00A8783E" w:rsidRDefault="00A8783E" w:rsidP="00A8783E">
            <w:pPr>
              <w:spacing w:after="0" w:line="240" w:lineRule="auto"/>
              <w:rPr>
                <w:rFonts w:ascii="Times New Roman" w:hAnsi="Times New Roman"/>
                <w:sz w:val="20"/>
                <w:szCs w:val="20"/>
                <w:lang w:val="en-GB"/>
              </w:rPr>
            </w:pPr>
            <w:r w:rsidRPr="00A8783E">
              <w:rPr>
                <w:rFonts w:ascii="Times New Roman" w:hAnsi="Times New Roman"/>
                <w:sz w:val="20"/>
                <w:szCs w:val="20"/>
                <w:lang w:val="en-GB"/>
              </w:rPr>
              <w:t>p</w:t>
            </w:r>
          </w:p>
        </w:tc>
        <w:tc>
          <w:tcPr>
            <w:tcW w:w="319" w:type="pct"/>
            <w:vAlign w:val="center"/>
          </w:tcPr>
          <w:p w:rsidR="00A8783E" w:rsidRPr="00A8783E" w:rsidRDefault="00A8783E" w:rsidP="00A8783E">
            <w:pPr>
              <w:spacing w:after="0" w:line="240" w:lineRule="auto"/>
              <w:rPr>
                <w:rFonts w:ascii="Times New Roman" w:hAnsi="Times New Roman"/>
                <w:b/>
                <w:bCs/>
                <w:sz w:val="20"/>
                <w:szCs w:val="20"/>
              </w:rPr>
            </w:pPr>
          </w:p>
        </w:tc>
        <w:tc>
          <w:tcPr>
            <w:tcW w:w="463" w:type="pct"/>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sz w:val="20"/>
                <w:szCs w:val="20"/>
              </w:rPr>
              <w:t>G</w:t>
            </w:r>
          </w:p>
        </w:tc>
        <w:tc>
          <w:tcPr>
            <w:tcW w:w="524" w:type="pct"/>
            <w:gridSpan w:val="2"/>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sz w:val="20"/>
                <w:szCs w:val="20"/>
                <w:lang w:val="en-US"/>
              </w:rPr>
              <w:t>C</w:t>
            </w:r>
          </w:p>
        </w:tc>
        <w:tc>
          <w:tcPr>
            <w:tcW w:w="343" w:type="pct"/>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sz w:val="20"/>
                <w:szCs w:val="20"/>
                <w:lang w:val="en-US"/>
              </w:rPr>
              <w:t>B</w:t>
            </w:r>
          </w:p>
        </w:tc>
        <w:tc>
          <w:tcPr>
            <w:tcW w:w="288" w:type="pct"/>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sz w:val="20"/>
                <w:szCs w:val="20"/>
              </w:rPr>
              <w:t>C</w:t>
            </w:r>
          </w:p>
        </w:tc>
        <w:tc>
          <w:tcPr>
            <w:tcW w:w="319" w:type="pct"/>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sz w:val="20"/>
                <w:szCs w:val="20"/>
                <w:lang w:val="en-US"/>
              </w:rPr>
              <w:t>C</w:t>
            </w:r>
          </w:p>
        </w:tc>
      </w:tr>
    </w:tbl>
    <w:p w:rsidR="00A8783E" w:rsidRPr="00A8783E" w:rsidRDefault="00A8783E" w:rsidP="00A8783E">
      <w:pPr>
        <w:spacing w:after="160" w:line="259" w:lineRule="auto"/>
        <w:jc w:val="both"/>
        <w:rPr>
          <w:rFonts w:ascii="Times New Roman" w:hAnsi="Times New Roman"/>
          <w:sz w:val="24"/>
          <w:szCs w:val="24"/>
          <w:lang w:val="en-US"/>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37" w:name="_Toc87467237"/>
      <w:bookmarkStart w:id="338" w:name="_Toc87513954"/>
      <w:bookmarkStart w:id="339" w:name="_Toc89106117"/>
      <w:bookmarkStart w:id="340" w:name="_Toc98741956"/>
      <w:bookmarkStart w:id="341" w:name="_Toc98838631"/>
      <w:r w:rsidRPr="00A8783E">
        <w:rPr>
          <w:rFonts w:ascii="Times New Roman" w:hAnsi="Times New Roman"/>
          <w:color w:val="1F497D"/>
          <w:sz w:val="28"/>
          <w:szCs w:val="28"/>
        </w:rPr>
        <w:t>Специфични цели за А121</w:t>
      </w:r>
      <w:r w:rsidRPr="00A8783E">
        <w:rPr>
          <w:rFonts w:ascii="Times New Roman" w:hAnsi="Times New Roman"/>
          <w:color w:val="1F497D"/>
          <w:sz w:val="28"/>
          <w:szCs w:val="28"/>
          <w:lang w:val="en-US"/>
        </w:rPr>
        <w:t>/A893</w:t>
      </w:r>
      <w:r w:rsidRPr="00A8783E">
        <w:rPr>
          <w:rFonts w:ascii="Times New Roman" w:hAnsi="Times New Roman"/>
          <w:color w:val="1F497D"/>
          <w:sz w:val="28"/>
          <w:szCs w:val="28"/>
        </w:rPr>
        <w:t xml:space="preserve"> </w:t>
      </w:r>
      <w:r w:rsidRPr="00A8783E">
        <w:rPr>
          <w:rFonts w:ascii="Times New Roman" w:hAnsi="Times New Roman"/>
          <w:i/>
          <w:iCs/>
          <w:color w:val="1F497D"/>
          <w:sz w:val="28"/>
          <w:szCs w:val="28"/>
        </w:rPr>
        <w:t>Porzana pusilla</w:t>
      </w:r>
      <w:r w:rsidRPr="00A8783E">
        <w:rPr>
          <w:rFonts w:ascii="Times New Roman" w:hAnsi="Times New Roman"/>
          <w:i/>
          <w:iCs/>
          <w:color w:val="1F497D"/>
          <w:sz w:val="28"/>
          <w:szCs w:val="28"/>
          <w:lang w:val="en-US"/>
        </w:rPr>
        <w:t xml:space="preserve"> </w:t>
      </w:r>
      <w:r w:rsidRPr="00A8783E">
        <w:rPr>
          <w:rFonts w:ascii="Times New Roman" w:hAnsi="Times New Roman"/>
          <w:i/>
          <w:iCs/>
          <w:color w:val="1F497D"/>
          <w:sz w:val="28"/>
          <w:szCs w:val="28"/>
        </w:rPr>
        <w:t>/</w:t>
      </w:r>
      <w:r w:rsidRPr="00A8783E">
        <w:rPr>
          <w:rFonts w:ascii="Times New Roman" w:hAnsi="Times New Roman"/>
          <w:i/>
          <w:iCs/>
          <w:color w:val="1F497D"/>
          <w:sz w:val="28"/>
          <w:szCs w:val="28"/>
          <w:lang w:val="en-US"/>
        </w:rPr>
        <w:t xml:space="preserve"> </w:t>
      </w:r>
      <w:r w:rsidRPr="00A8783E">
        <w:rPr>
          <w:rFonts w:ascii="Times New Roman" w:hAnsi="Times New Roman"/>
          <w:i/>
          <w:iCs/>
          <w:color w:val="1F497D"/>
          <w:sz w:val="28"/>
          <w:szCs w:val="28"/>
        </w:rPr>
        <w:t>Zapornia pusilla</w:t>
      </w:r>
      <w:r w:rsidRPr="00A8783E">
        <w:rPr>
          <w:rFonts w:ascii="Times New Roman" w:hAnsi="Times New Roman"/>
          <w:color w:val="1F497D"/>
          <w:sz w:val="28"/>
          <w:szCs w:val="28"/>
        </w:rPr>
        <w:t xml:space="preserve"> (малка пъструшка)</w:t>
      </w:r>
      <w:bookmarkEnd w:id="337"/>
      <w:bookmarkEnd w:id="338"/>
      <w:bookmarkEnd w:id="339"/>
      <w:bookmarkEnd w:id="340"/>
      <w:bookmarkEnd w:id="341"/>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17-19 cm, размах на крилата: 33-37 cm. Възрастните птици отгоре са кафяви с черни петна и бели резки, а отдолу – тъмносиви, по слабините с черни и бели препаски. Гърбът и горната част на опашката също тъмно ръждиво кафяви, но с едри, капковидни черни петна, тук-там с бели резки и петънца. Клюнът и краката са зеленикави. Младите са с бяло подбрадие и кафяви препаски по шията и гърдите (Симеонов и др., 1990; Мичев и др., 2012).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Гнездещо-прелетен и вероятно преминаващ вид. Миграцията по Черноморското крайбрежие е март-април и септември-октомври (Симеонов и др., 1990; Червена книга на Р България 2015).</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Сладководни, полусолени и свръхсолени блата с различни размери; канали, рибарници, Мочурища, оризища, торфени блата и по периферията на влажни ливади. Предпочита обширни мочурливи площи, покрити със сравнително рядка дебелостъблена тревиста растителност (предимно от род </w:t>
      </w:r>
      <w:r w:rsidRPr="00A8783E">
        <w:rPr>
          <w:rFonts w:ascii="Times New Roman" w:hAnsi="Times New Roman"/>
          <w:i/>
          <w:iCs/>
          <w:sz w:val="24"/>
          <w:szCs w:val="24"/>
        </w:rPr>
        <w:t>Саrех</w:t>
      </w:r>
      <w:r w:rsidRPr="00A8783E">
        <w:rPr>
          <w:rFonts w:ascii="Times New Roman" w:hAnsi="Times New Roman"/>
          <w:sz w:val="24"/>
          <w:szCs w:val="24"/>
        </w:rPr>
        <w:t xml:space="preserve">), разпределена на отделни туфи и разделена от малки водни огледала със сравнително бистра вода. Избягва водоеми с интензивни еутрофикационни процеси и бракичните водоеми по Черноморието. Гнездата са изградени изключително от стъбла на острица, разположени на 87–135 </w:t>
      </w:r>
      <w:r w:rsidRPr="00A8783E">
        <w:rPr>
          <w:rFonts w:ascii="Times New Roman" w:hAnsi="Times New Roman"/>
          <w:sz w:val="24"/>
          <w:szCs w:val="24"/>
          <w:lang w:val="en-US"/>
        </w:rPr>
        <w:t>m</w:t>
      </w:r>
      <w:r w:rsidRPr="00A8783E">
        <w:rPr>
          <w:rFonts w:ascii="Times New Roman" w:hAnsi="Times New Roman"/>
          <w:sz w:val="24"/>
          <w:szCs w:val="24"/>
        </w:rPr>
        <w:t xml:space="preserve"> едно от друго (на площ от 0,405 </w:t>
      </w:r>
      <w:r w:rsidRPr="00A8783E">
        <w:rPr>
          <w:rFonts w:ascii="Times New Roman" w:hAnsi="Times New Roman"/>
          <w:sz w:val="24"/>
          <w:szCs w:val="24"/>
          <w:lang w:val="en-US"/>
        </w:rPr>
        <w:t>ha</w:t>
      </w:r>
      <w:r w:rsidRPr="00A8783E">
        <w:rPr>
          <w:rFonts w:ascii="Times New Roman" w:hAnsi="Times New Roman"/>
          <w:sz w:val="24"/>
          <w:szCs w:val="24"/>
        </w:rPr>
        <w:t xml:space="preserve"> могат да гнездят до 3 двойки) (Симеонов и др., 1990; Червена книга на Р България 2015).</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Храни се с водни насекоми и техните ларви, дребни безгръбначни, земни червеи, мекотели, паякообразни  (напр. паяци и водни акари) и дребни многожилни риби (1-2 </w:t>
      </w:r>
      <w:r w:rsidRPr="00A8783E">
        <w:rPr>
          <w:rFonts w:ascii="Times New Roman" w:hAnsi="Times New Roman"/>
          <w:sz w:val="24"/>
          <w:szCs w:val="24"/>
        </w:rPr>
        <w:lastRenderedPageBreak/>
        <w:t xml:space="preserve">см дълги), както и водорасли и издънки, листа, корени и семена на </w:t>
      </w:r>
      <w:r w:rsidRPr="00A8783E">
        <w:rPr>
          <w:rFonts w:ascii="Times New Roman" w:hAnsi="Times New Roman"/>
          <w:i/>
          <w:iCs/>
          <w:sz w:val="24"/>
          <w:szCs w:val="24"/>
        </w:rPr>
        <w:t xml:space="preserve">Panicum, Oryza, Carex </w:t>
      </w:r>
      <w:r w:rsidRPr="00A8783E">
        <w:rPr>
          <w:rFonts w:ascii="Times New Roman" w:hAnsi="Times New Roman"/>
          <w:sz w:val="24"/>
          <w:szCs w:val="24"/>
        </w:rPr>
        <w:t>и</w:t>
      </w:r>
      <w:r w:rsidRPr="00A8783E">
        <w:rPr>
          <w:rFonts w:ascii="Times New Roman" w:hAnsi="Times New Roman"/>
          <w:i/>
          <w:iCs/>
          <w:sz w:val="24"/>
          <w:szCs w:val="24"/>
        </w:rPr>
        <w:t xml:space="preserve"> Schoenoplectus</w:t>
      </w:r>
      <w:r w:rsidRPr="00A8783E">
        <w:rPr>
          <w:rFonts w:ascii="Times New Roman" w:hAnsi="Times New Roman"/>
          <w:sz w:val="24"/>
          <w:szCs w:val="24"/>
        </w:rPr>
        <w:t xml:space="preserve"> (Taylor и van Perlo, 2000; Червена книга на Р България 2015)</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Разпръснато с изолирани гнездовища, най-близо едни до други около Бургас, по Северното Черноморско крайбрежие, в Софийското поле и бившето Стралджанско блато и силно отдалечени по Дунавското крайбрежие, Тракийската низина, Добруджа, Странджа, в Чокльовото блато. Възможно е наличие на находища и на други места в страната, не установени поради скрития начин на живот на вида и краткия период на токуване. Най-значимите гнездовища са в Драгоманското блато и в района на бившето Стралджанско блато. Вероятно разпространението се мени значително през различните години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Включен в Приложение 1 на Директивата за птиците и Приложение 2 и 3 на ЗБР. Включен в SPEC 3. Включен е в Червената книга на България със статус - критично застрашен CR. Според IUCN е слабо засегнат - </w:t>
      </w:r>
      <w:r w:rsidRPr="00A8783E">
        <w:rPr>
          <w:rFonts w:ascii="Times New Roman" w:hAnsi="Times New Roman"/>
          <w:sz w:val="24"/>
          <w:szCs w:val="24"/>
          <w:lang w:val="en-US"/>
        </w:rPr>
        <w:t>LC</w:t>
      </w:r>
      <w:r w:rsidRPr="00A8783E">
        <w:rPr>
          <w:rFonts w:ascii="Times New Roman" w:hAnsi="Times New Roman"/>
          <w:sz w:val="24"/>
          <w:szCs w:val="24"/>
        </w:rPr>
        <w:t xml:space="preserve"> (Least Concern), за територията на континентална Европа.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2013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оценява на 20 – 150 брой пеещи мъжки. Краткосрочната тенденция на популацията (за периода 2001 – 2018 г.) е неизвестна, а дългосрочната (за периода 1980 – 2018 г.) неизвестна. За гнездящата популация са посочени следните заплахи и влияния: J03.</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гнездящ</w:t>
      </w:r>
      <w:r w:rsidRPr="00A8783E">
        <w:rPr>
          <w:rFonts w:ascii="Times New Roman" w:hAnsi="Times New Roman"/>
          <w:sz w:val="24"/>
          <w:szCs w:val="24"/>
        </w:rPr>
        <w:t xml:space="preserve"> с численост 1-2 двойки, което е 1,33 – 5 % от националната гнездяща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отлична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Видът е със скрит начин на живот като мъжкият токува главно през тъмната част на денонощието. Видът се установява, че присъства в дадена територия най-често по токуването на мъжките индивиди през май и юни (Delov, 2000). Според Костадинова и Граматиков (2007), видът не присъства в зоната по време на гнездене. В периода 2001-2003 г. в ПР Сребърна са установени 1-3 дв. (Kambourova, 2005). По данни  от eBird и https://observation.org за 2020 и 2021 г., видът не е наблюдаван в зоната. По време на теренното проучване през май и юни 2021 г. не са установени птици от вида в зоната. Липсват публикувани данни за миграцията и гнездене на вида в зоната, поради което се налага поставянето на междинна цел до 2025 г. да се проведе мониторинг, който да изясни тази численост.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Посочената заплаха J03-Замърсяване на въздуха от смесени източници, въздушнопреносими замърсители, в докладването по чл. 12 за вида, няма отношение към зоната.</w:t>
      </w:r>
      <w:r w:rsidRPr="00A8783E">
        <w:rPr>
          <w:rFonts w:cs="Calibri"/>
        </w:rPr>
        <w:t xml:space="preserve"> </w:t>
      </w:r>
      <w:r w:rsidRPr="00A8783E">
        <w:rPr>
          <w:rFonts w:ascii="Times New Roman" w:hAnsi="Times New Roman"/>
          <w:sz w:val="24"/>
          <w:szCs w:val="24"/>
        </w:rPr>
        <w:t>Заплахи за вида в зоната могат да бъдат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1"/>
        <w:gridCol w:w="1135"/>
        <w:gridCol w:w="1130"/>
        <w:gridCol w:w="3214"/>
        <w:gridCol w:w="2314"/>
      </w:tblGrid>
      <w:tr w:rsidR="00A8783E" w:rsidRPr="00A8783E" w:rsidTr="005B5318">
        <w:trPr>
          <w:tblHeader/>
          <w:jc w:val="center"/>
        </w:trPr>
        <w:tc>
          <w:tcPr>
            <w:tcW w:w="1841"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Параметър</w:t>
            </w:r>
          </w:p>
        </w:tc>
        <w:tc>
          <w:tcPr>
            <w:tcW w:w="1135"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Мерна единица</w:t>
            </w:r>
          </w:p>
        </w:tc>
        <w:tc>
          <w:tcPr>
            <w:tcW w:w="1130"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Целева стойност</w:t>
            </w:r>
          </w:p>
        </w:tc>
        <w:tc>
          <w:tcPr>
            <w:tcW w:w="3214"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Допълнителна информация</w:t>
            </w:r>
          </w:p>
        </w:tc>
        <w:tc>
          <w:tcPr>
            <w:tcW w:w="2314"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jc w:val="center"/>
        </w:trPr>
        <w:tc>
          <w:tcPr>
            <w:tcW w:w="1841" w:type="dxa"/>
          </w:tcPr>
          <w:p w:rsidR="00A8783E" w:rsidRPr="00A8783E" w:rsidRDefault="00A8783E" w:rsidP="00A8783E">
            <w:pPr>
              <w:spacing w:after="0" w:line="240" w:lineRule="auto"/>
              <w:rPr>
                <w:rFonts w:ascii="Times New Roman" w:hAnsi="Times New Roman"/>
              </w:rPr>
            </w:pPr>
            <w:r w:rsidRPr="00A8783E">
              <w:rPr>
                <w:rFonts w:ascii="Times New Roman" w:hAnsi="Times New Roman"/>
                <w:b/>
              </w:rPr>
              <w:lastRenderedPageBreak/>
              <w:t>Популация</w:t>
            </w:r>
            <w:r w:rsidRPr="00A8783E">
              <w:rPr>
                <w:rFonts w:ascii="Times New Roman" w:hAnsi="Times New Roman"/>
              </w:rPr>
              <w:t>: Размер на гнездовата популацията</w:t>
            </w:r>
          </w:p>
        </w:tc>
        <w:tc>
          <w:tcPr>
            <w:tcW w:w="1135"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гнездящи двойки</w:t>
            </w:r>
          </w:p>
        </w:tc>
        <w:tc>
          <w:tcPr>
            <w:tcW w:w="1130"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Най-малко  1 дв. </w:t>
            </w:r>
          </w:p>
        </w:tc>
        <w:tc>
          <w:tcPr>
            <w:tcW w:w="3214"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rPr>
              <w:t>В настоящия СФ (актуализиран през 2018 г.) е посочено 1-2 двойки. В периода 2001-2003 г. в ПР Сребърна са установени 1-3 дв. (Kambourova, 2005). Необходими са проучвания в защитената зона по определена методика, за да се установи текущата гнездова численост в зоната. Вида не беше отчетен при нашите теренни проучвания през гнездовия период на 2021 г.</w:t>
            </w:r>
          </w:p>
        </w:tc>
        <w:tc>
          <w:tcPr>
            <w:tcW w:w="231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популацията на вида в зоната в размер от най-малко 1 двойка.</w:t>
            </w:r>
          </w:p>
          <w:p w:rsidR="00A8783E" w:rsidRPr="00A8783E" w:rsidRDefault="00A8783E" w:rsidP="00A8783E">
            <w:pPr>
              <w:spacing w:after="0" w:line="240" w:lineRule="auto"/>
              <w:rPr>
                <w:rFonts w:ascii="Times New Roman" w:hAnsi="Times New Roman"/>
              </w:rPr>
            </w:pPr>
            <w:r w:rsidRPr="00A8783E">
              <w:rPr>
                <w:rFonts w:ascii="Times New Roman" w:hAnsi="Times New Roman"/>
              </w:rPr>
              <w:t>Да се извърши целенасочен мониторинг за установяване на броя на токуващите мъжки до 2025 г.</w:t>
            </w:r>
          </w:p>
        </w:tc>
      </w:tr>
      <w:tr w:rsidR="00A8783E" w:rsidRPr="00A8783E" w:rsidTr="005B5318">
        <w:trPr>
          <w:jc w:val="center"/>
        </w:trPr>
        <w:tc>
          <w:tcPr>
            <w:tcW w:w="1841" w:type="dxa"/>
          </w:tcPr>
          <w:p w:rsidR="00A8783E" w:rsidRPr="00A8783E" w:rsidRDefault="00A8783E" w:rsidP="00A8783E">
            <w:pPr>
              <w:spacing w:after="0" w:line="240" w:lineRule="auto"/>
              <w:rPr>
                <w:rFonts w:ascii="Times New Roman" w:hAnsi="Times New Roman"/>
              </w:rPr>
            </w:pPr>
            <w:r w:rsidRPr="00A8783E">
              <w:rPr>
                <w:rFonts w:ascii="Times New Roman" w:hAnsi="Times New Roman"/>
                <w:b/>
              </w:rPr>
              <w:t>Местообитание на вида</w:t>
            </w:r>
            <w:r w:rsidRPr="00A8783E">
              <w:rPr>
                <w:rFonts w:ascii="Times New Roman" w:hAnsi="Times New Roman"/>
              </w:rPr>
              <w:t>: Площ на подходящите гнездови и хранителни местообитания на вида</w:t>
            </w:r>
          </w:p>
        </w:tc>
        <w:tc>
          <w:tcPr>
            <w:tcW w:w="1135" w:type="dxa"/>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lang w:val="en-US"/>
              </w:rPr>
              <w:t>ha</w:t>
            </w:r>
          </w:p>
        </w:tc>
        <w:tc>
          <w:tcPr>
            <w:tcW w:w="1130" w:type="dxa"/>
          </w:tcPr>
          <w:p w:rsidR="00A8783E" w:rsidRPr="00A8783E" w:rsidRDefault="00A8783E" w:rsidP="00A8783E">
            <w:pPr>
              <w:spacing w:after="0" w:line="240" w:lineRule="auto"/>
              <w:rPr>
                <w:rFonts w:cs="Calibri"/>
              </w:rPr>
            </w:pPr>
            <w:r w:rsidRPr="00A8783E">
              <w:rPr>
                <w:rFonts w:ascii="Times New Roman" w:hAnsi="Times New Roman"/>
              </w:rPr>
              <w:t>Най-малко 565,</w:t>
            </w:r>
            <w:r w:rsidRPr="00A8783E">
              <w:rPr>
                <w:rFonts w:cs="Calibri"/>
              </w:rPr>
              <w:t xml:space="preserve"> </w:t>
            </w:r>
          </w:p>
          <w:p w:rsidR="00A8783E" w:rsidRPr="00A8783E" w:rsidRDefault="00A8783E" w:rsidP="00A8783E">
            <w:pPr>
              <w:spacing w:after="0" w:line="240" w:lineRule="auto"/>
              <w:rPr>
                <w:rFonts w:ascii="Times New Roman" w:hAnsi="Times New Roman"/>
              </w:rPr>
            </w:pPr>
            <w:r w:rsidRPr="00A8783E">
              <w:rPr>
                <w:rFonts w:ascii="Times New Roman" w:hAnsi="Times New Roman"/>
              </w:rPr>
              <w:t>от тях 370 ha са само тръстика</w:t>
            </w:r>
          </w:p>
        </w:tc>
        <w:tc>
          <w:tcPr>
            <w:tcW w:w="321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Включва гнездовото и хранителното местообитание. Площта е определена на база % участие на местообитание N07-мочурища и блата в СФ на зоната.</w:t>
            </w:r>
          </w:p>
        </w:tc>
        <w:tc>
          <w:tcPr>
            <w:tcW w:w="231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площта на подходящите гнездови и хранителни местообитания на вида в размер от най-малко 565 ha.</w:t>
            </w:r>
          </w:p>
        </w:tc>
      </w:tr>
      <w:tr w:rsidR="00A8783E" w:rsidRPr="00A8783E" w:rsidTr="005B5318">
        <w:trPr>
          <w:jc w:val="center"/>
        </w:trPr>
        <w:tc>
          <w:tcPr>
            <w:tcW w:w="1841"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Екологично състояние на водните тела с местообитания на вида, по биологичен елемент риби (JDS4-Fish)</w:t>
            </w:r>
          </w:p>
        </w:tc>
        <w:tc>
          <w:tcPr>
            <w:tcW w:w="1135" w:type="dxa"/>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rPr>
              <w:t>5 степенна скала</w:t>
            </w:r>
          </w:p>
        </w:tc>
        <w:tc>
          <w:tcPr>
            <w:tcW w:w="1130"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2-Добро или 1-Отлично</w:t>
            </w:r>
          </w:p>
        </w:tc>
        <w:tc>
          <w:tcPr>
            <w:tcW w:w="3214" w:type="dxa"/>
          </w:tcPr>
          <w:tbl>
            <w:tblPr>
              <w:tblW w:w="3923" w:type="dxa"/>
              <w:tblInd w:w="3" w:type="dxa"/>
              <w:tblLayout w:type="fixed"/>
              <w:tblCellMar>
                <w:left w:w="70" w:type="dxa"/>
                <w:right w:w="70" w:type="dxa"/>
              </w:tblCellMar>
              <w:tblLook w:val="00A0" w:firstRow="1" w:lastRow="0" w:firstColumn="1" w:lastColumn="0" w:noHBand="0" w:noVBand="0"/>
            </w:tblPr>
            <w:tblGrid>
              <w:gridCol w:w="3923"/>
            </w:tblGrid>
            <w:tr w:rsidR="00A8783E" w:rsidRPr="00A8783E" w:rsidTr="005B5318">
              <w:trPr>
                <w:trHeight w:val="300"/>
              </w:trPr>
              <w:tc>
                <w:tcPr>
                  <w:tcW w:w="3923"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300"/>
              </w:trPr>
              <w:tc>
                <w:tcPr>
                  <w:tcW w:w="3923"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1-Отлично - High</w:t>
                  </w:r>
                </w:p>
              </w:tc>
            </w:tr>
            <w:tr w:rsidR="00A8783E" w:rsidRPr="00A8783E" w:rsidTr="005B5318">
              <w:trPr>
                <w:trHeight w:val="300"/>
              </w:trPr>
              <w:tc>
                <w:tcPr>
                  <w:tcW w:w="3923"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2-Добро - Good</w:t>
                  </w:r>
                </w:p>
              </w:tc>
            </w:tr>
            <w:tr w:rsidR="00A8783E" w:rsidRPr="00A8783E" w:rsidTr="005B5318">
              <w:trPr>
                <w:trHeight w:val="300"/>
              </w:trPr>
              <w:tc>
                <w:tcPr>
                  <w:tcW w:w="3923"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3-Умерено - Moderate</w:t>
                  </w:r>
                </w:p>
              </w:tc>
            </w:tr>
            <w:tr w:rsidR="00A8783E" w:rsidRPr="00A8783E" w:rsidTr="005B5318">
              <w:trPr>
                <w:trHeight w:val="300"/>
              </w:trPr>
              <w:tc>
                <w:tcPr>
                  <w:tcW w:w="3923"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4-Лошо - Poor</w:t>
                  </w:r>
                </w:p>
              </w:tc>
            </w:tr>
            <w:tr w:rsidR="00A8783E" w:rsidRPr="00A8783E" w:rsidTr="005B5318">
              <w:trPr>
                <w:trHeight w:val="300"/>
              </w:trPr>
              <w:tc>
                <w:tcPr>
                  <w:tcW w:w="3923"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по р. Дунав по показател риби (пункт Русе и Силистра) е оценено на </w:t>
            </w:r>
            <w:r w:rsidRPr="00A8783E">
              <w:rPr>
                <w:rFonts w:ascii="Times New Roman" w:hAnsi="Times New Roman"/>
                <w:b/>
                <w:bCs/>
              </w:rPr>
              <w:t xml:space="preserve">умерено (3) </w:t>
            </w:r>
            <w:r w:rsidRPr="00A8783E">
              <w:rPr>
                <w:rFonts w:ascii="Times New Roman" w:hAnsi="Times New Roman"/>
              </w:rPr>
              <w:t>според доклада на JDS4 (2019-2020, Табл. 5, стр. 51).</w:t>
            </w:r>
            <w:r w:rsidRPr="00A8783E">
              <w:rPr>
                <w:rFonts w:cs="Calibri"/>
              </w:rPr>
              <w:t xml:space="preserve"> </w:t>
            </w:r>
            <w:r w:rsidRPr="00A8783E">
              <w:rPr>
                <w:rFonts w:ascii="Times New Roman" w:hAnsi="Times New Roman"/>
              </w:rPr>
              <w:t xml:space="preserve">Според данните от биологичния мониторинг на повърхностните води през 2020 г. ЕС на ез. Сребърна е определено като </w:t>
            </w:r>
            <w:r w:rsidRPr="00A8783E">
              <w:rPr>
                <w:rFonts w:ascii="Times New Roman" w:hAnsi="Times New Roman"/>
                <w:b/>
              </w:rPr>
              <w:t>Отлично</w:t>
            </w:r>
            <w:r w:rsidRPr="00A8783E">
              <w:rPr>
                <w:rFonts w:ascii="Times New Roman" w:hAnsi="Times New Roman"/>
              </w:rPr>
              <w:t xml:space="preserve"> по БЕК Макрозообентос и </w:t>
            </w:r>
            <w:r w:rsidRPr="00A8783E">
              <w:rPr>
                <w:rFonts w:ascii="Times New Roman" w:hAnsi="Times New Roman"/>
                <w:b/>
              </w:rPr>
              <w:t>Умерено</w:t>
            </w:r>
            <w:r w:rsidRPr="00A8783E">
              <w:rPr>
                <w:rFonts w:ascii="Times New Roman" w:hAnsi="Times New Roman"/>
              </w:rPr>
              <w:t xml:space="preserve"> по БЕК Риби.</w:t>
            </w:r>
          </w:p>
        </w:tc>
        <w:tc>
          <w:tcPr>
            <w:tcW w:w="231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before="120" w:after="120" w:line="259" w:lineRule="auto"/>
        <w:jc w:val="both"/>
        <w:rPr>
          <w:rFonts w:ascii="Times New Roman" w:hAnsi="Times New Roman"/>
          <w:b/>
          <w:bCs/>
          <w:color w:val="000000"/>
          <w:sz w:val="24"/>
          <w:szCs w:val="24"/>
        </w:rPr>
      </w:pPr>
    </w:p>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t xml:space="preserve">6. Необходимост от промени в СФ </w:t>
      </w:r>
      <w:r w:rsidRPr="00A8783E">
        <w:rPr>
          <w:rFonts w:ascii="Times New Roman" w:hAnsi="Times New Roman"/>
          <w:b/>
          <w:bCs/>
          <w:sz w:val="24"/>
          <w:szCs w:val="24"/>
        </w:rPr>
        <w:t>BG0000241 „Сребърна“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Предвид наличната информация за настоящата гнездова концентрираща на вида в защитената зона е необходима актуализация на СФ: По отношение на оценка за гнездяща популация, следва да се промени от „С“ на „В“, тъй като популацията на вида в зоната е 1,13 – 5 % от националната гнездяща популация. Също така е необходимо да се а</w:t>
      </w:r>
      <w:r w:rsidRPr="00A8783E">
        <w:rPr>
          <w:rFonts w:ascii="Times New Roman" w:hAnsi="Times New Roman"/>
          <w:sz w:val="24"/>
          <w:szCs w:val="24"/>
        </w:rPr>
        <w:t>ктуализира кода (</w:t>
      </w:r>
      <w:r w:rsidRPr="00A8783E">
        <w:rPr>
          <w:rFonts w:ascii="Times New Roman" w:hAnsi="Times New Roman"/>
          <w:sz w:val="24"/>
          <w:szCs w:val="24"/>
          <w:lang w:val="en-GB"/>
        </w:rPr>
        <w:t>code</w:t>
      </w:r>
      <w:r w:rsidRPr="00A8783E">
        <w:rPr>
          <w:rFonts w:ascii="Times New Roman" w:hAnsi="Times New Roman"/>
          <w:sz w:val="24"/>
          <w:szCs w:val="24"/>
        </w:rPr>
        <w:t>) и научното наименование (Scientific Name), съобразно Докладването от 2019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0" w:type="auto"/>
            <w:gridSpan w:val="5"/>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lastRenderedPageBreak/>
              <w:t>Species</w:t>
            </w:r>
          </w:p>
        </w:tc>
        <w:tc>
          <w:tcPr>
            <w:tcW w:w="0" w:type="auto"/>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Population in the site</w:t>
            </w:r>
          </w:p>
        </w:tc>
        <w:tc>
          <w:tcPr>
            <w:tcW w:w="0" w:type="auto"/>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b/>
                <w:bCs/>
                <w:sz w:val="20"/>
                <w:szCs w:val="20"/>
                <w:lang w:val="en-GB"/>
              </w:rPr>
            </w:pPr>
            <w:r w:rsidRPr="00A8783E">
              <w:rPr>
                <w:rFonts w:ascii="Times New Roman" w:hAnsi="Times New Roman"/>
                <w:b/>
                <w:bCs/>
                <w:sz w:val="20"/>
                <w:szCs w:val="20"/>
                <w:lang w:val="en-GB"/>
              </w:rPr>
              <w:t>G</w:t>
            </w:r>
          </w:p>
        </w:tc>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b/>
                <w:bCs/>
                <w:sz w:val="20"/>
                <w:szCs w:val="20"/>
                <w:lang w:val="en-GB"/>
              </w:rPr>
            </w:pPr>
            <w:r w:rsidRPr="00A8783E">
              <w:rPr>
                <w:rFonts w:ascii="Times New Roman" w:hAnsi="Times New Roman"/>
                <w:b/>
                <w:bCs/>
                <w:sz w:val="20"/>
                <w:szCs w:val="20"/>
                <w:lang w:val="en-GB"/>
              </w:rPr>
              <w:t>Code</w:t>
            </w:r>
          </w:p>
        </w:tc>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b/>
                <w:bCs/>
                <w:sz w:val="20"/>
                <w:szCs w:val="20"/>
                <w:lang w:val="en-GB"/>
              </w:rPr>
            </w:pPr>
            <w:r w:rsidRPr="00A8783E">
              <w:rPr>
                <w:rFonts w:ascii="Times New Roman" w:hAnsi="Times New Roman"/>
                <w:b/>
                <w:bCs/>
                <w:sz w:val="20"/>
                <w:szCs w:val="20"/>
                <w:lang w:val="en-GB"/>
              </w:rPr>
              <w:t>Scientific Name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NP</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T</w:t>
            </w: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Size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Unit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Cat.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D.qual.</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A/B/C/D</w:t>
            </w:r>
          </w:p>
        </w:tc>
        <w:tc>
          <w:tcPr>
            <w:tcW w:w="0" w:type="auto"/>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160" w:line="259"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160" w:line="259"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160" w:line="259"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Min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Max</w:t>
            </w: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Pop.</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Con.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Iso.</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Glo.</w:t>
            </w:r>
          </w:p>
        </w:tc>
      </w:tr>
      <w:tr w:rsidR="00A8783E" w:rsidRPr="00A8783E" w:rsidTr="005B5318">
        <w:trPr>
          <w:trHeight w:val="295"/>
          <w:jc w:val="center"/>
        </w:trPr>
        <w:tc>
          <w:tcPr>
            <w:tcW w:w="0" w:type="auto"/>
            <w:vAlign w:val="center"/>
          </w:tcPr>
          <w:p w:rsidR="00A8783E" w:rsidRPr="00A8783E" w:rsidRDefault="00A8783E" w:rsidP="00A8783E">
            <w:pPr>
              <w:spacing w:after="160" w:line="259" w:lineRule="auto"/>
              <w:rPr>
                <w:rFonts w:ascii="Times New Roman" w:hAnsi="Times New Roman"/>
                <w:sz w:val="20"/>
                <w:szCs w:val="20"/>
                <w:lang w:val="en-GB"/>
              </w:rPr>
            </w:pPr>
            <w:r w:rsidRPr="00A8783E">
              <w:rPr>
                <w:rFonts w:ascii="Times New Roman" w:hAnsi="Times New Roman"/>
                <w:sz w:val="20"/>
                <w:szCs w:val="20"/>
                <w:lang w:val="en-GB"/>
              </w:rPr>
              <w:t>В</w:t>
            </w:r>
          </w:p>
        </w:tc>
        <w:tc>
          <w:tcPr>
            <w:tcW w:w="0" w:type="auto"/>
            <w:vAlign w:val="center"/>
          </w:tcPr>
          <w:p w:rsidR="00A8783E" w:rsidRPr="00A8783E" w:rsidRDefault="00A8783E" w:rsidP="00A8783E">
            <w:pPr>
              <w:spacing w:after="160" w:line="259" w:lineRule="auto"/>
              <w:rPr>
                <w:rFonts w:ascii="Times New Roman" w:hAnsi="Times New Roman"/>
                <w:b/>
                <w:color w:val="FF0000"/>
                <w:sz w:val="20"/>
                <w:szCs w:val="20"/>
              </w:rPr>
            </w:pPr>
            <w:r w:rsidRPr="00A8783E">
              <w:rPr>
                <w:rFonts w:ascii="Times New Roman" w:hAnsi="Times New Roman"/>
                <w:b/>
                <w:color w:val="FF0000"/>
                <w:sz w:val="20"/>
                <w:szCs w:val="20"/>
                <w:lang w:val="en-GB"/>
              </w:rPr>
              <w:t>A</w:t>
            </w:r>
            <w:r w:rsidRPr="00A8783E">
              <w:rPr>
                <w:rFonts w:ascii="Times New Roman" w:hAnsi="Times New Roman"/>
                <w:b/>
                <w:color w:val="FF0000"/>
                <w:sz w:val="20"/>
                <w:szCs w:val="20"/>
              </w:rPr>
              <w:t>893</w:t>
            </w:r>
          </w:p>
        </w:tc>
        <w:tc>
          <w:tcPr>
            <w:tcW w:w="0" w:type="auto"/>
            <w:vAlign w:val="center"/>
          </w:tcPr>
          <w:p w:rsidR="00A8783E" w:rsidRPr="00A8783E" w:rsidRDefault="00A8783E" w:rsidP="00A8783E">
            <w:pPr>
              <w:spacing w:after="160" w:line="259" w:lineRule="auto"/>
              <w:rPr>
                <w:rFonts w:ascii="Times New Roman" w:hAnsi="Times New Roman"/>
                <w:i/>
                <w:iCs/>
                <w:color w:val="FF0000"/>
                <w:sz w:val="20"/>
                <w:szCs w:val="20"/>
                <w:lang w:val="en-GB"/>
              </w:rPr>
            </w:pPr>
            <w:r w:rsidRPr="00A8783E">
              <w:rPr>
                <w:rFonts w:ascii="Times New Roman" w:hAnsi="Times New Roman"/>
                <w:b/>
                <w:i/>
                <w:iCs/>
                <w:color w:val="FF0000"/>
                <w:sz w:val="20"/>
                <w:szCs w:val="20"/>
                <w:lang w:val="en-GB"/>
              </w:rPr>
              <w:t xml:space="preserve">Zapornia </w:t>
            </w:r>
            <w:r w:rsidRPr="00A8783E">
              <w:rPr>
                <w:rFonts w:ascii="Times New Roman" w:hAnsi="Times New Roman"/>
                <w:i/>
                <w:iCs/>
                <w:sz w:val="20"/>
                <w:szCs w:val="20"/>
                <w:lang w:val="en-GB"/>
              </w:rPr>
              <w:t>pusilla</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r</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1</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2</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p</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G</w:t>
            </w:r>
          </w:p>
        </w:tc>
        <w:tc>
          <w:tcPr>
            <w:tcW w:w="0" w:type="auto"/>
            <w:vAlign w:val="center"/>
          </w:tcPr>
          <w:p w:rsidR="00A8783E" w:rsidRPr="00A8783E" w:rsidRDefault="00A8783E" w:rsidP="00A8783E">
            <w:pPr>
              <w:spacing w:after="0" w:line="240" w:lineRule="auto"/>
              <w:jc w:val="center"/>
              <w:rPr>
                <w:rFonts w:ascii="Times New Roman" w:hAnsi="Times New Roman"/>
                <w:b/>
                <w:sz w:val="20"/>
                <w:szCs w:val="20"/>
                <w:lang w:val="en-GB"/>
              </w:rPr>
            </w:pPr>
            <w:r w:rsidRPr="00A8783E">
              <w:rPr>
                <w:rFonts w:ascii="Times New Roman" w:hAnsi="Times New Roman"/>
                <w:b/>
                <w:color w:val="FF0000"/>
                <w:sz w:val="20"/>
                <w:szCs w:val="20"/>
                <w:lang w:val="en-GB"/>
              </w:rPr>
              <w:t>B</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B</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C</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C</w:t>
            </w:r>
          </w:p>
        </w:tc>
      </w:tr>
    </w:tbl>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42" w:name="_Toc89106118"/>
      <w:bookmarkStart w:id="343" w:name="_Toc98741957"/>
      <w:bookmarkStart w:id="344" w:name="_Toc98838632"/>
      <w:r w:rsidRPr="00A8783E">
        <w:rPr>
          <w:rFonts w:ascii="Times New Roman" w:hAnsi="Times New Roman"/>
          <w:color w:val="1F497D"/>
          <w:sz w:val="28"/>
          <w:szCs w:val="28"/>
        </w:rPr>
        <w:t xml:space="preserve">Специфични цели за </w:t>
      </w:r>
      <w:r w:rsidRPr="00A8783E">
        <w:rPr>
          <w:rFonts w:ascii="Times New Roman" w:hAnsi="Times New Roman"/>
          <w:color w:val="1F497D"/>
          <w:sz w:val="28"/>
          <w:szCs w:val="28"/>
          <w:lang w:val="en-US"/>
        </w:rPr>
        <w:t>A</w:t>
      </w:r>
      <w:r w:rsidRPr="00A8783E">
        <w:rPr>
          <w:rFonts w:ascii="Times New Roman" w:hAnsi="Times New Roman"/>
          <w:color w:val="1F497D"/>
          <w:sz w:val="28"/>
          <w:szCs w:val="28"/>
        </w:rPr>
        <w:t xml:space="preserve">122 </w:t>
      </w:r>
      <w:r w:rsidRPr="00A8783E">
        <w:rPr>
          <w:rFonts w:ascii="Times New Roman" w:hAnsi="Times New Roman"/>
          <w:i/>
          <w:iCs/>
          <w:color w:val="1F497D"/>
          <w:sz w:val="28"/>
          <w:szCs w:val="28"/>
          <w:lang w:val="en-US"/>
        </w:rPr>
        <w:t>Crex</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crex</w:t>
      </w:r>
      <w:r w:rsidRPr="00A8783E">
        <w:rPr>
          <w:rFonts w:ascii="Times New Roman" w:hAnsi="Times New Roman"/>
          <w:color w:val="1F497D"/>
          <w:sz w:val="28"/>
          <w:szCs w:val="28"/>
        </w:rPr>
        <w:t xml:space="preserve"> (ливаден дърдавец)</w:t>
      </w:r>
      <w:bookmarkEnd w:id="342"/>
      <w:bookmarkEnd w:id="343"/>
      <w:bookmarkEnd w:id="344"/>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27-30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46-53 </w:t>
      </w:r>
      <w:r w:rsidRPr="00A8783E">
        <w:rPr>
          <w:rFonts w:ascii="Times New Roman" w:hAnsi="Times New Roman"/>
          <w:sz w:val="24"/>
          <w:szCs w:val="24"/>
          <w:lang w:val="en-US"/>
        </w:rPr>
        <w:t>cm</w:t>
      </w:r>
      <w:r w:rsidRPr="00A8783E">
        <w:rPr>
          <w:rFonts w:ascii="Times New Roman" w:hAnsi="Times New Roman"/>
          <w:sz w:val="24"/>
          <w:szCs w:val="24"/>
        </w:rPr>
        <w:t>. Оперението му е подобно на това на пъдпъдъка, но има характерни тухленоръждиви пера по крилата. Води скрит начин на живот, като рядко излита, а през повечето време остава в гъстите треви. Обаждането му се чува предимно нощем и наподобява „крекс-крекс“, което се повтаря многократно. Малките са изцяло с черен пух и напускат гнездото почти веднага след излюпването си (Симеонов и др., 1990).</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Гнездящо-прелетен и преминаващ вид за страната. Миграцията по Черноморското крайбрежие е през април и септември – октомври. Размножителния период е от края на април до юни. Миграцията на вида е от средата на април като продължава до средата на май. Есенната миграция започва през последната декада на август и продължава до края на октомври. Отделни екземпляри се задържат и до края на ноември. През есента миграцията е по-интензивна и то главно по протежението на Черноморското крайбрежие. Най-важното за вида място по време на миграцията е нос Калиакра, където стационират голям брой птици. Образува смесени ята с пъдпъдъка (Симеонов и др. 1990; </w:t>
      </w:r>
      <w:r w:rsidRPr="00A8783E">
        <w:rPr>
          <w:rFonts w:ascii="Times New Roman" w:hAnsi="Times New Roman"/>
          <w:sz w:val="24"/>
          <w:szCs w:val="24"/>
          <w:lang w:val="en-US"/>
        </w:rPr>
        <w:t>Delov</w:t>
      </w:r>
      <w:r w:rsidRPr="00A8783E">
        <w:rPr>
          <w:rFonts w:ascii="Times New Roman" w:hAnsi="Times New Roman"/>
          <w:sz w:val="24"/>
          <w:szCs w:val="24"/>
        </w:rPr>
        <w:t>, 1995; Делов в Големански гл. ред., 2015).</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Характеристика на местообитанието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През гнездовия период видът обитава силно овлажнени (хигрофилни) и средно овлажнени (мезофилни) високотревни ливади в низините между 500 и 1800 </w:t>
      </w:r>
      <w:r w:rsidRPr="00A8783E">
        <w:rPr>
          <w:rFonts w:ascii="Times New Roman" w:hAnsi="Times New Roman"/>
          <w:sz w:val="24"/>
          <w:szCs w:val="24"/>
          <w:lang w:val="en-US"/>
        </w:rPr>
        <w:t>m</w:t>
      </w:r>
      <w:r w:rsidRPr="00A8783E">
        <w:rPr>
          <w:rFonts w:ascii="Times New Roman" w:hAnsi="Times New Roman"/>
          <w:sz w:val="24"/>
          <w:szCs w:val="24"/>
        </w:rPr>
        <w:t xml:space="preserve"> н. в , като в планините достига в някои места и до 2500 m надморска височина (в Национален парк „Пирин“). Най-съществено значение за вида имат ливадите, доминирани от тревите ливадна метлица (</w:t>
      </w:r>
      <w:r w:rsidRPr="00A8783E">
        <w:rPr>
          <w:rFonts w:ascii="Times New Roman" w:hAnsi="Times New Roman"/>
          <w:i/>
          <w:iCs/>
          <w:sz w:val="24"/>
          <w:szCs w:val="24"/>
          <w:lang w:val="en-US"/>
        </w:rPr>
        <w:t>Poa</w:t>
      </w:r>
      <w:r w:rsidRPr="00A8783E">
        <w:rPr>
          <w:rFonts w:ascii="Times New Roman" w:hAnsi="Times New Roman"/>
          <w:i/>
          <w:iCs/>
          <w:sz w:val="24"/>
          <w:szCs w:val="24"/>
        </w:rPr>
        <w:t xml:space="preserve"> </w:t>
      </w:r>
      <w:r w:rsidRPr="00A8783E">
        <w:rPr>
          <w:rFonts w:ascii="Times New Roman" w:hAnsi="Times New Roman"/>
          <w:i/>
          <w:iCs/>
          <w:sz w:val="24"/>
          <w:szCs w:val="24"/>
          <w:lang w:val="en-US"/>
        </w:rPr>
        <w:t>pratensis</w:t>
      </w:r>
      <w:r w:rsidRPr="00A8783E">
        <w:rPr>
          <w:rFonts w:ascii="Times New Roman" w:hAnsi="Times New Roman"/>
          <w:sz w:val="24"/>
          <w:szCs w:val="24"/>
        </w:rPr>
        <w:t>), ливадна лисича опашка (</w:t>
      </w:r>
      <w:r w:rsidRPr="00A8783E">
        <w:rPr>
          <w:rFonts w:ascii="Times New Roman" w:hAnsi="Times New Roman"/>
          <w:i/>
          <w:iCs/>
          <w:sz w:val="24"/>
          <w:szCs w:val="24"/>
          <w:lang w:val="en-US"/>
        </w:rPr>
        <w:t>Alopecurus</w:t>
      </w:r>
      <w:r w:rsidRPr="00A8783E">
        <w:rPr>
          <w:rFonts w:ascii="Times New Roman" w:hAnsi="Times New Roman"/>
          <w:i/>
          <w:iCs/>
          <w:sz w:val="24"/>
          <w:szCs w:val="24"/>
        </w:rPr>
        <w:t xml:space="preserve"> </w:t>
      </w:r>
      <w:r w:rsidRPr="00A8783E">
        <w:rPr>
          <w:rFonts w:ascii="Times New Roman" w:hAnsi="Times New Roman"/>
          <w:i/>
          <w:iCs/>
          <w:sz w:val="24"/>
          <w:szCs w:val="24"/>
          <w:lang w:val="en-US"/>
        </w:rPr>
        <w:t>pratensis</w:t>
      </w:r>
      <w:r w:rsidRPr="00A8783E">
        <w:rPr>
          <w:rFonts w:ascii="Times New Roman" w:hAnsi="Times New Roman"/>
          <w:sz w:val="24"/>
          <w:szCs w:val="24"/>
        </w:rPr>
        <w:t>) и острици (</w:t>
      </w:r>
      <w:r w:rsidRPr="00A8783E">
        <w:rPr>
          <w:rFonts w:ascii="Times New Roman" w:hAnsi="Times New Roman"/>
          <w:i/>
          <w:iCs/>
          <w:sz w:val="24"/>
          <w:szCs w:val="24"/>
          <w:lang w:val="en-US"/>
        </w:rPr>
        <w:t>Carex</w:t>
      </w:r>
      <w:r w:rsidRPr="00A8783E">
        <w:rPr>
          <w:rFonts w:ascii="Times New Roman" w:hAnsi="Times New Roman"/>
          <w:sz w:val="24"/>
          <w:szCs w:val="24"/>
        </w:rPr>
        <w:t xml:space="preserve"> </w:t>
      </w:r>
      <w:r w:rsidRPr="00A8783E">
        <w:rPr>
          <w:rFonts w:ascii="Times New Roman" w:hAnsi="Times New Roman"/>
          <w:sz w:val="24"/>
          <w:szCs w:val="24"/>
          <w:lang w:val="en-US"/>
        </w:rPr>
        <w:t>sp</w:t>
      </w:r>
      <w:r w:rsidRPr="00A8783E">
        <w:rPr>
          <w:rFonts w:ascii="Times New Roman" w:hAnsi="Times New Roman"/>
          <w:sz w:val="24"/>
          <w:szCs w:val="24"/>
        </w:rPr>
        <w:t xml:space="preserve">.). От съществено значение е височината на тревната покривка – между 10 и 176 </w:t>
      </w:r>
      <w:r w:rsidRPr="00A8783E">
        <w:rPr>
          <w:rFonts w:ascii="Times New Roman" w:hAnsi="Times New Roman"/>
          <w:sz w:val="24"/>
          <w:szCs w:val="24"/>
          <w:lang w:val="en-US"/>
        </w:rPr>
        <w:t>cm</w:t>
      </w:r>
      <w:r w:rsidRPr="00A8783E">
        <w:rPr>
          <w:rFonts w:ascii="Times New Roman" w:hAnsi="Times New Roman"/>
          <w:sz w:val="24"/>
          <w:szCs w:val="24"/>
        </w:rPr>
        <w:t xml:space="preserve">., средно 68,6 </w:t>
      </w:r>
      <w:r w:rsidRPr="00A8783E">
        <w:rPr>
          <w:rFonts w:ascii="Times New Roman" w:hAnsi="Times New Roman"/>
          <w:sz w:val="24"/>
          <w:szCs w:val="24"/>
          <w:lang w:val="en-US"/>
        </w:rPr>
        <w:t>cm</w:t>
      </w:r>
      <w:r w:rsidRPr="00A8783E">
        <w:rPr>
          <w:rFonts w:ascii="Times New Roman" w:hAnsi="Times New Roman"/>
          <w:sz w:val="24"/>
          <w:szCs w:val="24"/>
        </w:rPr>
        <w:t>. Гнезди предимно във влажни ливади с единични храсти и поточета или мочурища, често на склонове, тревни съобщества по влажни терени до течащи води или стоящи пресни води. По-рядко в урбанизирани райони, посеви и други (едногодишни) тревни култури и пустеещи земи (Янков отг. ред., 2007). Гнезди на земята, поединично в ливади с висока и гъста тревна растителност. Мътенето на яйцата и храненето на малките се поемат предимно от женската. Мъжките са силно териториални. Площта на индивидуалните участъци е средно 8,9 ha (Големански гл. ред., 2011; Симеонов и др. 1990). Видът избягва сухолюбиви и нискотревни съобщества, като в такива местообитания може да се установи само по време на миграция. Подходящи вероятно са местообитания с кодове 6430, 6440, 6510 и 6520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Ливадния дърдавец е зоофаг – предимно ентомофаг (храни се с насекоми), като предпочита едрите насекоми – скакалци, твърдокрили, кожокрили и др. В хранителния </w:t>
      </w:r>
      <w:r w:rsidRPr="00A8783E">
        <w:rPr>
          <w:rFonts w:ascii="Times New Roman" w:hAnsi="Times New Roman"/>
          <w:sz w:val="24"/>
          <w:szCs w:val="24"/>
        </w:rPr>
        <w:lastRenderedPageBreak/>
        <w:t>му спектър влизат и значително количество голи охлюви, а също и дъждовни червеи. По време на миграция вида се храни и със семена на плевели и житни растения.</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Понастоящем има мозаечно разпространение</w:t>
      </w:r>
      <w:r w:rsidRPr="00A8783E">
        <w:rPr>
          <w:rFonts w:ascii="Times New Roman" w:hAnsi="Times New Roman"/>
          <w:sz w:val="24"/>
          <w:szCs w:val="24"/>
          <w:lang w:val="ru-RU"/>
        </w:rPr>
        <w:t xml:space="preserve"> </w:t>
      </w:r>
      <w:r w:rsidRPr="00A8783E">
        <w:rPr>
          <w:rFonts w:ascii="Times New Roman" w:hAnsi="Times New Roman"/>
          <w:sz w:val="24"/>
          <w:szCs w:val="24"/>
        </w:rPr>
        <w:t>предимно в Западна България. По значимите находища се намират в Софийско-около 850 токуващи мъжки, Западна Стара планина и Централен Балкан - 1500, Понор планина - 120, по линията Трън-Брезник- до границата- 250.</w:t>
      </w:r>
      <w:r w:rsidRPr="00A8783E">
        <w:rPr>
          <w:rFonts w:ascii="Times New Roman" w:hAnsi="Times New Roman"/>
          <w:sz w:val="24"/>
          <w:szCs w:val="24"/>
          <w:lang w:val="ru-RU"/>
        </w:rPr>
        <w:t xml:space="preserve"> </w:t>
      </w:r>
      <w:r w:rsidRPr="00A8783E">
        <w:rPr>
          <w:rFonts w:ascii="Times New Roman" w:hAnsi="Times New Roman"/>
          <w:sz w:val="24"/>
          <w:szCs w:val="24"/>
        </w:rPr>
        <w:t xml:space="preserve">Сравнително малоброен е по Дунавското и Черноморското крайбрежие, Добруджа и Източни Родопи </w:t>
      </w:r>
      <w:r w:rsidRPr="00A8783E">
        <w:rPr>
          <w:rFonts w:ascii="Times New Roman" w:hAnsi="Times New Roman"/>
          <w:sz w:val="24"/>
          <w:szCs w:val="24"/>
          <w:lang w:val="ru-RU"/>
        </w:rPr>
        <w:t>(</w:t>
      </w:r>
      <w:r w:rsidRPr="00A8783E">
        <w:rPr>
          <w:rFonts w:ascii="Times New Roman" w:hAnsi="Times New Roman"/>
          <w:sz w:val="24"/>
          <w:szCs w:val="24"/>
          <w:lang w:val="en-US"/>
        </w:rPr>
        <w:t>Delov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1995;</w:t>
      </w:r>
      <w:r w:rsidRPr="00A8783E">
        <w:rPr>
          <w:rFonts w:ascii="Times New Roman" w:hAnsi="Times New Roman"/>
          <w:sz w:val="24"/>
          <w:szCs w:val="24"/>
        </w:rPr>
        <w:t xml:space="preserve"> </w:t>
      </w:r>
      <w:r w:rsidRPr="00A8783E">
        <w:rPr>
          <w:rFonts w:ascii="Times New Roman" w:hAnsi="Times New Roman"/>
          <w:sz w:val="24"/>
          <w:szCs w:val="24"/>
          <w:lang w:val="en-US"/>
        </w:rPr>
        <w:t>Delov</w:t>
      </w:r>
      <w:r w:rsidRPr="00A8783E">
        <w:rPr>
          <w:rFonts w:ascii="Times New Roman" w:hAnsi="Times New Roman"/>
          <w:sz w:val="24"/>
          <w:szCs w:val="24"/>
          <w:lang w:val="ru-RU"/>
        </w:rPr>
        <w:t xml:space="preserve">, 1998; </w:t>
      </w:r>
      <w:r w:rsidRPr="00A8783E">
        <w:rPr>
          <w:rFonts w:ascii="Times New Roman" w:hAnsi="Times New Roman"/>
          <w:sz w:val="24"/>
          <w:szCs w:val="24"/>
          <w:lang w:val="en-US"/>
        </w:rPr>
        <w:t>Delov</w:t>
      </w:r>
      <w:r w:rsidRPr="00A8783E">
        <w:rPr>
          <w:rFonts w:ascii="Times New Roman" w:hAnsi="Times New Roman"/>
          <w:sz w:val="24"/>
          <w:szCs w:val="24"/>
          <w:lang w:val="ru-RU"/>
        </w:rPr>
        <w:t xml:space="preserve"> and </w:t>
      </w:r>
      <w:r w:rsidRPr="00A8783E">
        <w:rPr>
          <w:rFonts w:ascii="Times New Roman" w:hAnsi="Times New Roman"/>
          <w:sz w:val="24"/>
          <w:szCs w:val="24"/>
          <w:lang w:val="en-US"/>
        </w:rPr>
        <w:t>Jankov</w:t>
      </w:r>
      <w:r w:rsidRPr="00A8783E">
        <w:rPr>
          <w:rFonts w:ascii="Times New Roman" w:hAnsi="Times New Roman"/>
          <w:sz w:val="24"/>
          <w:szCs w:val="24"/>
          <w:lang w:val="ru-RU"/>
        </w:rPr>
        <w:t>, 1997)</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Включен в Приложение 1 на Директивата за птиците. Според </w:t>
      </w:r>
      <w:r w:rsidRPr="00A8783E">
        <w:rPr>
          <w:rFonts w:ascii="Times New Roman" w:hAnsi="Times New Roman"/>
          <w:sz w:val="24"/>
          <w:szCs w:val="24"/>
          <w:lang w:val="en-GB"/>
        </w:rPr>
        <w:t>IUCN</w:t>
      </w:r>
      <w:r w:rsidRPr="00A8783E">
        <w:rPr>
          <w:rFonts w:ascii="Times New Roman" w:hAnsi="Times New Roman"/>
          <w:sz w:val="24"/>
          <w:szCs w:val="24"/>
        </w:rPr>
        <w:t xml:space="preserve"> е слабо засегнат -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rPr>
        <w:t xml:space="preserve"> </w:t>
      </w:r>
      <w:r w:rsidRPr="00A8783E">
        <w:rPr>
          <w:rFonts w:ascii="Times New Roman" w:hAnsi="Times New Roman"/>
          <w:sz w:val="24"/>
          <w:szCs w:val="24"/>
          <w:lang w:val="en-GB"/>
        </w:rPr>
        <w:t>Concern</w:t>
      </w:r>
      <w:r w:rsidRPr="00A8783E">
        <w:rPr>
          <w:rFonts w:ascii="Times New Roman" w:hAnsi="Times New Roman"/>
          <w:sz w:val="24"/>
          <w:szCs w:val="24"/>
        </w:rPr>
        <w:t xml:space="preserve">), за територията на континентална Европа. Включен в </w:t>
      </w:r>
      <w:r w:rsidRPr="00A8783E">
        <w:rPr>
          <w:rFonts w:ascii="Times New Roman" w:hAnsi="Times New Roman"/>
          <w:sz w:val="24"/>
          <w:szCs w:val="24"/>
          <w:lang w:val="en-GB"/>
        </w:rPr>
        <w:t>SPEC</w:t>
      </w:r>
      <w:r w:rsidRPr="00A8783E">
        <w:rPr>
          <w:rFonts w:ascii="Times New Roman" w:hAnsi="Times New Roman"/>
          <w:sz w:val="24"/>
          <w:szCs w:val="24"/>
        </w:rPr>
        <w:t xml:space="preserve"> 2. Включен в Червената книга на България като уязвим </w:t>
      </w:r>
      <w:r w:rsidRPr="00A8783E">
        <w:rPr>
          <w:rFonts w:ascii="Times New Roman" w:hAnsi="Times New Roman"/>
          <w:sz w:val="24"/>
          <w:szCs w:val="24"/>
          <w:lang w:val="en-GB"/>
        </w:rPr>
        <w:t>VU</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2013-2018 г.), видът се опазва само като </w:t>
      </w:r>
      <w:r w:rsidRPr="00A8783E">
        <w:rPr>
          <w:rFonts w:ascii="Times New Roman" w:hAnsi="Times New Roman"/>
          <w:b/>
          <w:bCs/>
          <w:sz w:val="24"/>
          <w:szCs w:val="24"/>
        </w:rPr>
        <w:t>гнездящ</w:t>
      </w:r>
      <w:r w:rsidRPr="00A8783E">
        <w:rPr>
          <w:rFonts w:ascii="Times New Roman" w:hAnsi="Times New Roman"/>
          <w:sz w:val="24"/>
          <w:szCs w:val="24"/>
        </w:rPr>
        <w:t xml:space="preserve"> с популация между 2000 и 4500 токуващи мъжки. Краткосрочната популационна тенденция (2000-2018 г.) е намаляваща, а дългосрочната (1980-2018 г.) също е намаляваща. Посочени са следните заплахи: </w:t>
      </w:r>
      <w:r w:rsidRPr="00A8783E">
        <w:rPr>
          <w:rFonts w:ascii="Times New Roman" w:hAnsi="Times New Roman"/>
          <w:sz w:val="24"/>
          <w:szCs w:val="24"/>
          <w:lang w:val="en-US"/>
        </w:rPr>
        <w:t>A</w:t>
      </w:r>
      <w:r w:rsidRPr="00A8783E">
        <w:rPr>
          <w:rFonts w:ascii="Times New Roman" w:hAnsi="Times New Roman"/>
          <w:sz w:val="24"/>
          <w:szCs w:val="24"/>
        </w:rPr>
        <w:t xml:space="preserve">02, </w:t>
      </w:r>
      <w:r w:rsidRPr="00A8783E">
        <w:rPr>
          <w:rFonts w:ascii="Times New Roman" w:hAnsi="Times New Roman"/>
          <w:sz w:val="24"/>
          <w:szCs w:val="24"/>
          <w:lang w:val="en-US"/>
        </w:rPr>
        <w:t>A</w:t>
      </w:r>
      <w:r w:rsidRPr="00A8783E">
        <w:rPr>
          <w:rFonts w:ascii="Times New Roman" w:hAnsi="Times New Roman"/>
          <w:sz w:val="24"/>
          <w:szCs w:val="24"/>
        </w:rPr>
        <w:t xml:space="preserve">03.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Червената книга (2015) основните посочени заплахи и въздействия са разрушаване на местообитанията посредством разораване на ливади, ранно косене, палежите на стърнищата, интензификация на земеделието, прекомерно използване на инсектициди, лов.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гнездящ</w:t>
      </w:r>
      <w:r w:rsidRPr="00A8783E">
        <w:rPr>
          <w:rFonts w:ascii="Times New Roman" w:hAnsi="Times New Roman"/>
          <w:sz w:val="24"/>
          <w:szCs w:val="24"/>
        </w:rPr>
        <w:t>, като популацията се оценява на 3 двойки, което представлява 0,06 – 0,15 %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средна Дунавска равнина е рядък и малочислен гнездящ и прелетен вид. (Шурулинков и др., 2005). Според Костадинова, Граматиков (2007), видът присъства в зоната по време на гнездовия период, но не е установен количествено. В периода 2001-2003 г. в ПР Сребърна са установени 0-1 дв. (Kambourova, 2005). По време на теренното проучване през май и юни 2021 г. не са установени птици от вида в зоната. По данни  от eBird, видът е наблюдаван в източната част на зоната през юли 2021 г.- 1 инд. Данните от https://observation.org  за 2021 г., не дават данни за зоната и района около нея. 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Посочените заплахи А02-„Преминаване от един вид земеделско ползване към друг вид земеделско ползване (с изключение на отводняване и изгаряне)“ и А03-„Преминаване от смесено земеделие или агро-горски системи към специализирано интензивно земеделие (например монокултурно)“ в докладването по чл. 12 за вида, нямат отношение към вида в зоната.</w:t>
      </w:r>
      <w:r w:rsidRPr="00A8783E">
        <w:rPr>
          <w:rFonts w:cs="Calibri"/>
        </w:rPr>
        <w:t xml:space="preserve"> </w:t>
      </w:r>
      <w:r w:rsidRPr="00A8783E">
        <w:rPr>
          <w:rFonts w:ascii="Times New Roman" w:hAnsi="Times New Roman"/>
          <w:sz w:val="24"/>
          <w:szCs w:val="24"/>
        </w:rPr>
        <w:t>Заплахи за вида в зоната могат да бъдат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lastRenderedPageBreak/>
        <w:t>5.</w:t>
      </w:r>
      <w:r w:rsidRPr="00A8783E">
        <w:rPr>
          <w:rFonts w:ascii="Times New Roman" w:hAnsi="Times New Roman"/>
          <w:sz w:val="24"/>
          <w:szCs w:val="24"/>
        </w:rPr>
        <w:t xml:space="preserve"> </w:t>
      </w:r>
      <w:r w:rsidRPr="00A8783E">
        <w:rPr>
          <w:rFonts w:ascii="Times New Roman" w:hAnsi="Times New Roman"/>
          <w:b/>
          <w:bCs/>
          <w:sz w:val="24"/>
          <w:szCs w:val="24"/>
        </w:rPr>
        <w:t>Параметри за определяне на специфичните природозащитни цели за вида в зоната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1417"/>
        <w:gridCol w:w="1276"/>
        <w:gridCol w:w="2268"/>
        <w:gridCol w:w="2693"/>
      </w:tblGrid>
      <w:tr w:rsidR="00A8783E" w:rsidRPr="00A8783E" w:rsidTr="005B5318">
        <w:trPr>
          <w:tblHeader/>
          <w:jc w:val="center"/>
        </w:trPr>
        <w:tc>
          <w:tcPr>
            <w:tcW w:w="1702"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Параметър</w:t>
            </w:r>
          </w:p>
        </w:tc>
        <w:tc>
          <w:tcPr>
            <w:tcW w:w="1417"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Мерна единица </w:t>
            </w:r>
          </w:p>
        </w:tc>
        <w:tc>
          <w:tcPr>
            <w:tcW w:w="1276"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Целева стойност </w:t>
            </w:r>
          </w:p>
        </w:tc>
        <w:tc>
          <w:tcPr>
            <w:tcW w:w="2268"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Допълнителна информация </w:t>
            </w:r>
          </w:p>
        </w:tc>
        <w:tc>
          <w:tcPr>
            <w:tcW w:w="2693"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702"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rPr>
              <w:t>Популация</w:t>
            </w:r>
            <w:r w:rsidRPr="00A8783E">
              <w:rPr>
                <w:rFonts w:ascii="Times New Roman" w:hAnsi="Times New Roman"/>
              </w:rPr>
              <w:t>: Размер на гнездовата популацията</w:t>
            </w:r>
          </w:p>
        </w:tc>
        <w:tc>
          <w:tcPr>
            <w:tcW w:w="1417"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гнездящи двойки</w:t>
            </w:r>
          </w:p>
        </w:tc>
        <w:tc>
          <w:tcPr>
            <w:tcW w:w="12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Най-малко 1токуващ мъжки </w:t>
            </w:r>
          </w:p>
        </w:tc>
        <w:tc>
          <w:tcPr>
            <w:tcW w:w="226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 СФ за гнездящата популация на вида е посочена минимална и максимална стойност от 3 дв. Тъй като в периода 2001-2003 г. в ПР Сребърна са установени 0-1 дв. (Kambourova, 2005) предлагаме да се посочи минимална стойност от 1 дв.</w:t>
            </w:r>
          </w:p>
        </w:tc>
        <w:tc>
          <w:tcPr>
            <w:tcW w:w="2693"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популацията на вида в зоната в размер от най-малко 1 токуващ мъжки чрез поддържане на подходящите местообитания за вида в зоната.</w:t>
            </w:r>
          </w:p>
          <w:p w:rsidR="00A8783E" w:rsidRPr="00A8783E" w:rsidRDefault="00A8783E" w:rsidP="00A8783E">
            <w:pPr>
              <w:spacing w:after="0" w:line="240" w:lineRule="auto"/>
              <w:rPr>
                <w:rFonts w:ascii="Times New Roman" w:hAnsi="Times New Roman"/>
              </w:rPr>
            </w:pPr>
            <w:r w:rsidRPr="00A8783E">
              <w:rPr>
                <w:rFonts w:ascii="Times New Roman" w:hAnsi="Times New Roman"/>
              </w:rPr>
              <w:t>Необходими са конкретни проучвания за установяване на текущата гнездова численост на вида в зоната.</w:t>
            </w:r>
          </w:p>
        </w:tc>
      </w:tr>
      <w:tr w:rsidR="00A8783E" w:rsidRPr="00A8783E" w:rsidTr="005B5318">
        <w:trPr>
          <w:jc w:val="center"/>
        </w:trPr>
        <w:tc>
          <w:tcPr>
            <w:tcW w:w="1702"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rPr>
              <w:t>Местообитание на вида</w:t>
            </w:r>
            <w:r w:rsidRPr="00A8783E">
              <w:rPr>
                <w:rFonts w:ascii="Times New Roman" w:hAnsi="Times New Roman"/>
              </w:rPr>
              <w:t>: площ на подходящите гнездови местообитания</w:t>
            </w:r>
          </w:p>
        </w:tc>
        <w:tc>
          <w:tcPr>
            <w:tcW w:w="1417" w:type="dxa"/>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lang w:val="en-US"/>
              </w:rPr>
              <w:t>ha</w:t>
            </w:r>
          </w:p>
          <w:p w:rsidR="00A8783E" w:rsidRPr="00A8783E" w:rsidRDefault="00A8783E" w:rsidP="00A8783E">
            <w:pPr>
              <w:spacing w:after="0" w:line="240" w:lineRule="auto"/>
              <w:rPr>
                <w:rFonts w:ascii="Times New Roman" w:hAnsi="Times New Roman"/>
              </w:rPr>
            </w:pPr>
          </w:p>
          <w:p w:rsidR="00A8783E" w:rsidRPr="00A8783E" w:rsidRDefault="00A8783E" w:rsidP="00A8783E">
            <w:pPr>
              <w:spacing w:after="0" w:line="240" w:lineRule="auto"/>
              <w:rPr>
                <w:rFonts w:ascii="Times New Roman" w:hAnsi="Times New Roman"/>
              </w:rPr>
            </w:pPr>
          </w:p>
        </w:tc>
        <w:tc>
          <w:tcPr>
            <w:tcW w:w="1276" w:type="dxa"/>
          </w:tcPr>
          <w:p w:rsidR="00A8783E" w:rsidRPr="00A8783E" w:rsidRDefault="00A8783E" w:rsidP="00A8783E">
            <w:pPr>
              <w:spacing w:after="0" w:line="240" w:lineRule="auto"/>
              <w:rPr>
                <w:rFonts w:cs="Calibri"/>
              </w:rPr>
            </w:pPr>
            <w:r w:rsidRPr="00A8783E">
              <w:rPr>
                <w:rFonts w:ascii="Times New Roman" w:hAnsi="Times New Roman"/>
              </w:rPr>
              <w:t>Най-малко 565,</w:t>
            </w:r>
            <w:r w:rsidRPr="00A8783E">
              <w:rPr>
                <w:rFonts w:cs="Calibri"/>
              </w:rPr>
              <w:t xml:space="preserve"> </w:t>
            </w:r>
          </w:p>
          <w:p w:rsidR="00A8783E" w:rsidRPr="00A8783E" w:rsidRDefault="00A8783E" w:rsidP="00A8783E">
            <w:pPr>
              <w:spacing w:after="0" w:line="240" w:lineRule="auto"/>
              <w:rPr>
                <w:rFonts w:ascii="Times New Roman" w:hAnsi="Times New Roman"/>
              </w:rPr>
            </w:pPr>
          </w:p>
          <w:p w:rsidR="00A8783E" w:rsidRPr="00A8783E" w:rsidRDefault="00A8783E" w:rsidP="00A8783E">
            <w:pPr>
              <w:spacing w:after="0" w:line="240" w:lineRule="auto"/>
              <w:rPr>
                <w:rFonts w:ascii="Times New Roman" w:hAnsi="Times New Roman"/>
              </w:rPr>
            </w:pPr>
            <w:r w:rsidRPr="00A8783E">
              <w:rPr>
                <w:rFonts w:ascii="Times New Roman" w:hAnsi="Times New Roman"/>
              </w:rPr>
              <w:t>от тях 370 ha са само тръстика</w:t>
            </w:r>
          </w:p>
        </w:tc>
        <w:tc>
          <w:tcPr>
            <w:tcW w:w="2268"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Включва гнездовото и хранителното местообитание. Площта е определена на база % участие на местообитание N07-мочурища и блата в СФ на зоната.</w:t>
            </w:r>
          </w:p>
        </w:tc>
        <w:tc>
          <w:tcPr>
            <w:tcW w:w="2693"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площта на подходящите гнездови и хранителни местообитания на вида в размер от най-малко 565 ha.</w:t>
            </w:r>
          </w:p>
        </w:tc>
      </w:tr>
      <w:tr w:rsidR="00A8783E" w:rsidRPr="00A8783E" w:rsidTr="005B5318">
        <w:trPr>
          <w:jc w:val="center"/>
        </w:trPr>
        <w:tc>
          <w:tcPr>
            <w:tcW w:w="1702" w:type="dxa"/>
          </w:tcPr>
          <w:p w:rsidR="00A8783E" w:rsidRPr="00A8783E" w:rsidRDefault="00A8783E" w:rsidP="00A8783E">
            <w:pPr>
              <w:spacing w:after="0" w:line="240" w:lineRule="auto"/>
              <w:rPr>
                <w:rFonts w:ascii="Times New Roman" w:hAnsi="Times New Roman"/>
                <w:b/>
              </w:rPr>
            </w:pPr>
            <w:r w:rsidRPr="00A8783E">
              <w:rPr>
                <w:rFonts w:ascii="Times New Roman" w:hAnsi="Times New Roman"/>
                <w:b/>
              </w:rPr>
              <w:t xml:space="preserve">Местообитание на вида: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Качество на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подходящите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местообитания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на вида в зоната по време на гнездовия </w:t>
            </w:r>
          </w:p>
          <w:p w:rsidR="00A8783E" w:rsidRPr="00A8783E" w:rsidRDefault="00A8783E" w:rsidP="00A8783E">
            <w:pPr>
              <w:spacing w:after="0" w:line="240" w:lineRule="auto"/>
              <w:rPr>
                <w:rFonts w:ascii="Times New Roman" w:hAnsi="Times New Roman"/>
                <w:b/>
              </w:rPr>
            </w:pPr>
            <w:r w:rsidRPr="00A8783E">
              <w:rPr>
                <w:rFonts w:ascii="Times New Roman" w:hAnsi="Times New Roman"/>
              </w:rPr>
              <w:t>период</w:t>
            </w:r>
          </w:p>
        </w:tc>
        <w:tc>
          <w:tcPr>
            <w:tcW w:w="1417"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Височина на тревостоя</w:t>
            </w:r>
          </w:p>
        </w:tc>
        <w:tc>
          <w:tcPr>
            <w:tcW w:w="12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Най-малко 20 </w:t>
            </w:r>
            <w:r w:rsidRPr="00A8783E">
              <w:rPr>
                <w:rFonts w:ascii="Times New Roman" w:hAnsi="Times New Roman"/>
                <w:lang w:val="en-US"/>
              </w:rPr>
              <w:t>cm</w:t>
            </w:r>
          </w:p>
        </w:tc>
        <w:tc>
          <w:tcPr>
            <w:tcW w:w="2268"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От съществено значение е височината на тревната покривка – между 10 и 176 cm., средно 68,6 cm. Гнезди предимно във влажни ливади с единични храсти и поточета или мочурища, често на склонове, тревни съобщества по влажни терени до течащи води или стоящи пресни води.</w:t>
            </w:r>
          </w:p>
        </w:tc>
        <w:tc>
          <w:tcPr>
            <w:tcW w:w="2693"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Поддържане на височината на </w:t>
            </w:r>
          </w:p>
          <w:p w:rsidR="00A8783E" w:rsidRPr="00A8783E" w:rsidRDefault="00A8783E" w:rsidP="00A8783E">
            <w:pPr>
              <w:spacing w:after="0" w:line="240" w:lineRule="auto"/>
              <w:rPr>
                <w:rFonts w:ascii="Times New Roman" w:hAnsi="Times New Roman"/>
              </w:rPr>
            </w:pPr>
            <w:r w:rsidRPr="00A8783E">
              <w:rPr>
                <w:rFonts w:ascii="Times New Roman" w:hAnsi="Times New Roman"/>
              </w:rPr>
              <w:t>тревостоя от най-малко 20 cm. Установяване наличието на подходящите местообитания в зоната и тяхното поддържане.</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Периодът на гнездене при този вид продължава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от май до август. Това налага коситбата да се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извършва след приключването на гнездовия </w:t>
            </w:r>
          </w:p>
          <w:p w:rsidR="00A8783E" w:rsidRPr="00A8783E" w:rsidRDefault="00A8783E" w:rsidP="00A8783E">
            <w:pPr>
              <w:spacing w:after="0" w:line="240" w:lineRule="auto"/>
              <w:rPr>
                <w:rFonts w:ascii="Times New Roman" w:hAnsi="Times New Roman"/>
              </w:rPr>
            </w:pPr>
            <w:r w:rsidRPr="00A8783E">
              <w:rPr>
                <w:rFonts w:ascii="Times New Roman" w:hAnsi="Times New Roman"/>
              </w:rPr>
              <w:t>период (след 15 август).</w:t>
            </w:r>
          </w:p>
        </w:tc>
      </w:tr>
    </w:tbl>
    <w:p w:rsidR="00A8783E" w:rsidRPr="00A8783E" w:rsidRDefault="00A8783E" w:rsidP="00A8783E">
      <w:pPr>
        <w:spacing w:after="160" w:line="259" w:lineRule="auto"/>
        <w:rPr>
          <w:rFonts w:ascii="Times New Roman" w:hAnsi="Times New Roman"/>
          <w:sz w:val="24"/>
          <w:szCs w:val="24"/>
        </w:rPr>
      </w:pPr>
    </w:p>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t xml:space="preserve">6. Необходимост от промени в СФ за (СЗЗ) </w:t>
      </w:r>
      <w:r w:rsidRPr="00A8783E">
        <w:rPr>
          <w:rFonts w:ascii="Times New Roman" w:hAnsi="Times New Roman"/>
          <w:b/>
          <w:bCs/>
          <w:sz w:val="24"/>
          <w:szCs w:val="24"/>
        </w:rPr>
        <w:t>BG0000241 „Сребърна“</w:t>
      </w:r>
    </w:p>
    <w:p w:rsidR="00A8783E" w:rsidRPr="00A8783E" w:rsidRDefault="00A8783E" w:rsidP="00A8783E">
      <w:pPr>
        <w:spacing w:after="160" w:line="259" w:lineRule="auto"/>
        <w:jc w:val="both"/>
        <w:rPr>
          <w:rFonts w:ascii="Times New Roman" w:hAnsi="Times New Roman"/>
          <w:color w:val="000000"/>
          <w:sz w:val="24"/>
          <w:szCs w:val="24"/>
        </w:rPr>
      </w:pPr>
      <w:r w:rsidRPr="00A8783E">
        <w:rPr>
          <w:rFonts w:ascii="Times New Roman" w:hAnsi="Times New Roman"/>
          <w:color w:val="000000"/>
          <w:sz w:val="24"/>
          <w:szCs w:val="24"/>
        </w:rPr>
        <w:t>По отношение на гнездящата популация предлагаме промяна на минималната численост да стане 1 дв., на база на това, че в периода 2001-2003 г. в ПР Сребърна са установени 0-1 дв. (Kambourova, 2005).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71"/>
        <w:gridCol w:w="1024"/>
        <w:gridCol w:w="329"/>
        <w:gridCol w:w="489"/>
        <w:gridCol w:w="212"/>
        <w:gridCol w:w="217"/>
        <w:gridCol w:w="572"/>
        <w:gridCol w:w="617"/>
        <w:gridCol w:w="606"/>
        <w:gridCol w:w="587"/>
        <w:gridCol w:w="853"/>
        <w:gridCol w:w="494"/>
        <w:gridCol w:w="505"/>
        <w:gridCol w:w="633"/>
        <w:gridCol w:w="529"/>
        <w:gridCol w:w="578"/>
      </w:tblGrid>
      <w:tr w:rsidR="00A8783E" w:rsidRPr="00A8783E" w:rsidTr="005B5318">
        <w:trPr>
          <w:jc w:val="center"/>
        </w:trPr>
        <w:tc>
          <w:tcPr>
            <w:tcW w:w="1667" w:type="pct"/>
            <w:gridSpan w:val="6"/>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Species</w:t>
            </w:r>
          </w:p>
        </w:tc>
        <w:tc>
          <w:tcPr>
            <w:tcW w:w="2124" w:type="pct"/>
            <w:gridSpan w:val="7"/>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Population in the site</w:t>
            </w:r>
          </w:p>
        </w:tc>
        <w:tc>
          <w:tcPr>
            <w:tcW w:w="1209" w:type="pct"/>
            <w:gridSpan w:val="4"/>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Site assessment</w:t>
            </w:r>
          </w:p>
        </w:tc>
      </w:tr>
      <w:tr w:rsidR="00A8783E" w:rsidRPr="00A8783E" w:rsidTr="005B5318">
        <w:trPr>
          <w:jc w:val="center"/>
        </w:trPr>
        <w:tc>
          <w:tcPr>
            <w:tcW w:w="201" w:type="pct"/>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G</w:t>
            </w:r>
          </w:p>
        </w:tc>
        <w:tc>
          <w:tcPr>
            <w:tcW w:w="361" w:type="pct"/>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Code</w:t>
            </w:r>
          </w:p>
        </w:tc>
        <w:tc>
          <w:tcPr>
            <w:tcW w:w="551" w:type="pct"/>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Scientific Name</w:t>
            </w:r>
          </w:p>
        </w:tc>
        <w:tc>
          <w:tcPr>
            <w:tcW w:w="177" w:type="pct"/>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S</w:t>
            </w:r>
          </w:p>
        </w:tc>
        <w:tc>
          <w:tcPr>
            <w:tcW w:w="263" w:type="pct"/>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NP</w:t>
            </w:r>
          </w:p>
        </w:tc>
        <w:tc>
          <w:tcPr>
            <w:tcW w:w="231" w:type="pct"/>
            <w:gridSpan w:val="2"/>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T</w:t>
            </w:r>
          </w:p>
        </w:tc>
        <w:tc>
          <w:tcPr>
            <w:tcW w:w="640" w:type="pct"/>
            <w:gridSpan w:val="2"/>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Size</w:t>
            </w:r>
          </w:p>
        </w:tc>
        <w:tc>
          <w:tcPr>
            <w:tcW w:w="326" w:type="pct"/>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Unit</w:t>
            </w:r>
          </w:p>
        </w:tc>
        <w:tc>
          <w:tcPr>
            <w:tcW w:w="316" w:type="pct"/>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Cat.</w:t>
            </w:r>
          </w:p>
        </w:tc>
        <w:tc>
          <w:tcPr>
            <w:tcW w:w="459" w:type="pct"/>
            <w:vMerge w:val="restar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D.qual.</w:t>
            </w:r>
          </w:p>
        </w:tc>
        <w:tc>
          <w:tcPr>
            <w:tcW w:w="538" w:type="pct"/>
            <w:gridSpan w:val="2"/>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A/B/C/D</w:t>
            </w:r>
          </w:p>
        </w:tc>
        <w:tc>
          <w:tcPr>
            <w:tcW w:w="938" w:type="pct"/>
            <w:gridSpan w:val="3"/>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A/B/C</w:t>
            </w:r>
          </w:p>
        </w:tc>
      </w:tr>
      <w:tr w:rsidR="00A8783E" w:rsidRPr="00A8783E" w:rsidTr="005B5318">
        <w:trPr>
          <w:jc w:val="center"/>
        </w:trPr>
        <w:tc>
          <w:tcPr>
            <w:tcW w:w="201" w:type="pct"/>
            <w:vMerge/>
            <w:shd w:val="clear" w:color="auto" w:fill="D9D9D9"/>
            <w:vAlign w:val="center"/>
          </w:tcPr>
          <w:p w:rsidR="00A8783E" w:rsidRPr="00A8783E" w:rsidRDefault="00A8783E" w:rsidP="00A8783E">
            <w:pPr>
              <w:spacing w:after="0" w:line="240" w:lineRule="auto"/>
              <w:rPr>
                <w:rFonts w:ascii="Times New Roman" w:hAnsi="Times New Roman" w:cs="Calibri"/>
                <w:sz w:val="20"/>
                <w:szCs w:val="20"/>
                <w:lang w:eastAsia="bg-BG"/>
              </w:rPr>
            </w:pPr>
          </w:p>
        </w:tc>
        <w:tc>
          <w:tcPr>
            <w:tcW w:w="361" w:type="pct"/>
            <w:vMerge/>
            <w:shd w:val="clear" w:color="auto" w:fill="D9D9D9"/>
            <w:vAlign w:val="center"/>
          </w:tcPr>
          <w:p w:rsidR="00A8783E" w:rsidRPr="00A8783E" w:rsidRDefault="00A8783E" w:rsidP="00A8783E">
            <w:pPr>
              <w:spacing w:after="0" w:line="240" w:lineRule="auto"/>
              <w:rPr>
                <w:rFonts w:ascii="Times New Roman" w:hAnsi="Times New Roman" w:cs="Calibri"/>
                <w:sz w:val="20"/>
                <w:szCs w:val="20"/>
                <w:lang w:eastAsia="bg-BG"/>
              </w:rPr>
            </w:pPr>
          </w:p>
        </w:tc>
        <w:tc>
          <w:tcPr>
            <w:tcW w:w="551" w:type="pct"/>
            <w:vMerge/>
            <w:shd w:val="clear" w:color="auto" w:fill="D9D9D9"/>
            <w:vAlign w:val="center"/>
          </w:tcPr>
          <w:p w:rsidR="00A8783E" w:rsidRPr="00A8783E" w:rsidRDefault="00A8783E" w:rsidP="00A8783E">
            <w:pPr>
              <w:spacing w:after="0" w:line="240" w:lineRule="auto"/>
              <w:rPr>
                <w:rFonts w:ascii="Times New Roman" w:hAnsi="Times New Roman" w:cs="Calibri"/>
                <w:sz w:val="20"/>
                <w:szCs w:val="20"/>
                <w:lang w:eastAsia="bg-BG"/>
              </w:rPr>
            </w:pPr>
          </w:p>
        </w:tc>
        <w:tc>
          <w:tcPr>
            <w:tcW w:w="177" w:type="pct"/>
            <w:vMerge/>
            <w:shd w:val="clear" w:color="auto" w:fill="D9D9D9"/>
            <w:vAlign w:val="center"/>
          </w:tcPr>
          <w:p w:rsidR="00A8783E" w:rsidRPr="00A8783E" w:rsidRDefault="00A8783E" w:rsidP="00A8783E">
            <w:pPr>
              <w:spacing w:after="0" w:line="240" w:lineRule="auto"/>
              <w:rPr>
                <w:rFonts w:ascii="Times New Roman" w:hAnsi="Times New Roman" w:cs="Calibri"/>
                <w:sz w:val="20"/>
                <w:szCs w:val="20"/>
                <w:lang w:eastAsia="bg-BG"/>
              </w:rPr>
            </w:pPr>
          </w:p>
        </w:tc>
        <w:tc>
          <w:tcPr>
            <w:tcW w:w="263" w:type="pct"/>
            <w:vMerge/>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p>
        </w:tc>
        <w:tc>
          <w:tcPr>
            <w:tcW w:w="231" w:type="pct"/>
            <w:gridSpan w:val="2"/>
            <w:vMerge/>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p>
        </w:tc>
        <w:tc>
          <w:tcPr>
            <w:tcW w:w="308" w:type="pc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Min</w:t>
            </w:r>
          </w:p>
        </w:tc>
        <w:tc>
          <w:tcPr>
            <w:tcW w:w="332" w:type="pc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Max</w:t>
            </w:r>
          </w:p>
        </w:tc>
        <w:tc>
          <w:tcPr>
            <w:tcW w:w="326" w:type="pct"/>
            <w:vMerge/>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p>
        </w:tc>
        <w:tc>
          <w:tcPr>
            <w:tcW w:w="316" w:type="pct"/>
            <w:vMerge/>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p>
        </w:tc>
        <w:tc>
          <w:tcPr>
            <w:tcW w:w="459" w:type="pct"/>
            <w:vMerge/>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p>
        </w:tc>
        <w:tc>
          <w:tcPr>
            <w:tcW w:w="538" w:type="pct"/>
            <w:gridSpan w:val="2"/>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Pop.</w:t>
            </w:r>
          </w:p>
        </w:tc>
        <w:tc>
          <w:tcPr>
            <w:tcW w:w="341" w:type="pc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Con.</w:t>
            </w:r>
          </w:p>
        </w:tc>
        <w:tc>
          <w:tcPr>
            <w:tcW w:w="285" w:type="pc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Iso.</w:t>
            </w:r>
          </w:p>
        </w:tc>
        <w:tc>
          <w:tcPr>
            <w:tcW w:w="313" w:type="pct"/>
            <w:shd w:val="clear" w:color="auto" w:fill="D9D9D9"/>
            <w:vAlign w:val="center"/>
          </w:tcPr>
          <w:p w:rsidR="00A8783E" w:rsidRPr="00A8783E" w:rsidRDefault="00A8783E" w:rsidP="00A8783E">
            <w:pPr>
              <w:spacing w:after="0" w:line="240" w:lineRule="auto"/>
              <w:rPr>
                <w:rFonts w:ascii="Times New Roman" w:hAnsi="Times New Roman" w:cs="Calibri"/>
                <w:b/>
                <w:sz w:val="20"/>
                <w:szCs w:val="20"/>
                <w:lang w:eastAsia="bg-BG"/>
              </w:rPr>
            </w:pPr>
            <w:r w:rsidRPr="00A8783E">
              <w:rPr>
                <w:rFonts w:ascii="Times New Roman" w:hAnsi="Times New Roman" w:cs="Calibri"/>
                <w:b/>
                <w:sz w:val="20"/>
                <w:szCs w:val="20"/>
                <w:lang w:eastAsia="bg-BG"/>
              </w:rPr>
              <w:t>Glo.</w:t>
            </w:r>
          </w:p>
        </w:tc>
      </w:tr>
      <w:tr w:rsidR="00A8783E" w:rsidRPr="00A8783E" w:rsidTr="005B5318">
        <w:trPr>
          <w:jc w:val="center"/>
        </w:trPr>
        <w:tc>
          <w:tcPr>
            <w:tcW w:w="201"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eastAsia="bg-BG"/>
              </w:rPr>
            </w:pPr>
            <w:r w:rsidRPr="00A8783E">
              <w:rPr>
                <w:rFonts w:ascii="Times New Roman" w:hAnsi="Times New Roman" w:cs="Calibri"/>
                <w:sz w:val="20"/>
                <w:szCs w:val="20"/>
                <w:lang w:eastAsia="bg-BG"/>
              </w:rPr>
              <w:t>B</w:t>
            </w:r>
          </w:p>
        </w:tc>
        <w:tc>
          <w:tcPr>
            <w:tcW w:w="361"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eastAsia="bg-BG"/>
              </w:rPr>
            </w:pPr>
            <w:r w:rsidRPr="00A8783E">
              <w:rPr>
                <w:rFonts w:ascii="Times New Roman" w:hAnsi="Times New Roman" w:cs="Calibri"/>
                <w:sz w:val="20"/>
                <w:szCs w:val="20"/>
                <w:lang w:eastAsia="bg-BG"/>
              </w:rPr>
              <w:t>A122</w:t>
            </w:r>
          </w:p>
        </w:tc>
        <w:tc>
          <w:tcPr>
            <w:tcW w:w="551" w:type="pct"/>
            <w:shd w:val="clear" w:color="auto" w:fill="auto"/>
            <w:vAlign w:val="center"/>
          </w:tcPr>
          <w:p w:rsidR="00A8783E" w:rsidRPr="00A8783E" w:rsidRDefault="00A8783E" w:rsidP="00A8783E">
            <w:pPr>
              <w:spacing w:after="0" w:line="240" w:lineRule="auto"/>
              <w:rPr>
                <w:rFonts w:ascii="Times New Roman" w:hAnsi="Times New Roman" w:cs="Calibri"/>
                <w:i/>
                <w:sz w:val="20"/>
                <w:szCs w:val="20"/>
                <w:lang w:val="en-US" w:eastAsia="bg-BG"/>
              </w:rPr>
            </w:pPr>
            <w:r w:rsidRPr="00A8783E">
              <w:rPr>
                <w:rFonts w:ascii="Times New Roman" w:hAnsi="Times New Roman" w:cs="Calibri"/>
                <w:i/>
                <w:sz w:val="20"/>
                <w:szCs w:val="20"/>
                <w:lang w:val="en-US" w:eastAsia="bg-BG"/>
              </w:rPr>
              <w:t>Crex crex</w:t>
            </w:r>
          </w:p>
        </w:tc>
        <w:tc>
          <w:tcPr>
            <w:tcW w:w="177"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eastAsia="bg-BG"/>
              </w:rPr>
            </w:pPr>
          </w:p>
        </w:tc>
        <w:tc>
          <w:tcPr>
            <w:tcW w:w="263" w:type="pct"/>
            <w:shd w:val="clear" w:color="auto" w:fill="auto"/>
            <w:vAlign w:val="center"/>
          </w:tcPr>
          <w:p w:rsidR="00A8783E" w:rsidRPr="00A8783E" w:rsidRDefault="00A8783E" w:rsidP="00A8783E">
            <w:pPr>
              <w:spacing w:after="0" w:line="240" w:lineRule="auto"/>
              <w:rPr>
                <w:rFonts w:ascii="Times New Roman" w:hAnsi="Times New Roman" w:cs="Calibri"/>
                <w:b/>
                <w:sz w:val="20"/>
                <w:szCs w:val="20"/>
                <w:lang w:eastAsia="bg-BG"/>
              </w:rPr>
            </w:pPr>
          </w:p>
        </w:tc>
        <w:tc>
          <w:tcPr>
            <w:tcW w:w="231" w:type="pct"/>
            <w:gridSpan w:val="2"/>
            <w:shd w:val="clear" w:color="auto" w:fill="auto"/>
            <w:vAlign w:val="center"/>
          </w:tcPr>
          <w:p w:rsidR="00A8783E" w:rsidRPr="00A8783E" w:rsidRDefault="00A8783E" w:rsidP="00A8783E">
            <w:pPr>
              <w:spacing w:after="0" w:line="240" w:lineRule="auto"/>
              <w:rPr>
                <w:rFonts w:ascii="Times New Roman" w:hAnsi="Times New Roman" w:cs="Calibri"/>
                <w:sz w:val="20"/>
                <w:szCs w:val="20"/>
                <w:lang w:eastAsia="bg-BG"/>
              </w:rPr>
            </w:pPr>
            <w:r w:rsidRPr="00A8783E">
              <w:rPr>
                <w:rFonts w:ascii="Times New Roman" w:hAnsi="Times New Roman" w:cs="Calibri"/>
                <w:sz w:val="20"/>
                <w:szCs w:val="20"/>
                <w:lang w:eastAsia="bg-BG"/>
              </w:rPr>
              <w:t>r</w:t>
            </w:r>
          </w:p>
        </w:tc>
        <w:tc>
          <w:tcPr>
            <w:tcW w:w="308" w:type="pct"/>
            <w:shd w:val="clear" w:color="auto" w:fill="auto"/>
            <w:vAlign w:val="center"/>
          </w:tcPr>
          <w:p w:rsidR="00A8783E" w:rsidRPr="00A8783E" w:rsidRDefault="00A8783E" w:rsidP="00A8783E">
            <w:pPr>
              <w:spacing w:after="0" w:line="240" w:lineRule="auto"/>
              <w:rPr>
                <w:rFonts w:ascii="Times New Roman" w:hAnsi="Times New Roman" w:cs="Calibri"/>
                <w:b/>
                <w:color w:val="FF0000"/>
                <w:sz w:val="20"/>
                <w:szCs w:val="20"/>
                <w:lang w:eastAsia="bg-BG"/>
              </w:rPr>
            </w:pPr>
            <w:r w:rsidRPr="00A8783E">
              <w:rPr>
                <w:rFonts w:ascii="Times New Roman" w:hAnsi="Times New Roman" w:cs="Calibri"/>
                <w:b/>
                <w:color w:val="FF0000"/>
                <w:sz w:val="20"/>
                <w:szCs w:val="20"/>
                <w:lang w:eastAsia="bg-BG"/>
              </w:rPr>
              <w:t>1</w:t>
            </w:r>
          </w:p>
        </w:tc>
        <w:tc>
          <w:tcPr>
            <w:tcW w:w="332"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eastAsia="bg-BG"/>
              </w:rPr>
            </w:pPr>
            <w:r w:rsidRPr="00A8783E">
              <w:rPr>
                <w:rFonts w:ascii="Times New Roman" w:hAnsi="Times New Roman" w:cs="Calibri"/>
                <w:sz w:val="20"/>
                <w:szCs w:val="20"/>
                <w:lang w:eastAsia="bg-BG"/>
              </w:rPr>
              <w:t>3</w:t>
            </w:r>
          </w:p>
        </w:tc>
        <w:tc>
          <w:tcPr>
            <w:tcW w:w="326"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eastAsia="bg-BG"/>
              </w:rPr>
            </w:pPr>
            <w:r w:rsidRPr="00A8783E">
              <w:rPr>
                <w:rFonts w:ascii="Times New Roman" w:hAnsi="Times New Roman" w:cs="Calibri"/>
                <w:sz w:val="20"/>
                <w:szCs w:val="20"/>
                <w:lang w:eastAsia="bg-BG"/>
              </w:rPr>
              <w:t>p</w:t>
            </w:r>
          </w:p>
        </w:tc>
        <w:tc>
          <w:tcPr>
            <w:tcW w:w="316" w:type="pct"/>
            <w:shd w:val="clear" w:color="auto" w:fill="auto"/>
            <w:vAlign w:val="center"/>
          </w:tcPr>
          <w:p w:rsidR="00A8783E" w:rsidRPr="00A8783E" w:rsidRDefault="00A8783E" w:rsidP="00A8783E">
            <w:pPr>
              <w:spacing w:after="0" w:line="240" w:lineRule="auto"/>
              <w:rPr>
                <w:rFonts w:ascii="Times New Roman" w:hAnsi="Times New Roman" w:cs="Calibri"/>
                <w:b/>
                <w:sz w:val="20"/>
                <w:szCs w:val="20"/>
                <w:lang w:eastAsia="bg-BG"/>
              </w:rPr>
            </w:pPr>
          </w:p>
        </w:tc>
        <w:tc>
          <w:tcPr>
            <w:tcW w:w="459"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eastAsia="bg-BG"/>
              </w:rPr>
            </w:pPr>
            <w:r w:rsidRPr="00A8783E">
              <w:rPr>
                <w:rFonts w:ascii="Times New Roman" w:hAnsi="Times New Roman" w:cs="Calibri"/>
                <w:sz w:val="20"/>
                <w:szCs w:val="20"/>
                <w:lang w:eastAsia="bg-BG"/>
              </w:rPr>
              <w:t>G</w:t>
            </w:r>
          </w:p>
        </w:tc>
        <w:tc>
          <w:tcPr>
            <w:tcW w:w="538" w:type="pct"/>
            <w:gridSpan w:val="2"/>
            <w:shd w:val="clear" w:color="auto" w:fill="auto"/>
            <w:vAlign w:val="center"/>
          </w:tcPr>
          <w:p w:rsidR="00A8783E" w:rsidRPr="00A8783E" w:rsidRDefault="00A8783E" w:rsidP="00A8783E">
            <w:pPr>
              <w:spacing w:after="0" w:line="240" w:lineRule="auto"/>
              <w:rPr>
                <w:rFonts w:ascii="Times New Roman" w:hAnsi="Times New Roman" w:cs="Calibri"/>
                <w:sz w:val="20"/>
                <w:szCs w:val="20"/>
                <w:lang w:val="en-US" w:eastAsia="bg-BG"/>
              </w:rPr>
            </w:pPr>
            <w:r w:rsidRPr="00A8783E">
              <w:rPr>
                <w:rFonts w:ascii="Times New Roman" w:hAnsi="Times New Roman" w:cs="Calibri"/>
                <w:sz w:val="20"/>
                <w:szCs w:val="20"/>
                <w:lang w:val="en-US" w:eastAsia="bg-BG"/>
              </w:rPr>
              <w:t>C</w:t>
            </w:r>
          </w:p>
        </w:tc>
        <w:tc>
          <w:tcPr>
            <w:tcW w:w="341"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eastAsia="bg-BG"/>
              </w:rPr>
            </w:pPr>
            <w:r w:rsidRPr="00A8783E">
              <w:rPr>
                <w:rFonts w:ascii="Times New Roman" w:hAnsi="Times New Roman" w:cs="Calibri"/>
                <w:sz w:val="20"/>
                <w:szCs w:val="20"/>
                <w:lang w:eastAsia="bg-BG"/>
              </w:rPr>
              <w:t>B</w:t>
            </w:r>
          </w:p>
        </w:tc>
        <w:tc>
          <w:tcPr>
            <w:tcW w:w="285"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eastAsia="bg-BG"/>
              </w:rPr>
            </w:pPr>
            <w:r w:rsidRPr="00A8783E">
              <w:rPr>
                <w:rFonts w:ascii="Times New Roman" w:hAnsi="Times New Roman" w:cs="Calibri"/>
                <w:sz w:val="20"/>
                <w:szCs w:val="20"/>
                <w:lang w:eastAsia="bg-BG"/>
              </w:rPr>
              <w:t>C</w:t>
            </w:r>
          </w:p>
        </w:tc>
        <w:tc>
          <w:tcPr>
            <w:tcW w:w="313" w:type="pct"/>
            <w:shd w:val="clear" w:color="auto" w:fill="auto"/>
            <w:vAlign w:val="center"/>
          </w:tcPr>
          <w:p w:rsidR="00A8783E" w:rsidRPr="00A8783E" w:rsidRDefault="00A8783E" w:rsidP="00A8783E">
            <w:pPr>
              <w:spacing w:after="0" w:line="240" w:lineRule="auto"/>
              <w:rPr>
                <w:rFonts w:ascii="Times New Roman" w:hAnsi="Times New Roman" w:cs="Calibri"/>
                <w:sz w:val="20"/>
                <w:szCs w:val="20"/>
                <w:lang w:val="en-US" w:eastAsia="bg-BG"/>
              </w:rPr>
            </w:pPr>
            <w:r w:rsidRPr="00A8783E">
              <w:rPr>
                <w:rFonts w:ascii="Times New Roman" w:hAnsi="Times New Roman" w:cs="Calibri"/>
                <w:sz w:val="20"/>
                <w:szCs w:val="20"/>
                <w:lang w:val="en-US" w:eastAsia="bg-BG"/>
              </w:rPr>
              <w:t>C</w:t>
            </w:r>
          </w:p>
        </w:tc>
      </w:tr>
    </w:tbl>
    <w:p w:rsidR="00A8783E" w:rsidRPr="00A8783E" w:rsidRDefault="00A8783E" w:rsidP="00A8783E">
      <w:pPr>
        <w:spacing w:after="160" w:line="259" w:lineRule="auto"/>
        <w:rPr>
          <w:rFonts w:ascii="Times New Roman" w:hAnsi="Times New Roman"/>
          <w:color w:val="000000"/>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45" w:name="_Toc86409824"/>
      <w:bookmarkStart w:id="346" w:name="_Toc89106119"/>
      <w:bookmarkStart w:id="347" w:name="_Toc98741958"/>
      <w:bookmarkStart w:id="348" w:name="_Toc98838633"/>
      <w:r w:rsidRPr="00A8783E">
        <w:rPr>
          <w:rFonts w:ascii="Times New Roman" w:hAnsi="Times New Roman"/>
          <w:color w:val="1F497D"/>
          <w:sz w:val="28"/>
          <w:szCs w:val="28"/>
        </w:rPr>
        <w:lastRenderedPageBreak/>
        <w:t xml:space="preserve">Специфични цели за A123 </w:t>
      </w:r>
      <w:r w:rsidRPr="00A8783E">
        <w:rPr>
          <w:rFonts w:ascii="Times New Roman" w:hAnsi="Times New Roman"/>
          <w:i/>
          <w:iCs/>
          <w:color w:val="1F497D"/>
          <w:sz w:val="28"/>
          <w:szCs w:val="28"/>
          <w:lang w:val="en-US"/>
        </w:rPr>
        <w:t>Gallinula</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chloropus</w:t>
      </w:r>
      <w:r w:rsidRPr="00A8783E">
        <w:rPr>
          <w:rFonts w:ascii="Times New Roman" w:hAnsi="Times New Roman"/>
          <w:color w:val="1F497D"/>
          <w:sz w:val="28"/>
          <w:szCs w:val="28"/>
        </w:rPr>
        <w:t xml:space="preserve"> (зеленоножка)</w:t>
      </w:r>
      <w:bookmarkEnd w:id="345"/>
      <w:bookmarkEnd w:id="346"/>
      <w:bookmarkEnd w:id="347"/>
      <w:bookmarkEnd w:id="348"/>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32-35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50-55 </w:t>
      </w:r>
      <w:r w:rsidRPr="00A8783E">
        <w:rPr>
          <w:rFonts w:ascii="Times New Roman" w:hAnsi="Times New Roman"/>
          <w:sz w:val="24"/>
          <w:szCs w:val="24"/>
          <w:lang w:val="en-US"/>
        </w:rPr>
        <w:t>cm</w:t>
      </w:r>
      <w:r w:rsidRPr="00A8783E">
        <w:rPr>
          <w:rFonts w:ascii="Times New Roman" w:hAnsi="Times New Roman"/>
          <w:sz w:val="24"/>
          <w:szCs w:val="24"/>
        </w:rPr>
        <w:t>. Главата, вратът, шията и гърдите са черно сиви. Горната страна на тялото маслинено кафява. Коремът е тъмносив. Челната пластинка яркочервена. Краката са жълтеникаво зелени. Двата пола трудно отличими един от друг. Плува, като в такт с движението на краката си поклаща главата. Подплашена бяга по водната повърхност като си помага с крилата (Симеонов и др., 1990).</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Постоянен вид по Черноморското крайбрежие и в Тракия и прелетен в останалата територия на страната. Миграцията по Черноморското крайбрежие е март-април и септември-октомври. Както в миналото, така и сега е широкоразпространена гнездяща птица във влажни зони от всякакъв размер и характер.  Размножителния период е от април до август.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Характеристика на местообитанието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Обитава разнообразни влажни зони както в равнините, така и в планините до към 1000 </w:t>
      </w:r>
      <w:r w:rsidRPr="00A8783E">
        <w:rPr>
          <w:rFonts w:ascii="Times New Roman" w:hAnsi="Times New Roman"/>
          <w:sz w:val="24"/>
          <w:szCs w:val="24"/>
          <w:lang w:val="en-US"/>
        </w:rPr>
        <w:t>m</w:t>
      </w:r>
      <w:r w:rsidRPr="00A8783E">
        <w:rPr>
          <w:rFonts w:ascii="Times New Roman" w:hAnsi="Times New Roman"/>
          <w:sz w:val="24"/>
          <w:szCs w:val="24"/>
        </w:rPr>
        <w:t xml:space="preserve">. надморска височина (Симеонов и др., 1990). Гнезди в растителност по периферията на водоеми във влажни зони с различен характер и размери. Гнездото е разположено сред папур или тръстика. Изградено е от сухи стъбла на тръстика и листа от папур. Проучване проведено в различни местообитания в Полша, установява, че всяка двойка защитава гнездова територия по протежение на водоема в размер на 60-180 </w:t>
      </w:r>
      <w:r w:rsidRPr="00A8783E">
        <w:rPr>
          <w:rFonts w:ascii="Times New Roman" w:hAnsi="Times New Roman"/>
          <w:sz w:val="24"/>
          <w:szCs w:val="24"/>
          <w:lang w:val="en-US"/>
        </w:rPr>
        <w:t>m</w:t>
      </w:r>
      <w:r w:rsidRPr="00A8783E">
        <w:rPr>
          <w:rFonts w:ascii="Times New Roman" w:hAnsi="Times New Roman"/>
          <w:sz w:val="24"/>
          <w:szCs w:val="24"/>
        </w:rPr>
        <w:t xml:space="preserve">. Най-предпочитаните от зеленоножката водоеми имат следните характеристики: имат малка площ и са плитки (5-100 </w:t>
      </w:r>
      <w:r w:rsidRPr="00A8783E">
        <w:rPr>
          <w:rFonts w:ascii="Times New Roman" w:hAnsi="Times New Roman"/>
          <w:sz w:val="24"/>
          <w:szCs w:val="24"/>
          <w:lang w:val="en-US"/>
        </w:rPr>
        <w:t>cm</w:t>
      </w:r>
      <w:r w:rsidRPr="00A8783E">
        <w:rPr>
          <w:rFonts w:ascii="Times New Roman" w:hAnsi="Times New Roman"/>
          <w:sz w:val="24"/>
          <w:szCs w:val="24"/>
        </w:rPr>
        <w:t>); имат широка ивица от крайбрежна растителност, като в най-голямо количество трябва да е папура (</w:t>
      </w:r>
      <w:r w:rsidRPr="00A8783E">
        <w:rPr>
          <w:rFonts w:ascii="Times New Roman" w:hAnsi="Times New Roman"/>
          <w:i/>
          <w:iCs/>
          <w:sz w:val="24"/>
          <w:szCs w:val="24"/>
          <w:lang w:val="en-US"/>
        </w:rPr>
        <w:t>Typha</w:t>
      </w:r>
      <w:r w:rsidRPr="00A8783E">
        <w:rPr>
          <w:rFonts w:ascii="Times New Roman" w:hAnsi="Times New Roman"/>
          <w:i/>
          <w:iCs/>
          <w:sz w:val="24"/>
          <w:szCs w:val="24"/>
        </w:rPr>
        <w:t xml:space="preserve"> </w:t>
      </w:r>
      <w:r w:rsidRPr="00A8783E">
        <w:rPr>
          <w:rFonts w:ascii="Times New Roman" w:hAnsi="Times New Roman"/>
          <w:sz w:val="24"/>
          <w:szCs w:val="24"/>
          <w:lang w:val="en-US"/>
        </w:rPr>
        <w:t>sp</w:t>
      </w:r>
      <w:r w:rsidRPr="00A8783E">
        <w:rPr>
          <w:rFonts w:ascii="Times New Roman" w:hAnsi="Times New Roman"/>
          <w:sz w:val="24"/>
          <w:szCs w:val="24"/>
        </w:rPr>
        <w:t>.) (</w:t>
      </w:r>
      <w:r w:rsidRPr="00A8783E">
        <w:rPr>
          <w:rFonts w:ascii="Times New Roman" w:hAnsi="Times New Roman"/>
          <w:sz w:val="24"/>
          <w:szCs w:val="24"/>
          <w:lang w:val="en-US"/>
        </w:rPr>
        <w:t>Cempulik</w:t>
      </w:r>
      <w:r w:rsidRPr="00A8783E">
        <w:rPr>
          <w:rFonts w:ascii="Times New Roman" w:hAnsi="Times New Roman"/>
          <w:sz w:val="24"/>
          <w:szCs w:val="24"/>
        </w:rPr>
        <w:t xml:space="preserve">, 1993). В езерото Ери в САЩ гнездовата плътност варира между 0,2 и 4,6 дв./1 </w:t>
      </w:r>
      <w:r w:rsidRPr="00A8783E">
        <w:rPr>
          <w:rFonts w:ascii="Times New Roman" w:hAnsi="Times New Roman"/>
          <w:sz w:val="24"/>
          <w:szCs w:val="24"/>
          <w:lang w:val="en-US"/>
        </w:rPr>
        <w:t>ha</w:t>
      </w:r>
      <w:r w:rsidRPr="00A8783E">
        <w:rPr>
          <w:rFonts w:ascii="Times New Roman" w:hAnsi="Times New Roman"/>
          <w:sz w:val="24"/>
          <w:szCs w:val="24"/>
        </w:rPr>
        <w:t xml:space="preserve">. Плътността на гнездящите индивиди е най-голяма в полупостоянни наводнени влажни зони с теснолистна крайбрежна растителност, с изобилие от потопета водна растителност, като съотношението между откритите водни площи и тези с растителност е 1:1 (Brackney </w:t>
      </w:r>
      <w:r w:rsidRPr="00A8783E">
        <w:rPr>
          <w:rFonts w:ascii="Times New Roman" w:hAnsi="Times New Roman"/>
          <w:sz w:val="24"/>
          <w:szCs w:val="24"/>
          <w:lang w:val="en-US"/>
        </w:rPr>
        <w:t>and</w:t>
      </w:r>
      <w:r w:rsidRPr="00A8783E">
        <w:rPr>
          <w:rFonts w:ascii="Times New Roman" w:hAnsi="Times New Roman"/>
          <w:sz w:val="24"/>
          <w:szCs w:val="24"/>
        </w:rPr>
        <w:t xml:space="preserve"> Bookhout, 1982). Подходящи вероятно са местообитания с кодове 3130, 3140, 3150, 3160, 3260 и 3270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стомасите на 14 изследвани птици през декември и януари са намерени </w:t>
      </w:r>
      <w:r w:rsidRPr="00A8783E">
        <w:rPr>
          <w:rFonts w:ascii="Times New Roman" w:hAnsi="Times New Roman"/>
          <w:i/>
          <w:iCs/>
          <w:sz w:val="24"/>
          <w:szCs w:val="24"/>
          <w:lang w:val="en-US"/>
        </w:rPr>
        <w:t>Coleoptera</w:t>
      </w:r>
      <w:r w:rsidRPr="00A8783E">
        <w:rPr>
          <w:rFonts w:ascii="Times New Roman" w:hAnsi="Times New Roman"/>
          <w:sz w:val="24"/>
          <w:szCs w:val="24"/>
        </w:rPr>
        <w:t xml:space="preserve"> – ларви, </w:t>
      </w:r>
      <w:r w:rsidRPr="00A8783E">
        <w:rPr>
          <w:rFonts w:ascii="Times New Roman" w:hAnsi="Times New Roman"/>
          <w:i/>
          <w:iCs/>
          <w:sz w:val="24"/>
          <w:szCs w:val="24"/>
          <w:lang w:val="en-US"/>
        </w:rPr>
        <w:t>Dytiscidae</w:t>
      </w:r>
      <w:r w:rsidRPr="00A8783E">
        <w:rPr>
          <w:rFonts w:ascii="Times New Roman" w:hAnsi="Times New Roman"/>
          <w:sz w:val="24"/>
          <w:szCs w:val="24"/>
        </w:rPr>
        <w:t xml:space="preserve"> – ларви, </w:t>
      </w:r>
      <w:r w:rsidRPr="00A8783E">
        <w:rPr>
          <w:rFonts w:ascii="Times New Roman" w:hAnsi="Times New Roman"/>
          <w:i/>
          <w:iCs/>
          <w:sz w:val="24"/>
          <w:szCs w:val="24"/>
          <w:lang w:val="en-US"/>
        </w:rPr>
        <w:t>Hydrophilidae</w:t>
      </w:r>
      <w:r w:rsidRPr="00A8783E">
        <w:rPr>
          <w:rFonts w:ascii="Times New Roman" w:hAnsi="Times New Roman"/>
          <w:i/>
          <w:iCs/>
          <w:sz w:val="24"/>
          <w:szCs w:val="24"/>
        </w:rPr>
        <w:t xml:space="preserve">, </w:t>
      </w:r>
      <w:r w:rsidRPr="00A8783E">
        <w:rPr>
          <w:rFonts w:ascii="Times New Roman" w:hAnsi="Times New Roman"/>
          <w:i/>
          <w:iCs/>
          <w:sz w:val="24"/>
          <w:szCs w:val="24"/>
          <w:lang w:val="en-US"/>
        </w:rPr>
        <w:t>Cerambicidae</w:t>
      </w:r>
      <w:r w:rsidRPr="00A8783E">
        <w:rPr>
          <w:rFonts w:ascii="Times New Roman" w:hAnsi="Times New Roman"/>
          <w:i/>
          <w:iCs/>
          <w:sz w:val="24"/>
          <w:szCs w:val="24"/>
        </w:rPr>
        <w:t xml:space="preserve">, </w:t>
      </w:r>
      <w:r w:rsidRPr="00A8783E">
        <w:rPr>
          <w:rFonts w:ascii="Times New Roman" w:hAnsi="Times New Roman"/>
          <w:i/>
          <w:iCs/>
          <w:sz w:val="24"/>
          <w:szCs w:val="24"/>
          <w:lang w:val="en-US"/>
        </w:rPr>
        <w:t>Chrysomelidae</w:t>
      </w:r>
      <w:r w:rsidRPr="00A8783E">
        <w:rPr>
          <w:rFonts w:ascii="Times New Roman" w:hAnsi="Times New Roman"/>
          <w:sz w:val="24"/>
          <w:szCs w:val="24"/>
        </w:rPr>
        <w:t xml:space="preserve">, </w:t>
      </w:r>
      <w:r w:rsidRPr="00A8783E">
        <w:rPr>
          <w:rFonts w:ascii="Times New Roman" w:hAnsi="Times New Roman"/>
          <w:i/>
          <w:iCs/>
          <w:sz w:val="24"/>
          <w:szCs w:val="24"/>
          <w:lang w:val="en-US"/>
        </w:rPr>
        <w:t>Zebrina</w:t>
      </w:r>
      <w:r w:rsidRPr="00A8783E">
        <w:rPr>
          <w:rFonts w:ascii="Times New Roman" w:hAnsi="Times New Roman"/>
          <w:i/>
          <w:iCs/>
          <w:sz w:val="24"/>
          <w:szCs w:val="24"/>
        </w:rPr>
        <w:t xml:space="preserve"> </w:t>
      </w:r>
      <w:r w:rsidRPr="00A8783E">
        <w:rPr>
          <w:rFonts w:ascii="Times New Roman" w:hAnsi="Times New Roman"/>
          <w:i/>
          <w:iCs/>
          <w:sz w:val="24"/>
          <w:szCs w:val="24"/>
          <w:lang w:val="en-US"/>
        </w:rPr>
        <w:t>detrita</w:t>
      </w:r>
      <w:r w:rsidRPr="00A8783E">
        <w:rPr>
          <w:rFonts w:ascii="Times New Roman" w:hAnsi="Times New Roman"/>
          <w:sz w:val="24"/>
          <w:szCs w:val="24"/>
        </w:rPr>
        <w:t xml:space="preserve">, </w:t>
      </w:r>
      <w:r w:rsidRPr="00A8783E">
        <w:rPr>
          <w:rFonts w:ascii="Times New Roman" w:hAnsi="Times New Roman"/>
          <w:i/>
          <w:iCs/>
          <w:sz w:val="24"/>
          <w:szCs w:val="24"/>
          <w:lang w:val="en-US"/>
        </w:rPr>
        <w:t>Cyperus</w:t>
      </w:r>
      <w:r w:rsidRPr="00A8783E">
        <w:rPr>
          <w:rFonts w:ascii="Times New Roman" w:hAnsi="Times New Roman"/>
          <w:sz w:val="24"/>
          <w:szCs w:val="24"/>
        </w:rPr>
        <w:t xml:space="preserve"> </w:t>
      </w:r>
      <w:r w:rsidRPr="00A8783E">
        <w:rPr>
          <w:rFonts w:ascii="Times New Roman" w:hAnsi="Times New Roman"/>
          <w:sz w:val="24"/>
          <w:szCs w:val="24"/>
          <w:lang w:val="en-US"/>
        </w:rPr>
        <w:t>sp</w:t>
      </w:r>
      <w:r w:rsidRPr="00A8783E">
        <w:rPr>
          <w:rFonts w:ascii="Times New Roman" w:hAnsi="Times New Roman"/>
          <w:sz w:val="24"/>
          <w:szCs w:val="24"/>
        </w:rPr>
        <w:t xml:space="preserve">., </w:t>
      </w:r>
      <w:r w:rsidRPr="00A8783E">
        <w:rPr>
          <w:rFonts w:ascii="Times New Roman" w:hAnsi="Times New Roman"/>
          <w:i/>
          <w:iCs/>
          <w:sz w:val="24"/>
          <w:szCs w:val="24"/>
          <w:lang w:val="en-US"/>
        </w:rPr>
        <w:t>Bitomus</w:t>
      </w:r>
      <w:r w:rsidRPr="00A8783E">
        <w:rPr>
          <w:rFonts w:ascii="Times New Roman" w:hAnsi="Times New Roman"/>
          <w:sz w:val="24"/>
          <w:szCs w:val="24"/>
        </w:rPr>
        <w:t xml:space="preserve"> </w:t>
      </w:r>
      <w:r w:rsidRPr="00A8783E">
        <w:rPr>
          <w:rFonts w:ascii="Times New Roman" w:hAnsi="Times New Roman"/>
          <w:sz w:val="24"/>
          <w:szCs w:val="24"/>
          <w:lang w:val="en-US"/>
        </w:rPr>
        <w:t>sp</w:t>
      </w:r>
      <w:r w:rsidRPr="00A8783E">
        <w:rPr>
          <w:rFonts w:ascii="Times New Roman" w:hAnsi="Times New Roman"/>
          <w:sz w:val="24"/>
          <w:szCs w:val="24"/>
        </w:rPr>
        <w:t xml:space="preserve">., </w:t>
      </w:r>
      <w:r w:rsidRPr="00A8783E">
        <w:rPr>
          <w:rFonts w:ascii="Times New Roman" w:hAnsi="Times New Roman"/>
          <w:i/>
          <w:iCs/>
          <w:sz w:val="24"/>
          <w:szCs w:val="24"/>
          <w:lang w:val="en-US"/>
        </w:rPr>
        <w:t>Ceratophilum</w:t>
      </w:r>
      <w:r w:rsidRPr="00A8783E">
        <w:rPr>
          <w:rFonts w:ascii="Times New Roman" w:hAnsi="Times New Roman"/>
          <w:i/>
          <w:iCs/>
          <w:sz w:val="24"/>
          <w:szCs w:val="24"/>
        </w:rPr>
        <w:t xml:space="preserve"> </w:t>
      </w:r>
      <w:r w:rsidRPr="00A8783E">
        <w:rPr>
          <w:rFonts w:ascii="Times New Roman" w:hAnsi="Times New Roman"/>
          <w:sz w:val="24"/>
          <w:szCs w:val="24"/>
          <w:lang w:val="en-US"/>
        </w:rPr>
        <w:t>sp</w:t>
      </w:r>
      <w:r w:rsidRPr="00A8783E">
        <w:rPr>
          <w:rFonts w:ascii="Times New Roman" w:hAnsi="Times New Roman"/>
          <w:sz w:val="24"/>
          <w:szCs w:val="24"/>
        </w:rPr>
        <w:t xml:space="preserve">., </w:t>
      </w:r>
      <w:r w:rsidRPr="00A8783E">
        <w:rPr>
          <w:rFonts w:ascii="Times New Roman" w:hAnsi="Times New Roman"/>
          <w:i/>
          <w:iCs/>
          <w:sz w:val="24"/>
          <w:szCs w:val="24"/>
          <w:lang w:val="en-US"/>
        </w:rPr>
        <w:t>Sarganium</w:t>
      </w:r>
      <w:r w:rsidRPr="00A8783E">
        <w:rPr>
          <w:rFonts w:ascii="Times New Roman" w:hAnsi="Times New Roman"/>
          <w:sz w:val="24"/>
          <w:szCs w:val="24"/>
        </w:rPr>
        <w:t xml:space="preserve"> </w:t>
      </w:r>
      <w:r w:rsidRPr="00A8783E">
        <w:rPr>
          <w:rFonts w:ascii="Times New Roman" w:hAnsi="Times New Roman"/>
          <w:sz w:val="24"/>
          <w:szCs w:val="24"/>
          <w:lang w:val="en-US"/>
        </w:rPr>
        <w:t>sp</w:t>
      </w:r>
      <w:r w:rsidRPr="00A8783E">
        <w:rPr>
          <w:rFonts w:ascii="Times New Roman" w:hAnsi="Times New Roman"/>
          <w:sz w:val="24"/>
          <w:szCs w:val="24"/>
        </w:rPr>
        <w:t>. и др. (Симеонов и др., 1990).</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 неравномерно петнисто разпространение в равнинните и низинните части на цялата страна, най-широко покрай р. Дунав и в Дунавската равнина, Тракийската низина, по Черноморското крайбрежие, по поречията на по-големите реки. На места и в по-ниските части на планините, в преобладаващо гористи (Странджа) или сухи каменисти (Източни Родопи) райони, където гнезди и в много малки влажни зони с блатна растителност (Янков, отг. ред., 2007). В равнините и планините се среща до 1000 </w:t>
      </w:r>
      <w:r w:rsidRPr="00A8783E">
        <w:rPr>
          <w:rFonts w:ascii="Times New Roman" w:hAnsi="Times New Roman"/>
          <w:sz w:val="24"/>
          <w:szCs w:val="24"/>
          <w:lang w:val="en-US"/>
        </w:rPr>
        <w:t>m</w:t>
      </w:r>
      <w:r w:rsidRPr="00A8783E">
        <w:rPr>
          <w:rFonts w:ascii="Times New Roman" w:hAnsi="Times New Roman"/>
          <w:sz w:val="24"/>
          <w:szCs w:val="24"/>
        </w:rPr>
        <w:t xml:space="preserve"> надморска височина (Симеонов и др., 1990).</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Включен в Приложение 2Б на Директивата за птиците. Според </w:t>
      </w:r>
      <w:r w:rsidRPr="00A8783E">
        <w:rPr>
          <w:rFonts w:ascii="Times New Roman" w:hAnsi="Times New Roman"/>
          <w:sz w:val="24"/>
          <w:szCs w:val="24"/>
          <w:lang w:val="en-GB"/>
        </w:rPr>
        <w:t>IUCN</w:t>
      </w:r>
      <w:r w:rsidRPr="00A8783E">
        <w:rPr>
          <w:rFonts w:ascii="Times New Roman" w:hAnsi="Times New Roman"/>
          <w:sz w:val="24"/>
          <w:szCs w:val="24"/>
        </w:rPr>
        <w:t xml:space="preserve"> е слабо засегнат -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rPr>
        <w:t xml:space="preserve"> </w:t>
      </w:r>
      <w:r w:rsidRPr="00A8783E">
        <w:rPr>
          <w:rFonts w:ascii="Times New Roman" w:hAnsi="Times New Roman"/>
          <w:sz w:val="24"/>
          <w:szCs w:val="24"/>
          <w:lang w:val="en-GB"/>
        </w:rPr>
        <w:t>Concern</w:t>
      </w:r>
      <w:r w:rsidRPr="00A8783E">
        <w:rPr>
          <w:rFonts w:ascii="Times New Roman" w:hAnsi="Times New Roman"/>
          <w:sz w:val="24"/>
          <w:szCs w:val="24"/>
        </w:rPr>
        <w:t xml:space="preserve">), за територията на континентална Европа. Не е включен в </w:t>
      </w:r>
      <w:r w:rsidRPr="00A8783E">
        <w:rPr>
          <w:rFonts w:ascii="Times New Roman" w:hAnsi="Times New Roman"/>
          <w:sz w:val="24"/>
          <w:szCs w:val="24"/>
          <w:lang w:val="en-GB"/>
        </w:rPr>
        <w:t>SPEC</w:t>
      </w:r>
      <w:r w:rsidRPr="00A8783E">
        <w:rPr>
          <w:rFonts w:ascii="Times New Roman" w:hAnsi="Times New Roman"/>
          <w:sz w:val="24"/>
          <w:szCs w:val="24"/>
        </w:rPr>
        <w:t xml:space="preserve"> категориите. Не е включен в Червената книга на България.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 на 5000 – 12 000 двойки. Краткосрочната тенденция на популацията (за периода 2000 – 2018 г.) е стабилна, а дългосрочната (за периода 1980 – 2018 г.) също е стабилна. Не са посочени заплахи и влияния.</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гнездящ</w:t>
      </w:r>
      <w:r w:rsidRPr="00A8783E">
        <w:rPr>
          <w:rFonts w:ascii="Times New Roman" w:hAnsi="Times New Roman"/>
          <w:sz w:val="24"/>
          <w:szCs w:val="24"/>
        </w:rPr>
        <w:t xml:space="preserve"> (постоянен), като популацията се оценява на 20-25 двойки, което представлява 0,2 – 0,4 % от националната популация (оценка „С“). Опазването на вида е отлично (оценка „A“), популацията не е изолирана в рамките на разширен ареал (оценка „С“). Общата оценка на стойността на зоната за съхранение на вида е „B“ – добра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видът е също </w:t>
      </w:r>
      <w:r w:rsidRPr="00A8783E">
        <w:rPr>
          <w:rFonts w:ascii="Times New Roman" w:hAnsi="Times New Roman"/>
          <w:b/>
          <w:bCs/>
          <w:sz w:val="24"/>
          <w:szCs w:val="24"/>
        </w:rPr>
        <w:t>мигриращ</w:t>
      </w:r>
      <w:r w:rsidRPr="00A8783E">
        <w:rPr>
          <w:rFonts w:ascii="Times New Roman" w:hAnsi="Times New Roman"/>
          <w:sz w:val="24"/>
          <w:szCs w:val="24"/>
        </w:rPr>
        <w:t>, като числеността на популацията не е посочена (категория Р – присъства в зоната с неизвестна численост). Видът не се докладва като мигриращ по чл. 12 на Директива за птиците, ето защо не може да оценим какъв процент представлява от националната преминаваща популация. Оценката на популацията е категория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средна Дунавска равнина е многочислен и повсеместно разпространен гнездящ, преминаващ и зимуващ вид. Размножава се във всички влажни зони, в които има тръстика или папур, включително и в такива без голяма открита водна площ. (Шурулинков и др., 2005). В Бургаските влажни зони зеленоножката е обикновен мигрант и гнездящ вид, като през пролетта максималните стойности на вида са 48 инд., а през есента – 290 инд. (Dimitrov et al., 2005). Според Костадинова, Граматиков (2007), видът не присъства в зоната по време на миграция.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Матеева и Янков (2013), съобщават за мин. 20 двойки през 2012 г. в зоната. Според </w:t>
      </w:r>
      <w:r w:rsidRPr="00A8783E">
        <w:rPr>
          <w:rFonts w:ascii="Times New Roman" w:hAnsi="Times New Roman"/>
          <w:sz w:val="24"/>
          <w:szCs w:val="24"/>
          <w:lang w:val="en-US"/>
        </w:rPr>
        <w:t>Kamburova</w:t>
      </w:r>
      <w:r w:rsidRPr="00A8783E">
        <w:rPr>
          <w:rFonts w:ascii="Times New Roman" w:hAnsi="Times New Roman"/>
          <w:sz w:val="24"/>
          <w:szCs w:val="24"/>
        </w:rPr>
        <w:t xml:space="preserve"> (2012), видът присъства в зоната като гнездящ, с численост 50-74 двойки за периода 2001-2003 г. Според Актуализиран план за управление на ПР „Сребърна“ (2015), видът присъства в зоната като гнездящ, с численост 20-40 двойки за 2014 г. По време на теренното проучване през май месец 2021 г. са установени 4 инд. и през юни месец 2021 г. са установени 3 инд. от вида в зоната. Не са извършвани теренни проучвания през миграционният сезон на 2021 г. в зоната.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данни  от eBird, видът е наблюдаван в зоната през септември 2000 г. – 32 инд., 06.2001 г. – 1 инд., 08.2005 г. – 20 инд., 05.2008 г. – 2 инд., 06.2008 г. – 2 инд., 05.2011 г. – 2 инд., 05. 2013 г. – 1 инд., 08.2013 г. – 2 инд., 04. 2014 г.- 3 инд., 05.2014 г. – 1 инд., 05.2017 г. – 38 инд., 06. 2017г. – 6 инд., 08.2017 г. – 8 инд., 09. 2017 г. – 18 инд., 05. 2018 г. – 7 инд., 06. 2018 г. – 14 инд., 04.2019 г.- 2 инд., 05. 2019 г.- 7 инд., 05.2020 г.-2 инд., 07. 2021 г.- 7 инд., 09.2021 г.-5 инд.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Не са посочени заплахи и влияния за вида в зоната при докладването по чл. 12 от 2019 г.</w:t>
      </w:r>
      <w:r w:rsidRPr="00A8783E">
        <w:rPr>
          <w:rFonts w:cs="Calibri"/>
        </w:rPr>
        <w:t xml:space="preserve"> </w:t>
      </w:r>
      <w:r w:rsidRPr="00A8783E">
        <w:rPr>
          <w:rFonts w:ascii="Times New Roman" w:hAnsi="Times New Roman"/>
          <w:sz w:val="24"/>
          <w:szCs w:val="24"/>
        </w:rPr>
        <w:t>Заплахи за вида в зоната могат да бъдат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lastRenderedPageBreak/>
        <w:t>5. Параметри за определяне на специфичните природозащитни цели за вида в зоната</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275"/>
        <w:gridCol w:w="1423"/>
        <w:gridCol w:w="2830"/>
        <w:gridCol w:w="2414"/>
      </w:tblGrid>
      <w:tr w:rsidR="00A8783E" w:rsidRPr="00A8783E" w:rsidTr="005B5318">
        <w:trPr>
          <w:tblHeader/>
          <w:jc w:val="center"/>
        </w:trPr>
        <w:tc>
          <w:tcPr>
            <w:tcW w:w="155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27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423"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83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41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55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Популация</w:t>
            </w:r>
            <w:r w:rsidRPr="00A8783E">
              <w:rPr>
                <w:rFonts w:ascii="Times New Roman" w:hAnsi="Times New Roman"/>
              </w:rPr>
              <w:t>: Размер на гнездовата популацията</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гнездящи двойки</w:t>
            </w:r>
          </w:p>
        </w:tc>
        <w:tc>
          <w:tcPr>
            <w:tcW w:w="142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20 дв. </w:t>
            </w:r>
          </w:p>
        </w:tc>
        <w:tc>
          <w:tcPr>
            <w:tcW w:w="2830"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В СФ за гнездовата популация на вида в зоната е посочена численост 20-25 дв. По отношение на гнездовата популация предлагаме да се извърши актуализация на данните като за максимална гнездова стойност се посочи 74 дв. на базата на това, че според Kamburova (2012), видът гнезди в ПР с численост 50-74 двойки за периода 2001-2003 г.</w:t>
            </w:r>
          </w:p>
        </w:tc>
        <w:tc>
          <w:tcPr>
            <w:tcW w:w="241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популацията на вида в зоната в размер от най-малко 20 гнездящи двойки.</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Необходими са целеви изследвания на вида в зоната за установяване текущата гнездова численост.</w:t>
            </w:r>
          </w:p>
        </w:tc>
      </w:tr>
      <w:tr w:rsidR="00A8783E" w:rsidRPr="00A8783E" w:rsidTr="005B5318">
        <w:trPr>
          <w:jc w:val="center"/>
        </w:trPr>
        <w:tc>
          <w:tcPr>
            <w:tcW w:w="155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Популация</w:t>
            </w:r>
            <w:r w:rsidRPr="00A8783E">
              <w:rPr>
                <w:rFonts w:ascii="Times New Roman" w:hAnsi="Times New Roman"/>
              </w:rPr>
              <w:t>: Размер на мигриращата популация</w:t>
            </w:r>
          </w:p>
        </w:tc>
        <w:tc>
          <w:tcPr>
            <w:tcW w:w="1275"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rPr>
              <w:t>Брой индивиди</w:t>
            </w:r>
          </w:p>
        </w:tc>
        <w:tc>
          <w:tcPr>
            <w:tcW w:w="142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Неизвестна </w:t>
            </w:r>
          </w:p>
        </w:tc>
        <w:tc>
          <w:tcPr>
            <w:tcW w:w="283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 СФ за концентрацията на вида по време на миграция в зоната не е посочена численост. Няма друга актуална информация за количеството на птиците и районите с концентрация на вида в зоната по време на миграция. </w:t>
            </w:r>
          </w:p>
        </w:tc>
        <w:tc>
          <w:tcPr>
            <w:tcW w:w="241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jc w:val="center"/>
        </w:trPr>
        <w:tc>
          <w:tcPr>
            <w:tcW w:w="155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Местообитание на вида: Подходящи гнездови и хранителни местообитания на вида </w:t>
            </w:r>
          </w:p>
        </w:tc>
        <w:tc>
          <w:tcPr>
            <w:tcW w:w="1275"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423" w:type="dxa"/>
          </w:tcPr>
          <w:p w:rsidR="00A8783E" w:rsidRPr="00A8783E" w:rsidRDefault="00A8783E" w:rsidP="00A8783E">
            <w:pPr>
              <w:spacing w:after="0" w:line="240" w:lineRule="auto"/>
              <w:rPr>
                <w:rFonts w:cs="Calibri"/>
              </w:rPr>
            </w:pPr>
            <w:r w:rsidRPr="00A8783E">
              <w:rPr>
                <w:rFonts w:ascii="Times New Roman" w:hAnsi="Times New Roman"/>
              </w:rPr>
              <w:t>Най-малко 565,</w:t>
            </w:r>
            <w:r w:rsidRPr="00A8783E">
              <w:rPr>
                <w:rFonts w:cs="Calibri"/>
              </w:rPr>
              <w:t xml:space="preserve"> </w:t>
            </w:r>
          </w:p>
          <w:p w:rsidR="00A8783E" w:rsidRPr="00A8783E" w:rsidRDefault="00A8783E" w:rsidP="00A8783E">
            <w:pPr>
              <w:spacing w:after="0" w:line="240" w:lineRule="auto"/>
              <w:rPr>
                <w:rFonts w:ascii="Times New Roman" w:hAnsi="Times New Roman"/>
              </w:rPr>
            </w:pPr>
          </w:p>
          <w:p w:rsidR="00A8783E" w:rsidRPr="00A8783E" w:rsidRDefault="00A8783E" w:rsidP="00A8783E">
            <w:pPr>
              <w:spacing w:after="0" w:line="240" w:lineRule="auto"/>
              <w:rPr>
                <w:rFonts w:ascii="Times New Roman" w:hAnsi="Times New Roman"/>
              </w:rPr>
            </w:pPr>
            <w:r w:rsidRPr="00A8783E">
              <w:rPr>
                <w:rFonts w:ascii="Times New Roman" w:hAnsi="Times New Roman"/>
              </w:rPr>
              <w:t>от тях 370 ha са само тръстика</w:t>
            </w:r>
          </w:p>
        </w:tc>
        <w:tc>
          <w:tcPr>
            <w:tcW w:w="2830"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Включва гнездовото и хранителното местообитание. Площта е определена на база % участие на местообитание N07-мочурища и блата в СФ на зоната.</w:t>
            </w:r>
          </w:p>
        </w:tc>
        <w:tc>
          <w:tcPr>
            <w:tcW w:w="241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площта на подходящите гнездови и хранителни местообитания на вида в размер от най-малко 565 ha чрез поддържане на оптимално водно ниво в зоната, така че през цялата година да има водни огледала и в най-южните части на резервата.</w:t>
            </w:r>
          </w:p>
        </w:tc>
      </w:tr>
      <w:tr w:rsidR="00A8783E" w:rsidRPr="00A8783E" w:rsidTr="005B5318">
        <w:trPr>
          <w:jc w:val="center"/>
        </w:trPr>
        <w:tc>
          <w:tcPr>
            <w:tcW w:w="155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Местообитание на вида: Екологично състояние на водните тела с местообитания на вида, по биологичен елемент риби (JDS4-Макрозобент</w:t>
            </w:r>
            <w:r w:rsidRPr="00A8783E">
              <w:rPr>
                <w:rFonts w:ascii="Times New Roman" w:hAnsi="Times New Roman"/>
              </w:rPr>
              <w:lastRenderedPageBreak/>
              <w:t>ос)</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5 степенна скала</w:t>
            </w:r>
          </w:p>
        </w:tc>
        <w:tc>
          <w:tcPr>
            <w:tcW w:w="142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2-Добро или 1-Отлично</w:t>
            </w:r>
          </w:p>
        </w:tc>
        <w:tc>
          <w:tcPr>
            <w:tcW w:w="2830" w:type="dxa"/>
          </w:tcPr>
          <w:tbl>
            <w:tblPr>
              <w:tblW w:w="2677" w:type="dxa"/>
              <w:tblInd w:w="3" w:type="dxa"/>
              <w:tblLayout w:type="fixed"/>
              <w:tblCellMar>
                <w:left w:w="70" w:type="dxa"/>
                <w:right w:w="70" w:type="dxa"/>
              </w:tblCellMar>
              <w:tblLook w:val="00A0" w:firstRow="1" w:lastRow="0" w:firstColumn="1" w:lastColumn="0" w:noHBand="0" w:noVBand="0"/>
            </w:tblPr>
            <w:tblGrid>
              <w:gridCol w:w="2677"/>
            </w:tblGrid>
            <w:tr w:rsidR="00A8783E" w:rsidRPr="00A8783E" w:rsidTr="005B5318">
              <w:trPr>
                <w:trHeight w:val="262"/>
              </w:trPr>
              <w:tc>
                <w:tcPr>
                  <w:tcW w:w="2677"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62"/>
              </w:trPr>
              <w:tc>
                <w:tcPr>
                  <w:tcW w:w="2677"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1-Отлично - High</w:t>
                  </w:r>
                </w:p>
              </w:tc>
            </w:tr>
            <w:tr w:rsidR="00A8783E" w:rsidRPr="00A8783E" w:rsidTr="005B5318">
              <w:trPr>
                <w:trHeight w:val="262"/>
              </w:trPr>
              <w:tc>
                <w:tcPr>
                  <w:tcW w:w="2677"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2-Добро - Good</w:t>
                  </w:r>
                </w:p>
              </w:tc>
            </w:tr>
            <w:tr w:rsidR="00A8783E" w:rsidRPr="00A8783E" w:rsidTr="005B5318">
              <w:trPr>
                <w:trHeight w:val="262"/>
              </w:trPr>
              <w:tc>
                <w:tcPr>
                  <w:tcW w:w="2677"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3-Умерено - Moderate</w:t>
                  </w:r>
                </w:p>
              </w:tc>
            </w:tr>
            <w:tr w:rsidR="00A8783E" w:rsidRPr="00A8783E" w:rsidTr="005B5318">
              <w:trPr>
                <w:trHeight w:val="262"/>
              </w:trPr>
              <w:tc>
                <w:tcPr>
                  <w:tcW w:w="2677"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4-Лошо - Poor</w:t>
                  </w:r>
                </w:p>
              </w:tc>
            </w:tr>
            <w:tr w:rsidR="00A8783E" w:rsidRPr="00A8783E" w:rsidTr="005B5318">
              <w:trPr>
                <w:trHeight w:val="262"/>
              </w:trPr>
              <w:tc>
                <w:tcPr>
                  <w:tcW w:w="267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по р. Дунав по показател риби (пункт Русе и Силистра) е оценено на </w:t>
            </w:r>
            <w:r w:rsidRPr="00A8783E">
              <w:rPr>
                <w:rFonts w:ascii="Times New Roman" w:hAnsi="Times New Roman"/>
                <w:b/>
                <w:bCs/>
              </w:rPr>
              <w:t xml:space="preserve">умерено (3) </w:t>
            </w:r>
            <w:r w:rsidRPr="00A8783E">
              <w:rPr>
                <w:rFonts w:ascii="Times New Roman" w:hAnsi="Times New Roman"/>
              </w:rPr>
              <w:t xml:space="preserve">според </w:t>
            </w:r>
            <w:r w:rsidRPr="00A8783E">
              <w:rPr>
                <w:rFonts w:ascii="Times New Roman" w:hAnsi="Times New Roman"/>
              </w:rPr>
              <w:lastRenderedPageBreak/>
              <w:t>доклада на JDS4 (2019-2020).</w:t>
            </w:r>
            <w:r w:rsidRPr="00A8783E">
              <w:rPr>
                <w:rFonts w:cs="Calibri"/>
              </w:rPr>
              <w:t xml:space="preserve"> </w:t>
            </w:r>
            <w:r w:rsidRPr="00A8783E">
              <w:rPr>
                <w:rFonts w:ascii="Times New Roman" w:hAnsi="Times New Roman"/>
              </w:rPr>
              <w:t xml:space="preserve">Според данните от биологичния мониторинг на повърхностните води през 2020 г. ЕС на ез. Сребърна е определено като </w:t>
            </w:r>
            <w:r w:rsidRPr="00A8783E">
              <w:rPr>
                <w:rFonts w:ascii="Times New Roman" w:hAnsi="Times New Roman"/>
                <w:b/>
              </w:rPr>
              <w:t>Отлично</w:t>
            </w:r>
            <w:r w:rsidRPr="00A8783E">
              <w:rPr>
                <w:rFonts w:ascii="Times New Roman" w:hAnsi="Times New Roman"/>
              </w:rPr>
              <w:t xml:space="preserve"> по БЕК Макрозообентос.</w:t>
            </w:r>
          </w:p>
        </w:tc>
        <w:tc>
          <w:tcPr>
            <w:tcW w:w="241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before="120" w:after="120" w:line="259" w:lineRule="auto"/>
        <w:jc w:val="both"/>
        <w:rPr>
          <w:rFonts w:ascii="Times New Roman" w:hAnsi="Times New Roman"/>
          <w:b/>
          <w:bCs/>
          <w:color w:val="000000"/>
          <w:sz w:val="24"/>
          <w:szCs w:val="24"/>
        </w:rPr>
      </w:pPr>
    </w:p>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t xml:space="preserve">6. Необходимост от промени в СФ </w:t>
      </w:r>
      <w:r w:rsidRPr="00A8783E">
        <w:rPr>
          <w:rFonts w:ascii="Times New Roman" w:hAnsi="Times New Roman"/>
          <w:b/>
          <w:bCs/>
          <w:sz w:val="24"/>
          <w:szCs w:val="24"/>
        </w:rPr>
        <w:t>BG0000241 „Сребърна“</w:t>
      </w:r>
    </w:p>
    <w:p w:rsidR="00A8783E" w:rsidRPr="00A8783E" w:rsidRDefault="00A8783E" w:rsidP="00A8783E">
      <w:pPr>
        <w:spacing w:before="120" w:after="120" w:line="259" w:lineRule="auto"/>
        <w:jc w:val="both"/>
        <w:rPr>
          <w:rFonts w:ascii="Times New Roman" w:hAnsi="Times New Roman"/>
          <w:color w:val="000000"/>
          <w:sz w:val="24"/>
          <w:szCs w:val="24"/>
        </w:rPr>
      </w:pPr>
      <w:r w:rsidRPr="00A8783E">
        <w:rPr>
          <w:rFonts w:ascii="Times New Roman" w:hAnsi="Times New Roman"/>
          <w:color w:val="000000"/>
          <w:sz w:val="24"/>
          <w:szCs w:val="24"/>
        </w:rPr>
        <w:t>Предвид наличната информация за настоящата гнездяща популация на вида в защитената зона е необходима актуализация на СФ: По отношение на оценка на зоната (</w:t>
      </w:r>
      <w:r w:rsidRPr="00A8783E">
        <w:rPr>
          <w:rFonts w:ascii="Times New Roman" w:hAnsi="Times New Roman"/>
          <w:color w:val="000000"/>
          <w:sz w:val="24"/>
          <w:szCs w:val="24"/>
          <w:lang w:val="en-US"/>
        </w:rPr>
        <w:t>Population</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in</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the</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site</w:t>
      </w:r>
      <w:r w:rsidRPr="00A8783E">
        <w:rPr>
          <w:rFonts w:ascii="Times New Roman" w:hAnsi="Times New Roman"/>
          <w:color w:val="000000"/>
          <w:sz w:val="24"/>
          <w:szCs w:val="24"/>
        </w:rPr>
        <w:t>) за максималната гнездящата популация следва да се промени от 25 на 74 двойки, на базата на това, че според Kamburova (2012), видът гнезди в ПР с численост 50-74 двойки за периода 2001-2003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
        <w:gridCol w:w="661"/>
        <w:gridCol w:w="1245"/>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0" w:type="auto"/>
            <w:gridSpan w:val="5"/>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Species</w:t>
            </w:r>
          </w:p>
        </w:tc>
        <w:tc>
          <w:tcPr>
            <w:tcW w:w="0" w:type="auto"/>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Population in the site</w:t>
            </w:r>
          </w:p>
        </w:tc>
        <w:tc>
          <w:tcPr>
            <w:tcW w:w="0" w:type="auto"/>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sz w:val="20"/>
                <w:szCs w:val="20"/>
                <w:lang w:val="en-GB"/>
              </w:rPr>
            </w:pPr>
            <w:r w:rsidRPr="00A8783E">
              <w:rPr>
                <w:rFonts w:ascii="Times New Roman" w:hAnsi="Times New Roman"/>
                <w:sz w:val="20"/>
                <w:szCs w:val="20"/>
                <w:lang w:val="en-GB"/>
              </w:rPr>
              <w:t>G</w:t>
            </w:r>
          </w:p>
        </w:tc>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sz w:val="20"/>
                <w:szCs w:val="20"/>
                <w:lang w:val="en-GB"/>
              </w:rPr>
            </w:pPr>
            <w:r w:rsidRPr="00A8783E">
              <w:rPr>
                <w:rFonts w:ascii="Times New Roman" w:hAnsi="Times New Roman"/>
                <w:sz w:val="20"/>
                <w:szCs w:val="20"/>
                <w:lang w:val="en-GB"/>
              </w:rPr>
              <w:t>Code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Scientific Name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NP</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T</w:t>
            </w: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Size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Unit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Cat.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D.qual.</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A/B/C/D</w:t>
            </w:r>
          </w:p>
        </w:tc>
        <w:tc>
          <w:tcPr>
            <w:tcW w:w="0" w:type="auto"/>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160" w:line="259" w:lineRule="auto"/>
              <w:rPr>
                <w:rFonts w:ascii="Times New Roman" w:hAnsi="Times New Roman"/>
                <w:sz w:val="20"/>
                <w:szCs w:val="20"/>
                <w:lang w:val="en-GB"/>
              </w:rPr>
            </w:pPr>
          </w:p>
        </w:tc>
        <w:tc>
          <w:tcPr>
            <w:tcW w:w="0" w:type="auto"/>
            <w:vMerge/>
            <w:shd w:val="clear" w:color="auto" w:fill="D9D9D9"/>
            <w:vAlign w:val="center"/>
          </w:tcPr>
          <w:p w:rsidR="00A8783E" w:rsidRPr="00A8783E" w:rsidRDefault="00A8783E" w:rsidP="00A8783E">
            <w:pPr>
              <w:spacing w:after="160" w:line="259" w:lineRule="auto"/>
              <w:rPr>
                <w:rFonts w:ascii="Times New Roman" w:hAnsi="Times New Roman"/>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Min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Max</w:t>
            </w: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Pop.</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Con.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Iso.</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Glo.</w:t>
            </w:r>
          </w:p>
        </w:tc>
      </w:tr>
      <w:tr w:rsidR="00A8783E" w:rsidRPr="00A8783E" w:rsidTr="005B5318">
        <w:trPr>
          <w:trHeight w:val="295"/>
          <w:jc w:val="center"/>
        </w:trPr>
        <w:tc>
          <w:tcPr>
            <w:tcW w:w="0" w:type="auto"/>
            <w:vAlign w:val="center"/>
          </w:tcPr>
          <w:p w:rsidR="00A8783E" w:rsidRPr="00A8783E" w:rsidRDefault="00A8783E" w:rsidP="00A8783E">
            <w:pPr>
              <w:spacing w:after="160" w:line="259" w:lineRule="auto"/>
              <w:rPr>
                <w:rFonts w:ascii="Times New Roman" w:hAnsi="Times New Roman"/>
                <w:sz w:val="20"/>
                <w:szCs w:val="20"/>
                <w:lang w:val="en-GB"/>
              </w:rPr>
            </w:pPr>
            <w:r w:rsidRPr="00A8783E">
              <w:rPr>
                <w:rFonts w:ascii="Times New Roman" w:hAnsi="Times New Roman"/>
                <w:sz w:val="20"/>
                <w:szCs w:val="20"/>
                <w:lang w:val="en-GB"/>
              </w:rPr>
              <w:t>В</w:t>
            </w:r>
          </w:p>
        </w:tc>
        <w:tc>
          <w:tcPr>
            <w:tcW w:w="0" w:type="auto"/>
            <w:vAlign w:val="center"/>
          </w:tcPr>
          <w:p w:rsidR="00A8783E" w:rsidRPr="00A8783E" w:rsidRDefault="00A8783E" w:rsidP="00A8783E">
            <w:pPr>
              <w:spacing w:after="160" w:line="259" w:lineRule="auto"/>
              <w:rPr>
                <w:rFonts w:ascii="Times New Roman" w:hAnsi="Times New Roman"/>
                <w:sz w:val="20"/>
                <w:szCs w:val="20"/>
              </w:rPr>
            </w:pPr>
            <w:r w:rsidRPr="00A8783E">
              <w:rPr>
                <w:rFonts w:ascii="Times New Roman" w:hAnsi="Times New Roman"/>
                <w:sz w:val="20"/>
                <w:szCs w:val="20"/>
                <w:lang w:val="en-GB"/>
              </w:rPr>
              <w:t>A</w:t>
            </w:r>
            <w:r w:rsidRPr="00A8783E">
              <w:rPr>
                <w:rFonts w:ascii="Times New Roman" w:hAnsi="Times New Roman"/>
                <w:sz w:val="20"/>
                <w:szCs w:val="20"/>
              </w:rPr>
              <w:t>123</w:t>
            </w:r>
          </w:p>
        </w:tc>
        <w:tc>
          <w:tcPr>
            <w:tcW w:w="0" w:type="auto"/>
          </w:tcPr>
          <w:p w:rsidR="00A8783E" w:rsidRPr="00A8783E" w:rsidRDefault="00A8783E" w:rsidP="00A8783E">
            <w:pPr>
              <w:spacing w:after="0" w:line="240" w:lineRule="auto"/>
              <w:rPr>
                <w:rFonts w:ascii="Times New Roman" w:hAnsi="Times New Roman"/>
                <w:i/>
                <w:iCs/>
                <w:sz w:val="20"/>
                <w:szCs w:val="20"/>
                <w:lang w:val="en-GB"/>
              </w:rPr>
            </w:pPr>
            <w:r w:rsidRPr="00A8783E">
              <w:rPr>
                <w:rFonts w:ascii="Times New Roman" w:hAnsi="Times New Roman"/>
                <w:i/>
                <w:iCs/>
                <w:sz w:val="20"/>
                <w:szCs w:val="20"/>
                <w:lang w:val="en-GB"/>
              </w:rPr>
              <w:t>Gallinula chloropus</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p</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20</w:t>
            </w:r>
          </w:p>
        </w:tc>
        <w:tc>
          <w:tcPr>
            <w:tcW w:w="0" w:type="auto"/>
            <w:vAlign w:val="center"/>
          </w:tcPr>
          <w:p w:rsidR="00A8783E" w:rsidRPr="00A8783E" w:rsidRDefault="00A8783E" w:rsidP="00A8783E">
            <w:pPr>
              <w:spacing w:after="0" w:line="240" w:lineRule="auto"/>
              <w:jc w:val="center"/>
              <w:rPr>
                <w:rFonts w:ascii="Times New Roman" w:hAnsi="Times New Roman"/>
                <w:b/>
                <w:bCs/>
                <w:color w:val="FF0000"/>
                <w:sz w:val="20"/>
                <w:szCs w:val="20"/>
              </w:rPr>
            </w:pPr>
            <w:r w:rsidRPr="00A8783E">
              <w:rPr>
                <w:rFonts w:ascii="Times New Roman" w:hAnsi="Times New Roman"/>
                <w:b/>
                <w:bCs/>
                <w:color w:val="FF0000"/>
                <w:sz w:val="20"/>
                <w:szCs w:val="20"/>
              </w:rPr>
              <w:t>74</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p</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G</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C</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A</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C</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B</w:t>
            </w:r>
          </w:p>
        </w:tc>
      </w:tr>
    </w:tbl>
    <w:p w:rsidR="00A8783E" w:rsidRPr="00A8783E" w:rsidRDefault="00A8783E" w:rsidP="00A8783E">
      <w:pPr>
        <w:spacing w:after="160" w:line="259" w:lineRule="auto"/>
        <w:rPr>
          <w:rFonts w:ascii="Times New Roman" w:hAnsi="Times New Roman"/>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49" w:name="_Toc86409830"/>
      <w:bookmarkStart w:id="350" w:name="_Toc89106120"/>
      <w:bookmarkStart w:id="351" w:name="_Toc98741959"/>
      <w:bookmarkStart w:id="352" w:name="_Toc98838634"/>
      <w:r w:rsidRPr="00A8783E">
        <w:rPr>
          <w:rFonts w:ascii="Times New Roman" w:hAnsi="Times New Roman"/>
          <w:color w:val="1F497D"/>
          <w:sz w:val="28"/>
          <w:szCs w:val="28"/>
        </w:rPr>
        <w:t xml:space="preserve">Специфични цели за А125 </w:t>
      </w:r>
      <w:r w:rsidRPr="00A8783E">
        <w:rPr>
          <w:rFonts w:ascii="Times New Roman" w:hAnsi="Times New Roman"/>
          <w:i/>
          <w:iCs/>
          <w:color w:val="1F497D"/>
          <w:sz w:val="28"/>
          <w:szCs w:val="28"/>
        </w:rPr>
        <w:t>Fulica atra</w:t>
      </w:r>
      <w:r w:rsidRPr="00A8783E">
        <w:rPr>
          <w:rFonts w:ascii="Times New Roman" w:hAnsi="Times New Roman"/>
          <w:color w:val="1F497D"/>
          <w:sz w:val="28"/>
          <w:szCs w:val="28"/>
        </w:rPr>
        <w:t xml:space="preserve"> (лиска)</w:t>
      </w:r>
      <w:bookmarkEnd w:id="349"/>
      <w:bookmarkEnd w:id="350"/>
      <w:bookmarkEnd w:id="351"/>
      <w:bookmarkEnd w:id="352"/>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36-42 cm, тегло 0,6 - 1,2 </w:t>
      </w:r>
      <w:r w:rsidRPr="00A8783E">
        <w:rPr>
          <w:rFonts w:ascii="Times New Roman" w:hAnsi="Times New Roman"/>
          <w:sz w:val="24"/>
          <w:szCs w:val="24"/>
          <w:lang w:val="en-US"/>
        </w:rPr>
        <w:t>kg</w:t>
      </w:r>
      <w:r w:rsidRPr="00A8783E">
        <w:rPr>
          <w:rFonts w:ascii="Times New Roman" w:hAnsi="Times New Roman"/>
          <w:sz w:val="24"/>
          <w:szCs w:val="24"/>
        </w:rPr>
        <w:t xml:space="preserve">., а размахът на крилата е 70-80 cm. Оперението е сиво-черно, матово, със синкав оттенък по корема. На челото има бял, рогов израстък, вратът е сиво-черен, а шията - черна. Има възрастов диморфизъм. Младите индивиди са сиви или тъмнокафяви и бялото петно на челото липсва. Клюнът при възрастните екземпляри е млечнобял, а при младите тъмносив. От водата излита тежко, набирайки скорост с тичане по водната повърхност. Често излиза на брега (Симеонов и др., 1990).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Постоянен вид за южна България, гнездящо-прелетен, преминаващ и зимуващ вид за страната (Симеонов и др. 1990). По време на миграционния период ята от лиски могат да се срещнат по всички водоеми в страната, а по време на зимуването се концентрира предимно по крайбрежието на Черно море. Птиците напускат местата на гнездене през август и първата половина на септември, а на пролет пристигат края на февруари, началото на март месец. По Черноморието, зимуващи птици се наблюдават от август до март (Симеонов и др., 1990).</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Гнезди по периферията на водоеми, различни по характер и размери блата, стоящи пресни води (обрасли с водолюбива растителност плитки части на язовири и микроязовири, рибарници, водоеми в баластриери, стари речни корита), както и в лагуни, стоящи бракични води, по-рядко в крайбрежната растителност на течащи води </w:t>
      </w:r>
      <w:r w:rsidRPr="00A8783E">
        <w:rPr>
          <w:rFonts w:ascii="Times New Roman" w:hAnsi="Times New Roman"/>
          <w:sz w:val="24"/>
          <w:szCs w:val="24"/>
        </w:rPr>
        <w:lastRenderedPageBreak/>
        <w:t xml:space="preserve">– предимно по-големи реки. Важно условие е наличието на открито водно огледало, избягва изцяло обраслите с блатна растителност водоеми. След 1990 г. все по-голямо значение за вида придобиват изкуствени водоеми – рибарници, баластриери, язовири (Янков отг. ред., 2007). Подходящото гнездово и хранително местообитание са близко разположени. Обикновено територията е в рамките 0,1 – 0,5 </w:t>
      </w:r>
      <w:r w:rsidRPr="00A8783E">
        <w:rPr>
          <w:rFonts w:ascii="Times New Roman" w:hAnsi="Times New Roman"/>
          <w:sz w:val="24"/>
          <w:szCs w:val="24"/>
          <w:lang w:val="en-GB"/>
        </w:rPr>
        <w:t>ha</w:t>
      </w:r>
      <w:r w:rsidRPr="00A8783E">
        <w:rPr>
          <w:rFonts w:ascii="Times New Roman" w:hAnsi="Times New Roman"/>
          <w:sz w:val="24"/>
          <w:szCs w:val="24"/>
        </w:rPr>
        <w:t xml:space="preserve"> с крайбрежие от 40 – 50 </w:t>
      </w:r>
      <w:r w:rsidRPr="00A8783E">
        <w:rPr>
          <w:rFonts w:ascii="Times New Roman" w:hAnsi="Times New Roman"/>
          <w:sz w:val="24"/>
          <w:szCs w:val="24"/>
          <w:lang w:val="en-GB"/>
        </w:rPr>
        <w:t>m</w:t>
      </w:r>
      <w:r w:rsidRPr="00A8783E">
        <w:rPr>
          <w:rFonts w:ascii="Times New Roman" w:hAnsi="Times New Roman"/>
          <w:sz w:val="24"/>
          <w:szCs w:val="24"/>
        </w:rPr>
        <w:t xml:space="preserve"> (</w:t>
      </w:r>
      <w:r w:rsidRPr="00A8783E">
        <w:rPr>
          <w:rFonts w:ascii="Times New Roman" w:hAnsi="Times New Roman"/>
          <w:sz w:val="24"/>
          <w:szCs w:val="24"/>
          <w:lang w:val="en-GB"/>
        </w:rPr>
        <w:t>BWPi</w:t>
      </w:r>
      <w:r w:rsidRPr="00A8783E">
        <w:rPr>
          <w:rFonts w:ascii="Times New Roman" w:hAnsi="Times New Roman"/>
          <w:sz w:val="24"/>
          <w:szCs w:val="24"/>
        </w:rPr>
        <w:t xml:space="preserve">, 2006). Разстоянието между гнездата 30-50 </w:t>
      </w:r>
      <w:r w:rsidRPr="00A8783E">
        <w:rPr>
          <w:rFonts w:ascii="Times New Roman" w:hAnsi="Times New Roman"/>
          <w:sz w:val="24"/>
          <w:szCs w:val="24"/>
          <w:lang w:val="en-GB"/>
        </w:rPr>
        <w:t>m</w:t>
      </w:r>
      <w:r w:rsidRPr="00A8783E">
        <w:rPr>
          <w:rFonts w:ascii="Times New Roman" w:hAnsi="Times New Roman"/>
          <w:sz w:val="24"/>
          <w:szCs w:val="24"/>
        </w:rPr>
        <w:t xml:space="preserve"> (Симеонов и др., 1990). Подходящи местообитания вероятно са 3150 и 3130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Храни се предимно с растителна храна </w:t>
      </w:r>
      <w:r w:rsidRPr="00A8783E">
        <w:rPr>
          <w:rFonts w:ascii="Times New Roman" w:hAnsi="Times New Roman"/>
          <w:i/>
          <w:iCs/>
          <w:sz w:val="24"/>
          <w:szCs w:val="24"/>
        </w:rPr>
        <w:t>Ceratophyllum</w:t>
      </w:r>
      <w:r w:rsidRPr="00A8783E">
        <w:rPr>
          <w:rFonts w:ascii="Times New Roman" w:hAnsi="Times New Roman"/>
          <w:sz w:val="24"/>
          <w:szCs w:val="24"/>
        </w:rPr>
        <w:t xml:space="preserve"> sp., </w:t>
      </w:r>
      <w:r w:rsidRPr="00A8783E">
        <w:rPr>
          <w:rFonts w:ascii="Times New Roman" w:hAnsi="Times New Roman"/>
          <w:i/>
          <w:iCs/>
          <w:sz w:val="24"/>
          <w:szCs w:val="24"/>
        </w:rPr>
        <w:t>Myriophyllum</w:t>
      </w:r>
      <w:r w:rsidRPr="00A8783E">
        <w:rPr>
          <w:rFonts w:ascii="Times New Roman" w:hAnsi="Times New Roman"/>
          <w:sz w:val="24"/>
          <w:szCs w:val="24"/>
        </w:rPr>
        <w:t xml:space="preserve"> sp., </w:t>
      </w:r>
      <w:r w:rsidRPr="00A8783E">
        <w:rPr>
          <w:rFonts w:ascii="Times New Roman" w:hAnsi="Times New Roman"/>
          <w:i/>
          <w:iCs/>
          <w:sz w:val="24"/>
          <w:szCs w:val="24"/>
        </w:rPr>
        <w:t>Nymphea</w:t>
      </w:r>
      <w:r w:rsidRPr="00A8783E">
        <w:rPr>
          <w:rFonts w:ascii="Times New Roman" w:hAnsi="Times New Roman"/>
          <w:sz w:val="24"/>
          <w:szCs w:val="24"/>
        </w:rPr>
        <w:t xml:space="preserve"> sp., водорасли (</w:t>
      </w:r>
      <w:r w:rsidRPr="00A8783E">
        <w:rPr>
          <w:rFonts w:ascii="Times New Roman" w:hAnsi="Times New Roman"/>
          <w:i/>
          <w:iCs/>
          <w:sz w:val="24"/>
          <w:szCs w:val="24"/>
        </w:rPr>
        <w:t>Enteromorpha</w:t>
      </w:r>
      <w:r w:rsidRPr="00A8783E">
        <w:rPr>
          <w:rFonts w:ascii="Times New Roman" w:hAnsi="Times New Roman"/>
          <w:sz w:val="24"/>
          <w:szCs w:val="24"/>
        </w:rPr>
        <w:t xml:space="preserve"> sp.), по-малко количество водни насекоми, дребни мекотели, червеи, пиявици, хайвер, жаби, много рядко с дребна риба.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 петнисто разпространение в равнинните и низинните части на страната. Най-плътно гнезди в Дунавската равнина (особено покрай р. Дунав и някои от по-големите острови, по поречията на по-големите реки, в рибарници и язовири), в Тракийската низина (по реките Марица, Тунджа и притоците им и в други влажни зони), по Черноморското крайбрежие и в Софийското поле. Изолирани гнездовища има в Лудогорието, по поречието на реките Струма, Арда, Места, в Странджа, Западните Родопи и др.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Включен в Приложение 2А и 3Б на Директивата за птиците. Според </w:t>
      </w:r>
      <w:r w:rsidRPr="00A8783E">
        <w:rPr>
          <w:rFonts w:ascii="Times New Roman" w:hAnsi="Times New Roman"/>
          <w:sz w:val="24"/>
          <w:szCs w:val="24"/>
          <w:lang w:val="en-GB"/>
        </w:rPr>
        <w:t>IUCN</w:t>
      </w:r>
      <w:r w:rsidRPr="00A8783E">
        <w:rPr>
          <w:rFonts w:ascii="Times New Roman" w:hAnsi="Times New Roman"/>
          <w:sz w:val="24"/>
          <w:szCs w:val="24"/>
        </w:rPr>
        <w:t xml:space="preserve"> е слабо засегнат -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rPr>
        <w:t xml:space="preserve"> </w:t>
      </w:r>
      <w:r w:rsidRPr="00A8783E">
        <w:rPr>
          <w:rFonts w:ascii="Times New Roman" w:hAnsi="Times New Roman"/>
          <w:sz w:val="24"/>
          <w:szCs w:val="24"/>
          <w:lang w:val="en-GB"/>
        </w:rPr>
        <w:t>Concern</w:t>
      </w:r>
      <w:r w:rsidRPr="00A8783E">
        <w:rPr>
          <w:rFonts w:ascii="Times New Roman" w:hAnsi="Times New Roman"/>
          <w:sz w:val="24"/>
          <w:szCs w:val="24"/>
        </w:rPr>
        <w:t xml:space="preserve">) за света, а за територията на континентална Европа е </w:t>
      </w:r>
      <w:r w:rsidRPr="00A8783E">
        <w:rPr>
          <w:rFonts w:ascii="Times New Roman" w:hAnsi="Times New Roman"/>
          <w:sz w:val="24"/>
          <w:szCs w:val="24"/>
          <w:lang w:val="en-GB"/>
        </w:rPr>
        <w:t>NT</w:t>
      </w:r>
      <w:r w:rsidRPr="00A8783E">
        <w:rPr>
          <w:rFonts w:ascii="Times New Roman" w:hAnsi="Times New Roman"/>
          <w:sz w:val="24"/>
          <w:szCs w:val="24"/>
        </w:rPr>
        <w:t xml:space="preserve"> (</w:t>
      </w:r>
      <w:r w:rsidRPr="00A8783E">
        <w:rPr>
          <w:rFonts w:ascii="Times New Roman" w:hAnsi="Times New Roman"/>
          <w:sz w:val="24"/>
          <w:szCs w:val="24"/>
          <w:lang w:val="en-GB"/>
        </w:rPr>
        <w:t>Near</w:t>
      </w:r>
      <w:r w:rsidRPr="00A8783E">
        <w:rPr>
          <w:rFonts w:ascii="Times New Roman" w:hAnsi="Times New Roman"/>
          <w:sz w:val="24"/>
          <w:szCs w:val="24"/>
        </w:rPr>
        <w:t xml:space="preserve"> </w:t>
      </w:r>
      <w:r w:rsidRPr="00A8783E">
        <w:rPr>
          <w:rFonts w:ascii="Times New Roman" w:hAnsi="Times New Roman"/>
          <w:sz w:val="24"/>
          <w:szCs w:val="24"/>
          <w:lang w:val="en-GB"/>
        </w:rPr>
        <w:t>Threatened</w:t>
      </w:r>
      <w:r w:rsidRPr="00A8783E">
        <w:rPr>
          <w:rFonts w:ascii="Times New Roman" w:hAnsi="Times New Roman"/>
          <w:sz w:val="24"/>
          <w:szCs w:val="24"/>
        </w:rPr>
        <w:t xml:space="preserve">). Включен в </w:t>
      </w:r>
      <w:r w:rsidRPr="00A8783E">
        <w:rPr>
          <w:rFonts w:ascii="Times New Roman" w:hAnsi="Times New Roman"/>
          <w:sz w:val="24"/>
          <w:szCs w:val="24"/>
          <w:lang w:val="en-GB"/>
        </w:rPr>
        <w:t>SPEC</w:t>
      </w:r>
      <w:r w:rsidRPr="00A8783E">
        <w:rPr>
          <w:rFonts w:ascii="Times New Roman" w:hAnsi="Times New Roman"/>
          <w:sz w:val="24"/>
          <w:szCs w:val="24"/>
        </w:rPr>
        <w:t xml:space="preserve"> 3. Не е включен в Червената книга на България. Обект на лов в страната, но не </w:t>
      </w:r>
      <w:r w:rsidRPr="00A8783E">
        <w:rPr>
          <w:rFonts w:ascii="Times New Roman" w:hAnsi="Times New Roman"/>
          <w:sz w:val="24"/>
          <w:szCs w:val="24"/>
          <w:lang w:val="en-US"/>
        </w:rPr>
        <w:t>e</w:t>
      </w:r>
      <w:r w:rsidRPr="00A8783E">
        <w:rPr>
          <w:rFonts w:ascii="Times New Roman" w:hAnsi="Times New Roman"/>
          <w:sz w:val="24"/>
          <w:szCs w:val="24"/>
        </w:rPr>
        <w:t xml:space="preserve"> много популярен.</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 на 1700 – 3000 двойки. Краткосрочната тенденция на популацията (за периода 2000 – 2018 г.) е стабилна, а дългосрочната (за периода 1980 – 2018 г.) флуктуираща. Посочени са следните заплахи и влияния: </w:t>
      </w:r>
      <w:r w:rsidRPr="00A8783E">
        <w:rPr>
          <w:rFonts w:ascii="Times New Roman" w:hAnsi="Times New Roman"/>
          <w:sz w:val="24"/>
          <w:szCs w:val="24"/>
          <w:lang w:val="en-GB"/>
        </w:rPr>
        <w:t>F</w:t>
      </w:r>
      <w:r w:rsidRPr="00A8783E">
        <w:rPr>
          <w:rFonts w:ascii="Times New Roman" w:hAnsi="Times New Roman"/>
          <w:sz w:val="24"/>
          <w:szCs w:val="24"/>
        </w:rPr>
        <w:t xml:space="preserve">01, </w:t>
      </w:r>
      <w:r w:rsidRPr="00A8783E">
        <w:rPr>
          <w:rFonts w:ascii="Times New Roman" w:hAnsi="Times New Roman"/>
          <w:sz w:val="24"/>
          <w:szCs w:val="24"/>
          <w:lang w:val="en-GB"/>
        </w:rPr>
        <w:t>F</w:t>
      </w:r>
      <w:r w:rsidRPr="00A8783E">
        <w:rPr>
          <w:rFonts w:ascii="Times New Roman" w:hAnsi="Times New Roman"/>
          <w:sz w:val="24"/>
          <w:szCs w:val="24"/>
        </w:rPr>
        <w:t>06.</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Зимуващата</w:t>
      </w:r>
      <w:r w:rsidRPr="00A8783E">
        <w:rPr>
          <w:rFonts w:ascii="Times New Roman" w:hAnsi="Times New Roman"/>
          <w:sz w:val="24"/>
          <w:szCs w:val="24"/>
        </w:rPr>
        <w:t xml:space="preserve"> популация е оценена на 30 000 – 82 000 индивида. Краткосрочната тенденция на популацията (за периода 2000 – 2018 г.) е нарастваща, а дългосрочната (за периода 1980 – 2018 г.) намаляваща. Посочени са следните заплахи и влияния: F02, F05.</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Мигриращата</w:t>
      </w:r>
      <w:r w:rsidRPr="00A8783E">
        <w:rPr>
          <w:rFonts w:ascii="Times New Roman" w:hAnsi="Times New Roman"/>
          <w:sz w:val="24"/>
          <w:szCs w:val="24"/>
        </w:rPr>
        <w:t xml:space="preserve"> национална популация е оценена на 10 000 – 50 000 индивида. Краткосрочната тенденция на популацията в рамките на Натура 2000 е флуктуираща. Посочени са следните заплахи и влияния: </w:t>
      </w:r>
      <w:r w:rsidRPr="00A8783E">
        <w:rPr>
          <w:rFonts w:ascii="Times New Roman" w:hAnsi="Times New Roman"/>
          <w:sz w:val="24"/>
          <w:szCs w:val="24"/>
          <w:lang w:val="en-US"/>
        </w:rPr>
        <w:t>F</w:t>
      </w:r>
      <w:r w:rsidRPr="00A8783E">
        <w:rPr>
          <w:rFonts w:ascii="Times New Roman" w:hAnsi="Times New Roman"/>
          <w:sz w:val="24"/>
          <w:szCs w:val="24"/>
        </w:rPr>
        <w:t xml:space="preserve">02, </w:t>
      </w:r>
      <w:r w:rsidRPr="00A8783E">
        <w:rPr>
          <w:rFonts w:ascii="Times New Roman" w:hAnsi="Times New Roman"/>
          <w:sz w:val="24"/>
          <w:szCs w:val="24"/>
          <w:lang w:val="en-US"/>
        </w:rPr>
        <w:t>F</w:t>
      </w:r>
      <w:r w:rsidRPr="00A8783E">
        <w:rPr>
          <w:rFonts w:ascii="Times New Roman" w:hAnsi="Times New Roman"/>
          <w:sz w:val="24"/>
          <w:szCs w:val="24"/>
        </w:rPr>
        <w:t xml:space="preserve">05, </w:t>
      </w:r>
      <w:r w:rsidRPr="00A8783E">
        <w:rPr>
          <w:rFonts w:ascii="Times New Roman" w:hAnsi="Times New Roman"/>
          <w:sz w:val="24"/>
          <w:szCs w:val="24"/>
          <w:lang w:val="en-US"/>
        </w:rPr>
        <w:t>F</w:t>
      </w:r>
      <w:r w:rsidRPr="00A8783E">
        <w:rPr>
          <w:rFonts w:ascii="Times New Roman" w:hAnsi="Times New Roman"/>
          <w:sz w:val="24"/>
          <w:szCs w:val="24"/>
        </w:rPr>
        <w:t>26.</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 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СФ на зоната вида е </w:t>
      </w:r>
      <w:r w:rsidRPr="00A8783E">
        <w:rPr>
          <w:rFonts w:ascii="Times New Roman" w:hAnsi="Times New Roman"/>
          <w:bCs/>
          <w:sz w:val="24"/>
          <w:szCs w:val="24"/>
        </w:rPr>
        <w:t>гнездящ (постоянен)</w:t>
      </w:r>
      <w:r w:rsidRPr="00A8783E">
        <w:rPr>
          <w:rFonts w:ascii="Times New Roman" w:hAnsi="Times New Roman"/>
          <w:sz w:val="24"/>
          <w:szCs w:val="24"/>
        </w:rPr>
        <w:t xml:space="preserve">, преминаващ и зимуващ. </w:t>
      </w:r>
      <w:r w:rsidRPr="00A8783E">
        <w:rPr>
          <w:rFonts w:ascii="Times New Roman" w:hAnsi="Times New Roman"/>
          <w:b/>
          <w:sz w:val="24"/>
          <w:szCs w:val="24"/>
        </w:rPr>
        <w:t>Гнездящата</w:t>
      </w:r>
      <w:r w:rsidRPr="00A8783E">
        <w:rPr>
          <w:rFonts w:ascii="Times New Roman" w:hAnsi="Times New Roman"/>
          <w:sz w:val="24"/>
          <w:szCs w:val="24"/>
        </w:rPr>
        <w:t xml:space="preserve"> популация се оценява на 60-140 двойки, което представлява 3,52 – 4,66 %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СФ </w:t>
      </w:r>
      <w:r w:rsidRPr="00A8783E">
        <w:rPr>
          <w:rFonts w:ascii="Times New Roman" w:hAnsi="Times New Roman"/>
          <w:b/>
          <w:bCs/>
          <w:sz w:val="24"/>
          <w:szCs w:val="24"/>
        </w:rPr>
        <w:t>мигриращата</w:t>
      </w:r>
      <w:r w:rsidRPr="00A8783E">
        <w:rPr>
          <w:rFonts w:ascii="Times New Roman" w:hAnsi="Times New Roman"/>
          <w:sz w:val="24"/>
          <w:szCs w:val="24"/>
        </w:rPr>
        <w:t xml:space="preserve"> популация се оценя на 77 индивида, което е 0,15 – 0,57 % от националната популация (оценка „С“). Опазването на вида е добро (оценка „В“), </w:t>
      </w:r>
      <w:r w:rsidRPr="00A8783E">
        <w:rPr>
          <w:rFonts w:ascii="Times New Roman" w:hAnsi="Times New Roman"/>
          <w:sz w:val="24"/>
          <w:szCs w:val="24"/>
        </w:rPr>
        <w:lastRenderedPageBreak/>
        <w:t>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СФ </w:t>
      </w:r>
      <w:r w:rsidRPr="00A8783E">
        <w:rPr>
          <w:rFonts w:ascii="Times New Roman" w:hAnsi="Times New Roman"/>
          <w:b/>
          <w:bCs/>
          <w:sz w:val="24"/>
          <w:szCs w:val="24"/>
        </w:rPr>
        <w:t>зимуващата</w:t>
      </w:r>
      <w:r w:rsidRPr="00A8783E">
        <w:rPr>
          <w:rFonts w:ascii="Times New Roman" w:hAnsi="Times New Roman"/>
          <w:sz w:val="24"/>
          <w:szCs w:val="24"/>
        </w:rPr>
        <w:t xml:space="preserve"> популация на вида се оценява на до 560 индивида, което е 1,12 – 1,86 % 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Поради широкото си разпространение и ниския природозащитен статус лиската се оказва слабо проучен вид както за страната, така и за дунавските влажни зони. Лиската е втория най-многочислен гнездящ вид във влажните зони по Дунавското крайбрежие след белобузата рибарка. В средна Дунавска равнина гнезди в почти всички влажни зони с тръстика и папур и поне малко открита водна площ (Шурулинков и др., 2005). Матеева и Янков (2013), съобщават за мин. 20 двойки през 2012 г. в зоната. Видът присъства в зоната като гнездящ, с численост 96-355 двойки за периода 2001-2003 г., за 2004 г. – 90-100 дв., за 2005 г. – 125 дв., за 2005 г. – 237 дв. (Kambourova, 2012). Според Актуализирания план за управление на ПР „Сребърна“ (2015) видът присъства в зоната като гнездящ, с численост 80-90 двойки за 2014 г. По време на теренното проучване през май и юни 2021 г. са установени 99 инд. и 4 двойки от вида в зоната.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Зимуваща и мигрираща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Данните за зимуването на вида в зоната са от средно зимните преброявания през 2019 и 2020 г. По време на Средно-зимното преброяване през 2019 г. видът е наблюдаван на 17 места по поречието на р. Дунав, като са установени общо 341 индивида, като няма регистрирани птици от вида в зоната. През 2020 г. видът е установен на 8 места по поречието на Дунав, с общо 521 инд, като няма регистрирани птици от вида в зоната. Данните на </w:t>
      </w:r>
      <w:r w:rsidRPr="00A8783E">
        <w:rPr>
          <w:rFonts w:ascii="Times New Roman" w:hAnsi="Times New Roman"/>
          <w:sz w:val="24"/>
          <w:szCs w:val="24"/>
          <w:lang w:val="en-US"/>
        </w:rPr>
        <w:t>Michev</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Profirov</w:t>
      </w:r>
      <w:r w:rsidRPr="00A8783E">
        <w:rPr>
          <w:rFonts w:ascii="Times New Roman" w:hAnsi="Times New Roman"/>
          <w:sz w:val="24"/>
          <w:szCs w:val="24"/>
        </w:rPr>
        <w:t xml:space="preserve"> (2003) показват, че лиската зимува основно по южното Черноморско крайбрежие със средна числености от 16 559 инд. Същите автори установяват, че вида в Северна България зимува с числености между 5 и 6173 инд. В средна Дунавска равнина най-висока е средната численост в периода ноември-февруари (Шурулинков и др., 2005). Общият брой зимуващи птици от вида в резервата Сребърна за периода 1977-2001 г. е 6225 инд. (</w:t>
      </w:r>
      <w:r w:rsidRPr="00A8783E">
        <w:rPr>
          <w:rFonts w:ascii="Times New Roman" w:hAnsi="Times New Roman"/>
          <w:sz w:val="24"/>
          <w:szCs w:val="24"/>
          <w:lang w:val="en-US"/>
        </w:rPr>
        <w:t>Michev</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Profirov</w:t>
      </w:r>
      <w:r w:rsidRPr="00A8783E">
        <w:rPr>
          <w:rFonts w:ascii="Times New Roman" w:hAnsi="Times New Roman"/>
          <w:sz w:val="24"/>
          <w:szCs w:val="24"/>
        </w:rPr>
        <w:t>, 2003), а за периода 2008-2013 г. зимуващите лиски са между 0 и 677 инд. (по данни на ИАОС в Актуализиран план на ПР Сребърна, 2015).</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данни  от eBird, видът е наблюдаван през декември 1999 г. – 3000 инд., 09.2000 г. – 62 инд., 10.2000 г. – 38 инд., 06.2001 г. – 590 инд., 08.2005 г. – 200 инд., 12.2006 г. – 279 инд., 05. 2008 г. – 15 инд., 06.2008 г. – 30 инд., 07. 2010 г.- 6 инд., 09.2010 г. – 600 инд., 05.2011 г. – 10 инд., 10. 2017г. – 808 инд., 10.2012 г. – 89 инд., 05. 2013 г. – 35 инд., 06. 2013 г. – 1 инд., 08. 2013 г. – 40 инд., 10.2013 г.- 2 инд., 04. 2014 г.- 134 инд., 05.2014 г.-311 инд., 01. 2016 г.- 1200 инд., 04.2016 г.-10 инд., 04.2017 г.-4 инд., 05.2017 г.-152 инд., 08.2017 г.-130 инд., 09.2017 г.-250 инд., 02.2018 г.-5 инд., 05.2018 г.-11 инд., 06.2018 г.-32 инд., 05.2019 г.-4 инд., 06.2019 г.-15 инд., 07.2019 г.-10 инд., 09.2019 г.-81 инд., 10.2019 г.-10 инд., 05.2020 г.-121 инд., 05.2021 г.-9 инд., 07.2021 г.-28 инд.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За гнездящата популация са посочени следните заплахи и влияния (Докладване по чл. 12, 2019 г.): F01, </w:t>
      </w:r>
      <w:r w:rsidRPr="00A8783E">
        <w:rPr>
          <w:rFonts w:ascii="Times New Roman" w:hAnsi="Times New Roman"/>
          <w:sz w:val="24"/>
          <w:szCs w:val="24"/>
          <w:lang w:val="en-US"/>
        </w:rPr>
        <w:t>F</w:t>
      </w:r>
      <w:r w:rsidRPr="00A8783E">
        <w:rPr>
          <w:rFonts w:ascii="Times New Roman" w:hAnsi="Times New Roman"/>
          <w:sz w:val="24"/>
          <w:szCs w:val="24"/>
        </w:rPr>
        <w:t xml:space="preserve">06. От тях няма потенциално валидни за СЗЗ „Сребърна”. За мигриращата и зимуващата популация са посочени следните заплахи: F02, F05, </w:t>
      </w:r>
      <w:r w:rsidRPr="00A8783E">
        <w:rPr>
          <w:rFonts w:ascii="Times New Roman" w:hAnsi="Times New Roman"/>
          <w:sz w:val="24"/>
          <w:szCs w:val="24"/>
          <w:lang w:val="en-US"/>
        </w:rPr>
        <w:t>F</w:t>
      </w:r>
      <w:r w:rsidRPr="00A8783E">
        <w:rPr>
          <w:rFonts w:ascii="Times New Roman" w:hAnsi="Times New Roman"/>
          <w:sz w:val="24"/>
          <w:szCs w:val="24"/>
        </w:rPr>
        <w:t xml:space="preserve">26. От тях също няма валидни за зоната. Заплахи за вида в зоната могат да бъдат риболов с </w:t>
      </w:r>
      <w:r w:rsidRPr="00A8783E">
        <w:rPr>
          <w:rFonts w:ascii="Times New Roman" w:hAnsi="Times New Roman"/>
          <w:sz w:val="24"/>
          <w:szCs w:val="24"/>
        </w:rPr>
        <w:lastRenderedPageBreak/>
        <w:t>мрежени уреди (G12- Приулов и инцидентно убиване (при риболовни дейности),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4"/>
        <w:gridCol w:w="1276"/>
        <w:gridCol w:w="1417"/>
        <w:gridCol w:w="2653"/>
        <w:gridCol w:w="2414"/>
      </w:tblGrid>
      <w:tr w:rsidR="00A8783E" w:rsidRPr="00A8783E" w:rsidTr="005B5318">
        <w:trPr>
          <w:tblHeader/>
          <w:jc w:val="center"/>
        </w:trPr>
        <w:tc>
          <w:tcPr>
            <w:tcW w:w="152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Мерна единица</w:t>
            </w:r>
          </w:p>
        </w:tc>
        <w:tc>
          <w:tcPr>
            <w:tcW w:w="1417"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Целева стойност</w:t>
            </w:r>
          </w:p>
        </w:tc>
        <w:tc>
          <w:tcPr>
            <w:tcW w:w="2653"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Допълнителна информация</w:t>
            </w:r>
          </w:p>
        </w:tc>
        <w:tc>
          <w:tcPr>
            <w:tcW w:w="241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jc w:val="center"/>
        </w:trPr>
        <w:tc>
          <w:tcPr>
            <w:tcW w:w="152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Популация</w:t>
            </w:r>
            <w:r w:rsidRPr="00A8783E">
              <w:rPr>
                <w:rFonts w:ascii="Times New Roman" w:hAnsi="Times New Roman"/>
              </w:rPr>
              <w:t>: Размер на гнездовата популацията</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гнездящи двойки</w:t>
            </w:r>
          </w:p>
        </w:tc>
        <w:tc>
          <w:tcPr>
            <w:tcW w:w="141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60 дв. </w:t>
            </w:r>
          </w:p>
        </w:tc>
        <w:tc>
          <w:tcPr>
            <w:tcW w:w="265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Определена на база на настоящият СФ и други налични публикувани данни за гнездовата численост на вида в зоната. </w:t>
            </w:r>
          </w:p>
        </w:tc>
        <w:tc>
          <w:tcPr>
            <w:tcW w:w="241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60 гнездящи двойки чрез поддържане на подходящите местообитания на вида.</w:t>
            </w:r>
          </w:p>
        </w:tc>
      </w:tr>
      <w:tr w:rsidR="00A8783E" w:rsidRPr="00A8783E" w:rsidTr="005B5318">
        <w:trPr>
          <w:jc w:val="center"/>
        </w:trPr>
        <w:tc>
          <w:tcPr>
            <w:tcW w:w="152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Популация</w:t>
            </w:r>
            <w:r w:rsidRPr="00A8783E">
              <w:rPr>
                <w:rFonts w:ascii="Times New Roman" w:hAnsi="Times New Roman"/>
              </w:rPr>
              <w:t>: Размер на мигриращата популация</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417"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Най-малко 77 инд.</w:t>
            </w:r>
          </w:p>
        </w:tc>
        <w:tc>
          <w:tcPr>
            <w:tcW w:w="265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 СФ за концентрацията на вида по време на миграция в зоната е посочена численост 77 индивида. Необходимо е да се постави междинна цел за установяване на текущата мигрираща численост на вида в зоната.</w:t>
            </w:r>
          </w:p>
        </w:tc>
        <w:tc>
          <w:tcPr>
            <w:tcW w:w="2414" w:type="dxa"/>
          </w:tcPr>
          <w:p w:rsidR="00A8783E" w:rsidRPr="00A8783E" w:rsidRDefault="00A8783E" w:rsidP="00A8783E">
            <w:pPr>
              <w:spacing w:after="0" w:line="240" w:lineRule="auto"/>
              <w:jc w:val="both"/>
              <w:rPr>
                <w:rFonts w:ascii="Times New Roman" w:hAnsi="Times New Roman"/>
                <w:color w:val="FF0000"/>
              </w:rPr>
            </w:pPr>
            <w:r w:rsidRPr="00A8783E">
              <w:rPr>
                <w:rFonts w:ascii="Times New Roman" w:hAnsi="Times New Roman"/>
              </w:rPr>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jc w:val="center"/>
        </w:trPr>
        <w:tc>
          <w:tcPr>
            <w:tcW w:w="152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Популация</w:t>
            </w:r>
            <w:r w:rsidRPr="00A8783E">
              <w:rPr>
                <w:rFonts w:ascii="Times New Roman" w:hAnsi="Times New Roman"/>
              </w:rPr>
              <w:t>: Размер на зимуващата популация</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417"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до 560 инд. в зависимост от средните зимни температури  </w:t>
            </w:r>
          </w:p>
        </w:tc>
        <w:tc>
          <w:tcPr>
            <w:tcW w:w="2653"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Количеството на зимуващите птици силно зависи от метеорологичните условия, най-вече температурата. При средни температури през януари под 0° С, минималната стойност се очаква да е над 500 инд. от вида.</w:t>
            </w:r>
          </w:p>
        </w:tc>
        <w:tc>
          <w:tcPr>
            <w:tcW w:w="241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С понижаване на температурите &lt;0°С популацията през зимата ще е &gt;500 инд.</w:t>
            </w:r>
          </w:p>
        </w:tc>
      </w:tr>
      <w:tr w:rsidR="00A8783E" w:rsidRPr="00A8783E" w:rsidTr="005B5318">
        <w:trPr>
          <w:jc w:val="center"/>
        </w:trPr>
        <w:tc>
          <w:tcPr>
            <w:tcW w:w="152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Местообитание на вида: Площ на подходящите гнездови и хранителни местообитания на вида</w:t>
            </w:r>
          </w:p>
        </w:tc>
        <w:tc>
          <w:tcPr>
            <w:tcW w:w="1276"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417" w:type="dxa"/>
          </w:tcPr>
          <w:p w:rsidR="00A8783E" w:rsidRPr="00A8783E" w:rsidRDefault="00A8783E" w:rsidP="00A8783E">
            <w:pPr>
              <w:spacing w:after="0" w:line="240" w:lineRule="auto"/>
              <w:rPr>
                <w:rFonts w:cs="Calibri"/>
              </w:rPr>
            </w:pPr>
            <w:r w:rsidRPr="00A8783E">
              <w:rPr>
                <w:rFonts w:ascii="Times New Roman" w:hAnsi="Times New Roman"/>
              </w:rPr>
              <w:t>Най-малко 565,</w:t>
            </w:r>
            <w:r w:rsidRPr="00A8783E">
              <w:rPr>
                <w:rFonts w:cs="Calibri"/>
              </w:rPr>
              <w:t xml:space="preserve"> </w:t>
            </w:r>
          </w:p>
          <w:p w:rsidR="00A8783E" w:rsidRPr="00A8783E" w:rsidRDefault="00A8783E" w:rsidP="00A8783E">
            <w:pPr>
              <w:spacing w:after="0" w:line="240" w:lineRule="auto"/>
              <w:rPr>
                <w:rFonts w:ascii="Times New Roman" w:hAnsi="Times New Roman"/>
              </w:rPr>
            </w:pPr>
          </w:p>
          <w:p w:rsidR="00A8783E" w:rsidRPr="00A8783E" w:rsidRDefault="00A8783E" w:rsidP="00A8783E">
            <w:pPr>
              <w:spacing w:after="0" w:line="240" w:lineRule="auto"/>
              <w:rPr>
                <w:rFonts w:ascii="Times New Roman" w:hAnsi="Times New Roman"/>
              </w:rPr>
            </w:pPr>
            <w:r w:rsidRPr="00A8783E">
              <w:rPr>
                <w:rFonts w:ascii="Times New Roman" w:hAnsi="Times New Roman"/>
              </w:rPr>
              <w:t>от тях 370 ha са само тръстика</w:t>
            </w:r>
          </w:p>
        </w:tc>
        <w:tc>
          <w:tcPr>
            <w:tcW w:w="2653"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Включва гнездовото и хранителното местообитание. Площта е определена на база % участие на местообитание N07-мочурища и блата в СФ на зоната.</w:t>
            </w:r>
          </w:p>
        </w:tc>
        <w:tc>
          <w:tcPr>
            <w:tcW w:w="241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площта на подходящите гнездови и хранителни местообитания на вида в размер от най-малко 565 ha чрез поддържане на оптимално водно ниво в зоната, така че през цялата година да има водни огледала и в най-южните части на резервата.</w:t>
            </w:r>
          </w:p>
        </w:tc>
      </w:tr>
      <w:tr w:rsidR="00A8783E" w:rsidRPr="00A8783E" w:rsidTr="005B5318">
        <w:trPr>
          <w:jc w:val="center"/>
        </w:trPr>
        <w:tc>
          <w:tcPr>
            <w:tcW w:w="152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 xml:space="preserve">Екологично </w:t>
            </w:r>
            <w:r w:rsidRPr="00A8783E">
              <w:rPr>
                <w:rFonts w:ascii="Times New Roman" w:hAnsi="Times New Roman"/>
              </w:rPr>
              <w:lastRenderedPageBreak/>
              <w:t>състояние на водните тела с местообитания на вида, по биологичен елемент риби (JDS4-Fish)</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5 степенна скала</w:t>
            </w:r>
          </w:p>
        </w:tc>
        <w:tc>
          <w:tcPr>
            <w:tcW w:w="141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2-Добро или 1-Отлично</w:t>
            </w:r>
          </w:p>
        </w:tc>
        <w:tc>
          <w:tcPr>
            <w:tcW w:w="2653" w:type="dxa"/>
          </w:tcPr>
          <w:tbl>
            <w:tblPr>
              <w:tblW w:w="2666" w:type="dxa"/>
              <w:tblInd w:w="3" w:type="dxa"/>
              <w:tblLayout w:type="fixed"/>
              <w:tblCellMar>
                <w:left w:w="70" w:type="dxa"/>
                <w:right w:w="70" w:type="dxa"/>
              </w:tblCellMar>
              <w:tblLook w:val="00A0" w:firstRow="1" w:lastRow="0" w:firstColumn="1" w:lastColumn="0" w:noHBand="0" w:noVBand="0"/>
            </w:tblPr>
            <w:tblGrid>
              <w:gridCol w:w="2666"/>
            </w:tblGrid>
            <w:tr w:rsidR="00A8783E" w:rsidRPr="00A8783E" w:rsidTr="005B5318">
              <w:trPr>
                <w:trHeight w:val="278"/>
              </w:trPr>
              <w:tc>
                <w:tcPr>
                  <w:tcW w:w="2666"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78"/>
              </w:trPr>
              <w:tc>
                <w:tcPr>
                  <w:tcW w:w="2666"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1-Отлично - High</w:t>
                  </w:r>
                </w:p>
              </w:tc>
            </w:tr>
            <w:tr w:rsidR="00A8783E" w:rsidRPr="00A8783E" w:rsidTr="005B5318">
              <w:trPr>
                <w:trHeight w:val="278"/>
              </w:trPr>
              <w:tc>
                <w:tcPr>
                  <w:tcW w:w="2666"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2-Добро - Good</w:t>
                  </w:r>
                </w:p>
              </w:tc>
            </w:tr>
            <w:tr w:rsidR="00A8783E" w:rsidRPr="00A8783E" w:rsidTr="005B5318">
              <w:trPr>
                <w:trHeight w:val="278"/>
              </w:trPr>
              <w:tc>
                <w:tcPr>
                  <w:tcW w:w="2666"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lastRenderedPageBreak/>
                    <w:t>3-Умерено - Moderate</w:t>
                  </w:r>
                </w:p>
              </w:tc>
            </w:tr>
            <w:tr w:rsidR="00A8783E" w:rsidRPr="00A8783E" w:rsidTr="005B5318">
              <w:trPr>
                <w:trHeight w:val="278"/>
              </w:trPr>
              <w:tc>
                <w:tcPr>
                  <w:tcW w:w="2666"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4-Лошо - Poor</w:t>
                  </w:r>
                </w:p>
              </w:tc>
            </w:tr>
            <w:tr w:rsidR="00A8783E" w:rsidRPr="00A8783E" w:rsidTr="005B5318">
              <w:trPr>
                <w:trHeight w:val="278"/>
              </w:trPr>
              <w:tc>
                <w:tcPr>
                  <w:tcW w:w="2666"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по р. Дунав по показател риби (пункт Русе и Силистра) е оценено на </w:t>
            </w:r>
            <w:r w:rsidRPr="00A8783E">
              <w:rPr>
                <w:rFonts w:ascii="Times New Roman" w:hAnsi="Times New Roman"/>
                <w:b/>
                <w:bCs/>
              </w:rPr>
              <w:t xml:space="preserve">умерено (3) </w:t>
            </w:r>
            <w:r w:rsidRPr="00A8783E">
              <w:rPr>
                <w:rFonts w:ascii="Times New Roman" w:hAnsi="Times New Roman"/>
              </w:rPr>
              <w:t>според доклада на JDS4 (2019-2020, Табл. 5, стр. 51).</w:t>
            </w:r>
            <w:r w:rsidRPr="00A8783E">
              <w:rPr>
                <w:rFonts w:cs="Calibri"/>
              </w:rPr>
              <w:t xml:space="preserve"> </w:t>
            </w:r>
            <w:r w:rsidRPr="00A8783E">
              <w:rPr>
                <w:rFonts w:ascii="Times New Roman" w:hAnsi="Times New Roman"/>
              </w:rPr>
              <w:t xml:space="preserve">Според данните от биологичния мониторинг на повърхностните води през 2020 г. ЕС на ез. Сребърна е определено като </w:t>
            </w:r>
            <w:r w:rsidRPr="00A8783E">
              <w:rPr>
                <w:rFonts w:ascii="Times New Roman" w:hAnsi="Times New Roman"/>
                <w:b/>
              </w:rPr>
              <w:t>Отлично</w:t>
            </w:r>
            <w:r w:rsidRPr="00A8783E">
              <w:rPr>
                <w:rFonts w:ascii="Times New Roman" w:hAnsi="Times New Roman"/>
              </w:rPr>
              <w:t xml:space="preserve"> по БЕК Макрозообентос.</w:t>
            </w:r>
          </w:p>
        </w:tc>
        <w:tc>
          <w:tcPr>
            <w:tcW w:w="241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Подобряване на екологичното състояние на водните </w:t>
            </w:r>
            <w:r w:rsidRPr="00A8783E">
              <w:rPr>
                <w:rFonts w:ascii="Times New Roman" w:hAnsi="Times New Roman"/>
              </w:rPr>
              <w:lastRenderedPageBreak/>
              <w:t>тела с подходящи местообитания на вида, на стойности 2-Добро или 1-Отлично състояние</w:t>
            </w:r>
          </w:p>
        </w:tc>
      </w:tr>
    </w:tbl>
    <w:p w:rsidR="00A8783E" w:rsidRPr="00A8783E" w:rsidRDefault="00A8783E" w:rsidP="00A8783E">
      <w:pPr>
        <w:spacing w:before="120" w:after="120" w:line="259" w:lineRule="auto"/>
        <w:jc w:val="both"/>
        <w:rPr>
          <w:rFonts w:ascii="Times New Roman" w:hAnsi="Times New Roman"/>
          <w:b/>
          <w:bCs/>
          <w:color w:val="000000"/>
          <w:sz w:val="24"/>
          <w:szCs w:val="24"/>
        </w:rPr>
      </w:pPr>
    </w:p>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t xml:space="preserve">6. Необходимост от промени в СФ </w:t>
      </w:r>
      <w:r w:rsidRPr="00A8783E">
        <w:rPr>
          <w:rFonts w:ascii="Times New Roman" w:hAnsi="Times New Roman"/>
          <w:b/>
          <w:bCs/>
          <w:sz w:val="24"/>
          <w:szCs w:val="24"/>
        </w:rPr>
        <w:t>BG0000241 „Сребърна“</w:t>
      </w:r>
    </w:p>
    <w:p w:rsidR="00A8783E" w:rsidRPr="00A8783E" w:rsidRDefault="00A8783E" w:rsidP="00A8783E">
      <w:pPr>
        <w:spacing w:before="120" w:after="120" w:line="259" w:lineRule="auto"/>
        <w:jc w:val="both"/>
        <w:rPr>
          <w:rFonts w:ascii="Times New Roman" w:hAnsi="Times New Roman"/>
          <w:color w:val="000000"/>
          <w:sz w:val="24"/>
          <w:szCs w:val="24"/>
        </w:rPr>
      </w:pPr>
      <w:r w:rsidRPr="00A8783E">
        <w:rPr>
          <w:rFonts w:ascii="Times New Roman" w:hAnsi="Times New Roman"/>
          <w:color w:val="000000"/>
          <w:sz w:val="24"/>
          <w:szCs w:val="24"/>
        </w:rPr>
        <w:t>Предвид наличната информация за настоящата гнездова популация на вида в защитената зона е необходима актуализация на СФ: По отношение на оценка на зоната (Site assessment) за размножаваща се популация следва да се промени критерий „С“ за размер и плътност на популацията на „В“, тъй като гнездовата популация представлява 3,52 – 4,66 % от националната гнездяща популация.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0" w:type="auto"/>
            <w:gridSpan w:val="5"/>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Species</w:t>
            </w:r>
          </w:p>
        </w:tc>
        <w:tc>
          <w:tcPr>
            <w:tcW w:w="0" w:type="auto"/>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Population in the site</w:t>
            </w:r>
          </w:p>
        </w:tc>
        <w:tc>
          <w:tcPr>
            <w:tcW w:w="0" w:type="auto"/>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G</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Code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Scientific Name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NP</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T</w:t>
            </w: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Size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Unit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Cat.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D.qual.</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A/B/C/D</w:t>
            </w:r>
          </w:p>
        </w:tc>
        <w:tc>
          <w:tcPr>
            <w:tcW w:w="0" w:type="auto"/>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Min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Max</w:t>
            </w: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Pop.</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Con.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Iso.</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Glo.</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В</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rPr>
            </w:pPr>
            <w:r w:rsidRPr="00A8783E">
              <w:rPr>
                <w:rFonts w:ascii="Times New Roman" w:hAnsi="Times New Roman"/>
                <w:sz w:val="20"/>
                <w:szCs w:val="20"/>
                <w:lang w:val="en-GB"/>
              </w:rPr>
              <w:t>A</w:t>
            </w:r>
            <w:r w:rsidRPr="00A8783E">
              <w:rPr>
                <w:rFonts w:ascii="Times New Roman" w:hAnsi="Times New Roman"/>
                <w:sz w:val="20"/>
                <w:szCs w:val="20"/>
              </w:rPr>
              <w:t>125</w:t>
            </w:r>
          </w:p>
        </w:tc>
        <w:tc>
          <w:tcPr>
            <w:tcW w:w="0" w:type="auto"/>
            <w:vAlign w:val="center"/>
          </w:tcPr>
          <w:p w:rsidR="00A8783E" w:rsidRPr="00A8783E" w:rsidRDefault="00A8783E" w:rsidP="00A8783E">
            <w:pPr>
              <w:spacing w:after="0" w:line="240" w:lineRule="auto"/>
              <w:jc w:val="center"/>
              <w:rPr>
                <w:rFonts w:ascii="Times New Roman" w:hAnsi="Times New Roman"/>
                <w:i/>
                <w:iCs/>
                <w:sz w:val="20"/>
                <w:szCs w:val="20"/>
                <w:lang w:val="en-GB"/>
              </w:rPr>
            </w:pPr>
            <w:r w:rsidRPr="00A8783E">
              <w:rPr>
                <w:rFonts w:ascii="Times New Roman" w:hAnsi="Times New Roman"/>
                <w:i/>
                <w:iCs/>
                <w:sz w:val="20"/>
                <w:szCs w:val="20"/>
                <w:lang w:val="en-GB"/>
              </w:rPr>
              <w:t>Fulica atra</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p</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rPr>
            </w:pPr>
            <w:r w:rsidRPr="00A8783E">
              <w:rPr>
                <w:rFonts w:ascii="Times New Roman" w:hAnsi="Times New Roman"/>
                <w:sz w:val="20"/>
                <w:szCs w:val="20"/>
              </w:rPr>
              <w:t>60</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1</w:t>
            </w:r>
            <w:r w:rsidRPr="00A8783E">
              <w:rPr>
                <w:rFonts w:ascii="Times New Roman" w:hAnsi="Times New Roman"/>
                <w:sz w:val="20"/>
                <w:szCs w:val="20"/>
              </w:rPr>
              <w:t>4</w:t>
            </w:r>
            <w:r w:rsidRPr="00A8783E">
              <w:rPr>
                <w:rFonts w:ascii="Times New Roman" w:hAnsi="Times New Roman"/>
                <w:sz w:val="20"/>
                <w:szCs w:val="20"/>
                <w:lang w:val="en-GB"/>
              </w:rPr>
              <w:t>0</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p</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G</w:t>
            </w:r>
          </w:p>
        </w:tc>
        <w:tc>
          <w:tcPr>
            <w:tcW w:w="0" w:type="auto"/>
            <w:vAlign w:val="center"/>
          </w:tcPr>
          <w:p w:rsidR="00A8783E" w:rsidRPr="00A8783E" w:rsidRDefault="00A8783E" w:rsidP="00A8783E">
            <w:pPr>
              <w:spacing w:after="0" w:line="240" w:lineRule="auto"/>
              <w:jc w:val="center"/>
              <w:rPr>
                <w:rFonts w:ascii="Times New Roman" w:hAnsi="Times New Roman"/>
                <w:b/>
                <w:bCs/>
                <w:sz w:val="20"/>
                <w:szCs w:val="20"/>
                <w:lang w:val="en-GB"/>
              </w:rPr>
            </w:pPr>
            <w:r w:rsidRPr="00A8783E">
              <w:rPr>
                <w:rFonts w:ascii="Times New Roman" w:hAnsi="Times New Roman"/>
                <w:b/>
                <w:bCs/>
                <w:color w:val="FF0000"/>
                <w:sz w:val="20"/>
                <w:szCs w:val="20"/>
                <w:lang w:val="en-GB"/>
              </w:rPr>
              <w:t>B</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A</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C</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GB"/>
              </w:rPr>
            </w:pPr>
            <w:r w:rsidRPr="00A8783E">
              <w:rPr>
                <w:rFonts w:ascii="Times New Roman" w:hAnsi="Times New Roman"/>
                <w:sz w:val="20"/>
                <w:szCs w:val="20"/>
                <w:lang w:val="en-GB"/>
              </w:rPr>
              <w:t>B</w:t>
            </w:r>
          </w:p>
        </w:tc>
      </w:tr>
    </w:tbl>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53" w:name="_Toc89106121"/>
      <w:bookmarkStart w:id="354" w:name="_Toc98741960"/>
      <w:bookmarkStart w:id="355" w:name="_Toc98838635"/>
      <w:r w:rsidRPr="00A8783E">
        <w:rPr>
          <w:rFonts w:ascii="Times New Roman" w:hAnsi="Times New Roman"/>
          <w:color w:val="1F497D"/>
          <w:sz w:val="28"/>
          <w:szCs w:val="28"/>
        </w:rPr>
        <w:t xml:space="preserve">Специфични цели за А127 </w:t>
      </w:r>
      <w:r w:rsidRPr="00A8783E">
        <w:rPr>
          <w:rFonts w:ascii="Times New Roman" w:hAnsi="Times New Roman"/>
          <w:i/>
          <w:iCs/>
          <w:color w:val="1F497D"/>
          <w:sz w:val="28"/>
          <w:szCs w:val="28"/>
          <w:lang w:val="en-US"/>
        </w:rPr>
        <w:t>Grus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grus</w:t>
      </w:r>
      <w:r w:rsidRPr="00A8783E">
        <w:rPr>
          <w:rFonts w:ascii="Times New Roman" w:hAnsi="Times New Roman"/>
          <w:color w:val="1F497D"/>
          <w:sz w:val="28"/>
          <w:szCs w:val="28"/>
        </w:rPr>
        <w:t xml:space="preserve"> (сив жерав)</w:t>
      </w:r>
      <w:bookmarkEnd w:id="353"/>
      <w:bookmarkEnd w:id="354"/>
      <w:bookmarkEnd w:id="355"/>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96-119 </w:t>
      </w:r>
      <w:r w:rsidRPr="00A8783E">
        <w:rPr>
          <w:rFonts w:ascii="Times New Roman" w:hAnsi="Times New Roman"/>
          <w:sz w:val="24"/>
          <w:szCs w:val="24"/>
          <w:lang w:val="en-GB"/>
        </w:rPr>
        <w:t>cm</w:t>
      </w:r>
      <w:r w:rsidRPr="00A8783E">
        <w:rPr>
          <w:rFonts w:ascii="Times New Roman" w:hAnsi="Times New Roman"/>
          <w:sz w:val="24"/>
          <w:szCs w:val="24"/>
        </w:rPr>
        <w:t xml:space="preserve">, размах на крилата: 180-222 </w:t>
      </w:r>
      <w:r w:rsidRPr="00A8783E">
        <w:rPr>
          <w:rFonts w:ascii="Times New Roman" w:hAnsi="Times New Roman"/>
          <w:sz w:val="24"/>
          <w:szCs w:val="24"/>
          <w:lang w:val="en-GB"/>
        </w:rPr>
        <w:t>cm</w:t>
      </w:r>
      <w:r w:rsidRPr="00A8783E">
        <w:rPr>
          <w:rFonts w:ascii="Times New Roman" w:hAnsi="Times New Roman"/>
          <w:sz w:val="24"/>
          <w:szCs w:val="24"/>
        </w:rPr>
        <w:t>. При възрастните оперението е сиво с червено петно на темето и широка черна ивица отдолу на шията. Младите са с ръждивокафяви глава и шия, а надкрилията и долната страна на тялото са изпъстрени с различни по големина светлокафяви петна. Често миграцията може да се установи и нощем по характерното обаждане на птиците в полет.</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миналото постоянен, преминаващ и рядко зимуващ вид. Понастоящем само преминаващ. Пролетната миграция по Черноморското крайбрежие е от края на февруари до началото на април, а есенната от края на септември до края на октомври. Средния размер на ятата е 45 екземпляра (Симеонов и др., 1990). Размножителния период за страната не е достатъчно проучен. За Европа е от май до август (</w:t>
      </w:r>
      <w:r w:rsidRPr="00A8783E">
        <w:rPr>
          <w:rFonts w:ascii="Times New Roman" w:hAnsi="Times New Roman"/>
          <w:sz w:val="24"/>
          <w:szCs w:val="24"/>
          <w:lang w:val="en-GB"/>
        </w:rPr>
        <w:t>BWPi</w:t>
      </w:r>
      <w:r w:rsidRPr="00A8783E">
        <w:rPr>
          <w:rFonts w:ascii="Times New Roman" w:hAnsi="Times New Roman"/>
          <w:sz w:val="24"/>
          <w:szCs w:val="24"/>
        </w:rPr>
        <w:t>, 2006).</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Обитава обширни равнини в близост до водоеми, блата в предпланини и планини, ливади, мочурища. По време на прелет се среща по ливади, угари, ниви, оризища, речни разливи, горски поляни и др. Консервативен относно местата за стациониране при прелет (Големански отг. ред., 2015). През размножителния сезон обитава разнообразни плитководни влажни зони като мочурища и тресавища с липса на гора, обикновено със стояща вода, блата без дървета, тръстикови масиви и оризища до 1300 </w:t>
      </w:r>
      <w:r w:rsidRPr="00A8783E">
        <w:rPr>
          <w:rFonts w:ascii="Times New Roman" w:hAnsi="Times New Roman"/>
          <w:sz w:val="24"/>
          <w:szCs w:val="24"/>
          <w:lang w:val="en-GB"/>
        </w:rPr>
        <w:t>m</w:t>
      </w:r>
      <w:r w:rsidRPr="00A8783E">
        <w:rPr>
          <w:rFonts w:ascii="Times New Roman" w:hAnsi="Times New Roman"/>
          <w:sz w:val="24"/>
          <w:szCs w:val="24"/>
        </w:rPr>
        <w:t xml:space="preserve"> н. в. Гнездото е на земята в труднодостъпни блатисти местности. Извън гнездовия сезон местата за почивка/нощувка са разнообразни разливи, плитки заливи или заблатени ливади. През зимата често обитава открити обработваеми земи (</w:t>
      </w:r>
      <w:r w:rsidRPr="00A8783E">
        <w:rPr>
          <w:rFonts w:ascii="Times New Roman" w:hAnsi="Times New Roman"/>
          <w:sz w:val="24"/>
          <w:szCs w:val="24"/>
          <w:lang w:val="en-GB"/>
        </w:rPr>
        <w:t>BWPi</w:t>
      </w:r>
      <w:r w:rsidRPr="00A8783E">
        <w:rPr>
          <w:rFonts w:ascii="Times New Roman" w:hAnsi="Times New Roman"/>
          <w:sz w:val="24"/>
          <w:szCs w:val="24"/>
        </w:rPr>
        <w:t xml:space="preserve">, 2006). Гнезди поединично, като често използва едно и също гнездо през годините в зависимост от гнездовия успех. Територията на двойката в Швеция е около 250 </w:t>
      </w:r>
      <w:r w:rsidRPr="00A8783E">
        <w:rPr>
          <w:rFonts w:ascii="Times New Roman" w:hAnsi="Times New Roman"/>
          <w:sz w:val="24"/>
          <w:szCs w:val="24"/>
          <w:lang w:val="en-GB"/>
        </w:rPr>
        <w:t>ha</w:t>
      </w:r>
      <w:r w:rsidRPr="00A8783E">
        <w:rPr>
          <w:rFonts w:ascii="Times New Roman" w:hAnsi="Times New Roman"/>
          <w:sz w:val="24"/>
          <w:szCs w:val="24"/>
        </w:rPr>
        <w:t xml:space="preserve"> (Mеnsson </w:t>
      </w:r>
      <w:r w:rsidRPr="00A8783E">
        <w:rPr>
          <w:rFonts w:ascii="Times New Roman" w:hAnsi="Times New Roman"/>
          <w:sz w:val="24"/>
          <w:szCs w:val="24"/>
          <w:lang w:val="en-GB"/>
        </w:rPr>
        <w:t>et</w:t>
      </w:r>
      <w:r w:rsidRPr="00A8783E">
        <w:rPr>
          <w:rFonts w:ascii="Times New Roman" w:hAnsi="Times New Roman"/>
          <w:sz w:val="24"/>
          <w:szCs w:val="24"/>
        </w:rPr>
        <w:t xml:space="preserve"> </w:t>
      </w:r>
      <w:r w:rsidRPr="00A8783E">
        <w:rPr>
          <w:rFonts w:ascii="Times New Roman" w:hAnsi="Times New Roman"/>
          <w:sz w:val="24"/>
          <w:szCs w:val="24"/>
          <w:lang w:val="en-GB"/>
        </w:rPr>
        <w:t>al</w:t>
      </w:r>
      <w:r w:rsidRPr="00A8783E">
        <w:rPr>
          <w:rFonts w:ascii="Times New Roman" w:hAnsi="Times New Roman"/>
          <w:sz w:val="24"/>
          <w:szCs w:val="24"/>
        </w:rPr>
        <w:t>., 2013). В зависимост от сезона подходящите местообитания са разнообразни, с кодове: 3130, 3140, 3150, 3160, 3260 и 3270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Всеяден вид. В България не е добре проучено. За популацията в Европа храната е предимно с растителен произход: коренища, грудки, стъбла, листа, плодове и семена. Животинската храна включва предимно насекоми и земни червеи, а така също жаби, гущери, змии и дребни бозайници (</w:t>
      </w:r>
      <w:r w:rsidRPr="00A8783E">
        <w:rPr>
          <w:rFonts w:ascii="Times New Roman" w:hAnsi="Times New Roman"/>
          <w:sz w:val="24"/>
          <w:szCs w:val="24"/>
          <w:lang w:val="en-GB"/>
        </w:rPr>
        <w:t>BWPi</w:t>
      </w:r>
      <w:r w:rsidRPr="00A8783E">
        <w:rPr>
          <w:rFonts w:ascii="Times New Roman" w:hAnsi="Times New Roman"/>
          <w:sz w:val="24"/>
          <w:szCs w:val="24"/>
        </w:rPr>
        <w:t xml:space="preserve">, 2006).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Към края на XIX в. е гнездил по Дунавското крайбрежие и в блата във вътрешността. До първата половина на XX в. в гнездовия сезон е наблюдаван из цялата страна – Плевенско, Добричко, Варненско, Бургаско, Софийско, в Родопите, край Пловдив и др. Последните гнездови находища са бившето Баташко блато и Шабленското езеро, където е мътил до 1950 г. През пролетния прелет е регистриран в Софийско, Добричко, Пернишко, Силистренско, Хасковско, Кърджалийско, Бургаско, Варненско, Плевенско, в Дуранкулашкото езеро. По време на есенната миграция през 1979–1983 г. между 10 август и 30 октомври в района на Бургаския залив са преминавали средно 1800 птици. Есенен прелет на ято от 20 индивида е регистриран през 1993 г. край Плевен. През последните години е почти изчезнал като есенен мигрант (Т. Мичев – лично съобщ.). Зимувал е редовно в Пазарджишко и отчасти в Пловдивско (Големански отг. ред., 2015).</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Включен в </w:t>
      </w:r>
      <w:r w:rsidRPr="00A8783E">
        <w:rPr>
          <w:rFonts w:ascii="Times New Roman" w:hAnsi="Times New Roman"/>
          <w:bCs/>
          <w:sz w:val="24"/>
          <w:szCs w:val="24"/>
        </w:rPr>
        <w:t>Приложение 1</w:t>
      </w:r>
      <w:r w:rsidRPr="00A8783E">
        <w:rPr>
          <w:rFonts w:ascii="Times New Roman" w:hAnsi="Times New Roman"/>
          <w:sz w:val="24"/>
          <w:szCs w:val="24"/>
        </w:rPr>
        <w:t xml:space="preserve"> на Директивата за птиците. Според </w:t>
      </w:r>
      <w:r w:rsidRPr="00A8783E">
        <w:rPr>
          <w:rFonts w:ascii="Times New Roman" w:hAnsi="Times New Roman"/>
          <w:sz w:val="24"/>
          <w:szCs w:val="24"/>
          <w:lang w:val="en-GB"/>
        </w:rPr>
        <w:t>IUCN</w:t>
      </w:r>
      <w:r w:rsidRPr="00A8783E">
        <w:rPr>
          <w:rFonts w:ascii="Times New Roman" w:hAnsi="Times New Roman"/>
          <w:sz w:val="24"/>
          <w:szCs w:val="24"/>
        </w:rPr>
        <w:t xml:space="preserve"> е слабо засегнат -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rPr>
        <w:t xml:space="preserve"> </w:t>
      </w:r>
      <w:r w:rsidRPr="00A8783E">
        <w:rPr>
          <w:rFonts w:ascii="Times New Roman" w:hAnsi="Times New Roman"/>
          <w:sz w:val="24"/>
          <w:szCs w:val="24"/>
          <w:lang w:val="en-GB"/>
        </w:rPr>
        <w:t>Concern</w:t>
      </w:r>
      <w:r w:rsidRPr="00A8783E">
        <w:rPr>
          <w:rFonts w:ascii="Times New Roman" w:hAnsi="Times New Roman"/>
          <w:sz w:val="24"/>
          <w:szCs w:val="24"/>
        </w:rPr>
        <w:t xml:space="preserve">) за света, а за територията на континентална Европа също </w:t>
      </w:r>
      <w:r w:rsidRPr="00A8783E">
        <w:rPr>
          <w:rFonts w:ascii="Times New Roman" w:hAnsi="Times New Roman"/>
          <w:sz w:val="24"/>
          <w:szCs w:val="24"/>
          <w:lang w:val="en-GB"/>
        </w:rPr>
        <w:t>LC</w:t>
      </w:r>
      <w:r w:rsidRPr="00A8783E">
        <w:rPr>
          <w:rFonts w:ascii="Times New Roman" w:hAnsi="Times New Roman"/>
          <w:sz w:val="24"/>
          <w:szCs w:val="24"/>
        </w:rPr>
        <w:t xml:space="preserve">. Не е включен в </w:t>
      </w:r>
      <w:r w:rsidRPr="00A8783E">
        <w:rPr>
          <w:rFonts w:ascii="Times New Roman" w:hAnsi="Times New Roman"/>
          <w:sz w:val="24"/>
          <w:szCs w:val="24"/>
          <w:lang w:val="en-GB"/>
        </w:rPr>
        <w:t>SPEC</w:t>
      </w:r>
      <w:r w:rsidRPr="00A8783E">
        <w:rPr>
          <w:rFonts w:ascii="Times New Roman" w:hAnsi="Times New Roman"/>
          <w:sz w:val="24"/>
          <w:szCs w:val="24"/>
        </w:rPr>
        <w:t xml:space="preserve"> категориите. Включен в Червената книга на България като </w:t>
      </w:r>
      <w:r w:rsidRPr="00A8783E">
        <w:rPr>
          <w:rFonts w:ascii="Times New Roman" w:hAnsi="Times New Roman"/>
          <w:b/>
          <w:bCs/>
          <w:sz w:val="24"/>
          <w:szCs w:val="24"/>
        </w:rPr>
        <w:t>изчезнал</w:t>
      </w:r>
      <w:r w:rsidRPr="00A8783E">
        <w:rPr>
          <w:rFonts w:ascii="Times New Roman" w:hAnsi="Times New Roman"/>
          <w:sz w:val="24"/>
          <w:szCs w:val="24"/>
        </w:rPr>
        <w:t xml:space="preserve"> </w:t>
      </w:r>
      <w:r w:rsidRPr="00A8783E">
        <w:rPr>
          <w:rFonts w:ascii="Times New Roman" w:hAnsi="Times New Roman"/>
          <w:b/>
          <w:bCs/>
          <w:sz w:val="24"/>
          <w:szCs w:val="24"/>
          <w:lang w:val="en-GB"/>
        </w:rPr>
        <w:t>EX</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bCs/>
          <w:sz w:val="24"/>
          <w:szCs w:val="24"/>
        </w:rPr>
        <w:t>мигрираща</w:t>
      </w:r>
      <w:r w:rsidRPr="00A8783E">
        <w:rPr>
          <w:rFonts w:ascii="Times New Roman" w:hAnsi="Times New Roman"/>
          <w:sz w:val="24"/>
          <w:szCs w:val="24"/>
        </w:rPr>
        <w:t xml:space="preserve"> популация на вида се оценя на 300 – 2000 индивида. Не са посочени тенденции в популацията. Тенденцията в европейската гнездяща популация е нарастваща (</w:t>
      </w:r>
      <w:r w:rsidRPr="00A8783E">
        <w:rPr>
          <w:rFonts w:ascii="Times New Roman" w:hAnsi="Times New Roman"/>
          <w:sz w:val="24"/>
          <w:szCs w:val="24"/>
          <w:lang w:val="en-GB"/>
        </w:rPr>
        <w:t>BirdLife</w:t>
      </w:r>
      <w:r w:rsidRPr="00A8783E">
        <w:rPr>
          <w:rFonts w:ascii="Times New Roman" w:hAnsi="Times New Roman"/>
          <w:sz w:val="24"/>
          <w:szCs w:val="24"/>
        </w:rPr>
        <w:t xml:space="preserve"> </w:t>
      </w:r>
      <w:r w:rsidRPr="00A8783E">
        <w:rPr>
          <w:rFonts w:ascii="Times New Roman" w:hAnsi="Times New Roman"/>
          <w:sz w:val="24"/>
          <w:szCs w:val="24"/>
          <w:lang w:val="en-GB"/>
        </w:rPr>
        <w:t>International</w:t>
      </w:r>
      <w:r w:rsidRPr="00A8783E">
        <w:rPr>
          <w:rFonts w:ascii="Times New Roman" w:hAnsi="Times New Roman"/>
          <w:sz w:val="24"/>
          <w:szCs w:val="24"/>
        </w:rPr>
        <w:t xml:space="preserve">, 2017). Посочени са следните заплахи и влияния: </w:t>
      </w:r>
      <w:r w:rsidRPr="00A8783E">
        <w:rPr>
          <w:rFonts w:ascii="Times New Roman" w:hAnsi="Times New Roman"/>
          <w:sz w:val="24"/>
          <w:szCs w:val="24"/>
          <w:lang w:val="en-GB"/>
        </w:rPr>
        <w:t>F</w:t>
      </w:r>
      <w:r w:rsidRPr="00A8783E">
        <w:rPr>
          <w:rFonts w:ascii="Times New Roman" w:hAnsi="Times New Roman"/>
          <w:sz w:val="24"/>
          <w:szCs w:val="24"/>
        </w:rPr>
        <w:t xml:space="preserve">05, </w:t>
      </w:r>
      <w:r w:rsidRPr="00A8783E">
        <w:rPr>
          <w:rFonts w:ascii="Times New Roman" w:hAnsi="Times New Roman"/>
          <w:sz w:val="24"/>
          <w:szCs w:val="24"/>
          <w:lang w:val="en-GB"/>
        </w:rPr>
        <w:t>F</w:t>
      </w:r>
      <w:r w:rsidRPr="00A8783E">
        <w:rPr>
          <w:rFonts w:ascii="Times New Roman" w:hAnsi="Times New Roman"/>
          <w:sz w:val="24"/>
          <w:szCs w:val="24"/>
        </w:rPr>
        <w:t>26.</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СФ за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СФ </w:t>
      </w:r>
      <w:r w:rsidRPr="00A8783E">
        <w:rPr>
          <w:rFonts w:ascii="Times New Roman" w:hAnsi="Times New Roman"/>
          <w:b/>
          <w:bCs/>
          <w:sz w:val="24"/>
          <w:szCs w:val="24"/>
        </w:rPr>
        <w:t>мигриращата</w:t>
      </w:r>
      <w:r w:rsidRPr="00A8783E">
        <w:rPr>
          <w:rFonts w:ascii="Times New Roman" w:hAnsi="Times New Roman"/>
          <w:sz w:val="24"/>
          <w:szCs w:val="24"/>
        </w:rPr>
        <w:t xml:space="preserve"> популация е до 10 индивида, което е 0,5–3,33 % от националната мигрираща популация (оценка „</w:t>
      </w:r>
      <w:r w:rsidRPr="00A8783E">
        <w:rPr>
          <w:rFonts w:ascii="Times New Roman" w:hAnsi="Times New Roman"/>
          <w:sz w:val="24"/>
          <w:szCs w:val="24"/>
          <w:lang w:val="en-US"/>
        </w:rPr>
        <w:t>A</w:t>
      </w:r>
      <w:r w:rsidRPr="00A8783E">
        <w:rPr>
          <w:rFonts w:ascii="Times New Roman" w:hAnsi="Times New Roman"/>
          <w:sz w:val="24"/>
          <w:szCs w:val="24"/>
        </w:rPr>
        <w:t xml:space="preserve">“). Опазването на вида е отлично съхранение (оценка „А“), популацията не е изолирана в рамките на разширен ареал </w:t>
      </w:r>
      <w:r w:rsidRPr="00A8783E">
        <w:rPr>
          <w:rFonts w:ascii="Times New Roman" w:hAnsi="Times New Roman"/>
          <w:sz w:val="24"/>
          <w:szCs w:val="24"/>
        </w:rPr>
        <w:lastRenderedPageBreak/>
        <w:t>(оценка „С“). Общата оценка на стойността на зоната за съхранение на вида е „</w:t>
      </w:r>
      <w:r w:rsidRPr="00A8783E">
        <w:rPr>
          <w:rFonts w:ascii="Times New Roman" w:hAnsi="Times New Roman"/>
          <w:sz w:val="24"/>
          <w:szCs w:val="24"/>
          <w:lang w:val="en-US"/>
        </w:rPr>
        <w:t>A</w:t>
      </w:r>
      <w:r w:rsidRPr="00A8783E">
        <w:rPr>
          <w:rFonts w:ascii="Times New Roman" w:hAnsi="Times New Roman"/>
          <w:sz w:val="24"/>
          <w:szCs w:val="24"/>
        </w:rPr>
        <w:t>“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Бургаските влажни зони максималните числености през пролетта са 110 инд, а през есента – 9 инд. (Dimitrov et al., 2005). Според Костадинова, Граматиков (2007), видът присъства в зоната по време на миграция с 0-5 инд. По време на миграция (1995 г.) са наблюдавани 5 инд. в района на зоната (Матеева и Янков, 2013). Не са провеждани теренни проучвания по време на миграция в зоната. Данните от eBird и https://observation.org за 2020 и 2021 г., не дават данни за птици в района и около зоната. Липсват други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Посочените заплахи F05, F26 в докладването по чл. 12 за вида, нямат отношение към вида в зоната.</w:t>
      </w:r>
      <w:r w:rsidRPr="00A8783E">
        <w:rPr>
          <w:rFonts w:cs="Calibri"/>
        </w:rPr>
        <w:t xml:space="preserve"> </w:t>
      </w:r>
      <w:r w:rsidRPr="00A8783E">
        <w:rPr>
          <w:rFonts w:ascii="Times New Roman" w:hAnsi="Times New Roman"/>
          <w:sz w:val="24"/>
          <w:szCs w:val="24"/>
        </w:rPr>
        <w:t>Заплахи за вида в зоната могат да бъдат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6"/>
        <w:gridCol w:w="1377"/>
        <w:gridCol w:w="1427"/>
        <w:gridCol w:w="2825"/>
        <w:gridCol w:w="1989"/>
      </w:tblGrid>
      <w:tr w:rsidR="00A8783E" w:rsidRPr="00A8783E" w:rsidTr="005B5318">
        <w:trPr>
          <w:tblHeader/>
          <w:jc w:val="center"/>
        </w:trPr>
        <w:tc>
          <w:tcPr>
            <w:tcW w:w="1666"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Параметър</w:t>
            </w:r>
          </w:p>
        </w:tc>
        <w:tc>
          <w:tcPr>
            <w:tcW w:w="1377"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Мерна единица</w:t>
            </w:r>
          </w:p>
        </w:tc>
        <w:tc>
          <w:tcPr>
            <w:tcW w:w="1427"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Целева стойност</w:t>
            </w:r>
          </w:p>
        </w:tc>
        <w:tc>
          <w:tcPr>
            <w:tcW w:w="2825"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Допълнителна информация</w:t>
            </w:r>
          </w:p>
        </w:tc>
        <w:tc>
          <w:tcPr>
            <w:tcW w:w="1989"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jc w:val="center"/>
        </w:trPr>
        <w:tc>
          <w:tcPr>
            <w:tcW w:w="1666" w:type="dxa"/>
          </w:tcPr>
          <w:p w:rsidR="00A8783E" w:rsidRPr="00A8783E" w:rsidRDefault="00A8783E" w:rsidP="00A8783E">
            <w:pPr>
              <w:spacing w:after="0" w:line="240" w:lineRule="auto"/>
              <w:rPr>
                <w:rFonts w:ascii="Times New Roman" w:hAnsi="Times New Roman"/>
              </w:rPr>
            </w:pPr>
            <w:r w:rsidRPr="00A8783E">
              <w:rPr>
                <w:rFonts w:ascii="Times New Roman" w:hAnsi="Times New Roman"/>
                <w:b/>
              </w:rPr>
              <w:t>Популация</w:t>
            </w:r>
            <w:r w:rsidRPr="00A8783E">
              <w:rPr>
                <w:rFonts w:ascii="Times New Roman" w:hAnsi="Times New Roman"/>
              </w:rPr>
              <w:t>: Размер на мигриращата популация</w:t>
            </w:r>
          </w:p>
        </w:tc>
        <w:tc>
          <w:tcPr>
            <w:tcW w:w="1377"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индивиди</w:t>
            </w:r>
          </w:p>
        </w:tc>
        <w:tc>
          <w:tcPr>
            <w:tcW w:w="1427"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до 10 инд.</w:t>
            </w:r>
          </w:p>
        </w:tc>
        <w:tc>
          <w:tcPr>
            <w:tcW w:w="2825"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В СФ за концентрацията на вида по време на миграция в зоната е посочена максимална стойност от 10 инд. Няма друга актуална информация за количеството на птиците и районите с концентрация на вида в зоната по време на миграция. </w:t>
            </w:r>
          </w:p>
        </w:tc>
        <w:tc>
          <w:tcPr>
            <w:tcW w:w="1989"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jc w:val="center"/>
        </w:trPr>
        <w:tc>
          <w:tcPr>
            <w:tcW w:w="166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Местообитание на вида: Площ на подходящите хранителни местообитания на вида</w:t>
            </w:r>
          </w:p>
        </w:tc>
        <w:tc>
          <w:tcPr>
            <w:tcW w:w="1377"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ha</w:t>
            </w:r>
          </w:p>
        </w:tc>
        <w:tc>
          <w:tcPr>
            <w:tcW w:w="1427"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Най-малко 637</w:t>
            </w:r>
          </w:p>
        </w:tc>
        <w:tc>
          <w:tcPr>
            <w:tcW w:w="2825"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Изчислена на база % участие на местообитания </w:t>
            </w:r>
            <w:r w:rsidRPr="00A8783E">
              <w:rPr>
                <w:rFonts w:ascii="Times New Roman" w:hAnsi="Times New Roman"/>
                <w:lang w:val="en-US"/>
              </w:rPr>
              <w:t>N</w:t>
            </w:r>
            <w:r w:rsidRPr="00A8783E">
              <w:rPr>
                <w:rFonts w:ascii="Times New Roman" w:hAnsi="Times New Roman"/>
              </w:rPr>
              <w:t xml:space="preserve">07-мочурища и балата и </w:t>
            </w:r>
            <w:r w:rsidRPr="00A8783E">
              <w:rPr>
                <w:rFonts w:ascii="Times New Roman" w:hAnsi="Times New Roman"/>
                <w:lang w:val="en-US"/>
              </w:rPr>
              <w:t>N</w:t>
            </w:r>
            <w:r w:rsidRPr="00A8783E">
              <w:rPr>
                <w:rFonts w:ascii="Times New Roman" w:hAnsi="Times New Roman"/>
              </w:rPr>
              <w:t>15-други обработваеми земи в зоната.</w:t>
            </w:r>
          </w:p>
          <w:p w:rsidR="00A8783E" w:rsidRPr="00A8783E" w:rsidRDefault="00A8783E" w:rsidP="00A8783E">
            <w:pPr>
              <w:spacing w:after="0" w:line="240" w:lineRule="auto"/>
              <w:rPr>
                <w:rFonts w:ascii="Times New Roman" w:hAnsi="Times New Roman"/>
              </w:rPr>
            </w:pPr>
            <w:r w:rsidRPr="00A8783E">
              <w:rPr>
                <w:rFonts w:ascii="Times New Roman" w:hAnsi="Times New Roman"/>
              </w:rPr>
              <w:t>Вида използва разнообразни открити местообитания като обработваеми земи за търсене на храна, вероятно често и извън зоната.</w:t>
            </w:r>
          </w:p>
        </w:tc>
        <w:tc>
          <w:tcPr>
            <w:tcW w:w="1989"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от най-малко 637 ha чрез поддържане на оптимално водно ниво в зоната.</w:t>
            </w:r>
          </w:p>
        </w:tc>
      </w:tr>
    </w:tbl>
    <w:p w:rsidR="00A8783E" w:rsidRPr="00A8783E" w:rsidRDefault="00A8783E" w:rsidP="00A8783E">
      <w:pPr>
        <w:spacing w:after="160" w:line="259" w:lineRule="auto"/>
        <w:rPr>
          <w:rFonts w:ascii="Times New Roman" w:hAnsi="Times New Roman"/>
          <w:sz w:val="24"/>
          <w:szCs w:val="24"/>
        </w:rPr>
      </w:pPr>
    </w:p>
    <w:p w:rsidR="00A8783E" w:rsidRPr="00A8783E" w:rsidRDefault="00A8783E" w:rsidP="00A8783E">
      <w:pPr>
        <w:spacing w:after="16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before="120" w:after="120" w:line="259" w:lineRule="auto"/>
        <w:jc w:val="both"/>
        <w:rPr>
          <w:rFonts w:ascii="Times New Roman" w:hAnsi="Times New Roman"/>
          <w:color w:val="000000"/>
          <w:sz w:val="24"/>
          <w:szCs w:val="24"/>
        </w:rPr>
      </w:pPr>
      <w:r w:rsidRPr="00A8783E">
        <w:rPr>
          <w:rFonts w:ascii="Times New Roman" w:hAnsi="Times New Roman"/>
          <w:color w:val="000000"/>
          <w:sz w:val="24"/>
          <w:szCs w:val="24"/>
        </w:rPr>
        <w:t>Предвид наличната информация за настоящата мигрираща численост на вида в защитената зона е необходима актуализация на СФ: По отношение на оценка на зоната (Site assessment) за мигриращата популация следва да се промени оценка „А“ за размер и плътност на популацията на „</w:t>
      </w:r>
      <w:r w:rsidRPr="00A8783E">
        <w:rPr>
          <w:rFonts w:ascii="Times New Roman" w:hAnsi="Times New Roman"/>
          <w:color w:val="000000"/>
          <w:sz w:val="24"/>
          <w:szCs w:val="24"/>
          <w:lang w:val="en-US"/>
        </w:rPr>
        <w:t>B</w:t>
      </w:r>
      <w:r w:rsidRPr="00A8783E">
        <w:rPr>
          <w:rFonts w:ascii="Times New Roman" w:hAnsi="Times New Roman"/>
          <w:color w:val="000000"/>
          <w:sz w:val="24"/>
          <w:szCs w:val="24"/>
        </w:rPr>
        <w:t>“, тъй като мигриращата численост в зоната е 0,5 – 3,33 % от националната мигрираща популация.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
        <w:gridCol w:w="661"/>
        <w:gridCol w:w="1245"/>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0" w:type="auto"/>
            <w:gridSpan w:val="5"/>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Species</w:t>
            </w:r>
          </w:p>
        </w:tc>
        <w:tc>
          <w:tcPr>
            <w:tcW w:w="0" w:type="auto"/>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Population in the site</w:t>
            </w:r>
          </w:p>
        </w:tc>
        <w:tc>
          <w:tcPr>
            <w:tcW w:w="0" w:type="auto"/>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sz w:val="20"/>
                <w:szCs w:val="20"/>
                <w:lang w:val="en-GB"/>
              </w:rPr>
            </w:pPr>
            <w:r w:rsidRPr="00A8783E">
              <w:rPr>
                <w:rFonts w:ascii="Times New Roman" w:hAnsi="Times New Roman"/>
                <w:sz w:val="20"/>
                <w:szCs w:val="20"/>
                <w:lang w:val="en-GB"/>
              </w:rPr>
              <w:lastRenderedPageBreak/>
              <w:t>G</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sz w:val="20"/>
                <w:szCs w:val="20"/>
                <w:lang w:val="en-GB"/>
              </w:rPr>
            </w:pPr>
            <w:r w:rsidRPr="00A8783E">
              <w:rPr>
                <w:rFonts w:ascii="Times New Roman" w:hAnsi="Times New Roman"/>
                <w:sz w:val="20"/>
                <w:szCs w:val="20"/>
                <w:lang w:val="en-GB"/>
              </w:rPr>
              <w:t>Code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Scientific Name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NP</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T</w:t>
            </w: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Size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Unit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Cat.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D.qual.</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A/B/C/D</w:t>
            </w:r>
          </w:p>
        </w:tc>
        <w:tc>
          <w:tcPr>
            <w:tcW w:w="0" w:type="auto"/>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rPr>
                <w:rFonts w:ascii="Times New Roman" w:hAnsi="Times New Roman"/>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Min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Max</w:t>
            </w: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Pop.</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Con.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Iso.</w:t>
            </w:r>
          </w:p>
        </w:tc>
        <w:tc>
          <w:tcPr>
            <w:tcW w:w="0" w:type="auto"/>
            <w:shd w:val="clear" w:color="auto" w:fill="D9D9D9"/>
            <w:vAlign w:val="center"/>
          </w:tcPr>
          <w:p w:rsidR="00A8783E" w:rsidRPr="00A8783E" w:rsidRDefault="00A8783E" w:rsidP="00A8783E">
            <w:pPr>
              <w:spacing w:after="160" w:line="259" w:lineRule="auto"/>
              <w:rPr>
                <w:rFonts w:ascii="Times New Roman" w:hAnsi="Times New Roman"/>
                <w:b/>
                <w:bCs/>
                <w:sz w:val="20"/>
                <w:szCs w:val="20"/>
                <w:lang w:val="en-GB"/>
              </w:rPr>
            </w:pPr>
            <w:r w:rsidRPr="00A8783E">
              <w:rPr>
                <w:rFonts w:ascii="Times New Roman" w:hAnsi="Times New Roman"/>
                <w:b/>
                <w:bCs/>
                <w:sz w:val="20"/>
                <w:szCs w:val="20"/>
                <w:lang w:val="en-GB"/>
              </w:rPr>
              <w:t>Glo.</w:t>
            </w:r>
          </w:p>
        </w:tc>
      </w:tr>
      <w:tr w:rsidR="00A8783E" w:rsidRPr="00A8783E" w:rsidTr="005B5318">
        <w:trPr>
          <w:trHeight w:val="295"/>
          <w:jc w:val="center"/>
        </w:trPr>
        <w:tc>
          <w:tcPr>
            <w:tcW w:w="0" w:type="auto"/>
            <w:vAlign w:val="center"/>
          </w:tcPr>
          <w:p w:rsidR="00A8783E" w:rsidRPr="00A8783E" w:rsidRDefault="00A8783E" w:rsidP="00A8783E">
            <w:pPr>
              <w:spacing w:after="160" w:line="259" w:lineRule="auto"/>
              <w:rPr>
                <w:rFonts w:ascii="Times New Roman" w:hAnsi="Times New Roman"/>
                <w:sz w:val="20"/>
                <w:szCs w:val="20"/>
                <w:lang w:val="en-GB"/>
              </w:rPr>
            </w:pPr>
            <w:r w:rsidRPr="00A8783E">
              <w:rPr>
                <w:rFonts w:ascii="Times New Roman" w:hAnsi="Times New Roman"/>
                <w:sz w:val="20"/>
                <w:szCs w:val="20"/>
                <w:lang w:val="en-GB"/>
              </w:rPr>
              <w:t>В</w:t>
            </w:r>
          </w:p>
        </w:tc>
        <w:tc>
          <w:tcPr>
            <w:tcW w:w="0" w:type="auto"/>
          </w:tcPr>
          <w:p w:rsidR="00A8783E" w:rsidRPr="00A8783E" w:rsidRDefault="00A8783E" w:rsidP="00A8783E">
            <w:pPr>
              <w:spacing w:after="160" w:line="259" w:lineRule="auto"/>
              <w:rPr>
                <w:rFonts w:ascii="Times New Roman" w:hAnsi="Times New Roman"/>
                <w:sz w:val="20"/>
                <w:szCs w:val="20"/>
              </w:rPr>
            </w:pPr>
            <w:r w:rsidRPr="00A8783E">
              <w:rPr>
                <w:rFonts w:ascii="Times New Roman" w:hAnsi="Times New Roman"/>
                <w:sz w:val="20"/>
                <w:szCs w:val="20"/>
                <w:lang w:val="en-GB"/>
              </w:rPr>
              <w:t>A</w:t>
            </w:r>
            <w:r w:rsidRPr="00A8783E">
              <w:rPr>
                <w:rFonts w:ascii="Times New Roman" w:hAnsi="Times New Roman"/>
                <w:sz w:val="20"/>
                <w:szCs w:val="20"/>
              </w:rPr>
              <w:t>127</w:t>
            </w:r>
          </w:p>
        </w:tc>
        <w:tc>
          <w:tcPr>
            <w:tcW w:w="0" w:type="auto"/>
          </w:tcPr>
          <w:p w:rsidR="00A8783E" w:rsidRPr="00A8783E" w:rsidRDefault="00A8783E" w:rsidP="00A8783E">
            <w:pPr>
              <w:spacing w:after="160" w:line="259" w:lineRule="auto"/>
              <w:rPr>
                <w:rFonts w:ascii="Times New Roman" w:hAnsi="Times New Roman"/>
                <w:i/>
                <w:iCs/>
                <w:sz w:val="20"/>
                <w:szCs w:val="20"/>
                <w:lang w:val="en-GB"/>
              </w:rPr>
            </w:pPr>
            <w:r w:rsidRPr="00A8783E">
              <w:rPr>
                <w:rFonts w:ascii="Times New Roman" w:hAnsi="Times New Roman"/>
                <w:i/>
                <w:iCs/>
                <w:sz w:val="20"/>
                <w:szCs w:val="20"/>
                <w:lang w:val="en-GB"/>
              </w:rPr>
              <w:t>Grus grus</w:t>
            </w:r>
          </w:p>
        </w:tc>
        <w:tc>
          <w:tcPr>
            <w:tcW w:w="0" w:type="auto"/>
            <w:vAlign w:val="center"/>
          </w:tcPr>
          <w:p w:rsidR="00A8783E" w:rsidRPr="00A8783E" w:rsidRDefault="00A8783E" w:rsidP="00A8783E">
            <w:pPr>
              <w:spacing w:after="160" w:line="259" w:lineRule="auto"/>
              <w:jc w:val="center"/>
              <w:rPr>
                <w:rFonts w:ascii="Times New Roman" w:hAnsi="Times New Roman"/>
                <w:sz w:val="20"/>
                <w:szCs w:val="20"/>
                <w:lang w:val="en-GB"/>
              </w:rPr>
            </w:pPr>
          </w:p>
        </w:tc>
        <w:tc>
          <w:tcPr>
            <w:tcW w:w="0" w:type="auto"/>
            <w:vAlign w:val="center"/>
          </w:tcPr>
          <w:p w:rsidR="00A8783E" w:rsidRPr="00A8783E" w:rsidRDefault="00A8783E" w:rsidP="00A8783E">
            <w:pPr>
              <w:spacing w:after="160" w:line="259" w:lineRule="auto"/>
              <w:jc w:val="center"/>
              <w:rPr>
                <w:rFonts w:ascii="Times New Roman" w:hAnsi="Times New Roman"/>
                <w:sz w:val="20"/>
                <w:szCs w:val="20"/>
                <w:lang w:val="en-GB"/>
              </w:rPr>
            </w:pPr>
          </w:p>
        </w:tc>
        <w:tc>
          <w:tcPr>
            <w:tcW w:w="0" w:type="auto"/>
            <w:vAlign w:val="bottom"/>
          </w:tcPr>
          <w:p w:rsidR="00A8783E" w:rsidRPr="00A8783E" w:rsidRDefault="00A8783E" w:rsidP="00A8783E">
            <w:pPr>
              <w:spacing w:after="160" w:line="259" w:lineRule="auto"/>
              <w:jc w:val="center"/>
              <w:rPr>
                <w:rFonts w:ascii="Times New Roman" w:hAnsi="Times New Roman"/>
                <w:sz w:val="20"/>
                <w:szCs w:val="20"/>
              </w:rPr>
            </w:pPr>
            <w:r w:rsidRPr="00A8783E">
              <w:rPr>
                <w:rFonts w:ascii="Times New Roman" w:hAnsi="Times New Roman"/>
                <w:sz w:val="20"/>
                <w:szCs w:val="20"/>
              </w:rPr>
              <w:t>с</w:t>
            </w:r>
          </w:p>
        </w:tc>
        <w:tc>
          <w:tcPr>
            <w:tcW w:w="0" w:type="auto"/>
            <w:vAlign w:val="bottom"/>
          </w:tcPr>
          <w:p w:rsidR="00A8783E" w:rsidRPr="00A8783E" w:rsidRDefault="00A8783E" w:rsidP="00A8783E">
            <w:pPr>
              <w:spacing w:after="160" w:line="259" w:lineRule="auto"/>
              <w:jc w:val="center"/>
              <w:rPr>
                <w:rFonts w:ascii="Times New Roman" w:hAnsi="Times New Roman"/>
                <w:sz w:val="20"/>
                <w:szCs w:val="20"/>
                <w:lang w:val="en-GB"/>
              </w:rPr>
            </w:pPr>
          </w:p>
        </w:tc>
        <w:tc>
          <w:tcPr>
            <w:tcW w:w="0" w:type="auto"/>
            <w:vAlign w:val="bottom"/>
          </w:tcPr>
          <w:p w:rsidR="00A8783E" w:rsidRPr="00A8783E" w:rsidRDefault="00A8783E" w:rsidP="00A8783E">
            <w:pPr>
              <w:spacing w:after="160" w:line="259" w:lineRule="auto"/>
              <w:jc w:val="center"/>
              <w:rPr>
                <w:rFonts w:ascii="Times New Roman" w:hAnsi="Times New Roman"/>
                <w:sz w:val="20"/>
                <w:szCs w:val="20"/>
              </w:rPr>
            </w:pPr>
            <w:r w:rsidRPr="00A8783E">
              <w:rPr>
                <w:rFonts w:ascii="Times New Roman" w:hAnsi="Times New Roman"/>
                <w:sz w:val="20"/>
                <w:szCs w:val="20"/>
                <w:lang w:val="en-GB"/>
              </w:rPr>
              <w:t>1</w:t>
            </w:r>
            <w:r w:rsidRPr="00A8783E">
              <w:rPr>
                <w:rFonts w:ascii="Times New Roman" w:hAnsi="Times New Roman"/>
                <w:sz w:val="20"/>
                <w:szCs w:val="20"/>
              </w:rPr>
              <w:t>0</w:t>
            </w:r>
          </w:p>
        </w:tc>
        <w:tc>
          <w:tcPr>
            <w:tcW w:w="0" w:type="auto"/>
            <w:vAlign w:val="bottom"/>
          </w:tcPr>
          <w:p w:rsidR="00A8783E" w:rsidRPr="00A8783E" w:rsidRDefault="00A8783E" w:rsidP="00A8783E">
            <w:pPr>
              <w:spacing w:after="160" w:line="259" w:lineRule="auto"/>
              <w:jc w:val="center"/>
              <w:rPr>
                <w:rFonts w:ascii="Times New Roman" w:hAnsi="Times New Roman"/>
                <w:sz w:val="20"/>
                <w:szCs w:val="20"/>
                <w:lang w:val="en-GB"/>
              </w:rPr>
            </w:pPr>
            <w:r w:rsidRPr="00A8783E">
              <w:rPr>
                <w:rFonts w:ascii="Times New Roman" w:hAnsi="Times New Roman"/>
                <w:sz w:val="20"/>
                <w:szCs w:val="20"/>
                <w:lang w:val="en-GB"/>
              </w:rPr>
              <w:t>i</w:t>
            </w:r>
          </w:p>
        </w:tc>
        <w:tc>
          <w:tcPr>
            <w:tcW w:w="0" w:type="auto"/>
            <w:vAlign w:val="bottom"/>
          </w:tcPr>
          <w:p w:rsidR="00A8783E" w:rsidRPr="00A8783E" w:rsidRDefault="00A8783E" w:rsidP="00A8783E">
            <w:pPr>
              <w:spacing w:after="160" w:line="259" w:lineRule="auto"/>
              <w:jc w:val="center"/>
              <w:rPr>
                <w:rFonts w:ascii="Times New Roman" w:hAnsi="Times New Roman"/>
                <w:sz w:val="20"/>
                <w:szCs w:val="20"/>
                <w:lang w:val="en-GB"/>
              </w:rPr>
            </w:pPr>
          </w:p>
        </w:tc>
        <w:tc>
          <w:tcPr>
            <w:tcW w:w="0" w:type="auto"/>
            <w:vAlign w:val="bottom"/>
          </w:tcPr>
          <w:p w:rsidR="00A8783E" w:rsidRPr="00A8783E" w:rsidRDefault="00A8783E" w:rsidP="00A8783E">
            <w:pPr>
              <w:spacing w:after="160" w:line="259" w:lineRule="auto"/>
              <w:jc w:val="center"/>
              <w:rPr>
                <w:rFonts w:ascii="Times New Roman" w:hAnsi="Times New Roman"/>
                <w:sz w:val="20"/>
                <w:szCs w:val="20"/>
                <w:lang w:val="en-GB"/>
              </w:rPr>
            </w:pPr>
            <w:r w:rsidRPr="00A8783E">
              <w:rPr>
                <w:rFonts w:ascii="Times New Roman" w:hAnsi="Times New Roman"/>
                <w:sz w:val="20"/>
                <w:szCs w:val="20"/>
                <w:lang w:val="en-GB"/>
              </w:rPr>
              <w:t>G</w:t>
            </w:r>
          </w:p>
        </w:tc>
        <w:tc>
          <w:tcPr>
            <w:tcW w:w="0" w:type="auto"/>
            <w:vAlign w:val="bottom"/>
          </w:tcPr>
          <w:p w:rsidR="00A8783E" w:rsidRPr="00A8783E" w:rsidRDefault="00A8783E" w:rsidP="00A8783E">
            <w:pPr>
              <w:spacing w:after="160" w:line="259" w:lineRule="auto"/>
              <w:jc w:val="center"/>
              <w:rPr>
                <w:rFonts w:ascii="Times New Roman" w:hAnsi="Times New Roman"/>
                <w:b/>
                <w:sz w:val="20"/>
                <w:szCs w:val="20"/>
                <w:lang w:val="en-GB"/>
              </w:rPr>
            </w:pPr>
            <w:r w:rsidRPr="00A8783E">
              <w:rPr>
                <w:rFonts w:ascii="Times New Roman" w:hAnsi="Times New Roman"/>
                <w:b/>
                <w:color w:val="FF0000"/>
                <w:sz w:val="20"/>
                <w:szCs w:val="20"/>
                <w:lang w:val="en-GB"/>
              </w:rPr>
              <w:t>B</w:t>
            </w:r>
          </w:p>
        </w:tc>
        <w:tc>
          <w:tcPr>
            <w:tcW w:w="0" w:type="auto"/>
            <w:vAlign w:val="bottom"/>
          </w:tcPr>
          <w:p w:rsidR="00A8783E" w:rsidRPr="00A8783E" w:rsidRDefault="00A8783E" w:rsidP="00A8783E">
            <w:pPr>
              <w:spacing w:after="160" w:line="259" w:lineRule="auto"/>
              <w:jc w:val="center"/>
              <w:rPr>
                <w:rFonts w:ascii="Times New Roman" w:hAnsi="Times New Roman"/>
                <w:sz w:val="20"/>
                <w:szCs w:val="20"/>
                <w:lang w:val="en-GB"/>
              </w:rPr>
            </w:pPr>
            <w:r w:rsidRPr="00A8783E">
              <w:rPr>
                <w:rFonts w:ascii="Times New Roman" w:hAnsi="Times New Roman"/>
                <w:sz w:val="20"/>
                <w:szCs w:val="20"/>
                <w:lang w:val="en-GB"/>
              </w:rPr>
              <w:t>A</w:t>
            </w:r>
          </w:p>
        </w:tc>
        <w:tc>
          <w:tcPr>
            <w:tcW w:w="0" w:type="auto"/>
            <w:vAlign w:val="bottom"/>
          </w:tcPr>
          <w:p w:rsidR="00A8783E" w:rsidRPr="00A8783E" w:rsidRDefault="00A8783E" w:rsidP="00A8783E">
            <w:pPr>
              <w:spacing w:after="160" w:line="259" w:lineRule="auto"/>
              <w:jc w:val="center"/>
              <w:rPr>
                <w:rFonts w:ascii="Times New Roman" w:hAnsi="Times New Roman"/>
                <w:sz w:val="20"/>
                <w:szCs w:val="20"/>
                <w:lang w:val="en-GB"/>
              </w:rPr>
            </w:pPr>
            <w:r w:rsidRPr="00A8783E">
              <w:rPr>
                <w:rFonts w:ascii="Times New Roman" w:hAnsi="Times New Roman"/>
                <w:sz w:val="20"/>
                <w:szCs w:val="20"/>
                <w:lang w:val="en-GB"/>
              </w:rPr>
              <w:t>C</w:t>
            </w:r>
          </w:p>
        </w:tc>
        <w:tc>
          <w:tcPr>
            <w:tcW w:w="0" w:type="auto"/>
            <w:vAlign w:val="bottom"/>
          </w:tcPr>
          <w:p w:rsidR="00A8783E" w:rsidRPr="00A8783E" w:rsidRDefault="00A8783E" w:rsidP="00A8783E">
            <w:pPr>
              <w:spacing w:after="160" w:line="259" w:lineRule="auto"/>
              <w:jc w:val="center"/>
              <w:rPr>
                <w:rFonts w:ascii="Times New Roman" w:hAnsi="Times New Roman"/>
                <w:sz w:val="20"/>
                <w:szCs w:val="20"/>
                <w:lang w:val="en-GB"/>
              </w:rPr>
            </w:pPr>
            <w:r w:rsidRPr="00A8783E">
              <w:rPr>
                <w:rFonts w:ascii="Times New Roman" w:hAnsi="Times New Roman"/>
                <w:sz w:val="20"/>
                <w:szCs w:val="20"/>
                <w:lang w:val="en-GB"/>
              </w:rPr>
              <w:t>C</w:t>
            </w:r>
          </w:p>
        </w:tc>
      </w:tr>
    </w:tbl>
    <w:p w:rsidR="00A8783E" w:rsidRPr="00A8783E" w:rsidRDefault="00A8783E" w:rsidP="00A8783E">
      <w:pPr>
        <w:spacing w:after="160" w:line="259" w:lineRule="auto"/>
        <w:rPr>
          <w:rFonts w:ascii="Times New Roman" w:hAnsi="Times New Roman"/>
          <w:sz w:val="24"/>
          <w:szCs w:val="24"/>
          <w:lang w:val="en-US"/>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56" w:name="_Toc89106122"/>
      <w:bookmarkStart w:id="357" w:name="_Toc98741961"/>
      <w:bookmarkStart w:id="358" w:name="_Toc98838636"/>
      <w:r w:rsidRPr="00A8783E">
        <w:rPr>
          <w:rFonts w:ascii="Times New Roman" w:hAnsi="Times New Roman"/>
          <w:color w:val="1F497D"/>
          <w:sz w:val="28"/>
          <w:szCs w:val="28"/>
        </w:rPr>
        <w:t xml:space="preserve">Специфични цели за А131 </w:t>
      </w:r>
      <w:r w:rsidRPr="00A8783E">
        <w:rPr>
          <w:rFonts w:ascii="Times New Roman" w:hAnsi="Times New Roman"/>
          <w:i/>
          <w:iCs/>
          <w:color w:val="1F497D"/>
          <w:sz w:val="28"/>
          <w:szCs w:val="28"/>
          <w:lang w:val="en-US"/>
        </w:rPr>
        <w:t>Himantopus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himantopus</w:t>
      </w:r>
      <w:r w:rsidRPr="00A8783E">
        <w:rPr>
          <w:rFonts w:ascii="Times New Roman" w:hAnsi="Times New Roman"/>
          <w:color w:val="1F497D"/>
          <w:sz w:val="28"/>
          <w:szCs w:val="28"/>
        </w:rPr>
        <w:t xml:space="preserve"> (кокилобегач)</w:t>
      </w:r>
      <w:bookmarkEnd w:id="356"/>
      <w:bookmarkEnd w:id="357"/>
      <w:bookmarkEnd w:id="358"/>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35-40 </w:t>
      </w:r>
      <w:r w:rsidRPr="00A8783E">
        <w:rPr>
          <w:rFonts w:ascii="Times New Roman" w:hAnsi="Times New Roman"/>
          <w:sz w:val="24"/>
          <w:szCs w:val="24"/>
          <w:lang w:val="en-GB"/>
        </w:rPr>
        <w:t>cm</w:t>
      </w:r>
      <w:r w:rsidRPr="00A8783E">
        <w:rPr>
          <w:rFonts w:ascii="Times New Roman" w:hAnsi="Times New Roman"/>
          <w:sz w:val="24"/>
          <w:szCs w:val="24"/>
        </w:rPr>
        <w:t xml:space="preserve">, размах на крилата: 67-83 </w:t>
      </w:r>
      <w:r w:rsidRPr="00A8783E">
        <w:rPr>
          <w:rFonts w:ascii="Times New Roman" w:hAnsi="Times New Roman"/>
          <w:sz w:val="24"/>
          <w:szCs w:val="24"/>
          <w:lang w:val="en-GB"/>
        </w:rPr>
        <w:t>cm</w:t>
      </w:r>
      <w:r w:rsidRPr="00A8783E">
        <w:rPr>
          <w:rFonts w:ascii="Times New Roman" w:hAnsi="Times New Roman"/>
          <w:sz w:val="24"/>
          <w:szCs w:val="24"/>
        </w:rPr>
        <w:t>. Лесно забележима птица с изключително дълги крака. Оперението е основно бяло с черен гръб и криле. Червени крака и черен клюн. Кръста е бял с триъгълна форма. При младите гърба и крилете са сиви.</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Гнездящ и преминаващ вид за страната. В миналото се е срещал по влажните зони по р. Дунав, в Софийското поле и по Черноморското крайбрежие. Понастоящем основно в Бургаските влажни зони, Дуранкулашко и Шабленско езеро. (Червена книга на Р България, 2015). Гнездовия сезон е май-юли. Есенната миграция е септември, а пролетната от средата на март до края на април (</w:t>
      </w:r>
      <w:r w:rsidRPr="00A8783E">
        <w:rPr>
          <w:rFonts w:ascii="Times New Roman" w:hAnsi="Times New Roman"/>
          <w:sz w:val="24"/>
          <w:szCs w:val="24"/>
          <w:lang w:val="en-GB"/>
        </w:rPr>
        <w:t>BWPi</w:t>
      </w:r>
      <w:r w:rsidRPr="00A8783E">
        <w:rPr>
          <w:rFonts w:ascii="Times New Roman" w:hAnsi="Times New Roman"/>
          <w:sz w:val="24"/>
          <w:szCs w:val="24"/>
        </w:rPr>
        <w:t>, 2006).</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Гнезди най-често в солници или край други плитководни водоеми, лагуни и засолени терени с халофитна растителност, а в по-редки случаи по бреговете на стоящи бракични води и стоящи пресни води, където устройва гнездата си в тревна растителност по периферията на водоеми с 0-200 </w:t>
      </w:r>
      <w:r w:rsidRPr="00A8783E">
        <w:rPr>
          <w:rFonts w:ascii="Times New Roman" w:hAnsi="Times New Roman"/>
          <w:sz w:val="24"/>
          <w:szCs w:val="24"/>
          <w:lang w:val="en-GB"/>
        </w:rPr>
        <w:t>m</w:t>
      </w:r>
      <w:r w:rsidRPr="00A8783E">
        <w:rPr>
          <w:rFonts w:ascii="Times New Roman" w:hAnsi="Times New Roman"/>
          <w:sz w:val="24"/>
          <w:szCs w:val="24"/>
        </w:rPr>
        <w:t xml:space="preserve"> н.в. (Янков отг. ред., 2007). Гнезди поединично или в малки колонии от по 10-40 двойки. Определящо е хидрологичното състояние на влажните зони като числеността на популацията е силно флуктуираща през годините. В зависимост от наличието на подходящи местообитания, гнездовата плътност е различна през отделните години. В Унгария в рибарници е установена плътност от 0,08 до 1,14 дв./</w:t>
      </w:r>
      <w:r w:rsidRPr="00A8783E">
        <w:rPr>
          <w:rFonts w:ascii="Times New Roman" w:hAnsi="Times New Roman"/>
          <w:sz w:val="24"/>
          <w:szCs w:val="24"/>
          <w:lang w:val="en-US"/>
        </w:rPr>
        <w:t>ha</w:t>
      </w:r>
      <w:r w:rsidRPr="00A8783E">
        <w:rPr>
          <w:rFonts w:ascii="Times New Roman" w:hAnsi="Times New Roman"/>
          <w:sz w:val="24"/>
          <w:szCs w:val="24"/>
        </w:rPr>
        <w:t>. Според същите автори, за да се поддържа гнездовото местообитание на вида е необходимо във водоемите да има ниска растителност и това се поддържа чрез опасване от поне 0,2 тревопасни животни/</w:t>
      </w:r>
      <w:r w:rsidRPr="00A8783E">
        <w:rPr>
          <w:rFonts w:ascii="Times New Roman" w:hAnsi="Times New Roman"/>
          <w:sz w:val="24"/>
          <w:szCs w:val="24"/>
          <w:lang w:val="en-US"/>
        </w:rPr>
        <w:t>ha</w:t>
      </w:r>
      <w:r w:rsidRPr="00A8783E">
        <w:rPr>
          <w:rFonts w:ascii="Times New Roman" w:hAnsi="Times New Roman"/>
          <w:sz w:val="24"/>
          <w:szCs w:val="24"/>
        </w:rPr>
        <w:t xml:space="preserve"> (</w:t>
      </w:r>
      <w:r w:rsidRPr="00A8783E">
        <w:rPr>
          <w:rFonts w:ascii="Times New Roman" w:hAnsi="Times New Roman"/>
          <w:sz w:val="24"/>
          <w:szCs w:val="24"/>
          <w:lang w:val="en-US"/>
        </w:rPr>
        <w:t>Pigniczki</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2019). Подходящите местообитания са разнообразни влажни зони, вероятно с кодове: 1110, 1130, 1140, 1150, 1160, 1530 и 6440 и др. влажни зони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Основно възрастни и ларви на водни насекоми (Coleoptera, Ephemeroptera, Trichoptera, Hemiptera, Odonata, Diptera, Neuroptera and Lepidoptera), паяци, миди, ракообразни, червеи, хайвер на жаби и риби, попови лъжички и рядко семена и плодове на водолюбиви растения (</w:t>
      </w:r>
      <w:r w:rsidRPr="00A8783E">
        <w:rPr>
          <w:rFonts w:ascii="Times New Roman" w:hAnsi="Times New Roman"/>
          <w:sz w:val="24"/>
          <w:szCs w:val="24"/>
          <w:lang w:val="en-GB"/>
        </w:rPr>
        <w:t>BWPi</w:t>
      </w:r>
      <w:r w:rsidRPr="00A8783E">
        <w:rPr>
          <w:rFonts w:ascii="Times New Roman" w:hAnsi="Times New Roman"/>
          <w:sz w:val="24"/>
          <w:szCs w:val="24"/>
        </w:rPr>
        <w:t xml:space="preserve">, 2006).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 петнисто и разпръснато разпространение, основно по Черноморското крайбрежие, в Тракийската низина, покрай р. Дунав и близко разположени водоеми в Дунавската равнина. Изолирани, вероятно епизодични гнездовища има и в други части на страната.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Включен в Приложение 1 на Директивата за птиците. Според </w:t>
      </w:r>
      <w:r w:rsidRPr="00A8783E">
        <w:rPr>
          <w:rFonts w:ascii="Times New Roman" w:hAnsi="Times New Roman"/>
          <w:sz w:val="24"/>
          <w:szCs w:val="24"/>
          <w:lang w:val="en-GB"/>
        </w:rPr>
        <w:t>IUCN</w:t>
      </w:r>
      <w:r w:rsidRPr="00A8783E">
        <w:rPr>
          <w:rFonts w:ascii="Times New Roman" w:hAnsi="Times New Roman"/>
          <w:sz w:val="24"/>
          <w:szCs w:val="24"/>
        </w:rPr>
        <w:t xml:space="preserve"> е слабо засегнат -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rPr>
        <w:t xml:space="preserve"> </w:t>
      </w:r>
      <w:r w:rsidRPr="00A8783E">
        <w:rPr>
          <w:rFonts w:ascii="Times New Roman" w:hAnsi="Times New Roman"/>
          <w:sz w:val="24"/>
          <w:szCs w:val="24"/>
          <w:lang w:val="en-GB"/>
        </w:rPr>
        <w:t>Concern</w:t>
      </w:r>
      <w:r w:rsidRPr="00A8783E">
        <w:rPr>
          <w:rFonts w:ascii="Times New Roman" w:hAnsi="Times New Roman"/>
          <w:sz w:val="24"/>
          <w:szCs w:val="24"/>
        </w:rPr>
        <w:t xml:space="preserve">) за света, а за територията на континентална Европа също </w:t>
      </w:r>
      <w:r w:rsidRPr="00A8783E">
        <w:rPr>
          <w:rFonts w:ascii="Times New Roman" w:hAnsi="Times New Roman"/>
          <w:sz w:val="24"/>
          <w:szCs w:val="24"/>
          <w:lang w:val="en-GB"/>
        </w:rPr>
        <w:t>LC</w:t>
      </w:r>
      <w:r w:rsidRPr="00A8783E">
        <w:rPr>
          <w:rFonts w:ascii="Times New Roman" w:hAnsi="Times New Roman"/>
          <w:sz w:val="24"/>
          <w:szCs w:val="24"/>
        </w:rPr>
        <w:t xml:space="preserve">. Не е </w:t>
      </w:r>
      <w:r w:rsidRPr="00A8783E">
        <w:rPr>
          <w:rFonts w:ascii="Times New Roman" w:hAnsi="Times New Roman"/>
          <w:sz w:val="24"/>
          <w:szCs w:val="24"/>
        </w:rPr>
        <w:lastRenderedPageBreak/>
        <w:t xml:space="preserve">включен в </w:t>
      </w:r>
      <w:r w:rsidRPr="00A8783E">
        <w:rPr>
          <w:rFonts w:ascii="Times New Roman" w:hAnsi="Times New Roman"/>
          <w:sz w:val="24"/>
          <w:szCs w:val="24"/>
          <w:lang w:val="en-GB"/>
        </w:rPr>
        <w:t>SPEC</w:t>
      </w:r>
      <w:r w:rsidRPr="00A8783E">
        <w:rPr>
          <w:rFonts w:ascii="Times New Roman" w:hAnsi="Times New Roman"/>
          <w:sz w:val="24"/>
          <w:szCs w:val="24"/>
        </w:rPr>
        <w:t xml:space="preserve"> категориите. Включен в Червената книга на България (2015) като застрашен </w:t>
      </w:r>
      <w:r w:rsidRPr="00A8783E">
        <w:rPr>
          <w:rFonts w:ascii="Times New Roman" w:hAnsi="Times New Roman"/>
          <w:sz w:val="24"/>
          <w:szCs w:val="24"/>
          <w:lang w:val="en-GB"/>
        </w:rPr>
        <w:t>EN</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 на 300 – 400 двойки. Краткосрочната тенденция (за периода 2001 – 2018) в популацията е стабилна както и дългосрочната (за периода 1980 – 2018) също е стабилна.</w:t>
      </w:r>
      <w:r w:rsidRPr="00A8783E">
        <w:rPr>
          <w:rFonts w:cs="Calibri"/>
        </w:rPr>
        <w:t xml:space="preserve"> </w:t>
      </w:r>
      <w:r w:rsidRPr="00A8783E">
        <w:rPr>
          <w:rFonts w:ascii="Times New Roman" w:hAnsi="Times New Roman"/>
          <w:sz w:val="24"/>
          <w:szCs w:val="24"/>
        </w:rPr>
        <w:t>Посочени са следните заплахи и влияния: K03, C01, J02, F26, E01.</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Преминаващата</w:t>
      </w:r>
      <w:r w:rsidRPr="00A8783E">
        <w:rPr>
          <w:rFonts w:ascii="Times New Roman" w:hAnsi="Times New Roman"/>
          <w:sz w:val="24"/>
          <w:szCs w:val="24"/>
        </w:rPr>
        <w:t xml:space="preserve"> популация, според Докладването от 2019 г. е оценена на 1000 – 2000 индивида. Посочени са следните заплахи и влияния: </w:t>
      </w:r>
      <w:r w:rsidRPr="00A8783E">
        <w:rPr>
          <w:rFonts w:ascii="Times New Roman" w:hAnsi="Times New Roman"/>
          <w:sz w:val="24"/>
          <w:szCs w:val="24"/>
          <w:lang w:val="en-US"/>
        </w:rPr>
        <w:t>F</w:t>
      </w:r>
      <w:r w:rsidRPr="00A8783E">
        <w:rPr>
          <w:rFonts w:ascii="Times New Roman" w:hAnsi="Times New Roman"/>
          <w:sz w:val="24"/>
          <w:szCs w:val="24"/>
        </w:rPr>
        <w:t xml:space="preserve">03, </w:t>
      </w:r>
      <w:r w:rsidRPr="00A8783E">
        <w:rPr>
          <w:rFonts w:ascii="Times New Roman" w:hAnsi="Times New Roman"/>
          <w:sz w:val="24"/>
          <w:szCs w:val="24"/>
          <w:lang w:val="en-US"/>
        </w:rPr>
        <w:t>F</w:t>
      </w:r>
      <w:r w:rsidRPr="00A8783E">
        <w:rPr>
          <w:rFonts w:ascii="Times New Roman" w:hAnsi="Times New Roman"/>
          <w:sz w:val="24"/>
          <w:szCs w:val="24"/>
        </w:rPr>
        <w:t xml:space="preserve">06, </w:t>
      </w:r>
      <w:r w:rsidRPr="00A8783E">
        <w:rPr>
          <w:rFonts w:ascii="Times New Roman" w:hAnsi="Times New Roman"/>
          <w:sz w:val="24"/>
          <w:szCs w:val="24"/>
          <w:lang w:val="en-US"/>
        </w:rPr>
        <w:t>F</w:t>
      </w:r>
      <w:r w:rsidRPr="00A8783E">
        <w:rPr>
          <w:rFonts w:ascii="Times New Roman" w:hAnsi="Times New Roman"/>
          <w:sz w:val="24"/>
          <w:szCs w:val="24"/>
        </w:rPr>
        <w:t xml:space="preserve">26.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sz w:val="24"/>
          <w:szCs w:val="24"/>
        </w:rPr>
        <w:t>Според Червената книга на България (2015): загуба и деградация на подходящите местообитания, промяна на водните нива в солниците по време на гнезденето, безпокойство от хората, убиване на новоизлюпените птици от хищници.</w:t>
      </w:r>
      <w:r w:rsidRPr="00A8783E">
        <w:rPr>
          <w:rFonts w:ascii="Times New Roman" w:hAnsi="Times New Roman"/>
          <w:b/>
          <w:bCs/>
          <w:sz w:val="24"/>
          <w:szCs w:val="24"/>
        </w:rPr>
        <w:t xml:space="preserve">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гнездящ</w:t>
      </w:r>
      <w:r w:rsidRPr="00A8783E">
        <w:rPr>
          <w:rFonts w:ascii="Times New Roman" w:hAnsi="Times New Roman"/>
          <w:sz w:val="24"/>
          <w:szCs w:val="24"/>
        </w:rPr>
        <w:t xml:space="preserve"> и се оценява на до 2 двойки, което е 0,5 – 0,66 %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sz w:val="24"/>
          <w:szCs w:val="24"/>
        </w:rPr>
        <w:t xml:space="preserve">В средна Дунавска равнина е рядък гнездящ вид, по-чест по време на пролетната миграция (Шурулинков и др., 2005). Според Костадинова, Граматиков (2007), видът присъства в зоната по време на размножаване с численост 3-15 инд. Според Матеева и др. (2013) до 2007 г. за гнездящата популация в зоната са посочени 28 двойки. На 13.05.2020 г. в зоната е наблюдаван 1 инд. (Н. Иванова, непубл. данни). </w:t>
      </w:r>
      <w:r w:rsidRPr="00A8783E">
        <w:rPr>
          <w:rFonts w:ascii="Times New Roman" w:hAnsi="Times New Roman"/>
          <w:color w:val="000000"/>
          <w:sz w:val="24"/>
          <w:szCs w:val="24"/>
        </w:rPr>
        <w:t>По време на теренното проучване през май 2021 г. не са установени птици от вида в зоната. По данни от eBird.</w:t>
      </w:r>
      <w:r w:rsidRPr="00A8783E">
        <w:rPr>
          <w:rFonts w:ascii="Times New Roman" w:hAnsi="Times New Roman"/>
          <w:color w:val="000000"/>
          <w:sz w:val="24"/>
          <w:szCs w:val="24"/>
          <w:lang w:val="en-US"/>
        </w:rPr>
        <w:t>org</w:t>
      </w:r>
      <w:r w:rsidRPr="00A8783E">
        <w:rPr>
          <w:rFonts w:ascii="Times New Roman" w:hAnsi="Times New Roman"/>
          <w:color w:val="000000"/>
          <w:sz w:val="24"/>
          <w:szCs w:val="24"/>
        </w:rPr>
        <w:t xml:space="preserve">, видът е наблюдаван в зоната през юни 2001 г.- 2 инд., през юни  2008 г.- 3 инд., през август 2017 г. – 6 инд., през юни 2018 г. – 18 инд. и през юни 2019 г. – 2 инд.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За гнездящата популация са посочени следните заплахи и влияния (Докладване по чл. 12, 2019 г.): K03, C01, J02, F26, E01. От тях няма потенциално валидни за СЗЗ „Сребърна”. Заплахи за вида в зоната могат да бъдат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5. Параметри за определяне на специфичните природозащитни цели за вида в зоната</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5"/>
        <w:gridCol w:w="993"/>
        <w:gridCol w:w="1134"/>
        <w:gridCol w:w="2835"/>
        <w:gridCol w:w="2553"/>
      </w:tblGrid>
      <w:tr w:rsidR="00A8783E" w:rsidRPr="00A8783E" w:rsidTr="005B5318">
        <w:trPr>
          <w:tblHeader/>
          <w:jc w:val="center"/>
        </w:trPr>
        <w:tc>
          <w:tcPr>
            <w:tcW w:w="184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993"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83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553"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84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Популация: Размер гнездовата популацията</w:t>
            </w:r>
          </w:p>
        </w:tc>
        <w:tc>
          <w:tcPr>
            <w:tcW w:w="99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гнездящи двойки</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1 дв. </w:t>
            </w:r>
          </w:p>
        </w:tc>
        <w:tc>
          <w:tcPr>
            <w:tcW w:w="283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 СФ за гнездящата популация на вида е посочена максимална стойност 2 дв. На базата на информацията от </w:t>
            </w:r>
            <w:r w:rsidRPr="00A8783E">
              <w:rPr>
                <w:rFonts w:ascii="Times New Roman" w:hAnsi="Times New Roman"/>
                <w:lang w:val="en-US"/>
              </w:rPr>
              <w:t>eBird</w:t>
            </w:r>
            <w:r w:rsidRPr="00A8783E">
              <w:rPr>
                <w:rFonts w:ascii="Times New Roman" w:hAnsi="Times New Roman"/>
              </w:rPr>
              <w:t>.</w:t>
            </w:r>
            <w:r w:rsidRPr="00A8783E">
              <w:rPr>
                <w:rFonts w:ascii="Times New Roman" w:hAnsi="Times New Roman"/>
                <w:lang w:val="en-US"/>
              </w:rPr>
              <w:t>org</w:t>
            </w:r>
            <w:r w:rsidRPr="00A8783E">
              <w:rPr>
                <w:rFonts w:ascii="Times New Roman" w:hAnsi="Times New Roman"/>
              </w:rPr>
              <w:t xml:space="preserve">, че вида през годините е наблюдаван в зоната с численост между 1 и 18 инд. предлагаме да се посочи минимална стойност за популацията от </w:t>
            </w:r>
            <w:r w:rsidRPr="00A8783E">
              <w:rPr>
                <w:rFonts w:ascii="Times New Roman" w:hAnsi="Times New Roman"/>
              </w:rPr>
              <w:lastRenderedPageBreak/>
              <w:t>1 гн. дв.</w:t>
            </w:r>
          </w:p>
        </w:tc>
        <w:tc>
          <w:tcPr>
            <w:tcW w:w="255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Поддържане на популацията на вида в зоната в размер от най-малко 1 двойка.</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до 2025 г.: Необходими са целеви изследвания на вида в зоната за установяване текущата гнездова численост.</w:t>
            </w:r>
          </w:p>
        </w:tc>
      </w:tr>
      <w:tr w:rsidR="00A8783E" w:rsidRPr="00A8783E" w:rsidTr="005B5318">
        <w:trPr>
          <w:jc w:val="center"/>
        </w:trPr>
        <w:tc>
          <w:tcPr>
            <w:tcW w:w="184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lastRenderedPageBreak/>
              <w:t>Местообитание на вида</w:t>
            </w:r>
            <w:r w:rsidRPr="00A8783E">
              <w:rPr>
                <w:rFonts w:ascii="Times New Roman" w:hAnsi="Times New Roman"/>
              </w:rPr>
              <w:t xml:space="preserve">: Подходящи гнездови и хранителни местообитания на вида </w:t>
            </w:r>
          </w:p>
        </w:tc>
        <w:tc>
          <w:tcPr>
            <w:tcW w:w="993"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134" w:type="dxa"/>
          </w:tcPr>
          <w:p w:rsidR="00A8783E" w:rsidRPr="00A8783E" w:rsidRDefault="00A8783E" w:rsidP="00A8783E">
            <w:pPr>
              <w:spacing w:after="0" w:line="240" w:lineRule="auto"/>
              <w:rPr>
                <w:rFonts w:cs="Calibri"/>
              </w:rPr>
            </w:pPr>
            <w:r w:rsidRPr="00A8783E">
              <w:rPr>
                <w:rFonts w:ascii="Times New Roman" w:hAnsi="Times New Roman"/>
              </w:rPr>
              <w:t>Най-малко 565</w:t>
            </w:r>
            <w:r w:rsidRPr="00A8783E">
              <w:rPr>
                <w:rFonts w:cs="Calibri"/>
              </w:rPr>
              <w:t xml:space="preserve"> </w:t>
            </w:r>
          </w:p>
          <w:p w:rsidR="00A8783E" w:rsidRPr="00A8783E" w:rsidRDefault="00A8783E" w:rsidP="00A8783E">
            <w:pPr>
              <w:spacing w:after="0" w:line="240" w:lineRule="auto"/>
              <w:rPr>
                <w:rFonts w:ascii="Times New Roman" w:hAnsi="Times New Roman"/>
              </w:rPr>
            </w:pPr>
          </w:p>
          <w:p w:rsidR="00A8783E" w:rsidRPr="00A8783E" w:rsidRDefault="00A8783E" w:rsidP="00A8783E">
            <w:pPr>
              <w:spacing w:after="0" w:line="240" w:lineRule="auto"/>
              <w:rPr>
                <w:rFonts w:ascii="Times New Roman" w:hAnsi="Times New Roman"/>
              </w:rPr>
            </w:pPr>
          </w:p>
        </w:tc>
        <w:tc>
          <w:tcPr>
            <w:tcW w:w="2835"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Включва гнездовото и хранителното местообитание. Площта е определена на база % участие на местообитание N07-мочурища и блата в СФ на зоната.</w:t>
            </w:r>
          </w:p>
        </w:tc>
        <w:tc>
          <w:tcPr>
            <w:tcW w:w="2553"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площта на подходящите гнездови и хранителни местообитания на вида в размер от най-малко 565 ha чрез поддържане на оптимално водно ниво в зоната, така че през цялата година да има водни огледала и в най-южните части на резервата.</w:t>
            </w:r>
          </w:p>
        </w:tc>
      </w:tr>
      <w:tr w:rsidR="00A8783E" w:rsidRPr="00A8783E" w:rsidTr="005B5318">
        <w:trPr>
          <w:jc w:val="center"/>
        </w:trPr>
        <w:tc>
          <w:tcPr>
            <w:tcW w:w="184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Екологично състояние на водните тела с местообитания на вида, по биологичен елемент риби (JDS4-Fish)</w:t>
            </w:r>
          </w:p>
        </w:tc>
        <w:tc>
          <w:tcPr>
            <w:tcW w:w="99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 степенна скала</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2-Добро или 1-Отлично</w:t>
            </w:r>
          </w:p>
        </w:tc>
        <w:tc>
          <w:tcPr>
            <w:tcW w:w="2835" w:type="dxa"/>
          </w:tcPr>
          <w:tbl>
            <w:tblPr>
              <w:tblW w:w="3000" w:type="dxa"/>
              <w:tblInd w:w="3" w:type="dxa"/>
              <w:tblLayout w:type="fixed"/>
              <w:tblCellMar>
                <w:left w:w="70" w:type="dxa"/>
                <w:right w:w="70" w:type="dxa"/>
              </w:tblCellMar>
              <w:tblLook w:val="00A0" w:firstRow="1" w:lastRow="0" w:firstColumn="1" w:lastColumn="0" w:noHBand="0" w:noVBand="0"/>
            </w:tblPr>
            <w:tblGrid>
              <w:gridCol w:w="3000"/>
            </w:tblGrid>
            <w:tr w:rsidR="00A8783E" w:rsidRPr="00A8783E" w:rsidTr="005B5318">
              <w:trPr>
                <w:trHeight w:val="292"/>
              </w:trPr>
              <w:tc>
                <w:tcPr>
                  <w:tcW w:w="3000"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92"/>
              </w:trPr>
              <w:tc>
                <w:tcPr>
                  <w:tcW w:w="3000"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1-Отлично - High</w:t>
                  </w:r>
                </w:p>
              </w:tc>
            </w:tr>
            <w:tr w:rsidR="00A8783E" w:rsidRPr="00A8783E" w:rsidTr="005B5318">
              <w:trPr>
                <w:trHeight w:val="292"/>
              </w:trPr>
              <w:tc>
                <w:tcPr>
                  <w:tcW w:w="3000"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2-Добро - Good</w:t>
                  </w:r>
                </w:p>
              </w:tc>
            </w:tr>
            <w:tr w:rsidR="00A8783E" w:rsidRPr="00A8783E" w:rsidTr="005B5318">
              <w:trPr>
                <w:trHeight w:val="292"/>
              </w:trPr>
              <w:tc>
                <w:tcPr>
                  <w:tcW w:w="300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3-Умерено - Moderate</w:t>
                  </w:r>
                </w:p>
              </w:tc>
            </w:tr>
            <w:tr w:rsidR="00A8783E" w:rsidRPr="00A8783E" w:rsidTr="005B5318">
              <w:trPr>
                <w:trHeight w:val="292"/>
              </w:trPr>
              <w:tc>
                <w:tcPr>
                  <w:tcW w:w="30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4-Лошо - Poor</w:t>
                  </w:r>
                </w:p>
              </w:tc>
            </w:tr>
            <w:tr w:rsidR="00A8783E" w:rsidRPr="00A8783E" w:rsidTr="005B5318">
              <w:trPr>
                <w:trHeight w:val="292"/>
              </w:trPr>
              <w:tc>
                <w:tcPr>
                  <w:tcW w:w="3000"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по р. Дунав по показател риби (пункт Русе и Силистра) е оценено на </w:t>
            </w:r>
            <w:r w:rsidRPr="00A8783E">
              <w:rPr>
                <w:rFonts w:ascii="Times New Roman" w:hAnsi="Times New Roman"/>
                <w:b/>
                <w:bCs/>
              </w:rPr>
              <w:t xml:space="preserve">умерено (3) </w:t>
            </w:r>
            <w:r w:rsidRPr="00A8783E">
              <w:rPr>
                <w:rFonts w:ascii="Times New Roman" w:hAnsi="Times New Roman"/>
              </w:rPr>
              <w:t>според доклада на JDS4 (2019-2020, Табл. 5, стр. 51).</w:t>
            </w:r>
            <w:r w:rsidRPr="00A8783E">
              <w:rPr>
                <w:rFonts w:cs="Calibri"/>
              </w:rPr>
              <w:t xml:space="preserve"> </w:t>
            </w:r>
            <w:r w:rsidRPr="00A8783E">
              <w:rPr>
                <w:rFonts w:ascii="Times New Roman" w:hAnsi="Times New Roman"/>
              </w:rPr>
              <w:t xml:space="preserve">Според данните от биологичния мониторинг на повърхностните води през 2020 г. ЕС на ез. Сребърна е определено като </w:t>
            </w:r>
            <w:r w:rsidRPr="00A8783E">
              <w:rPr>
                <w:rFonts w:ascii="Times New Roman" w:hAnsi="Times New Roman"/>
                <w:b/>
              </w:rPr>
              <w:t>Отлично</w:t>
            </w:r>
            <w:r w:rsidRPr="00A8783E">
              <w:rPr>
                <w:rFonts w:ascii="Times New Roman" w:hAnsi="Times New Roman"/>
              </w:rPr>
              <w:t xml:space="preserve"> по БЕК Макрозообентос.</w:t>
            </w:r>
          </w:p>
        </w:tc>
        <w:tc>
          <w:tcPr>
            <w:tcW w:w="255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before="120" w:after="120" w:line="259" w:lineRule="auto"/>
        <w:ind w:left="360"/>
        <w:jc w:val="both"/>
        <w:rPr>
          <w:rFonts w:ascii="Times New Roman" w:hAnsi="Times New Roman"/>
          <w:b/>
          <w:bCs/>
          <w:color w:val="000000"/>
          <w:sz w:val="24"/>
          <w:szCs w:val="24"/>
        </w:rPr>
      </w:pPr>
    </w:p>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t xml:space="preserve">6. Необходимост от промени в СФ за (СЗЗ) </w:t>
      </w:r>
      <w:r w:rsidRPr="00A8783E">
        <w:rPr>
          <w:rFonts w:ascii="Times New Roman" w:hAnsi="Times New Roman"/>
          <w:b/>
          <w:bCs/>
          <w:sz w:val="24"/>
          <w:szCs w:val="24"/>
        </w:rPr>
        <w:t>BG0000241 „Сребърна“</w:t>
      </w:r>
    </w:p>
    <w:p w:rsidR="00A8783E" w:rsidRPr="00A8783E" w:rsidRDefault="00A8783E" w:rsidP="00A8783E">
      <w:pPr>
        <w:spacing w:before="120" w:after="120" w:line="259" w:lineRule="auto"/>
        <w:jc w:val="both"/>
        <w:rPr>
          <w:rFonts w:ascii="Times New Roman" w:hAnsi="Times New Roman"/>
          <w:color w:val="000000"/>
          <w:sz w:val="28"/>
          <w:szCs w:val="24"/>
        </w:rPr>
      </w:pPr>
      <w:r w:rsidRPr="00A8783E">
        <w:rPr>
          <w:rFonts w:ascii="Times New Roman" w:hAnsi="Times New Roman"/>
          <w:color w:val="000000"/>
          <w:sz w:val="24"/>
          <w:szCs w:val="24"/>
        </w:rPr>
        <w:t xml:space="preserve">По отношение на гнездящата популация предлагаме да се посочи минимална числеността от 1 дв., на база </w:t>
      </w:r>
      <w:r w:rsidRPr="00A8783E">
        <w:rPr>
          <w:rFonts w:ascii="Times New Roman" w:hAnsi="Times New Roman"/>
          <w:sz w:val="24"/>
        </w:rPr>
        <w:t xml:space="preserve">на информацията от </w:t>
      </w:r>
      <w:r w:rsidRPr="00A8783E">
        <w:rPr>
          <w:rFonts w:ascii="Times New Roman" w:hAnsi="Times New Roman"/>
          <w:sz w:val="24"/>
          <w:lang w:val="en-US"/>
        </w:rPr>
        <w:t>eBird</w:t>
      </w:r>
      <w:r w:rsidRPr="00A8783E">
        <w:rPr>
          <w:rFonts w:ascii="Times New Roman" w:hAnsi="Times New Roman"/>
          <w:sz w:val="24"/>
        </w:rPr>
        <w:t>.</w:t>
      </w:r>
      <w:r w:rsidRPr="00A8783E">
        <w:rPr>
          <w:rFonts w:ascii="Times New Roman" w:hAnsi="Times New Roman"/>
          <w:sz w:val="24"/>
          <w:lang w:val="en-US"/>
        </w:rPr>
        <w:t>org</w:t>
      </w:r>
      <w:r w:rsidRPr="00A8783E">
        <w:rPr>
          <w:rFonts w:ascii="Times New Roman" w:hAnsi="Times New Roman"/>
          <w:sz w:val="24"/>
        </w:rPr>
        <w:t xml:space="preserve">, че вида през годините е наблюдаван в зоната с численост между 1 и 18 инд.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194"/>
        <w:gridCol w:w="328"/>
        <w:gridCol w:w="483"/>
        <w:gridCol w:w="174"/>
        <w:gridCol w:w="200"/>
        <w:gridCol w:w="572"/>
        <w:gridCol w:w="605"/>
        <w:gridCol w:w="594"/>
        <w:gridCol w:w="578"/>
        <w:gridCol w:w="839"/>
        <w:gridCol w:w="479"/>
        <w:gridCol w:w="487"/>
        <w:gridCol w:w="622"/>
        <w:gridCol w:w="522"/>
        <w:gridCol w:w="578"/>
      </w:tblGrid>
      <w:tr w:rsidR="00A8783E" w:rsidRPr="00A8783E" w:rsidTr="005B5318">
        <w:trPr>
          <w:jc w:val="center"/>
        </w:trPr>
        <w:tc>
          <w:tcPr>
            <w:tcW w:w="1669" w:type="pct"/>
            <w:gridSpan w:val="6"/>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Species</w:t>
            </w:r>
          </w:p>
        </w:tc>
        <w:tc>
          <w:tcPr>
            <w:tcW w:w="2121" w:type="pct"/>
            <w:gridSpan w:val="7"/>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Population in the site</w:t>
            </w:r>
          </w:p>
        </w:tc>
        <w:tc>
          <w:tcPr>
            <w:tcW w:w="1210" w:type="pct"/>
            <w:gridSpan w:val="4"/>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Site assessment</w:t>
            </w:r>
          </w:p>
        </w:tc>
      </w:tr>
      <w:tr w:rsidR="00A8783E" w:rsidRPr="00A8783E" w:rsidTr="005B5318">
        <w:trPr>
          <w:jc w:val="center"/>
        </w:trPr>
        <w:tc>
          <w:tcPr>
            <w:tcW w:w="202" w:type="pct"/>
            <w:vMerge w:val="restart"/>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G</w:t>
            </w:r>
          </w:p>
        </w:tc>
        <w:tc>
          <w:tcPr>
            <w:tcW w:w="361" w:type="pct"/>
            <w:vMerge w:val="restart"/>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Code</w:t>
            </w:r>
          </w:p>
        </w:tc>
        <w:tc>
          <w:tcPr>
            <w:tcW w:w="551" w:type="pct"/>
            <w:vMerge w:val="restart"/>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Scientific Name</w:t>
            </w:r>
          </w:p>
        </w:tc>
        <w:tc>
          <w:tcPr>
            <w:tcW w:w="177" w:type="pct"/>
            <w:vMerge w:val="restart"/>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S</w:t>
            </w:r>
          </w:p>
        </w:tc>
        <w:tc>
          <w:tcPr>
            <w:tcW w:w="263" w:type="pct"/>
            <w:vMerge w:val="restart"/>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NP</w:t>
            </w:r>
          </w:p>
        </w:tc>
        <w:tc>
          <w:tcPr>
            <w:tcW w:w="232" w:type="pct"/>
            <w:gridSpan w:val="2"/>
            <w:vMerge w:val="restart"/>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T</w:t>
            </w:r>
          </w:p>
        </w:tc>
        <w:tc>
          <w:tcPr>
            <w:tcW w:w="636" w:type="pct"/>
            <w:gridSpan w:val="2"/>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Size</w:t>
            </w:r>
          </w:p>
        </w:tc>
        <w:tc>
          <w:tcPr>
            <w:tcW w:w="326" w:type="pct"/>
            <w:vMerge w:val="restart"/>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Unit</w:t>
            </w:r>
          </w:p>
        </w:tc>
        <w:tc>
          <w:tcPr>
            <w:tcW w:w="316" w:type="pct"/>
            <w:vMerge w:val="restart"/>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Cat.</w:t>
            </w:r>
          </w:p>
        </w:tc>
        <w:tc>
          <w:tcPr>
            <w:tcW w:w="459" w:type="pct"/>
            <w:vMerge w:val="restart"/>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D.qual.</w:t>
            </w:r>
          </w:p>
        </w:tc>
        <w:tc>
          <w:tcPr>
            <w:tcW w:w="538" w:type="pct"/>
            <w:gridSpan w:val="2"/>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A/B/C/D</w:t>
            </w:r>
          </w:p>
        </w:tc>
        <w:tc>
          <w:tcPr>
            <w:tcW w:w="941" w:type="pct"/>
            <w:gridSpan w:val="3"/>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A/B/C</w:t>
            </w:r>
          </w:p>
        </w:tc>
      </w:tr>
      <w:tr w:rsidR="00A8783E" w:rsidRPr="00A8783E" w:rsidTr="005B5318">
        <w:trPr>
          <w:jc w:val="center"/>
        </w:trPr>
        <w:tc>
          <w:tcPr>
            <w:tcW w:w="202"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bg-BG"/>
              </w:rPr>
            </w:pPr>
          </w:p>
        </w:tc>
        <w:tc>
          <w:tcPr>
            <w:tcW w:w="361"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bg-BG"/>
              </w:rPr>
            </w:pPr>
          </w:p>
        </w:tc>
        <w:tc>
          <w:tcPr>
            <w:tcW w:w="551"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bg-BG"/>
              </w:rPr>
            </w:pPr>
          </w:p>
        </w:tc>
        <w:tc>
          <w:tcPr>
            <w:tcW w:w="177" w:type="pct"/>
            <w:vMerge/>
            <w:shd w:val="clear" w:color="auto" w:fill="D9D9D9"/>
            <w:vAlign w:val="center"/>
          </w:tcPr>
          <w:p w:rsidR="00A8783E" w:rsidRPr="00A8783E" w:rsidRDefault="00A8783E" w:rsidP="00A8783E">
            <w:pPr>
              <w:spacing w:after="0" w:line="240" w:lineRule="auto"/>
              <w:rPr>
                <w:rFonts w:ascii="Times New Roman" w:hAnsi="Times New Roman"/>
                <w:sz w:val="20"/>
                <w:szCs w:val="20"/>
                <w:lang w:eastAsia="bg-BG"/>
              </w:rPr>
            </w:pPr>
          </w:p>
        </w:tc>
        <w:tc>
          <w:tcPr>
            <w:tcW w:w="263" w:type="pct"/>
            <w:vMerge/>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p>
        </w:tc>
        <w:tc>
          <w:tcPr>
            <w:tcW w:w="232" w:type="pct"/>
            <w:gridSpan w:val="2"/>
            <w:vMerge/>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p>
        </w:tc>
        <w:tc>
          <w:tcPr>
            <w:tcW w:w="304" w:type="pct"/>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Min</w:t>
            </w:r>
          </w:p>
        </w:tc>
        <w:tc>
          <w:tcPr>
            <w:tcW w:w="332" w:type="pct"/>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Max</w:t>
            </w:r>
          </w:p>
        </w:tc>
        <w:tc>
          <w:tcPr>
            <w:tcW w:w="326" w:type="pct"/>
            <w:vMerge/>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p>
        </w:tc>
        <w:tc>
          <w:tcPr>
            <w:tcW w:w="316" w:type="pct"/>
            <w:vMerge/>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p>
        </w:tc>
        <w:tc>
          <w:tcPr>
            <w:tcW w:w="459" w:type="pct"/>
            <w:vMerge/>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p>
        </w:tc>
        <w:tc>
          <w:tcPr>
            <w:tcW w:w="538" w:type="pct"/>
            <w:gridSpan w:val="2"/>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Pop.</w:t>
            </w:r>
          </w:p>
        </w:tc>
        <w:tc>
          <w:tcPr>
            <w:tcW w:w="341" w:type="pct"/>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Con.</w:t>
            </w:r>
          </w:p>
        </w:tc>
        <w:tc>
          <w:tcPr>
            <w:tcW w:w="285" w:type="pct"/>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Iso.</w:t>
            </w:r>
          </w:p>
        </w:tc>
        <w:tc>
          <w:tcPr>
            <w:tcW w:w="316" w:type="pct"/>
            <w:shd w:val="clear" w:color="auto" w:fill="D9D9D9"/>
            <w:vAlign w:val="center"/>
          </w:tcPr>
          <w:p w:rsidR="00A8783E" w:rsidRPr="00A8783E" w:rsidRDefault="00A8783E" w:rsidP="00A8783E">
            <w:pPr>
              <w:spacing w:after="0" w:line="240" w:lineRule="auto"/>
              <w:rPr>
                <w:rFonts w:ascii="Times New Roman" w:hAnsi="Times New Roman"/>
                <w:b/>
                <w:sz w:val="20"/>
                <w:szCs w:val="20"/>
                <w:lang w:eastAsia="bg-BG"/>
              </w:rPr>
            </w:pPr>
            <w:r w:rsidRPr="00A8783E">
              <w:rPr>
                <w:rFonts w:ascii="Times New Roman" w:hAnsi="Times New Roman"/>
                <w:b/>
                <w:sz w:val="20"/>
                <w:szCs w:val="20"/>
                <w:lang w:eastAsia="bg-BG"/>
              </w:rPr>
              <w:t>Glo.</w:t>
            </w:r>
          </w:p>
        </w:tc>
      </w:tr>
      <w:tr w:rsidR="00A8783E" w:rsidRPr="00A8783E" w:rsidTr="005B5318">
        <w:trPr>
          <w:jc w:val="center"/>
        </w:trPr>
        <w:tc>
          <w:tcPr>
            <w:tcW w:w="202" w:type="pct"/>
            <w:shd w:val="clear" w:color="auto" w:fill="auto"/>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B</w:t>
            </w:r>
          </w:p>
        </w:tc>
        <w:tc>
          <w:tcPr>
            <w:tcW w:w="361" w:type="pct"/>
            <w:shd w:val="clear" w:color="auto" w:fill="auto"/>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A131</w:t>
            </w:r>
          </w:p>
        </w:tc>
        <w:tc>
          <w:tcPr>
            <w:tcW w:w="551" w:type="pct"/>
            <w:shd w:val="clear" w:color="auto" w:fill="auto"/>
            <w:vAlign w:val="center"/>
          </w:tcPr>
          <w:p w:rsidR="00A8783E" w:rsidRPr="00A8783E" w:rsidRDefault="00A8783E" w:rsidP="00A8783E">
            <w:pPr>
              <w:spacing w:after="0" w:line="240" w:lineRule="auto"/>
              <w:rPr>
                <w:rFonts w:ascii="Times New Roman" w:hAnsi="Times New Roman"/>
                <w:i/>
                <w:sz w:val="20"/>
                <w:szCs w:val="20"/>
                <w:lang w:val="en-US" w:eastAsia="bg-BG"/>
              </w:rPr>
            </w:pPr>
            <w:r w:rsidRPr="00A8783E">
              <w:rPr>
                <w:rFonts w:ascii="Times New Roman" w:hAnsi="Times New Roman"/>
                <w:i/>
                <w:sz w:val="20"/>
                <w:szCs w:val="20"/>
                <w:lang w:val="en-US" w:eastAsia="bg-BG"/>
              </w:rPr>
              <w:t>Himantopus himantopus</w:t>
            </w:r>
          </w:p>
        </w:tc>
        <w:tc>
          <w:tcPr>
            <w:tcW w:w="177" w:type="pct"/>
            <w:shd w:val="clear" w:color="auto" w:fill="auto"/>
            <w:vAlign w:val="center"/>
          </w:tcPr>
          <w:p w:rsidR="00A8783E" w:rsidRPr="00A8783E" w:rsidRDefault="00A8783E" w:rsidP="00A8783E">
            <w:pPr>
              <w:spacing w:after="0" w:line="240" w:lineRule="auto"/>
              <w:rPr>
                <w:rFonts w:ascii="Times New Roman" w:hAnsi="Times New Roman"/>
                <w:sz w:val="20"/>
                <w:szCs w:val="20"/>
                <w:lang w:eastAsia="bg-BG"/>
              </w:rPr>
            </w:pPr>
          </w:p>
        </w:tc>
        <w:tc>
          <w:tcPr>
            <w:tcW w:w="263" w:type="pct"/>
            <w:shd w:val="clear" w:color="auto" w:fill="auto"/>
            <w:vAlign w:val="center"/>
          </w:tcPr>
          <w:p w:rsidR="00A8783E" w:rsidRPr="00A8783E" w:rsidRDefault="00A8783E" w:rsidP="00A8783E">
            <w:pPr>
              <w:spacing w:after="0" w:line="240" w:lineRule="auto"/>
              <w:rPr>
                <w:rFonts w:ascii="Times New Roman" w:hAnsi="Times New Roman"/>
                <w:b/>
                <w:sz w:val="20"/>
                <w:szCs w:val="20"/>
                <w:lang w:eastAsia="bg-BG"/>
              </w:rPr>
            </w:pPr>
          </w:p>
        </w:tc>
        <w:tc>
          <w:tcPr>
            <w:tcW w:w="232" w:type="pct"/>
            <w:gridSpan w:val="2"/>
            <w:shd w:val="clear" w:color="auto" w:fill="auto"/>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r</w:t>
            </w:r>
          </w:p>
        </w:tc>
        <w:tc>
          <w:tcPr>
            <w:tcW w:w="304" w:type="pct"/>
            <w:shd w:val="clear" w:color="auto" w:fill="auto"/>
            <w:vAlign w:val="center"/>
          </w:tcPr>
          <w:p w:rsidR="00A8783E" w:rsidRPr="00A8783E" w:rsidRDefault="00A8783E" w:rsidP="00A8783E">
            <w:pPr>
              <w:spacing w:after="0" w:line="240" w:lineRule="auto"/>
              <w:rPr>
                <w:rFonts w:ascii="Times New Roman" w:hAnsi="Times New Roman"/>
                <w:b/>
                <w:color w:val="FF0000"/>
                <w:sz w:val="20"/>
                <w:szCs w:val="20"/>
                <w:lang w:eastAsia="bg-BG"/>
              </w:rPr>
            </w:pPr>
            <w:r w:rsidRPr="00A8783E">
              <w:rPr>
                <w:rFonts w:ascii="Times New Roman" w:hAnsi="Times New Roman"/>
                <w:b/>
                <w:color w:val="FF0000"/>
                <w:sz w:val="20"/>
                <w:szCs w:val="20"/>
                <w:lang w:eastAsia="bg-BG"/>
              </w:rPr>
              <w:t>1</w:t>
            </w:r>
          </w:p>
        </w:tc>
        <w:tc>
          <w:tcPr>
            <w:tcW w:w="332" w:type="pct"/>
            <w:shd w:val="clear" w:color="auto" w:fill="auto"/>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2</w:t>
            </w:r>
          </w:p>
        </w:tc>
        <w:tc>
          <w:tcPr>
            <w:tcW w:w="326" w:type="pct"/>
            <w:shd w:val="clear" w:color="auto" w:fill="auto"/>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p</w:t>
            </w:r>
          </w:p>
        </w:tc>
        <w:tc>
          <w:tcPr>
            <w:tcW w:w="316" w:type="pct"/>
            <w:shd w:val="clear" w:color="auto" w:fill="auto"/>
            <w:vAlign w:val="center"/>
          </w:tcPr>
          <w:p w:rsidR="00A8783E" w:rsidRPr="00A8783E" w:rsidRDefault="00A8783E" w:rsidP="00A8783E">
            <w:pPr>
              <w:spacing w:after="0" w:line="240" w:lineRule="auto"/>
              <w:rPr>
                <w:rFonts w:ascii="Times New Roman" w:hAnsi="Times New Roman"/>
                <w:b/>
                <w:sz w:val="20"/>
                <w:szCs w:val="20"/>
                <w:lang w:eastAsia="bg-BG"/>
              </w:rPr>
            </w:pPr>
          </w:p>
        </w:tc>
        <w:tc>
          <w:tcPr>
            <w:tcW w:w="459" w:type="pct"/>
            <w:shd w:val="clear" w:color="auto" w:fill="auto"/>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G</w:t>
            </w:r>
          </w:p>
        </w:tc>
        <w:tc>
          <w:tcPr>
            <w:tcW w:w="538" w:type="pct"/>
            <w:gridSpan w:val="2"/>
            <w:shd w:val="clear" w:color="auto" w:fill="auto"/>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C</w:t>
            </w:r>
          </w:p>
        </w:tc>
        <w:tc>
          <w:tcPr>
            <w:tcW w:w="341" w:type="pct"/>
            <w:shd w:val="clear" w:color="auto" w:fill="auto"/>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B</w:t>
            </w:r>
          </w:p>
        </w:tc>
        <w:tc>
          <w:tcPr>
            <w:tcW w:w="285" w:type="pct"/>
            <w:shd w:val="clear" w:color="auto" w:fill="auto"/>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C</w:t>
            </w:r>
          </w:p>
        </w:tc>
        <w:tc>
          <w:tcPr>
            <w:tcW w:w="316" w:type="pct"/>
            <w:shd w:val="clear" w:color="auto" w:fill="auto"/>
            <w:vAlign w:val="center"/>
          </w:tcPr>
          <w:p w:rsidR="00A8783E" w:rsidRPr="00A8783E" w:rsidRDefault="00A8783E" w:rsidP="00A8783E">
            <w:pPr>
              <w:spacing w:after="0" w:line="240" w:lineRule="auto"/>
              <w:rPr>
                <w:rFonts w:ascii="Times New Roman" w:hAnsi="Times New Roman"/>
                <w:sz w:val="20"/>
                <w:szCs w:val="20"/>
                <w:lang w:val="en-US" w:eastAsia="bg-BG"/>
              </w:rPr>
            </w:pPr>
            <w:r w:rsidRPr="00A8783E">
              <w:rPr>
                <w:rFonts w:ascii="Times New Roman" w:hAnsi="Times New Roman"/>
                <w:sz w:val="20"/>
                <w:szCs w:val="20"/>
                <w:lang w:val="en-US" w:eastAsia="bg-BG"/>
              </w:rPr>
              <w:t>C</w:t>
            </w:r>
          </w:p>
        </w:tc>
      </w:tr>
    </w:tbl>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59" w:name="_Toc89106123"/>
      <w:bookmarkStart w:id="360" w:name="_Toc98741962"/>
      <w:bookmarkStart w:id="361" w:name="_Toc98838637"/>
      <w:r w:rsidRPr="00A8783E">
        <w:rPr>
          <w:rFonts w:ascii="Times New Roman" w:hAnsi="Times New Roman"/>
          <w:color w:val="1F497D"/>
          <w:sz w:val="28"/>
          <w:szCs w:val="28"/>
        </w:rPr>
        <w:t xml:space="preserve">Специфични цели за А132 </w:t>
      </w:r>
      <w:r w:rsidRPr="00A8783E">
        <w:rPr>
          <w:rFonts w:ascii="Times New Roman" w:hAnsi="Times New Roman"/>
          <w:i/>
          <w:iCs/>
          <w:color w:val="1F497D"/>
          <w:sz w:val="28"/>
          <w:szCs w:val="28"/>
          <w:lang w:val="en-US"/>
        </w:rPr>
        <w:t>Recurvirostra</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avosetta</w:t>
      </w:r>
      <w:r w:rsidRPr="00A8783E">
        <w:rPr>
          <w:rFonts w:ascii="Times New Roman" w:hAnsi="Times New Roman"/>
          <w:color w:val="1F497D"/>
          <w:sz w:val="28"/>
          <w:szCs w:val="28"/>
        </w:rPr>
        <w:t xml:space="preserve"> (саблеклюн)</w:t>
      </w:r>
      <w:bookmarkEnd w:id="359"/>
      <w:bookmarkEnd w:id="360"/>
      <w:bookmarkEnd w:id="361"/>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Дължина на тялото: 42 – 46 cm. Размах на крилата: 67 – 77 </w:t>
      </w:r>
      <w:r w:rsidRPr="00A8783E">
        <w:rPr>
          <w:rFonts w:ascii="Times New Roman" w:hAnsi="Times New Roman"/>
          <w:sz w:val="24"/>
          <w:szCs w:val="24"/>
          <w:lang w:val="en-GB"/>
        </w:rPr>
        <w:t>cm</w:t>
      </w:r>
      <w:r w:rsidRPr="00A8783E">
        <w:rPr>
          <w:rFonts w:ascii="Times New Roman" w:hAnsi="Times New Roman"/>
          <w:sz w:val="24"/>
          <w:szCs w:val="24"/>
        </w:rPr>
        <w:t>. Има характерен завит нагоре клюн. Оперението е преобладаващо бяло. Главата и върховете на крилата са черни, на гърба и горната част на крилата има надлъжни черни ивици. Краката са сравнително дълги, светлосини на цвят. Често може да бъде наблюдаван в плитки водоеми, хранейки се по повърхността на водата като ритмично придвижва глава наляво и надясно.</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Гнездящ, преминаващ и рядко зимуващ вид за страната. Долита през март и отлита през септември и октомври. По време на миграционния период може да бъде срещнат по бреговете на вътрешните водоеми в страната. Отделни индивиди остават в България и през зимата. През размножителния период е наблюдаван основно по Черноморското крайбрежие, където обитава малки заливи, солници, крайбрежни блата, езера, равни брегове и лагуни (Големански гл. ред., 2015).</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Гнезди изключително в лагуни и покрай свръхсолени плитководни лимани, като разполага гнездата си по засолени терени с халофитна растителност, на диги и разделителни валове в солници, по-рядко по бреговете на стоящи бракични води и стоящи пресни води с 0 – 20 </w:t>
      </w:r>
      <w:r w:rsidRPr="00A8783E">
        <w:rPr>
          <w:rFonts w:ascii="Times New Roman" w:hAnsi="Times New Roman"/>
          <w:sz w:val="24"/>
          <w:szCs w:val="24"/>
          <w:lang w:val="en-GB"/>
        </w:rPr>
        <w:t>m</w:t>
      </w:r>
      <w:r w:rsidRPr="00A8783E">
        <w:rPr>
          <w:rFonts w:ascii="Times New Roman" w:hAnsi="Times New Roman"/>
          <w:sz w:val="24"/>
          <w:szCs w:val="24"/>
        </w:rPr>
        <w:t xml:space="preserve"> н.в. (Янков отг. ред., 2007). Гнезди поединично или в колонии от по 10 - 70 двойки. Определящо е хидрологично състояние на влажните зони и числеността на популацията е силно флуктуираща през годините. Гнездото е вдлъбнатина в земята, която може да бъде разположена на различни места, включително върху гол пясък, суха кал, ниска трева, мъртва растителност и купчини наноси. Видът може да гнезди в големи колонии, съседните гнезда обикновено са на 1 </w:t>
      </w:r>
      <w:r w:rsidRPr="00A8783E">
        <w:rPr>
          <w:rFonts w:ascii="Times New Roman" w:hAnsi="Times New Roman"/>
          <w:sz w:val="24"/>
          <w:szCs w:val="24"/>
          <w:lang w:val="en-GB"/>
        </w:rPr>
        <w:t>m</w:t>
      </w:r>
      <w:r w:rsidRPr="00A8783E">
        <w:rPr>
          <w:rFonts w:ascii="Times New Roman" w:hAnsi="Times New Roman"/>
          <w:sz w:val="24"/>
          <w:szCs w:val="24"/>
        </w:rPr>
        <w:t xml:space="preserve"> едно от друго, понякога и на 20-30 cm (</w:t>
      </w:r>
      <w:r w:rsidRPr="00A8783E">
        <w:rPr>
          <w:rFonts w:ascii="Times New Roman" w:hAnsi="Times New Roman"/>
          <w:sz w:val="24"/>
          <w:szCs w:val="24"/>
          <w:lang w:val="en-GB"/>
        </w:rPr>
        <w:t>BirdLife</w:t>
      </w:r>
      <w:r w:rsidRPr="00A8783E">
        <w:rPr>
          <w:rFonts w:ascii="Times New Roman" w:hAnsi="Times New Roman"/>
          <w:sz w:val="24"/>
          <w:szCs w:val="24"/>
        </w:rPr>
        <w:t xml:space="preserve"> </w:t>
      </w:r>
      <w:r w:rsidRPr="00A8783E">
        <w:rPr>
          <w:rFonts w:ascii="Times New Roman" w:hAnsi="Times New Roman"/>
          <w:sz w:val="24"/>
          <w:szCs w:val="24"/>
          <w:lang w:val="en-GB"/>
        </w:rPr>
        <w:t>International</w:t>
      </w:r>
      <w:r w:rsidRPr="00A8783E">
        <w:rPr>
          <w:rFonts w:ascii="Times New Roman" w:hAnsi="Times New Roman"/>
          <w:sz w:val="24"/>
          <w:szCs w:val="24"/>
        </w:rPr>
        <w:t>, 2021). Подходящите местообитания са разнообразни влажни зони, вероятно с кодове: 1110, 1130, 1140, 1150, 1160, 1530 и 6440 и др. влажни зони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Диетата му се състои предимно от водни безгръбначни с дължина 4-15 </w:t>
      </w:r>
      <w:r w:rsidRPr="00A8783E">
        <w:rPr>
          <w:rFonts w:ascii="Times New Roman" w:hAnsi="Times New Roman"/>
          <w:sz w:val="24"/>
          <w:szCs w:val="24"/>
          <w:lang w:val="en-GB"/>
        </w:rPr>
        <w:t>cm</w:t>
      </w:r>
      <w:r w:rsidRPr="00A8783E">
        <w:rPr>
          <w:rFonts w:ascii="Times New Roman" w:hAnsi="Times New Roman"/>
          <w:sz w:val="24"/>
          <w:szCs w:val="24"/>
        </w:rPr>
        <w:t xml:space="preserve">, включително водни насекоми, бръмбари, мушиц, ракообразни (напр. </w:t>
      </w:r>
      <w:r w:rsidRPr="00A8783E">
        <w:rPr>
          <w:rFonts w:ascii="Times New Roman" w:hAnsi="Times New Roman"/>
          <w:i/>
          <w:iCs/>
          <w:sz w:val="24"/>
          <w:szCs w:val="24"/>
        </w:rPr>
        <w:t>Corophium</w:t>
      </w:r>
      <w:r w:rsidRPr="00A8783E">
        <w:rPr>
          <w:rFonts w:ascii="Times New Roman" w:hAnsi="Times New Roman"/>
          <w:sz w:val="24"/>
          <w:szCs w:val="24"/>
        </w:rPr>
        <w:t xml:space="preserve"> spp.), червеи олигохети и полихети и мекотели, както и дребни риби и растителна храна като семена и малки корени (</w:t>
      </w:r>
      <w:r w:rsidRPr="00A8783E">
        <w:rPr>
          <w:rFonts w:ascii="Times New Roman" w:hAnsi="Times New Roman"/>
          <w:sz w:val="24"/>
          <w:szCs w:val="24"/>
          <w:lang w:val="en-GB"/>
        </w:rPr>
        <w:t>BirdLife</w:t>
      </w:r>
      <w:r w:rsidRPr="00A8783E">
        <w:rPr>
          <w:rFonts w:ascii="Times New Roman" w:hAnsi="Times New Roman"/>
          <w:sz w:val="24"/>
          <w:szCs w:val="24"/>
        </w:rPr>
        <w:t xml:space="preserve"> </w:t>
      </w:r>
      <w:r w:rsidRPr="00A8783E">
        <w:rPr>
          <w:rFonts w:ascii="Times New Roman" w:hAnsi="Times New Roman"/>
          <w:sz w:val="24"/>
          <w:szCs w:val="24"/>
          <w:lang w:val="en-GB"/>
        </w:rPr>
        <w:t>International</w:t>
      </w:r>
      <w:r w:rsidRPr="00A8783E">
        <w:rPr>
          <w:rFonts w:ascii="Times New Roman" w:hAnsi="Times New Roman"/>
          <w:sz w:val="24"/>
          <w:szCs w:val="24"/>
        </w:rPr>
        <w:t>, 2021).</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 разпръснати, малко на брой гнездовища, по-групирани в района на Бургаските влажни зони (Атанасовско езеро, Поморийско езеро и Пода). Колонии има и във Варненско–Белославския езерен комплекс, Дуранкулашкото езеро и Шабленската тузла, а изолирани епизодични находища в рибарниците Калимок, ез. Сребърна и някои вътрешни водоеми. Скитащи индивиди са отбелязани през гнездовия период и до яз. Ивайловград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Включен в Приложение 1 на Директивата за птиците. Според </w:t>
      </w:r>
      <w:r w:rsidRPr="00A8783E">
        <w:rPr>
          <w:rFonts w:ascii="Times New Roman" w:hAnsi="Times New Roman"/>
          <w:sz w:val="24"/>
          <w:szCs w:val="24"/>
          <w:lang w:val="en-GB"/>
        </w:rPr>
        <w:t>IUCN</w:t>
      </w:r>
      <w:r w:rsidRPr="00A8783E">
        <w:rPr>
          <w:rFonts w:ascii="Times New Roman" w:hAnsi="Times New Roman"/>
          <w:sz w:val="24"/>
          <w:szCs w:val="24"/>
        </w:rPr>
        <w:t xml:space="preserve"> –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rPr>
        <w:t xml:space="preserve"> </w:t>
      </w:r>
      <w:r w:rsidRPr="00A8783E">
        <w:rPr>
          <w:rFonts w:ascii="Times New Roman" w:hAnsi="Times New Roman"/>
          <w:sz w:val="24"/>
          <w:szCs w:val="24"/>
          <w:lang w:val="en-GB"/>
        </w:rPr>
        <w:t>Concern</w:t>
      </w:r>
      <w:r w:rsidRPr="00A8783E">
        <w:rPr>
          <w:rFonts w:ascii="Times New Roman" w:hAnsi="Times New Roman"/>
          <w:sz w:val="24"/>
          <w:szCs w:val="24"/>
        </w:rPr>
        <w:t xml:space="preserve">), за територията на континентална Европа – </w:t>
      </w:r>
      <w:r w:rsidRPr="00A8783E">
        <w:rPr>
          <w:rFonts w:ascii="Times New Roman" w:hAnsi="Times New Roman"/>
          <w:sz w:val="24"/>
          <w:szCs w:val="24"/>
          <w:lang w:val="en-GB"/>
        </w:rPr>
        <w:t>LC</w:t>
      </w:r>
      <w:r w:rsidRPr="00A8783E">
        <w:rPr>
          <w:rFonts w:ascii="Times New Roman" w:hAnsi="Times New Roman"/>
          <w:sz w:val="24"/>
          <w:szCs w:val="24"/>
        </w:rPr>
        <w:t xml:space="preserve">. Не е включен в </w:t>
      </w:r>
      <w:r w:rsidRPr="00A8783E">
        <w:rPr>
          <w:rFonts w:ascii="Times New Roman" w:hAnsi="Times New Roman"/>
          <w:sz w:val="24"/>
          <w:szCs w:val="24"/>
          <w:lang w:val="en-GB"/>
        </w:rPr>
        <w:t>SPEC</w:t>
      </w:r>
      <w:r w:rsidRPr="00A8783E">
        <w:rPr>
          <w:rFonts w:ascii="Times New Roman" w:hAnsi="Times New Roman"/>
          <w:sz w:val="24"/>
          <w:szCs w:val="24"/>
        </w:rPr>
        <w:t xml:space="preserve"> категориите. Включен в Червената книга на България (2015) като застрашен </w:t>
      </w:r>
      <w:r w:rsidRPr="00A8783E">
        <w:rPr>
          <w:rFonts w:ascii="Times New Roman" w:hAnsi="Times New Roman"/>
          <w:sz w:val="24"/>
          <w:szCs w:val="24"/>
          <w:lang w:val="en-GB"/>
        </w:rPr>
        <w:t>EN</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sz w:val="24"/>
          <w:szCs w:val="24"/>
        </w:rPr>
        <w:t>гнездяща</w:t>
      </w:r>
      <w:r w:rsidRPr="00A8783E">
        <w:rPr>
          <w:rFonts w:ascii="Times New Roman" w:hAnsi="Times New Roman"/>
          <w:sz w:val="24"/>
          <w:szCs w:val="24"/>
        </w:rPr>
        <w:t xml:space="preserve"> популация на вида се оценя на 100 – 800 двойки. Краткосрочната тенденция (за периода </w:t>
      </w:r>
      <w:r w:rsidRPr="00A8783E">
        <w:rPr>
          <w:rFonts w:ascii="Times New Roman" w:hAnsi="Times New Roman"/>
          <w:sz w:val="24"/>
          <w:szCs w:val="24"/>
        </w:rPr>
        <w:lastRenderedPageBreak/>
        <w:t xml:space="preserve">2001 – 2018) в популацията е флуктуираща, а дългосрочната (за периода 1980 – 2018) е намаляваща. Посочени са следните заплахи и влияния: </w:t>
      </w:r>
      <w:r w:rsidRPr="00A8783E">
        <w:rPr>
          <w:rFonts w:ascii="Times New Roman" w:hAnsi="Times New Roman"/>
          <w:sz w:val="24"/>
          <w:szCs w:val="24"/>
          <w:lang w:val="en-US"/>
        </w:rPr>
        <w:t>C</w:t>
      </w:r>
      <w:r w:rsidRPr="00A8783E">
        <w:rPr>
          <w:rFonts w:ascii="Times New Roman" w:hAnsi="Times New Roman"/>
          <w:sz w:val="24"/>
          <w:szCs w:val="24"/>
        </w:rPr>
        <w:t xml:space="preserve">01, </w:t>
      </w:r>
      <w:r w:rsidRPr="00A8783E">
        <w:rPr>
          <w:rFonts w:ascii="Times New Roman" w:hAnsi="Times New Roman"/>
          <w:sz w:val="24"/>
          <w:szCs w:val="24"/>
          <w:lang w:val="en-US"/>
        </w:rPr>
        <w:t>J</w:t>
      </w:r>
      <w:r w:rsidRPr="00A8783E">
        <w:rPr>
          <w:rFonts w:ascii="Times New Roman" w:hAnsi="Times New Roman"/>
          <w:sz w:val="24"/>
          <w:szCs w:val="24"/>
        </w:rPr>
        <w:t xml:space="preserve">02, </w:t>
      </w:r>
      <w:r w:rsidRPr="00A8783E">
        <w:rPr>
          <w:rFonts w:ascii="Times New Roman" w:hAnsi="Times New Roman"/>
          <w:sz w:val="24"/>
          <w:szCs w:val="24"/>
          <w:lang w:val="en-US"/>
        </w:rPr>
        <w:t>K</w:t>
      </w:r>
      <w:r w:rsidRPr="00A8783E">
        <w:rPr>
          <w:rFonts w:ascii="Times New Roman" w:hAnsi="Times New Roman"/>
          <w:sz w:val="24"/>
          <w:szCs w:val="24"/>
        </w:rPr>
        <w:t>03.</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sz w:val="24"/>
          <w:szCs w:val="24"/>
        </w:rPr>
        <w:t>Преминаващата</w:t>
      </w:r>
      <w:r w:rsidRPr="00A8783E">
        <w:rPr>
          <w:rFonts w:ascii="Times New Roman" w:hAnsi="Times New Roman"/>
          <w:sz w:val="24"/>
          <w:szCs w:val="24"/>
        </w:rPr>
        <w:t xml:space="preserve"> национална популация, според Докладването от 2019 г. е оценена на 3500 – 7000 индивида. Посочени са следните заплахи и влияния: </w:t>
      </w:r>
      <w:r w:rsidRPr="00A8783E">
        <w:rPr>
          <w:rFonts w:ascii="Times New Roman" w:hAnsi="Times New Roman"/>
          <w:sz w:val="24"/>
          <w:szCs w:val="24"/>
          <w:lang w:val="en-US"/>
        </w:rPr>
        <w:t>F</w:t>
      </w:r>
      <w:r w:rsidRPr="00A8783E">
        <w:rPr>
          <w:rFonts w:ascii="Times New Roman" w:hAnsi="Times New Roman"/>
          <w:sz w:val="24"/>
          <w:szCs w:val="24"/>
        </w:rPr>
        <w:t>03.</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sz w:val="24"/>
          <w:szCs w:val="24"/>
        </w:rPr>
        <w:t>Зимуващата</w:t>
      </w:r>
      <w:r w:rsidRPr="00A8783E">
        <w:rPr>
          <w:rFonts w:ascii="Times New Roman" w:hAnsi="Times New Roman"/>
          <w:sz w:val="24"/>
          <w:szCs w:val="24"/>
        </w:rPr>
        <w:t xml:space="preserve"> национална популация, според Докладването от 2019 г. е оценена на 100 – 350 индивида.</w:t>
      </w:r>
      <w:r w:rsidRPr="00A8783E">
        <w:rPr>
          <w:rFonts w:cs="Calibri"/>
        </w:rPr>
        <w:t xml:space="preserve"> </w:t>
      </w:r>
      <w:r w:rsidRPr="00A8783E">
        <w:rPr>
          <w:rFonts w:ascii="Times New Roman" w:hAnsi="Times New Roman"/>
          <w:sz w:val="24"/>
          <w:szCs w:val="24"/>
        </w:rPr>
        <w:t xml:space="preserve">Посочени са следните заплахи и влияния: </w:t>
      </w:r>
      <w:r w:rsidRPr="00A8783E">
        <w:rPr>
          <w:rFonts w:ascii="Times New Roman" w:hAnsi="Times New Roman"/>
          <w:sz w:val="24"/>
          <w:szCs w:val="24"/>
          <w:lang w:val="en-US"/>
        </w:rPr>
        <w:t>E</w:t>
      </w:r>
      <w:r w:rsidRPr="00A8783E">
        <w:rPr>
          <w:rFonts w:ascii="Times New Roman" w:hAnsi="Times New Roman"/>
          <w:sz w:val="24"/>
          <w:szCs w:val="24"/>
        </w:rPr>
        <w:t xml:space="preserve">01, </w:t>
      </w:r>
      <w:r w:rsidRPr="00A8783E">
        <w:rPr>
          <w:rFonts w:ascii="Times New Roman" w:hAnsi="Times New Roman"/>
          <w:sz w:val="24"/>
          <w:szCs w:val="24"/>
          <w:lang w:val="en-US"/>
        </w:rPr>
        <w:t>F</w:t>
      </w:r>
      <w:r w:rsidRPr="00A8783E">
        <w:rPr>
          <w:rFonts w:ascii="Times New Roman" w:hAnsi="Times New Roman"/>
          <w:sz w:val="24"/>
          <w:szCs w:val="24"/>
        </w:rPr>
        <w:t xml:space="preserve">05, </w:t>
      </w:r>
      <w:r w:rsidRPr="00A8783E">
        <w:rPr>
          <w:rFonts w:ascii="Times New Roman" w:hAnsi="Times New Roman"/>
          <w:sz w:val="24"/>
          <w:szCs w:val="24"/>
          <w:lang w:val="en-US"/>
        </w:rPr>
        <w:t>F</w:t>
      </w:r>
      <w:r w:rsidRPr="00A8783E">
        <w:rPr>
          <w:rFonts w:ascii="Times New Roman" w:hAnsi="Times New Roman"/>
          <w:sz w:val="24"/>
          <w:szCs w:val="24"/>
        </w:rPr>
        <w:t>26.</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Червената книга на България (2015) отрицателно действат резките промени на водното ниво в местата на гнездене, безпокойството, предизвикано при ремонтни дейности на дигите в Атанасовското и Поморийското езеро, унищожаването на люпилата от наземни хищници, замърсяване на водите (Големански гл. ред., 2011). </w:t>
      </w:r>
    </w:p>
    <w:p w:rsidR="00A8783E" w:rsidRPr="00A8783E" w:rsidRDefault="00A8783E" w:rsidP="00A8783E">
      <w:pPr>
        <w:spacing w:before="120" w:after="120" w:line="240" w:lineRule="auto"/>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мигриращ</w:t>
      </w:r>
      <w:r w:rsidRPr="00A8783E">
        <w:rPr>
          <w:rFonts w:ascii="Times New Roman" w:hAnsi="Times New Roman"/>
          <w:sz w:val="24"/>
          <w:szCs w:val="24"/>
        </w:rPr>
        <w:t xml:space="preserve"> с численост до </w:t>
      </w:r>
      <w:r w:rsidRPr="00A8783E">
        <w:rPr>
          <w:rFonts w:ascii="Times New Roman" w:hAnsi="Times New Roman"/>
          <w:b/>
          <w:bCs/>
          <w:sz w:val="24"/>
          <w:szCs w:val="24"/>
        </w:rPr>
        <w:t>1 индивид</w:t>
      </w:r>
      <w:r w:rsidRPr="00A8783E">
        <w:rPr>
          <w:rFonts w:ascii="Times New Roman" w:hAnsi="Times New Roman"/>
          <w:sz w:val="24"/>
          <w:szCs w:val="24"/>
        </w:rPr>
        <w:t>, което е 0,01 % от националната мигрираща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sz w:val="24"/>
          <w:szCs w:val="24"/>
        </w:rPr>
        <w:t xml:space="preserve">В средна Дунавска равнина е рядък гнездящ вид, по-чест по време на пролетната миграция (Шурулинков и др., 2005). В Бургаските влажни зони е относително обикновен есенен и чест пролетен мигрант, с максимална численост през пролетта 1812 инд., а през есента – 4492 инд. (Dimitrov et al., 2005). Според Костадинова, Граматиков (2007), видът присъства в зоната по време на гнездене с 0-1 инд., но не присъства по време на миграция. </w:t>
      </w:r>
      <w:r w:rsidRPr="00A8783E">
        <w:rPr>
          <w:rFonts w:ascii="Times New Roman" w:hAnsi="Times New Roman"/>
          <w:color w:val="000000"/>
          <w:sz w:val="24"/>
          <w:szCs w:val="24"/>
        </w:rPr>
        <w:t xml:space="preserve">По данни  от eBird, видът е наблюдаван в зоната през юни  2018 г.- 1 инд. и май месец 2020 г. – 6 инд. По време на теренното проучване през май и юни 2021 г. не са установени птици от вида в зоната. 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Посочената заплаха </w:t>
      </w:r>
      <w:r w:rsidRPr="00A8783E">
        <w:rPr>
          <w:rFonts w:ascii="Times New Roman" w:hAnsi="Times New Roman"/>
          <w:color w:val="000000"/>
          <w:sz w:val="24"/>
          <w:szCs w:val="24"/>
          <w:lang w:val="en-US"/>
        </w:rPr>
        <w:t>F</w:t>
      </w:r>
      <w:r w:rsidRPr="00A8783E">
        <w:rPr>
          <w:rFonts w:ascii="Times New Roman" w:hAnsi="Times New Roman"/>
          <w:color w:val="000000"/>
          <w:sz w:val="24"/>
          <w:szCs w:val="24"/>
        </w:rPr>
        <w:t>03 в докладването по чл. 12 за вида няма отношение към вида в зоната.</w:t>
      </w:r>
      <w:r w:rsidRPr="00A8783E">
        <w:rPr>
          <w:rFonts w:cs="Calibri"/>
        </w:rPr>
        <w:t xml:space="preserve"> </w:t>
      </w:r>
      <w:r w:rsidRPr="00A8783E">
        <w:rPr>
          <w:rFonts w:ascii="Times New Roman" w:hAnsi="Times New Roman"/>
          <w:color w:val="000000"/>
          <w:sz w:val="24"/>
          <w:szCs w:val="24"/>
        </w:rPr>
        <w:t>Заплахи за вида в зоната могат да бъдат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5. Параметри за определяне на специфичните природозащитни цели за вида в зоната</w:t>
      </w:r>
    </w:p>
    <w:tbl>
      <w:tblPr>
        <w:tblW w:w="9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1"/>
        <w:gridCol w:w="1134"/>
        <w:gridCol w:w="1134"/>
        <w:gridCol w:w="2552"/>
        <w:gridCol w:w="2620"/>
      </w:tblGrid>
      <w:tr w:rsidR="00A8783E" w:rsidRPr="00A8783E" w:rsidTr="005B5318">
        <w:trPr>
          <w:tblHeader/>
          <w:jc w:val="center"/>
        </w:trPr>
        <w:tc>
          <w:tcPr>
            <w:tcW w:w="1771"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552"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62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77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Популация</w:t>
            </w:r>
            <w:r w:rsidRPr="00A8783E">
              <w:rPr>
                <w:rFonts w:ascii="Times New Roman" w:hAnsi="Times New Roman"/>
              </w:rPr>
              <w:t>: Размер на мигриращата популация</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w:t>
            </w:r>
            <w:r w:rsidRPr="00A8783E">
              <w:rPr>
                <w:rFonts w:ascii="Times New Roman" w:hAnsi="Times New Roman"/>
                <w:lang w:val="en-US"/>
              </w:rPr>
              <w:t>1</w:t>
            </w:r>
            <w:r w:rsidRPr="00A8783E">
              <w:rPr>
                <w:rFonts w:ascii="Times New Roman" w:hAnsi="Times New Roman"/>
              </w:rPr>
              <w:t xml:space="preserve"> инд.</w:t>
            </w:r>
          </w:p>
        </w:tc>
        <w:tc>
          <w:tcPr>
            <w:tcW w:w="255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 СФ за концентрацията на вида по време на миграция в зоната е посочена максимална стойност от 1 инд. Няма друга актуална информация за количеството на птиците и районите с концентрация на вида в зоната по време на миграция. </w:t>
            </w:r>
          </w:p>
        </w:tc>
        <w:tc>
          <w:tcPr>
            <w:tcW w:w="262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Да се извърши целенасочен мониторинг за установяване на размера на мигриращата популация до 2025 г.</w:t>
            </w:r>
          </w:p>
        </w:tc>
      </w:tr>
      <w:tr w:rsidR="00A8783E" w:rsidRPr="00A8783E" w:rsidTr="005B5318">
        <w:trPr>
          <w:jc w:val="center"/>
        </w:trPr>
        <w:tc>
          <w:tcPr>
            <w:tcW w:w="177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lastRenderedPageBreak/>
              <w:t>Местообитание на вида</w:t>
            </w:r>
            <w:r w:rsidRPr="00A8783E">
              <w:rPr>
                <w:rFonts w:ascii="Times New Roman" w:hAnsi="Times New Roman"/>
              </w:rPr>
              <w:t xml:space="preserve">: Подходящи  хранителни местообитания на вида </w:t>
            </w:r>
          </w:p>
        </w:tc>
        <w:tc>
          <w:tcPr>
            <w:tcW w:w="1134"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134" w:type="dxa"/>
          </w:tcPr>
          <w:p w:rsidR="00A8783E" w:rsidRPr="00A8783E" w:rsidRDefault="00A8783E" w:rsidP="00A8783E">
            <w:pPr>
              <w:spacing w:after="0" w:line="240" w:lineRule="auto"/>
              <w:rPr>
                <w:rFonts w:cs="Calibri"/>
              </w:rPr>
            </w:pPr>
            <w:r w:rsidRPr="00A8783E">
              <w:rPr>
                <w:rFonts w:ascii="Times New Roman" w:hAnsi="Times New Roman"/>
              </w:rPr>
              <w:t>Най-малко 565</w:t>
            </w:r>
            <w:r w:rsidRPr="00A8783E">
              <w:rPr>
                <w:rFonts w:cs="Calibri"/>
              </w:rPr>
              <w:t xml:space="preserve"> </w:t>
            </w:r>
          </w:p>
          <w:p w:rsidR="00A8783E" w:rsidRPr="00A8783E" w:rsidRDefault="00A8783E" w:rsidP="00A8783E">
            <w:pPr>
              <w:spacing w:after="0" w:line="240" w:lineRule="auto"/>
              <w:rPr>
                <w:rFonts w:ascii="Times New Roman" w:hAnsi="Times New Roman"/>
              </w:rPr>
            </w:pPr>
          </w:p>
          <w:p w:rsidR="00A8783E" w:rsidRPr="00A8783E" w:rsidRDefault="00A8783E" w:rsidP="00A8783E">
            <w:pPr>
              <w:spacing w:after="0" w:line="240" w:lineRule="auto"/>
              <w:rPr>
                <w:rFonts w:ascii="Times New Roman" w:hAnsi="Times New Roman"/>
              </w:rPr>
            </w:pPr>
          </w:p>
        </w:tc>
        <w:tc>
          <w:tcPr>
            <w:tcW w:w="2552"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Площта е определена на база % участие на местообитание N07-мочурища и блата в СФ на зоната.</w:t>
            </w:r>
          </w:p>
        </w:tc>
        <w:tc>
          <w:tcPr>
            <w:tcW w:w="2620"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от най-малко 565 ha чрез поддържане на оптимално водно ниво в зоната, така че през цялата година да има водни огледала и в най-южните части на резервата.</w:t>
            </w:r>
          </w:p>
        </w:tc>
      </w:tr>
      <w:tr w:rsidR="00A8783E" w:rsidRPr="00A8783E" w:rsidTr="005B5318">
        <w:trPr>
          <w:jc w:val="center"/>
        </w:trPr>
        <w:tc>
          <w:tcPr>
            <w:tcW w:w="1771"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Екологично състояние на водните тела с местообитания на вида, по биологичен елемент риби (JDS4-Макрозообентос)</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 степенна скала</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2-Добро или 1-Отлично</w:t>
            </w:r>
          </w:p>
        </w:tc>
        <w:tc>
          <w:tcPr>
            <w:tcW w:w="2552" w:type="dxa"/>
          </w:tcPr>
          <w:tbl>
            <w:tblPr>
              <w:tblW w:w="2780" w:type="dxa"/>
              <w:tblInd w:w="3" w:type="dxa"/>
              <w:tblLayout w:type="fixed"/>
              <w:tblCellMar>
                <w:left w:w="70" w:type="dxa"/>
                <w:right w:w="70" w:type="dxa"/>
              </w:tblCellMar>
              <w:tblLook w:val="00A0" w:firstRow="1" w:lastRow="0" w:firstColumn="1" w:lastColumn="0" w:noHBand="0" w:noVBand="0"/>
            </w:tblPr>
            <w:tblGrid>
              <w:gridCol w:w="2780"/>
            </w:tblGrid>
            <w:tr w:rsidR="00A8783E" w:rsidRPr="00A8783E" w:rsidTr="005B5318">
              <w:trPr>
                <w:trHeight w:val="255"/>
              </w:trPr>
              <w:tc>
                <w:tcPr>
                  <w:tcW w:w="2780"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55"/>
              </w:trPr>
              <w:tc>
                <w:tcPr>
                  <w:tcW w:w="2780"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1-Отлично - High</w:t>
                  </w:r>
                </w:p>
              </w:tc>
            </w:tr>
            <w:tr w:rsidR="00A8783E" w:rsidRPr="00A8783E" w:rsidTr="005B5318">
              <w:trPr>
                <w:trHeight w:val="255"/>
              </w:trPr>
              <w:tc>
                <w:tcPr>
                  <w:tcW w:w="2780"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2-Добро - Good</w:t>
                  </w:r>
                </w:p>
              </w:tc>
            </w:tr>
            <w:tr w:rsidR="00A8783E" w:rsidRPr="00A8783E" w:rsidTr="005B5318">
              <w:trPr>
                <w:trHeight w:val="255"/>
              </w:trPr>
              <w:tc>
                <w:tcPr>
                  <w:tcW w:w="278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3-Умерено - Moderate</w:t>
                  </w:r>
                </w:p>
              </w:tc>
            </w:tr>
            <w:tr w:rsidR="00A8783E" w:rsidRPr="00A8783E" w:rsidTr="005B5318">
              <w:trPr>
                <w:trHeight w:val="255"/>
              </w:trPr>
              <w:tc>
                <w:tcPr>
                  <w:tcW w:w="278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4-Лошо - Poor</w:t>
                  </w:r>
                </w:p>
              </w:tc>
            </w:tr>
            <w:tr w:rsidR="00A8783E" w:rsidRPr="00A8783E" w:rsidTr="005B5318">
              <w:trPr>
                <w:trHeight w:val="255"/>
              </w:trPr>
              <w:tc>
                <w:tcPr>
                  <w:tcW w:w="2780"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Според данните от биологичния мониторинг на повърхностните води през 2020 г. ЕС на ез. Сребърна е определено като </w:t>
            </w:r>
            <w:r w:rsidRPr="00A8783E">
              <w:rPr>
                <w:rFonts w:ascii="Times New Roman" w:hAnsi="Times New Roman"/>
                <w:b/>
              </w:rPr>
              <w:t>Отлично</w:t>
            </w:r>
            <w:r w:rsidRPr="00A8783E">
              <w:rPr>
                <w:rFonts w:ascii="Times New Roman" w:hAnsi="Times New Roman"/>
              </w:rPr>
              <w:t xml:space="preserve"> по БЕК Макрозообентос.</w:t>
            </w:r>
          </w:p>
        </w:tc>
        <w:tc>
          <w:tcPr>
            <w:tcW w:w="262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60" w:line="259" w:lineRule="auto"/>
        <w:rPr>
          <w:rFonts w:ascii="Times New Roman" w:hAnsi="Times New Roman"/>
          <w:b/>
          <w:bCs/>
          <w:sz w:val="24"/>
          <w:szCs w:val="24"/>
        </w:rPr>
      </w:pPr>
    </w:p>
    <w:p w:rsidR="00A8783E" w:rsidRPr="00A8783E" w:rsidRDefault="00A8783E" w:rsidP="00A8783E">
      <w:pPr>
        <w:spacing w:after="16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Не са необходими промени в СФ на този етап.</w:t>
      </w:r>
    </w:p>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62" w:name="_Toc89106124"/>
      <w:bookmarkStart w:id="363" w:name="_Toc98741963"/>
      <w:bookmarkStart w:id="364" w:name="_Toc98838638"/>
      <w:r w:rsidRPr="00A8783E">
        <w:rPr>
          <w:rFonts w:ascii="Times New Roman" w:hAnsi="Times New Roman"/>
          <w:color w:val="1F497D"/>
          <w:sz w:val="28"/>
          <w:szCs w:val="28"/>
        </w:rPr>
        <w:t xml:space="preserve">Специфични цели за А136 </w:t>
      </w:r>
      <w:r w:rsidRPr="00A8783E">
        <w:rPr>
          <w:rFonts w:ascii="Times New Roman" w:hAnsi="Times New Roman"/>
          <w:i/>
          <w:iCs/>
          <w:color w:val="1F497D"/>
          <w:sz w:val="28"/>
          <w:szCs w:val="28"/>
          <w:lang w:val="en-US"/>
        </w:rPr>
        <w:t>Charadrius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dubius</w:t>
      </w:r>
      <w:r w:rsidRPr="00A8783E">
        <w:rPr>
          <w:rFonts w:ascii="Times New Roman" w:hAnsi="Times New Roman"/>
          <w:color w:val="1F497D"/>
          <w:sz w:val="28"/>
          <w:szCs w:val="28"/>
        </w:rPr>
        <w:t xml:space="preserve"> (речен дъждосвирец)</w:t>
      </w:r>
      <w:bookmarkEnd w:id="362"/>
      <w:bookmarkEnd w:id="363"/>
      <w:bookmarkEnd w:id="364"/>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15 – 18 </w:t>
      </w:r>
      <w:r w:rsidRPr="00A8783E">
        <w:rPr>
          <w:rFonts w:ascii="Times New Roman" w:hAnsi="Times New Roman"/>
          <w:sz w:val="24"/>
          <w:szCs w:val="24"/>
          <w:lang w:val="en-GB"/>
        </w:rPr>
        <w:t>cm</w:t>
      </w:r>
      <w:r w:rsidRPr="00A8783E">
        <w:rPr>
          <w:rFonts w:ascii="Times New Roman" w:hAnsi="Times New Roman"/>
          <w:sz w:val="24"/>
          <w:szCs w:val="24"/>
        </w:rPr>
        <w:t>. Размах на крилата: 32 – 35 cm. С черна огърлица на врата и шията. Челото е бяло, има характерен жълт пръстен около окото и изцяло черен клюн. Черното на бузата образува остър ъгъл, който е характерен за вида. Среща се по чакълести участъци в близост до водоеми.</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България е гнездящо-прелетен, преминаващ и рядко зимуващ вид. Пролетната миграция е от началото на март до средата на май, есенната - от втората половина на юли до края на октомври. Гнездовите двойки се формират в края на март и началото на април (Нанкинов и др., 1997; Червена книга на Р България, 2015).</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Гнезди по чакълести и пясъчни брегове, острови и коси в коритата на реки и течащи води, по пясъчни крайбрежни (морски) плажове и пясъчни дюни, както и по чакълести морски брегове, понякога по бреговете на микроязовири, блата или други стоящи </w:t>
      </w:r>
      <w:r w:rsidRPr="00A8783E">
        <w:rPr>
          <w:rFonts w:ascii="Times New Roman" w:hAnsi="Times New Roman"/>
          <w:sz w:val="24"/>
          <w:szCs w:val="24"/>
        </w:rPr>
        <w:lastRenderedPageBreak/>
        <w:t xml:space="preserve">пресни води, по-рядко до стоящи бракични води и в лагуни (Янков, отг. ред., 2007). Местообитанията на вида се характеризират с бавно течение или застой на водата, най-характерно при разливите на реки, с ширина по-голяма от 25 </w:t>
      </w:r>
      <w:r w:rsidRPr="00A8783E">
        <w:rPr>
          <w:rFonts w:ascii="Times New Roman" w:hAnsi="Times New Roman"/>
          <w:sz w:val="24"/>
          <w:szCs w:val="24"/>
          <w:lang w:val="en-US"/>
        </w:rPr>
        <w:t>m</w:t>
      </w:r>
      <w:r w:rsidRPr="00A8783E">
        <w:rPr>
          <w:rFonts w:ascii="Times New Roman" w:hAnsi="Times New Roman"/>
          <w:sz w:val="24"/>
          <w:szCs w:val="24"/>
        </w:rPr>
        <w:t xml:space="preserve">. Наносите, натрупани от такива бавни течения предоставят условия за развитие на хранителната му база. Бавното течение и застой на водите са важни и от гледна точка на сигурността на гнездата – видът гнезди на самия бряг. По поречието на р. Драва (Словения) е установена линейна плътност от 1,7-1,9 дв./1 </w:t>
      </w:r>
      <w:r w:rsidRPr="00A8783E">
        <w:rPr>
          <w:rFonts w:ascii="Times New Roman" w:hAnsi="Times New Roman"/>
          <w:sz w:val="24"/>
          <w:szCs w:val="24"/>
          <w:lang w:val="en-US"/>
        </w:rPr>
        <w:t>km</w:t>
      </w:r>
      <w:r w:rsidRPr="00A8783E">
        <w:rPr>
          <w:rFonts w:ascii="Times New Roman" w:hAnsi="Times New Roman"/>
          <w:sz w:val="24"/>
          <w:szCs w:val="24"/>
        </w:rPr>
        <w:t xml:space="preserve"> (</w:t>
      </w:r>
      <w:r w:rsidRPr="00A8783E">
        <w:rPr>
          <w:rFonts w:ascii="Times New Roman" w:hAnsi="Times New Roman"/>
          <w:sz w:val="24"/>
          <w:szCs w:val="24"/>
          <w:lang w:val="en-US"/>
        </w:rPr>
        <w:t>Bo</w:t>
      </w:r>
      <w:r w:rsidRPr="00A8783E">
        <w:rPr>
          <w:rFonts w:ascii="Times New Roman" w:hAnsi="Times New Roman"/>
          <w:sz w:val="24"/>
          <w:szCs w:val="24"/>
        </w:rPr>
        <w:t>ћ</w:t>
      </w:r>
      <w:r w:rsidRPr="00A8783E">
        <w:rPr>
          <w:rFonts w:ascii="Times New Roman" w:hAnsi="Times New Roman"/>
          <w:sz w:val="24"/>
          <w:szCs w:val="24"/>
          <w:lang w:val="en-US"/>
        </w:rPr>
        <w:t>i</w:t>
      </w:r>
      <w:r w:rsidRPr="00A8783E">
        <w:rPr>
          <w:rFonts w:ascii="Times New Roman" w:hAnsi="Times New Roman"/>
          <w:sz w:val="24"/>
          <w:szCs w:val="24"/>
        </w:rPr>
        <w:t xml:space="preserve">и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US"/>
        </w:rPr>
        <w:t>Denac</w:t>
      </w:r>
      <w:r w:rsidRPr="00A8783E">
        <w:rPr>
          <w:rFonts w:ascii="Times New Roman" w:hAnsi="Times New Roman"/>
          <w:sz w:val="24"/>
          <w:szCs w:val="24"/>
        </w:rPr>
        <w:t>, 2017). Подходящите местообитания вероятно са с кодове: 2110, 2120, 2130, 3130, 3140, 3260 и 3270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Храни се с твърдокрили насекоми и ларвите им, ракообразни, охлюви, ларви на ручейници, червеи, дребни миди, семена и други дребни водни животни. Търси храната си по крайбрежията и в плитките разливи.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 линейно и петнисто разпространение в равнинните и нископланинските части на цялата страна, привързано към речната мрежа (средните и долните течения), Черноморското крайбрежие и отделни водоеми със стоящи води. Почти напълно отсъства от по-безводните и гористи равнинни части (Добруджа, Лудогорието и др.).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Не е включен в приложенията на Директивата за птиците. Според </w:t>
      </w:r>
      <w:r w:rsidRPr="00A8783E">
        <w:rPr>
          <w:rFonts w:ascii="Times New Roman" w:hAnsi="Times New Roman"/>
          <w:sz w:val="24"/>
          <w:szCs w:val="24"/>
          <w:lang w:val="en-GB"/>
        </w:rPr>
        <w:t>IUCN</w:t>
      </w:r>
      <w:r w:rsidRPr="00A8783E">
        <w:rPr>
          <w:rFonts w:ascii="Times New Roman" w:hAnsi="Times New Roman"/>
          <w:sz w:val="24"/>
          <w:szCs w:val="24"/>
        </w:rPr>
        <w:t xml:space="preserve"> –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rPr>
        <w:t xml:space="preserve"> </w:t>
      </w:r>
      <w:r w:rsidRPr="00A8783E">
        <w:rPr>
          <w:rFonts w:ascii="Times New Roman" w:hAnsi="Times New Roman"/>
          <w:sz w:val="24"/>
          <w:szCs w:val="24"/>
          <w:lang w:val="en-GB"/>
        </w:rPr>
        <w:t>Concern</w:t>
      </w:r>
      <w:r w:rsidRPr="00A8783E">
        <w:rPr>
          <w:rFonts w:ascii="Times New Roman" w:hAnsi="Times New Roman"/>
          <w:sz w:val="24"/>
          <w:szCs w:val="24"/>
        </w:rPr>
        <w:t xml:space="preserve">), за територията на континентална Европа – </w:t>
      </w:r>
      <w:r w:rsidRPr="00A8783E">
        <w:rPr>
          <w:rFonts w:ascii="Times New Roman" w:hAnsi="Times New Roman"/>
          <w:sz w:val="24"/>
          <w:szCs w:val="24"/>
          <w:lang w:val="en-GB"/>
        </w:rPr>
        <w:t>LC</w:t>
      </w:r>
      <w:r w:rsidRPr="00A8783E">
        <w:rPr>
          <w:rFonts w:ascii="Times New Roman" w:hAnsi="Times New Roman"/>
          <w:sz w:val="24"/>
          <w:szCs w:val="24"/>
        </w:rPr>
        <w:t xml:space="preserve">. Не е включен в </w:t>
      </w:r>
      <w:r w:rsidRPr="00A8783E">
        <w:rPr>
          <w:rFonts w:ascii="Times New Roman" w:hAnsi="Times New Roman"/>
          <w:sz w:val="24"/>
          <w:szCs w:val="24"/>
          <w:lang w:val="en-GB"/>
        </w:rPr>
        <w:t>SPEC</w:t>
      </w:r>
      <w:r w:rsidRPr="00A8783E">
        <w:rPr>
          <w:rFonts w:ascii="Times New Roman" w:hAnsi="Times New Roman"/>
          <w:sz w:val="24"/>
          <w:szCs w:val="24"/>
        </w:rPr>
        <w:t xml:space="preserve"> категориите. Включен в Червената книга на България (2015) като уязвим </w:t>
      </w:r>
      <w:r w:rsidRPr="00A8783E">
        <w:rPr>
          <w:rFonts w:ascii="Times New Roman" w:hAnsi="Times New Roman"/>
          <w:sz w:val="24"/>
          <w:szCs w:val="24"/>
          <w:lang w:val="en-GB"/>
        </w:rPr>
        <w:t>VU</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bCs/>
          <w:sz w:val="24"/>
          <w:szCs w:val="24"/>
        </w:rPr>
        <w:t xml:space="preserve">гнездяща </w:t>
      </w:r>
      <w:r w:rsidRPr="00A8783E">
        <w:rPr>
          <w:rFonts w:ascii="Times New Roman" w:hAnsi="Times New Roman"/>
          <w:sz w:val="24"/>
          <w:szCs w:val="24"/>
        </w:rPr>
        <w:t>популация на вида се оценя на 1400 – 2400 двойки. Краткосрочната тенденция (за периода 2001 – 2018) в популацията е неизвестна, а дългосрочната (за периода 1980 – 2018) е стабилна.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отношение на </w:t>
      </w:r>
      <w:r w:rsidRPr="00A8783E">
        <w:rPr>
          <w:rFonts w:ascii="Times New Roman" w:hAnsi="Times New Roman"/>
          <w:b/>
          <w:bCs/>
          <w:sz w:val="24"/>
          <w:szCs w:val="24"/>
        </w:rPr>
        <w:t>преминаващата</w:t>
      </w:r>
      <w:r w:rsidRPr="00A8783E">
        <w:rPr>
          <w:rFonts w:ascii="Times New Roman" w:hAnsi="Times New Roman"/>
          <w:sz w:val="24"/>
          <w:szCs w:val="24"/>
        </w:rPr>
        <w:t xml:space="preserve"> популация, според Докладването от 2019 г. (за периода 2005 – 2018 г.) националната мигрираща популация на вида се оценя на 2500 – 5000 индивида.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Заплахи и влияния са посочени само за мигриращата популация: К04 и </w:t>
      </w:r>
      <w:r w:rsidRPr="00A8783E">
        <w:rPr>
          <w:rFonts w:ascii="Times New Roman" w:hAnsi="Times New Roman"/>
          <w:sz w:val="24"/>
          <w:szCs w:val="24"/>
          <w:lang w:val="en-GB"/>
        </w:rPr>
        <w:t>F</w:t>
      </w:r>
      <w:r w:rsidRPr="00A8783E">
        <w:rPr>
          <w:rFonts w:ascii="Times New Roman" w:hAnsi="Times New Roman"/>
          <w:sz w:val="24"/>
          <w:szCs w:val="24"/>
        </w:rPr>
        <w:t xml:space="preserve">26. Според Червената книга на България: загуба и деградация на местообитания, безпокойство, добив на инертни материали като чакъл и пясък, хищници, замърсяване на водите.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СФ на зоната вида е </w:t>
      </w:r>
      <w:r w:rsidRPr="00A8783E">
        <w:rPr>
          <w:rFonts w:ascii="Times New Roman" w:hAnsi="Times New Roman"/>
          <w:b/>
          <w:bCs/>
          <w:sz w:val="24"/>
          <w:szCs w:val="24"/>
        </w:rPr>
        <w:t>гнездящ</w:t>
      </w:r>
      <w:r w:rsidRPr="00A8783E">
        <w:rPr>
          <w:rFonts w:ascii="Times New Roman" w:hAnsi="Times New Roman"/>
          <w:sz w:val="24"/>
          <w:szCs w:val="24"/>
        </w:rPr>
        <w:t xml:space="preserve"> с численост до 1 двойка,  което е 0,04 – 0,07 % от националната гнездяща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периода 2001-2003 г. в ПР Сребърна е установена 1 гнездяща двойка през 2002 г. (Kambourova, 2005, 2012). В Бургаските влажни зони е рядък зимуващ, прелетен  мигрант и гнездящ вид (Dimitrov et al., 2005). Според Костадинова, Граматиков (2007), видът не присъства в зоната по време на гнездене. Изследванията на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(2019) показват, че вида рядко гнезди във влажните зони по поречието на р. Дунав, а е </w:t>
      </w:r>
      <w:r w:rsidRPr="00A8783E">
        <w:rPr>
          <w:rFonts w:ascii="Times New Roman" w:hAnsi="Times New Roman"/>
          <w:sz w:val="24"/>
          <w:szCs w:val="24"/>
        </w:rPr>
        <w:lastRenderedPageBreak/>
        <w:t xml:space="preserve">по-многочислен по бреговете на самата река. Авторите не съобщават за гнездящи двойки в зоната. По време на теренното проучване през май и юни месец 2021 г., видът не е установен в зоната. По време на проучване на зоните по р. Дунав с лодка през месец юли са установени общо 109 индивида от вида, като 3 инд. са наблюдавани западно от зоната. По данни  от eBird, видът е наблюдаван през 05. 2013 г. – 2 инд., 08. 2013 г. – 5 инд., 06. 2017 г. – 12 инд., 08.2017 г.- 73 инд., 09. 2017 г.- 66 инд., 05.2018 г.-10 инд., 06. 2018 г.- 15инд., 04.2019 г.-6 инд., 05.2020 г.-1 инд., 07.2021 г.-6  инд.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Не са посочени заплахи в докладването по чл. 12 от 2019 г. за вида в зоната за размножаващата се популация.</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6"/>
        <w:gridCol w:w="1417"/>
        <w:gridCol w:w="1276"/>
        <w:gridCol w:w="2835"/>
        <w:gridCol w:w="2130"/>
      </w:tblGrid>
      <w:tr w:rsidR="00A8783E" w:rsidRPr="00A8783E" w:rsidTr="005B5318">
        <w:trPr>
          <w:tblHeader/>
          <w:jc w:val="center"/>
        </w:trPr>
        <w:tc>
          <w:tcPr>
            <w:tcW w:w="1706" w:type="dxa"/>
            <w:shd w:val="clear" w:color="auto" w:fill="DBE5F1"/>
            <w:vAlign w:val="center"/>
          </w:tcPr>
          <w:p w:rsidR="00A8783E" w:rsidRPr="00A8783E" w:rsidRDefault="00A8783E" w:rsidP="00A8783E">
            <w:pPr>
              <w:spacing w:after="0" w:line="240" w:lineRule="auto"/>
              <w:ind w:left="-726" w:firstLine="630"/>
              <w:jc w:val="both"/>
              <w:rPr>
                <w:rFonts w:ascii="Times New Roman" w:hAnsi="Times New Roman"/>
                <w:b/>
                <w:bCs/>
              </w:rPr>
            </w:pPr>
            <w:r w:rsidRPr="00A8783E">
              <w:rPr>
                <w:rFonts w:ascii="Times New Roman" w:hAnsi="Times New Roman"/>
                <w:b/>
                <w:bCs/>
              </w:rPr>
              <w:t>Параметър</w:t>
            </w:r>
          </w:p>
        </w:tc>
        <w:tc>
          <w:tcPr>
            <w:tcW w:w="1417"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83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13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706"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гнездовата популация</w:t>
            </w:r>
          </w:p>
        </w:tc>
        <w:tc>
          <w:tcPr>
            <w:tcW w:w="141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гнездящи двойки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1 дв. </w:t>
            </w:r>
          </w:p>
        </w:tc>
        <w:tc>
          <w:tcPr>
            <w:tcW w:w="283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Според настоящият СФ в зоната гнезди до 1 дв.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Разпространението се колебае силно на места според динамиката на речните брегове (срутване, заравняване и т.н.).</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Необходими са бъдещи целенасочени теренни изследвания за установяване на настоящата гнездяща популация на вида в зоната.</w:t>
            </w:r>
          </w:p>
        </w:tc>
        <w:tc>
          <w:tcPr>
            <w:tcW w:w="213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Междинна цел до 2025 г.: Установяване на настоящата гнездяща популация на вида в зоната, за да може да бъде формулирана специфична цел за вида.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1 дв.</w:t>
            </w:r>
          </w:p>
          <w:p w:rsidR="00A8783E" w:rsidRPr="00A8783E" w:rsidRDefault="00A8783E" w:rsidP="00A8783E">
            <w:pPr>
              <w:spacing w:after="0" w:line="240" w:lineRule="auto"/>
              <w:jc w:val="both"/>
              <w:rPr>
                <w:rFonts w:ascii="Times New Roman" w:hAnsi="Times New Roman"/>
              </w:rPr>
            </w:pPr>
          </w:p>
        </w:tc>
      </w:tr>
      <w:tr w:rsidR="00A8783E" w:rsidRPr="00A8783E" w:rsidTr="005B5318">
        <w:trPr>
          <w:jc w:val="center"/>
        </w:trPr>
        <w:tc>
          <w:tcPr>
            <w:tcW w:w="1706" w:type="dxa"/>
          </w:tcPr>
          <w:p w:rsidR="00A8783E" w:rsidRPr="00A8783E" w:rsidRDefault="00A8783E" w:rsidP="00A8783E">
            <w:pPr>
              <w:spacing w:after="0" w:line="240" w:lineRule="auto"/>
              <w:rPr>
                <w:rFonts w:ascii="Times New Roman" w:hAnsi="Times New Roman"/>
              </w:rPr>
            </w:pPr>
            <w:r w:rsidRPr="00A8783E">
              <w:rPr>
                <w:rFonts w:ascii="Times New Roman" w:hAnsi="Times New Roman"/>
                <w:b/>
              </w:rPr>
              <w:t xml:space="preserve">Местообитание на вида: </w:t>
            </w:r>
            <w:r w:rsidRPr="00A8783E">
              <w:rPr>
                <w:rFonts w:ascii="Times New Roman" w:hAnsi="Times New Roman"/>
              </w:rPr>
              <w:t xml:space="preserve">Дължина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на речните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участъци с </w:t>
            </w:r>
          </w:p>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подходящи </w:t>
            </w:r>
          </w:p>
          <w:p w:rsidR="00A8783E" w:rsidRPr="00A8783E" w:rsidRDefault="00A8783E" w:rsidP="00A8783E">
            <w:pPr>
              <w:spacing w:after="0" w:line="240" w:lineRule="auto"/>
              <w:rPr>
                <w:rFonts w:ascii="Times New Roman" w:hAnsi="Times New Roman"/>
              </w:rPr>
            </w:pPr>
            <w:r w:rsidRPr="00A8783E">
              <w:rPr>
                <w:rFonts w:ascii="Times New Roman" w:hAnsi="Times New Roman"/>
              </w:rPr>
              <w:t>местообитания на вида в зоната</w:t>
            </w:r>
          </w:p>
        </w:tc>
        <w:tc>
          <w:tcPr>
            <w:tcW w:w="1417"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rPr>
              <w:t>km</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 xml:space="preserve">1 </w:t>
            </w:r>
            <w:r w:rsidRPr="00A8783E">
              <w:rPr>
                <w:rFonts w:ascii="Times New Roman" w:hAnsi="Times New Roman"/>
              </w:rPr>
              <w:t>речен километър за 1 дв.</w:t>
            </w:r>
          </w:p>
        </w:tc>
        <w:tc>
          <w:tcPr>
            <w:tcW w:w="283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 защитената зона има около 4 </w:t>
            </w:r>
            <w:r w:rsidRPr="00A8783E">
              <w:rPr>
                <w:rFonts w:ascii="Times New Roman" w:hAnsi="Times New Roman"/>
                <w:lang w:val="en-US"/>
              </w:rPr>
              <w:t>km</w:t>
            </w:r>
            <w:r w:rsidRPr="00A8783E">
              <w:rPr>
                <w:rFonts w:ascii="Times New Roman" w:hAnsi="Times New Roman"/>
              </w:rPr>
              <w:t xml:space="preserve"> речни брегове (определени грубо чрез </w:t>
            </w:r>
            <w:r w:rsidRPr="00A8783E">
              <w:rPr>
                <w:rFonts w:ascii="Times New Roman" w:hAnsi="Times New Roman"/>
                <w:lang w:val="en-US"/>
              </w:rPr>
              <w:t>Google</w:t>
            </w:r>
            <w:r w:rsidRPr="00A8783E">
              <w:rPr>
                <w:rFonts w:ascii="Times New Roman" w:hAnsi="Times New Roman"/>
              </w:rPr>
              <w:t xml:space="preserve"> </w:t>
            </w:r>
            <w:r w:rsidRPr="00A8783E">
              <w:rPr>
                <w:rFonts w:ascii="Times New Roman" w:hAnsi="Times New Roman"/>
                <w:lang w:val="en-US"/>
              </w:rPr>
              <w:t>Earth</w:t>
            </w:r>
            <w:r w:rsidRPr="00A8783E">
              <w:rPr>
                <w:rFonts w:ascii="Times New Roman" w:hAnsi="Times New Roman"/>
              </w:rPr>
              <w:t>). Това означава, че в зоната максимум могат да гнездят не повече от 4 дв.</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Площта на подходящото местообитание на гнездене силно зависи от нивото на р. Дунав. Бавното течение и застой на водите са важни и от гледна точка на сигурността на гнездата – видът гнезди на самия бряг.</w:t>
            </w:r>
          </w:p>
        </w:tc>
        <w:tc>
          <w:tcPr>
            <w:tcW w:w="213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Междинна цел: Провеждане на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допълнителни проучвания за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потвърждаване на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пригодността на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идентифицираните подходящи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местообитания в зоната</w:t>
            </w:r>
          </w:p>
        </w:tc>
      </w:tr>
      <w:tr w:rsidR="00A8783E" w:rsidRPr="00A8783E" w:rsidTr="005B5318">
        <w:trPr>
          <w:jc w:val="center"/>
        </w:trPr>
        <w:tc>
          <w:tcPr>
            <w:tcW w:w="170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Местообитание на вида</w:t>
            </w:r>
            <w:r w:rsidRPr="00A8783E">
              <w:rPr>
                <w:rFonts w:ascii="Times New Roman" w:hAnsi="Times New Roman"/>
              </w:rPr>
              <w:t xml:space="preserve">: Хидроморфологично състояние на </w:t>
            </w:r>
            <w:r w:rsidRPr="00A8783E">
              <w:rPr>
                <w:rFonts w:ascii="Times New Roman" w:hAnsi="Times New Roman"/>
              </w:rPr>
              <w:lastRenderedPageBreak/>
              <w:t>речните участъци с подходящи местообитания на вида в зоната</w:t>
            </w:r>
          </w:p>
          <w:p w:rsidR="00A8783E" w:rsidRPr="00A8783E" w:rsidRDefault="00A8783E" w:rsidP="00A8783E">
            <w:pPr>
              <w:spacing w:after="0" w:line="240" w:lineRule="auto"/>
              <w:jc w:val="both"/>
              <w:rPr>
                <w:rFonts w:ascii="Times New Roman" w:hAnsi="Times New Roman"/>
              </w:rPr>
            </w:pPr>
          </w:p>
        </w:tc>
        <w:tc>
          <w:tcPr>
            <w:tcW w:w="141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Отсъствие/присъствие на хидроморфологични </w:t>
            </w:r>
            <w:r w:rsidRPr="00A8783E">
              <w:rPr>
                <w:rFonts w:ascii="Times New Roman" w:hAnsi="Times New Roman"/>
              </w:rPr>
              <w:lastRenderedPageBreak/>
              <w:t>промени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Отсъствие на хидроморфологични промени в </w:t>
            </w:r>
            <w:r w:rsidRPr="00A8783E">
              <w:rPr>
                <w:rFonts w:ascii="Times New Roman" w:hAnsi="Times New Roman"/>
              </w:rPr>
              <w:lastRenderedPageBreak/>
              <w:t>речните участъци с подходящи местообитания на вида в зоната</w:t>
            </w:r>
          </w:p>
        </w:tc>
        <w:tc>
          <w:tcPr>
            <w:tcW w:w="283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Хидроморфологичните промени, причиняващи влошаване на състоянието на вида са: </w:t>
            </w:r>
          </w:p>
          <w:p w:rsidR="00A8783E" w:rsidRPr="00A8783E" w:rsidRDefault="00A8783E" w:rsidP="00A8783E">
            <w:pPr>
              <w:numPr>
                <w:ilvl w:val="0"/>
                <w:numId w:val="30"/>
              </w:numPr>
              <w:spacing w:after="0" w:line="240" w:lineRule="auto"/>
              <w:ind w:left="308"/>
              <w:jc w:val="both"/>
              <w:rPr>
                <w:rFonts w:ascii="Times New Roman" w:hAnsi="Times New Roman"/>
                <w:sz w:val="20"/>
                <w:szCs w:val="20"/>
              </w:rPr>
            </w:pPr>
            <w:r w:rsidRPr="00A8783E">
              <w:rPr>
                <w:rFonts w:ascii="Times New Roman" w:hAnsi="Times New Roman"/>
                <w:sz w:val="20"/>
                <w:szCs w:val="20"/>
              </w:rPr>
              <w:t xml:space="preserve">хидротехнически </w:t>
            </w:r>
            <w:r w:rsidRPr="00A8783E">
              <w:rPr>
                <w:rFonts w:ascii="Times New Roman" w:hAnsi="Times New Roman"/>
                <w:sz w:val="20"/>
                <w:szCs w:val="20"/>
              </w:rPr>
              <w:lastRenderedPageBreak/>
              <w:t>съоръжения, предизвикващи рязко повишаване на водното ниво при изпускане на вода, която може да залее гнездата на вида по речните брегове и да компрометира гнездовото усилие ИЛИ да предизвика силно намаляване на водния обем, което да доведе до намаляване на площта на наносните зони за хранене;</w:t>
            </w:r>
          </w:p>
          <w:p w:rsidR="00A8783E" w:rsidRPr="00A8783E" w:rsidRDefault="00A8783E" w:rsidP="00A8783E">
            <w:pPr>
              <w:numPr>
                <w:ilvl w:val="0"/>
                <w:numId w:val="30"/>
              </w:numPr>
              <w:spacing w:after="0" w:line="240" w:lineRule="auto"/>
              <w:ind w:left="308"/>
              <w:jc w:val="both"/>
              <w:rPr>
                <w:rFonts w:ascii="Times New Roman" w:hAnsi="Times New Roman"/>
                <w:sz w:val="20"/>
                <w:szCs w:val="20"/>
              </w:rPr>
            </w:pPr>
            <w:r w:rsidRPr="00A8783E">
              <w:rPr>
                <w:rFonts w:ascii="Times New Roman" w:hAnsi="Times New Roman"/>
                <w:sz w:val="20"/>
                <w:szCs w:val="20"/>
              </w:rPr>
              <w:t>добив на инертни материали, което може да доведе до физическо унищожаване на подходящите местообитания на вида.</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Към настоящия момент няма регистрирани хидроморфологични промени от такъв характер в участъците с подходящи местообитания на вида в зоната.</w:t>
            </w:r>
          </w:p>
        </w:tc>
        <w:tc>
          <w:tcPr>
            <w:tcW w:w="213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Поддържане на хидроморфологичното състояние на речните участъци с подходящи </w:t>
            </w:r>
            <w:r w:rsidRPr="00A8783E">
              <w:rPr>
                <w:rFonts w:ascii="Times New Roman" w:hAnsi="Times New Roman"/>
              </w:rPr>
              <w:lastRenderedPageBreak/>
              <w:t>местообитания на вида в зоната, при отсъствие на хидроморфологични промени в тях.</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Забрана за изземване на пясък и други речни наноси в рамките на зоната, за да се запазят пясъчните коси по крайбрежието на острова. Тази мярка е залегнала и в Националния план за опазване на влажните зони в България.</w:t>
            </w:r>
          </w:p>
          <w:p w:rsidR="00A8783E" w:rsidRPr="00A8783E" w:rsidRDefault="00A8783E" w:rsidP="00A8783E">
            <w:pPr>
              <w:spacing w:after="0" w:line="240" w:lineRule="auto"/>
              <w:jc w:val="both"/>
              <w:rPr>
                <w:rFonts w:ascii="Times New Roman" w:hAnsi="Times New Roman"/>
              </w:rPr>
            </w:pPr>
          </w:p>
        </w:tc>
      </w:tr>
      <w:tr w:rsidR="00A8783E" w:rsidRPr="00A8783E" w:rsidTr="005B5318">
        <w:trPr>
          <w:trHeight w:val="679"/>
          <w:jc w:val="center"/>
        </w:trPr>
        <w:tc>
          <w:tcPr>
            <w:tcW w:w="1706"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lastRenderedPageBreak/>
              <w:t xml:space="preserve">Местообитание на вида: </w:t>
            </w:r>
            <w:r w:rsidRPr="00A8783E">
              <w:rPr>
                <w:rFonts w:ascii="Times New Roman" w:hAnsi="Times New Roman"/>
              </w:rPr>
              <w:t>Екологично състояние на водните тела с местообитания на вида, по биологичен елемент риби (JDS4-Макрозообентос)</w:t>
            </w:r>
          </w:p>
        </w:tc>
        <w:tc>
          <w:tcPr>
            <w:tcW w:w="141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 степенна скала</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2-Добро или 1-Отлично</w:t>
            </w:r>
          </w:p>
        </w:tc>
        <w:tc>
          <w:tcPr>
            <w:tcW w:w="2835" w:type="dxa"/>
          </w:tcPr>
          <w:tbl>
            <w:tblPr>
              <w:tblW w:w="2758" w:type="dxa"/>
              <w:tblInd w:w="3" w:type="dxa"/>
              <w:tblLayout w:type="fixed"/>
              <w:tblCellMar>
                <w:left w:w="70" w:type="dxa"/>
                <w:right w:w="70" w:type="dxa"/>
              </w:tblCellMar>
              <w:tblLook w:val="00A0" w:firstRow="1" w:lastRow="0" w:firstColumn="1" w:lastColumn="0" w:noHBand="0" w:noVBand="0"/>
            </w:tblPr>
            <w:tblGrid>
              <w:gridCol w:w="2758"/>
            </w:tblGrid>
            <w:tr w:rsidR="00A8783E" w:rsidRPr="00A8783E" w:rsidTr="005B5318">
              <w:trPr>
                <w:trHeight w:val="255"/>
              </w:trPr>
              <w:tc>
                <w:tcPr>
                  <w:tcW w:w="2758"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55"/>
              </w:trPr>
              <w:tc>
                <w:tcPr>
                  <w:tcW w:w="2758"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1-Отлично - High</w:t>
                  </w:r>
                </w:p>
              </w:tc>
            </w:tr>
            <w:tr w:rsidR="00A8783E" w:rsidRPr="00A8783E" w:rsidTr="005B5318">
              <w:trPr>
                <w:trHeight w:val="255"/>
              </w:trPr>
              <w:tc>
                <w:tcPr>
                  <w:tcW w:w="2758"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2-Добро - Good</w:t>
                  </w:r>
                </w:p>
              </w:tc>
            </w:tr>
            <w:tr w:rsidR="00A8783E" w:rsidRPr="00A8783E" w:rsidTr="005B5318">
              <w:trPr>
                <w:trHeight w:val="255"/>
              </w:trPr>
              <w:tc>
                <w:tcPr>
                  <w:tcW w:w="2758"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3-Умерено - Moderate</w:t>
                  </w:r>
                </w:p>
              </w:tc>
            </w:tr>
            <w:tr w:rsidR="00A8783E" w:rsidRPr="00A8783E" w:rsidTr="005B5318">
              <w:trPr>
                <w:trHeight w:val="255"/>
              </w:trPr>
              <w:tc>
                <w:tcPr>
                  <w:tcW w:w="2758"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4-Лошо - Poor</w:t>
                  </w:r>
                </w:p>
              </w:tc>
            </w:tr>
            <w:tr w:rsidR="00A8783E" w:rsidRPr="00A8783E" w:rsidTr="005B5318">
              <w:trPr>
                <w:trHeight w:val="255"/>
              </w:trPr>
              <w:tc>
                <w:tcPr>
                  <w:tcW w:w="2758"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по р. Дунав по показател Макрозообентос (пункт Силистра) е оценено на </w:t>
            </w:r>
            <w:r w:rsidRPr="00A8783E">
              <w:rPr>
                <w:rFonts w:ascii="Times New Roman" w:hAnsi="Times New Roman"/>
                <w:b/>
                <w:bCs/>
              </w:rPr>
              <w:t xml:space="preserve">умерено (3) </w:t>
            </w:r>
            <w:r w:rsidRPr="00A8783E">
              <w:rPr>
                <w:rFonts w:ascii="Times New Roman" w:hAnsi="Times New Roman"/>
              </w:rPr>
              <w:t>според доклада на JDS4 (2019-2020, Табл. 5, стр. 51).</w:t>
            </w:r>
            <w:r w:rsidRPr="00A8783E">
              <w:rPr>
                <w:rFonts w:cs="Calibri"/>
              </w:rPr>
              <w:t xml:space="preserve"> </w:t>
            </w:r>
            <w:r w:rsidRPr="00A8783E">
              <w:rPr>
                <w:rFonts w:ascii="Times New Roman" w:hAnsi="Times New Roman"/>
              </w:rPr>
              <w:t>Според данните от биологичния мониторинг на повърхностните води през 2020 г. ЕС на ез. Сребърна е определено като Отлично по БЕК Макрозообентос.</w:t>
            </w:r>
          </w:p>
        </w:tc>
        <w:tc>
          <w:tcPr>
            <w:tcW w:w="213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60" w:line="259" w:lineRule="auto"/>
        <w:rPr>
          <w:rFonts w:ascii="Times New Roman" w:hAnsi="Times New Roman"/>
          <w:b/>
          <w:bCs/>
          <w:sz w:val="24"/>
          <w:szCs w:val="24"/>
        </w:rPr>
      </w:pPr>
    </w:p>
    <w:p w:rsidR="00A8783E" w:rsidRPr="00A8783E" w:rsidRDefault="00A8783E" w:rsidP="00A8783E">
      <w:pPr>
        <w:spacing w:after="16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Не са необходими промени в СФ на този етап.</w:t>
      </w: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65" w:name="_Toc86409826"/>
      <w:bookmarkStart w:id="366" w:name="_Toc89106125"/>
      <w:bookmarkStart w:id="367" w:name="_Toc98741964"/>
      <w:bookmarkStart w:id="368" w:name="_Toc98838639"/>
      <w:r w:rsidRPr="00A8783E">
        <w:rPr>
          <w:rFonts w:ascii="Times New Roman" w:hAnsi="Times New Roman"/>
          <w:color w:val="1F497D"/>
          <w:sz w:val="28"/>
          <w:szCs w:val="28"/>
        </w:rPr>
        <w:lastRenderedPageBreak/>
        <w:t xml:space="preserve">Специфични цели за А142 </w:t>
      </w:r>
      <w:r w:rsidRPr="00A8783E">
        <w:rPr>
          <w:rFonts w:ascii="Times New Roman" w:hAnsi="Times New Roman"/>
          <w:i/>
          <w:iCs/>
          <w:color w:val="1F497D"/>
          <w:sz w:val="28"/>
          <w:szCs w:val="28"/>
          <w:lang w:val="en-US"/>
        </w:rPr>
        <w:t>Vanellus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vanellus</w:t>
      </w:r>
      <w:r w:rsidRPr="00A8783E">
        <w:rPr>
          <w:rFonts w:ascii="Times New Roman" w:hAnsi="Times New Roman"/>
          <w:color w:val="1F497D"/>
          <w:sz w:val="28"/>
          <w:szCs w:val="28"/>
        </w:rPr>
        <w:t xml:space="preserve"> (обикновена калугерица)</w:t>
      </w:r>
      <w:bookmarkEnd w:id="365"/>
      <w:bookmarkEnd w:id="366"/>
      <w:bookmarkEnd w:id="367"/>
      <w:bookmarkEnd w:id="368"/>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28 – 31 cm. Размах на крилата: 70 –76 </w:t>
      </w:r>
      <w:r w:rsidRPr="00A8783E">
        <w:rPr>
          <w:rFonts w:ascii="Times New Roman" w:hAnsi="Times New Roman"/>
          <w:sz w:val="24"/>
          <w:szCs w:val="24"/>
          <w:lang w:val="en-GB"/>
        </w:rPr>
        <w:t>cm</w:t>
      </w:r>
      <w:r w:rsidRPr="00A8783E">
        <w:rPr>
          <w:rFonts w:ascii="Times New Roman" w:hAnsi="Times New Roman"/>
          <w:sz w:val="24"/>
          <w:szCs w:val="24"/>
        </w:rPr>
        <w:t>. С размерите на гълъб. Оперението по гърба е зеленикаво-черно с метален отблясък, коремът е бял, главата е с качулка. В полет прави впечатление контрастът между белите подкрилия и корем и черните махови пера. Обитава влажни ливади и обработваеми земи.</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България е гнездящ, преминаващ и зимуващ вид. Гнезди на земята. Снася 3 – 4 яйца, има едно поколение годишно през периода април-юни. Зимува по Средиземноморието. Миграционния период е февруари – март и септември – октомври (</w:t>
      </w:r>
      <w:r w:rsidRPr="00A8783E">
        <w:rPr>
          <w:rFonts w:ascii="Times New Roman" w:hAnsi="Times New Roman"/>
          <w:sz w:val="24"/>
          <w:szCs w:val="24"/>
          <w:lang w:val="en-GB"/>
        </w:rPr>
        <w:t>BWPi</w:t>
      </w:r>
      <w:r w:rsidRPr="00A8783E">
        <w:rPr>
          <w:rFonts w:ascii="Times New Roman" w:hAnsi="Times New Roman"/>
          <w:sz w:val="24"/>
          <w:szCs w:val="24"/>
        </w:rPr>
        <w:t xml:space="preserve">, 2006).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Гнезди в тревни съобщества по влажни терени, по-рядко мезофилни тревни съобщества, често в близост до стоящи пресни води, стоящи бракични води или течащи води, както и около блата, растителност по периферията на водоеми, крайречни и приизворни мочурища. Много често и в селскостопански площи и изкуствени ландшафти, предпочита периферии на сезонно заливани терени, както и обработваеми площи с редки посеви и други (едногодишни) тревни култури, особено оризища или временно заливани житни ниви (Янков отг. ред., 2007). Растителността в гнездовите местообитания през пролетта трябва да е ниска (под 15 </w:t>
      </w:r>
      <w:r w:rsidRPr="00A8783E">
        <w:rPr>
          <w:rFonts w:ascii="Times New Roman" w:hAnsi="Times New Roman"/>
          <w:sz w:val="24"/>
          <w:szCs w:val="24"/>
          <w:lang w:val="en-US"/>
        </w:rPr>
        <w:t>cm</w:t>
      </w:r>
      <w:r w:rsidRPr="00A8783E">
        <w:rPr>
          <w:rFonts w:ascii="Times New Roman" w:hAnsi="Times New Roman"/>
          <w:sz w:val="24"/>
          <w:szCs w:val="24"/>
        </w:rPr>
        <w:t>). Поддържането на местообитанията може да става чрез опасване от домашни животни. Предпочита влажни почви с наличие на повърхността и под повърхността на почвата на различни видове насекоми и техните ларви (</w:t>
      </w:r>
      <w:r w:rsidRPr="00A8783E">
        <w:rPr>
          <w:rFonts w:ascii="Times New Roman" w:hAnsi="Times New Roman"/>
          <w:sz w:val="24"/>
          <w:szCs w:val="24"/>
          <w:lang w:val="en-US"/>
        </w:rPr>
        <w:t>EC</w:t>
      </w:r>
      <w:r w:rsidRPr="00A8783E">
        <w:rPr>
          <w:rFonts w:ascii="Times New Roman" w:hAnsi="Times New Roman"/>
          <w:sz w:val="24"/>
          <w:szCs w:val="24"/>
        </w:rPr>
        <w:t>, 2009). Подходящите местообитания включват богат набор от влажни зони: 1110, 1140, 2110, 2120, 3260 и 3270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Диетата му се състои от възрастни и ларви на насекоми (напр. бръмбари, мравки, щурци, скакалци, водни кончета, цикади и др.), паяци, охлюви, дъждовни червеи, жаби, дребни риби и семена или други части на растения (</w:t>
      </w:r>
      <w:r w:rsidRPr="00A8783E">
        <w:rPr>
          <w:rFonts w:ascii="Times New Roman" w:hAnsi="Times New Roman"/>
          <w:sz w:val="24"/>
          <w:szCs w:val="24"/>
          <w:lang w:val="en-GB"/>
        </w:rPr>
        <w:t>BirdLife</w:t>
      </w:r>
      <w:r w:rsidRPr="00A8783E">
        <w:rPr>
          <w:rFonts w:ascii="Times New Roman" w:hAnsi="Times New Roman"/>
          <w:sz w:val="24"/>
          <w:szCs w:val="24"/>
        </w:rPr>
        <w:t xml:space="preserve"> </w:t>
      </w:r>
      <w:r w:rsidRPr="00A8783E">
        <w:rPr>
          <w:rFonts w:ascii="Times New Roman" w:hAnsi="Times New Roman"/>
          <w:sz w:val="24"/>
          <w:szCs w:val="24"/>
          <w:lang w:val="en-GB"/>
        </w:rPr>
        <w:t>International</w:t>
      </w:r>
      <w:r w:rsidRPr="00A8783E">
        <w:rPr>
          <w:rFonts w:ascii="Times New Roman" w:hAnsi="Times New Roman"/>
          <w:sz w:val="24"/>
          <w:szCs w:val="24"/>
        </w:rPr>
        <w:t>, 2021).</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 петнисто и разпръснато разпространение в низинните и равнинни части на страната, най-плътно – в Тракийската низина, Софийското поле, поречието на р. Тунджа, Бургаската низина, Дунавското крайбрежие и понижения с влажни зони в Дунавската равнина, а с по-малко групирани находища – и в някои по-влажни части на Лудогорието, Добруджа, Предбалкана и дори около яз. Батак, където има традиционно гнездовище, известно от XIX в. Разпространението се мени през годините, поради гнезденето на редица места във временни пролетни разливи в нивите в рамките на 0 – 1110 </w:t>
      </w:r>
      <w:r w:rsidRPr="00A8783E">
        <w:rPr>
          <w:rFonts w:ascii="Times New Roman" w:hAnsi="Times New Roman"/>
          <w:sz w:val="24"/>
          <w:szCs w:val="24"/>
          <w:lang w:val="en-US"/>
        </w:rPr>
        <w:t>m</w:t>
      </w:r>
      <w:r w:rsidRPr="00A8783E">
        <w:rPr>
          <w:rFonts w:ascii="Times New Roman" w:hAnsi="Times New Roman"/>
          <w:sz w:val="24"/>
          <w:szCs w:val="24"/>
        </w:rPr>
        <w:t xml:space="preserve"> н.в. (Янков отг.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Включен в Приложение 2Б на Директивата за птиците. Според </w:t>
      </w:r>
      <w:r w:rsidRPr="00A8783E">
        <w:rPr>
          <w:rFonts w:ascii="Times New Roman" w:hAnsi="Times New Roman"/>
          <w:sz w:val="24"/>
          <w:szCs w:val="24"/>
          <w:lang w:val="en-GB"/>
        </w:rPr>
        <w:t>IUCN</w:t>
      </w:r>
      <w:r w:rsidRPr="00A8783E">
        <w:rPr>
          <w:rFonts w:ascii="Times New Roman" w:hAnsi="Times New Roman"/>
          <w:sz w:val="24"/>
          <w:szCs w:val="24"/>
        </w:rPr>
        <w:t xml:space="preserve"> – </w:t>
      </w:r>
      <w:r w:rsidRPr="00A8783E">
        <w:rPr>
          <w:rFonts w:ascii="Times New Roman" w:hAnsi="Times New Roman"/>
          <w:sz w:val="24"/>
          <w:szCs w:val="24"/>
          <w:lang w:val="en-GB"/>
        </w:rPr>
        <w:t>NT</w:t>
      </w:r>
      <w:r w:rsidRPr="00A8783E">
        <w:rPr>
          <w:rFonts w:ascii="Times New Roman" w:hAnsi="Times New Roman"/>
          <w:sz w:val="24"/>
          <w:szCs w:val="24"/>
        </w:rPr>
        <w:t xml:space="preserve"> (</w:t>
      </w:r>
      <w:r w:rsidRPr="00A8783E">
        <w:rPr>
          <w:rFonts w:ascii="Times New Roman" w:hAnsi="Times New Roman"/>
          <w:sz w:val="24"/>
          <w:szCs w:val="24"/>
          <w:lang w:val="en-GB"/>
        </w:rPr>
        <w:t>Near</w:t>
      </w:r>
      <w:r w:rsidRPr="00A8783E">
        <w:rPr>
          <w:rFonts w:ascii="Times New Roman" w:hAnsi="Times New Roman"/>
          <w:sz w:val="24"/>
          <w:szCs w:val="24"/>
        </w:rPr>
        <w:t xml:space="preserve"> </w:t>
      </w:r>
      <w:r w:rsidRPr="00A8783E">
        <w:rPr>
          <w:rFonts w:ascii="Times New Roman" w:hAnsi="Times New Roman"/>
          <w:sz w:val="24"/>
          <w:szCs w:val="24"/>
          <w:lang w:val="en-GB"/>
        </w:rPr>
        <w:t>Threatened</w:t>
      </w:r>
      <w:r w:rsidRPr="00A8783E">
        <w:rPr>
          <w:rFonts w:ascii="Times New Roman" w:hAnsi="Times New Roman"/>
          <w:sz w:val="24"/>
          <w:szCs w:val="24"/>
        </w:rPr>
        <w:t xml:space="preserve">), за територията на континентална Европа – </w:t>
      </w:r>
      <w:r w:rsidRPr="00A8783E">
        <w:rPr>
          <w:rFonts w:ascii="Times New Roman" w:hAnsi="Times New Roman"/>
          <w:sz w:val="24"/>
          <w:szCs w:val="24"/>
          <w:lang w:val="en-GB"/>
        </w:rPr>
        <w:t>VU</w:t>
      </w:r>
      <w:r w:rsidRPr="00A8783E">
        <w:rPr>
          <w:rFonts w:ascii="Times New Roman" w:hAnsi="Times New Roman"/>
          <w:sz w:val="24"/>
          <w:szCs w:val="24"/>
        </w:rPr>
        <w:t xml:space="preserve"> (</w:t>
      </w:r>
      <w:r w:rsidRPr="00A8783E">
        <w:rPr>
          <w:rFonts w:ascii="Times New Roman" w:hAnsi="Times New Roman"/>
          <w:sz w:val="24"/>
          <w:szCs w:val="24"/>
          <w:lang w:val="en-GB"/>
        </w:rPr>
        <w:t>Vulnerable</w:t>
      </w:r>
      <w:r w:rsidRPr="00A8783E">
        <w:rPr>
          <w:rFonts w:ascii="Times New Roman" w:hAnsi="Times New Roman"/>
          <w:sz w:val="24"/>
          <w:szCs w:val="24"/>
        </w:rPr>
        <w:t xml:space="preserve">). Включен в </w:t>
      </w:r>
      <w:r w:rsidRPr="00A8783E">
        <w:rPr>
          <w:rFonts w:ascii="Times New Roman" w:hAnsi="Times New Roman"/>
          <w:sz w:val="24"/>
          <w:szCs w:val="24"/>
          <w:lang w:val="en-GB"/>
        </w:rPr>
        <w:t>SPEC</w:t>
      </w:r>
      <w:r w:rsidRPr="00A8783E">
        <w:rPr>
          <w:rFonts w:ascii="Times New Roman" w:hAnsi="Times New Roman"/>
          <w:sz w:val="24"/>
          <w:szCs w:val="24"/>
        </w:rPr>
        <w:t xml:space="preserve">1 за България. Включен в Червената книга на България (2015) в категория „слабо засегнат“ – </w:t>
      </w:r>
      <w:r w:rsidRPr="00A8783E">
        <w:rPr>
          <w:rFonts w:ascii="Times New Roman" w:hAnsi="Times New Roman"/>
          <w:sz w:val="24"/>
          <w:szCs w:val="24"/>
          <w:lang w:val="en-US"/>
        </w:rPr>
        <w:t>LC</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 на 800 – 1500 двойки. Краткосрочната тенденция (за </w:t>
      </w:r>
      <w:r w:rsidRPr="00A8783E">
        <w:rPr>
          <w:rFonts w:ascii="Times New Roman" w:hAnsi="Times New Roman"/>
          <w:sz w:val="24"/>
          <w:szCs w:val="24"/>
        </w:rPr>
        <w:lastRenderedPageBreak/>
        <w:t>периода 2001 – 2018) в популацията е неизвестна, а дългосрочната (за периода 1980 – 2018) е намаляваща. Не са посочени заплахи и влияния за гнездящата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bCs/>
          <w:sz w:val="24"/>
          <w:szCs w:val="24"/>
        </w:rPr>
        <w:t>мигрираща</w:t>
      </w:r>
      <w:r w:rsidRPr="00A8783E">
        <w:rPr>
          <w:rFonts w:ascii="Times New Roman" w:hAnsi="Times New Roman"/>
          <w:sz w:val="24"/>
          <w:szCs w:val="24"/>
        </w:rPr>
        <w:t xml:space="preserve"> популация на вида се оценя на 250 – 1000 индивида. Заплахи и влияния: </w:t>
      </w:r>
      <w:r w:rsidRPr="00A8783E">
        <w:rPr>
          <w:rFonts w:ascii="Times New Roman" w:hAnsi="Times New Roman"/>
          <w:sz w:val="24"/>
          <w:szCs w:val="24"/>
          <w:lang w:val="en-US"/>
        </w:rPr>
        <w:t>A</w:t>
      </w:r>
      <w:r w:rsidRPr="00A8783E">
        <w:rPr>
          <w:rFonts w:ascii="Times New Roman" w:hAnsi="Times New Roman"/>
          <w:sz w:val="24"/>
          <w:szCs w:val="24"/>
        </w:rPr>
        <w:t xml:space="preserve">02, </w:t>
      </w:r>
      <w:r w:rsidRPr="00A8783E">
        <w:rPr>
          <w:rFonts w:ascii="Times New Roman" w:hAnsi="Times New Roman"/>
          <w:sz w:val="24"/>
          <w:szCs w:val="24"/>
          <w:lang w:val="en-US"/>
        </w:rPr>
        <w:t>K</w:t>
      </w:r>
      <w:r w:rsidRPr="00A8783E">
        <w:rPr>
          <w:rFonts w:ascii="Times New Roman" w:hAnsi="Times New Roman"/>
          <w:sz w:val="24"/>
          <w:szCs w:val="24"/>
        </w:rPr>
        <w:t xml:space="preserve">03, </w:t>
      </w:r>
      <w:r w:rsidRPr="00A8783E">
        <w:rPr>
          <w:rFonts w:ascii="Times New Roman" w:hAnsi="Times New Roman"/>
          <w:sz w:val="24"/>
          <w:szCs w:val="24"/>
          <w:lang w:val="en-US"/>
        </w:rPr>
        <w:t>F</w:t>
      </w:r>
      <w:r w:rsidRPr="00A8783E">
        <w:rPr>
          <w:rFonts w:ascii="Times New Roman" w:hAnsi="Times New Roman"/>
          <w:sz w:val="24"/>
          <w:szCs w:val="24"/>
        </w:rPr>
        <w:t xml:space="preserve">05, </w:t>
      </w:r>
      <w:r w:rsidRPr="00A8783E">
        <w:rPr>
          <w:rFonts w:ascii="Times New Roman" w:hAnsi="Times New Roman"/>
          <w:sz w:val="24"/>
          <w:szCs w:val="24"/>
          <w:lang w:val="en-US"/>
        </w:rPr>
        <w:t>F</w:t>
      </w:r>
      <w:r w:rsidRPr="00A8783E">
        <w:rPr>
          <w:rFonts w:ascii="Times New Roman" w:hAnsi="Times New Roman"/>
          <w:sz w:val="24"/>
          <w:szCs w:val="24"/>
        </w:rPr>
        <w:t xml:space="preserve">26, </w:t>
      </w:r>
      <w:r w:rsidRPr="00A8783E">
        <w:rPr>
          <w:rFonts w:ascii="Times New Roman" w:hAnsi="Times New Roman"/>
          <w:sz w:val="24"/>
          <w:szCs w:val="24"/>
          <w:lang w:val="en-US"/>
        </w:rPr>
        <w:t>K</w:t>
      </w:r>
      <w:r w:rsidRPr="00A8783E">
        <w:rPr>
          <w:rFonts w:ascii="Times New Roman" w:hAnsi="Times New Roman"/>
          <w:sz w:val="24"/>
          <w:szCs w:val="24"/>
        </w:rPr>
        <w:t xml:space="preserve">01, </w:t>
      </w:r>
      <w:r w:rsidRPr="00A8783E">
        <w:rPr>
          <w:rFonts w:ascii="Times New Roman" w:hAnsi="Times New Roman"/>
          <w:sz w:val="24"/>
          <w:szCs w:val="24"/>
          <w:lang w:val="en-US"/>
        </w:rPr>
        <w:t>K</w:t>
      </w:r>
      <w:r w:rsidRPr="00A8783E">
        <w:rPr>
          <w:rFonts w:ascii="Times New Roman" w:hAnsi="Times New Roman"/>
          <w:sz w:val="24"/>
          <w:szCs w:val="24"/>
        </w:rPr>
        <w:t>02.</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Докладването от 2019 г. (за периода 2005 – 2018 г.) националната </w:t>
      </w:r>
      <w:r w:rsidRPr="00A8783E">
        <w:rPr>
          <w:rFonts w:ascii="Times New Roman" w:hAnsi="Times New Roman"/>
          <w:b/>
          <w:bCs/>
          <w:sz w:val="24"/>
          <w:szCs w:val="24"/>
        </w:rPr>
        <w:t>зимуваща</w:t>
      </w:r>
      <w:r w:rsidRPr="00A8783E">
        <w:rPr>
          <w:rFonts w:ascii="Times New Roman" w:hAnsi="Times New Roman"/>
          <w:sz w:val="24"/>
          <w:szCs w:val="24"/>
        </w:rPr>
        <w:t xml:space="preserve"> популация е оценена на 5 – 320 индивида. Краткосрочната тенденция (за периода 2001 – 2018) в популацията е флуктуираща както и дългосрочната (за периода 1980 – 2018), която също е флуктуираща.</w:t>
      </w:r>
      <w:r w:rsidRPr="00A8783E">
        <w:rPr>
          <w:rFonts w:cs="Calibri"/>
        </w:rPr>
        <w:t xml:space="preserve"> </w:t>
      </w:r>
      <w:r w:rsidRPr="00A8783E">
        <w:rPr>
          <w:rFonts w:ascii="Times New Roman" w:hAnsi="Times New Roman"/>
          <w:sz w:val="24"/>
          <w:szCs w:val="24"/>
        </w:rPr>
        <w:t xml:space="preserve">Заплахи и влияния: </w:t>
      </w:r>
      <w:r w:rsidRPr="00A8783E">
        <w:rPr>
          <w:rFonts w:ascii="Times New Roman" w:hAnsi="Times New Roman"/>
          <w:sz w:val="24"/>
          <w:szCs w:val="24"/>
          <w:lang w:val="en-US"/>
        </w:rPr>
        <w:t>J</w:t>
      </w:r>
      <w:r w:rsidRPr="00A8783E">
        <w:rPr>
          <w:rFonts w:ascii="Times New Roman" w:hAnsi="Times New Roman"/>
          <w:sz w:val="24"/>
          <w:szCs w:val="24"/>
        </w:rPr>
        <w:t>03.</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гнездящ</w:t>
      </w:r>
      <w:r w:rsidRPr="00A8783E">
        <w:rPr>
          <w:rFonts w:ascii="Times New Roman" w:hAnsi="Times New Roman"/>
          <w:sz w:val="24"/>
          <w:szCs w:val="24"/>
        </w:rPr>
        <w:t>, като популацията се оценява на до 30 двойки, което представлява 2 – 3,75 %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sz w:val="24"/>
          <w:szCs w:val="24"/>
        </w:rPr>
        <w:t xml:space="preserve">В средна Дунавска равнина е чест гнездящ вид, като гнезди на много места във влажни или мочурливи ливади, ниви в близост до водоеми, рибарници и др. Видът е по-многочислен, когато годините са по-влажни (Шурулинков и др., 2005). Според Костадинова, Граматиков (2007), видът не присъства в зоната по време на гнездене. По данни на  Матеева и др. (2013), видът не е установен да гнезди в периода 2010 – 2012 г. В периода 2001-2003 г. в ПР Сребърна е установена 1 дв. през 2002 г. (Kambourova, 2005, 2012). По време на теренното проучване през май и юни месец 2021 г. не са установени  птици от вида в зоната. По време на проучване на зоните по р. Дунав с лодка през месец юли са установени 6 инд. западно от зоната. </w:t>
      </w:r>
      <w:r w:rsidRPr="00A8783E">
        <w:rPr>
          <w:rFonts w:ascii="Times New Roman" w:hAnsi="Times New Roman"/>
          <w:color w:val="000000"/>
          <w:sz w:val="24"/>
          <w:szCs w:val="24"/>
        </w:rPr>
        <w:t>По данни от eBird, видът е наблюдаван в зоната през 08. 2013 г.- 1 инд., през 03.2015 г. – 7 инд.,</w:t>
      </w:r>
      <w:r w:rsidRPr="00A8783E">
        <w:rPr>
          <w:rFonts w:ascii="Times New Roman" w:hAnsi="Times New Roman"/>
          <w:sz w:val="24"/>
          <w:szCs w:val="24"/>
        </w:rPr>
        <w:t xml:space="preserve"> </w:t>
      </w:r>
      <w:r w:rsidRPr="00A8783E">
        <w:rPr>
          <w:rFonts w:ascii="Times New Roman" w:hAnsi="Times New Roman"/>
          <w:color w:val="000000"/>
          <w:sz w:val="24"/>
          <w:szCs w:val="24"/>
        </w:rPr>
        <w:t>през 08.2017 г. – 5 инд.,</w:t>
      </w:r>
      <w:r w:rsidRPr="00A8783E">
        <w:rPr>
          <w:rFonts w:ascii="Times New Roman" w:hAnsi="Times New Roman"/>
          <w:sz w:val="24"/>
          <w:szCs w:val="24"/>
        </w:rPr>
        <w:t xml:space="preserve"> </w:t>
      </w:r>
      <w:r w:rsidRPr="00A8783E">
        <w:rPr>
          <w:rFonts w:ascii="Times New Roman" w:hAnsi="Times New Roman"/>
          <w:color w:val="000000"/>
          <w:sz w:val="24"/>
          <w:szCs w:val="24"/>
        </w:rPr>
        <w:t xml:space="preserve">през 09.2017 г. – 5 инд. </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Не са посочени заплахи и влияния за гнездящата популация от докладването по чл. 12 през 2019 г.</w:t>
      </w:r>
    </w:p>
    <w:p w:rsidR="00A8783E" w:rsidRPr="00A8783E" w:rsidRDefault="00A8783E" w:rsidP="00A8783E">
      <w:pPr>
        <w:spacing w:before="120" w:after="120" w:line="259"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2"/>
        <w:gridCol w:w="1072"/>
        <w:gridCol w:w="1276"/>
        <w:gridCol w:w="2897"/>
        <w:gridCol w:w="2419"/>
      </w:tblGrid>
      <w:tr w:rsidR="00A8783E" w:rsidRPr="00A8783E" w:rsidTr="005B5318">
        <w:trPr>
          <w:tblHeader/>
          <w:jc w:val="center"/>
        </w:trPr>
        <w:tc>
          <w:tcPr>
            <w:tcW w:w="1552"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072"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897"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419"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55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Популация</w:t>
            </w:r>
            <w:r w:rsidRPr="00A8783E">
              <w:rPr>
                <w:rFonts w:ascii="Times New Roman" w:hAnsi="Times New Roman"/>
              </w:rPr>
              <w:t>: Размер на гнездовата популацията</w:t>
            </w:r>
          </w:p>
        </w:tc>
        <w:tc>
          <w:tcPr>
            <w:tcW w:w="107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гнездящи двойки</w:t>
            </w:r>
          </w:p>
        </w:tc>
        <w:tc>
          <w:tcPr>
            <w:tcW w:w="12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до 30 дв.</w:t>
            </w:r>
          </w:p>
        </w:tc>
        <w:tc>
          <w:tcPr>
            <w:tcW w:w="289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 настоящия СФ (актуализиран през 2018 г.) са посочени максимум 30 гнездящи двойки. Няма друга актуална информация за гнездящата численост на вида в зоната. Необходимо е да се постави междинна цел.</w:t>
            </w:r>
          </w:p>
        </w:tc>
        <w:tc>
          <w:tcPr>
            <w:tcW w:w="241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до 2025 г.: Необходими са целеви изследвания на вида в зоната за установяване текущата гнездова численост.</w:t>
            </w:r>
          </w:p>
        </w:tc>
      </w:tr>
      <w:tr w:rsidR="00A8783E" w:rsidRPr="00A8783E" w:rsidTr="005B5318">
        <w:trPr>
          <w:jc w:val="center"/>
        </w:trPr>
        <w:tc>
          <w:tcPr>
            <w:tcW w:w="155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Местообитание на вида</w:t>
            </w:r>
            <w:r w:rsidRPr="00A8783E">
              <w:rPr>
                <w:rFonts w:ascii="Times New Roman" w:hAnsi="Times New Roman"/>
              </w:rPr>
              <w:t xml:space="preserve">: Площ на подходящите </w:t>
            </w:r>
            <w:r w:rsidRPr="00A8783E">
              <w:rPr>
                <w:rFonts w:ascii="Times New Roman" w:hAnsi="Times New Roman"/>
              </w:rPr>
              <w:lastRenderedPageBreak/>
              <w:t xml:space="preserve">хранителни местообитания на вида </w:t>
            </w:r>
          </w:p>
        </w:tc>
        <w:tc>
          <w:tcPr>
            <w:tcW w:w="107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lastRenderedPageBreak/>
              <w:t>ha</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637</w:t>
            </w:r>
          </w:p>
        </w:tc>
        <w:tc>
          <w:tcPr>
            <w:tcW w:w="289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Определена на база процентното участие на местообитание </w:t>
            </w:r>
            <w:r w:rsidRPr="00A8783E">
              <w:rPr>
                <w:rFonts w:ascii="Times New Roman" w:hAnsi="Times New Roman"/>
                <w:lang w:val="en-US"/>
              </w:rPr>
              <w:t>N</w:t>
            </w:r>
            <w:r w:rsidRPr="00A8783E">
              <w:rPr>
                <w:rFonts w:ascii="Times New Roman" w:hAnsi="Times New Roman"/>
              </w:rPr>
              <w:t xml:space="preserve">07-мочурища и блата и </w:t>
            </w:r>
            <w:r w:rsidRPr="00A8783E">
              <w:rPr>
                <w:rFonts w:ascii="Times New Roman" w:hAnsi="Times New Roman"/>
                <w:lang w:val="en-US"/>
              </w:rPr>
              <w:t>N</w:t>
            </w:r>
            <w:r w:rsidRPr="00A8783E">
              <w:rPr>
                <w:rFonts w:ascii="Times New Roman" w:hAnsi="Times New Roman"/>
              </w:rPr>
              <w:t>15-</w:t>
            </w:r>
            <w:r w:rsidRPr="00A8783E">
              <w:rPr>
                <w:rFonts w:ascii="Times New Roman" w:hAnsi="Times New Roman"/>
              </w:rPr>
              <w:lastRenderedPageBreak/>
              <w:t>други обработваеми земи в зоната от СФ. Растителността в гнездовите местообитания през пролетта трябва да е ниска (под 15 cm).</w:t>
            </w:r>
          </w:p>
        </w:tc>
        <w:tc>
          <w:tcPr>
            <w:tcW w:w="241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Поддържане на площта на подходящите хранителни </w:t>
            </w:r>
            <w:r w:rsidRPr="00A8783E">
              <w:rPr>
                <w:rFonts w:ascii="Times New Roman" w:hAnsi="Times New Roman"/>
              </w:rPr>
              <w:lastRenderedPageBreak/>
              <w:t>местообитания на вида в размер най-малко 637 ha.</w:t>
            </w:r>
            <w:r w:rsidRPr="00A8783E">
              <w:rPr>
                <w:rFonts w:cs="Calibri"/>
              </w:rPr>
              <w:t xml:space="preserve"> </w:t>
            </w:r>
            <w:r w:rsidRPr="00A8783E">
              <w:rPr>
                <w:rFonts w:ascii="Times New Roman" w:hAnsi="Times New Roman"/>
              </w:rPr>
              <w:t>Поддържането на местообитанията може да става чрез опасване от домашни животни.</w:t>
            </w:r>
          </w:p>
        </w:tc>
      </w:tr>
      <w:tr w:rsidR="00A8783E" w:rsidRPr="00A8783E" w:rsidTr="005B5318">
        <w:trPr>
          <w:jc w:val="center"/>
        </w:trPr>
        <w:tc>
          <w:tcPr>
            <w:tcW w:w="155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lastRenderedPageBreak/>
              <w:t xml:space="preserve">Местообитание на вида: </w:t>
            </w:r>
            <w:r w:rsidRPr="00A8783E">
              <w:rPr>
                <w:rFonts w:ascii="Times New Roman" w:hAnsi="Times New Roman"/>
              </w:rPr>
              <w:t>Екологично състояние на водните тела с местообитания на вида, по биологичен елемент риби (JDS4-Макрозообентос)</w:t>
            </w:r>
          </w:p>
        </w:tc>
        <w:tc>
          <w:tcPr>
            <w:tcW w:w="107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 степенна скала</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2-Добро или 1-Отлично</w:t>
            </w:r>
          </w:p>
        </w:tc>
        <w:tc>
          <w:tcPr>
            <w:tcW w:w="2897" w:type="dxa"/>
          </w:tcPr>
          <w:tbl>
            <w:tblPr>
              <w:tblW w:w="2458" w:type="dxa"/>
              <w:tblInd w:w="3" w:type="dxa"/>
              <w:tblLayout w:type="fixed"/>
              <w:tblCellMar>
                <w:left w:w="70" w:type="dxa"/>
                <w:right w:w="70" w:type="dxa"/>
              </w:tblCellMar>
              <w:tblLook w:val="00A0" w:firstRow="1" w:lastRow="0" w:firstColumn="1" w:lastColumn="0" w:noHBand="0" w:noVBand="0"/>
            </w:tblPr>
            <w:tblGrid>
              <w:gridCol w:w="2458"/>
            </w:tblGrid>
            <w:tr w:rsidR="00A8783E" w:rsidRPr="00A8783E" w:rsidTr="005B5318">
              <w:trPr>
                <w:trHeight w:val="255"/>
              </w:trPr>
              <w:tc>
                <w:tcPr>
                  <w:tcW w:w="2458"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55"/>
              </w:trPr>
              <w:tc>
                <w:tcPr>
                  <w:tcW w:w="2458"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1-Отлично - High</w:t>
                  </w:r>
                </w:p>
              </w:tc>
            </w:tr>
            <w:tr w:rsidR="00A8783E" w:rsidRPr="00A8783E" w:rsidTr="005B5318">
              <w:trPr>
                <w:trHeight w:val="255"/>
              </w:trPr>
              <w:tc>
                <w:tcPr>
                  <w:tcW w:w="2458"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2-Добро - Good</w:t>
                  </w:r>
                </w:p>
              </w:tc>
            </w:tr>
            <w:tr w:rsidR="00A8783E" w:rsidRPr="00A8783E" w:rsidTr="005B5318">
              <w:trPr>
                <w:trHeight w:val="255"/>
              </w:trPr>
              <w:tc>
                <w:tcPr>
                  <w:tcW w:w="2458"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3-Умерено - Moderate</w:t>
                  </w:r>
                </w:p>
              </w:tc>
            </w:tr>
            <w:tr w:rsidR="00A8783E" w:rsidRPr="00A8783E" w:rsidTr="005B5318">
              <w:trPr>
                <w:trHeight w:val="255"/>
              </w:trPr>
              <w:tc>
                <w:tcPr>
                  <w:tcW w:w="2458"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4-Лошо - Poor</w:t>
                  </w:r>
                </w:p>
              </w:tc>
            </w:tr>
            <w:tr w:rsidR="00A8783E" w:rsidRPr="00A8783E" w:rsidTr="005B5318">
              <w:trPr>
                <w:trHeight w:val="255"/>
              </w:trPr>
              <w:tc>
                <w:tcPr>
                  <w:tcW w:w="2458"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по р. Дунав по показател Макрозообентос (пункт Силистра) е оценено на </w:t>
            </w:r>
            <w:r w:rsidRPr="00A8783E">
              <w:rPr>
                <w:rFonts w:ascii="Times New Roman" w:hAnsi="Times New Roman"/>
                <w:b/>
                <w:bCs/>
              </w:rPr>
              <w:t xml:space="preserve">умерено (3) </w:t>
            </w:r>
            <w:r w:rsidRPr="00A8783E">
              <w:rPr>
                <w:rFonts w:ascii="Times New Roman" w:hAnsi="Times New Roman"/>
              </w:rPr>
              <w:t>според доклада на JDS4 (2019-2020).</w:t>
            </w:r>
            <w:r w:rsidRPr="00A8783E">
              <w:rPr>
                <w:rFonts w:cs="Calibri"/>
              </w:rPr>
              <w:t xml:space="preserve"> </w:t>
            </w:r>
            <w:r w:rsidRPr="00A8783E">
              <w:rPr>
                <w:rFonts w:ascii="Times New Roman" w:hAnsi="Times New Roman"/>
              </w:rPr>
              <w:t xml:space="preserve">Според данните от биологичния мониторинг на повърхностните води през 2020 г. ЕС на ез. Сребърна е определено като </w:t>
            </w:r>
            <w:r w:rsidRPr="00A8783E">
              <w:rPr>
                <w:rFonts w:ascii="Times New Roman" w:hAnsi="Times New Roman"/>
                <w:b/>
              </w:rPr>
              <w:t>Отлично</w:t>
            </w:r>
            <w:r w:rsidRPr="00A8783E">
              <w:rPr>
                <w:rFonts w:ascii="Times New Roman" w:hAnsi="Times New Roman"/>
              </w:rPr>
              <w:t xml:space="preserve"> по БЕК Макрозообентос.</w:t>
            </w:r>
          </w:p>
        </w:tc>
        <w:tc>
          <w:tcPr>
            <w:tcW w:w="241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before="120" w:after="120" w:line="259" w:lineRule="auto"/>
        <w:jc w:val="both"/>
        <w:rPr>
          <w:rFonts w:ascii="Times New Roman" w:hAnsi="Times New Roman"/>
          <w:b/>
          <w:bCs/>
          <w:sz w:val="24"/>
          <w:szCs w:val="24"/>
        </w:rPr>
      </w:pPr>
    </w:p>
    <w:p w:rsidR="00A8783E" w:rsidRPr="00A8783E" w:rsidRDefault="00A8783E" w:rsidP="00A8783E">
      <w:pPr>
        <w:spacing w:before="120" w:after="120" w:line="259" w:lineRule="auto"/>
        <w:jc w:val="both"/>
        <w:rPr>
          <w:rFonts w:ascii="Times New Roman" w:hAnsi="Times New Roman"/>
          <w:color w:val="000000"/>
          <w:sz w:val="24"/>
          <w:szCs w:val="24"/>
        </w:rPr>
      </w:pPr>
      <w:r w:rsidRPr="00A8783E">
        <w:rPr>
          <w:rFonts w:ascii="Times New Roman" w:hAnsi="Times New Roman"/>
          <w:b/>
          <w:bCs/>
          <w:sz w:val="24"/>
          <w:szCs w:val="24"/>
        </w:rPr>
        <w:t xml:space="preserve">6. Необходимост от промени в СФ за (СЗЗ) </w:t>
      </w:r>
      <w:r w:rsidRPr="00A8783E">
        <w:rPr>
          <w:rFonts w:ascii="Times New Roman" w:hAnsi="Times New Roman"/>
          <w:b/>
          <w:bCs/>
          <w:color w:val="000000"/>
          <w:sz w:val="24"/>
          <w:szCs w:val="24"/>
        </w:rPr>
        <w:t>BG0000241 „Сребърна“</w:t>
      </w:r>
    </w:p>
    <w:p w:rsidR="00A8783E" w:rsidRPr="00A8783E" w:rsidRDefault="00A8783E" w:rsidP="00A8783E">
      <w:pPr>
        <w:spacing w:before="120" w:after="120" w:line="259" w:lineRule="auto"/>
        <w:jc w:val="both"/>
        <w:rPr>
          <w:rFonts w:ascii="Times New Roman" w:hAnsi="Times New Roman"/>
          <w:color w:val="000000"/>
          <w:sz w:val="24"/>
          <w:szCs w:val="24"/>
        </w:rPr>
      </w:pPr>
      <w:r w:rsidRPr="00A8783E">
        <w:rPr>
          <w:rFonts w:ascii="Times New Roman" w:hAnsi="Times New Roman"/>
          <w:color w:val="000000"/>
          <w:sz w:val="24"/>
          <w:szCs w:val="24"/>
        </w:rPr>
        <w:t>Предвид наличната информация за настоящата гнездяща популация на вида в защитената зона е необходима актуализация на СФ: По отношение на оценка на зоната (Site assessment) за гнездящата популация следва да се промени критерий „</w:t>
      </w:r>
      <w:r w:rsidRPr="00A8783E">
        <w:rPr>
          <w:rFonts w:ascii="Times New Roman" w:hAnsi="Times New Roman"/>
          <w:color w:val="000000"/>
          <w:sz w:val="24"/>
          <w:szCs w:val="24"/>
          <w:lang w:val="en-US"/>
        </w:rPr>
        <w:t>C</w:t>
      </w:r>
      <w:r w:rsidRPr="00A8783E">
        <w:rPr>
          <w:rFonts w:ascii="Times New Roman" w:hAnsi="Times New Roman"/>
          <w:color w:val="000000"/>
          <w:sz w:val="24"/>
          <w:szCs w:val="24"/>
        </w:rPr>
        <w:t>“ за размер и плътност на популацията на „</w:t>
      </w:r>
      <w:r w:rsidRPr="00A8783E">
        <w:rPr>
          <w:rFonts w:ascii="Times New Roman" w:hAnsi="Times New Roman"/>
          <w:color w:val="000000"/>
          <w:sz w:val="24"/>
          <w:szCs w:val="24"/>
          <w:lang w:val="en-US"/>
        </w:rPr>
        <w:t>B</w:t>
      </w:r>
      <w:r w:rsidRPr="00A8783E">
        <w:rPr>
          <w:rFonts w:ascii="Times New Roman" w:hAnsi="Times New Roman"/>
          <w:color w:val="000000"/>
          <w:sz w:val="24"/>
          <w:szCs w:val="24"/>
        </w:rPr>
        <w:t>“, тъй като гнездящата популация в зоната представлява 2 – 3,75 % от националната гнездяща популация.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
        <w:gridCol w:w="661"/>
        <w:gridCol w:w="1245"/>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0" w:type="auto"/>
            <w:gridSpan w:val="5"/>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Species</w:t>
            </w:r>
          </w:p>
        </w:tc>
        <w:tc>
          <w:tcPr>
            <w:tcW w:w="0" w:type="auto"/>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Population in the site</w:t>
            </w:r>
          </w:p>
        </w:tc>
        <w:tc>
          <w:tcPr>
            <w:tcW w:w="0" w:type="auto"/>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sz w:val="20"/>
                <w:szCs w:val="20"/>
                <w:lang w:val="en-GB"/>
              </w:rPr>
            </w:pPr>
            <w:r w:rsidRPr="00A8783E">
              <w:rPr>
                <w:rFonts w:ascii="Times New Roman" w:hAnsi="Times New Roman"/>
                <w:sz w:val="20"/>
                <w:szCs w:val="20"/>
                <w:lang w:val="en-GB"/>
              </w:rPr>
              <w:t>G</w:t>
            </w:r>
          </w:p>
        </w:tc>
        <w:tc>
          <w:tcPr>
            <w:tcW w:w="0" w:type="auto"/>
            <w:vMerge w:val="restart"/>
            <w:shd w:val="clear" w:color="auto" w:fill="D9D9D9"/>
            <w:vAlign w:val="center"/>
          </w:tcPr>
          <w:p w:rsidR="00A8783E" w:rsidRPr="00A8783E" w:rsidRDefault="00A8783E" w:rsidP="00A8783E">
            <w:pPr>
              <w:spacing w:after="160" w:line="259" w:lineRule="auto"/>
              <w:rPr>
                <w:rFonts w:ascii="Times New Roman" w:hAnsi="Times New Roman"/>
                <w:sz w:val="20"/>
                <w:szCs w:val="20"/>
                <w:lang w:val="en-GB"/>
              </w:rPr>
            </w:pPr>
            <w:r w:rsidRPr="00A8783E">
              <w:rPr>
                <w:rFonts w:ascii="Times New Roman" w:hAnsi="Times New Roman"/>
                <w:sz w:val="20"/>
                <w:szCs w:val="20"/>
                <w:lang w:val="en-GB"/>
              </w:rPr>
              <w:t>Code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Scientific Name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NP</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T</w:t>
            </w: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Size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Unit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Cat.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D.qual.</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A/B/C/D</w:t>
            </w:r>
          </w:p>
        </w:tc>
        <w:tc>
          <w:tcPr>
            <w:tcW w:w="0" w:type="auto"/>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160" w:line="259" w:lineRule="auto"/>
              <w:rPr>
                <w:rFonts w:ascii="Times New Roman" w:hAnsi="Times New Roman"/>
                <w:sz w:val="20"/>
                <w:szCs w:val="20"/>
                <w:lang w:val="en-GB"/>
              </w:rPr>
            </w:pPr>
          </w:p>
        </w:tc>
        <w:tc>
          <w:tcPr>
            <w:tcW w:w="0" w:type="auto"/>
            <w:vMerge/>
            <w:shd w:val="clear" w:color="auto" w:fill="D9D9D9"/>
            <w:vAlign w:val="center"/>
          </w:tcPr>
          <w:p w:rsidR="00A8783E" w:rsidRPr="00A8783E" w:rsidRDefault="00A8783E" w:rsidP="00A8783E">
            <w:pPr>
              <w:spacing w:after="160" w:line="259" w:lineRule="auto"/>
              <w:rPr>
                <w:rFonts w:ascii="Times New Roman" w:hAnsi="Times New Roman"/>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Min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Max</w:t>
            </w: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Pop.</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Con.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Iso.</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lang w:val="en-GB"/>
              </w:rPr>
            </w:pPr>
            <w:r w:rsidRPr="00A8783E">
              <w:rPr>
                <w:rFonts w:ascii="Times New Roman" w:hAnsi="Times New Roman"/>
                <w:b/>
                <w:bCs/>
                <w:sz w:val="20"/>
                <w:szCs w:val="20"/>
                <w:lang w:val="en-GB"/>
              </w:rPr>
              <w:t>Glo.</w:t>
            </w:r>
          </w:p>
        </w:tc>
      </w:tr>
      <w:tr w:rsidR="00A8783E" w:rsidRPr="00A8783E" w:rsidTr="005B5318">
        <w:trPr>
          <w:trHeight w:val="295"/>
          <w:jc w:val="center"/>
        </w:trPr>
        <w:tc>
          <w:tcPr>
            <w:tcW w:w="0" w:type="auto"/>
            <w:vAlign w:val="center"/>
          </w:tcPr>
          <w:p w:rsidR="00A8783E" w:rsidRPr="00A8783E" w:rsidRDefault="00A8783E" w:rsidP="00A8783E">
            <w:pPr>
              <w:spacing w:after="160" w:line="259" w:lineRule="auto"/>
              <w:rPr>
                <w:rFonts w:ascii="Times New Roman" w:hAnsi="Times New Roman"/>
                <w:sz w:val="20"/>
                <w:szCs w:val="20"/>
                <w:lang w:val="en-GB"/>
              </w:rPr>
            </w:pPr>
            <w:r w:rsidRPr="00A8783E">
              <w:rPr>
                <w:rFonts w:ascii="Times New Roman" w:hAnsi="Times New Roman"/>
                <w:sz w:val="20"/>
                <w:szCs w:val="20"/>
                <w:lang w:val="en-GB"/>
              </w:rPr>
              <w:t>В</w:t>
            </w:r>
          </w:p>
        </w:tc>
        <w:tc>
          <w:tcPr>
            <w:tcW w:w="0" w:type="auto"/>
            <w:vAlign w:val="center"/>
          </w:tcPr>
          <w:p w:rsidR="00A8783E" w:rsidRPr="00A8783E" w:rsidRDefault="00A8783E" w:rsidP="00A8783E">
            <w:pPr>
              <w:spacing w:after="160" w:line="259" w:lineRule="auto"/>
              <w:rPr>
                <w:rFonts w:ascii="Times New Roman" w:hAnsi="Times New Roman"/>
                <w:sz w:val="20"/>
                <w:szCs w:val="20"/>
              </w:rPr>
            </w:pPr>
            <w:r w:rsidRPr="00A8783E">
              <w:rPr>
                <w:rFonts w:ascii="Times New Roman" w:hAnsi="Times New Roman"/>
                <w:sz w:val="20"/>
                <w:szCs w:val="20"/>
                <w:lang w:val="en-GB"/>
              </w:rPr>
              <w:t>A</w:t>
            </w:r>
            <w:r w:rsidRPr="00A8783E">
              <w:rPr>
                <w:rFonts w:ascii="Times New Roman" w:hAnsi="Times New Roman"/>
                <w:sz w:val="20"/>
                <w:szCs w:val="20"/>
              </w:rPr>
              <w:t>142</w:t>
            </w:r>
          </w:p>
        </w:tc>
        <w:tc>
          <w:tcPr>
            <w:tcW w:w="0" w:type="auto"/>
            <w:vAlign w:val="center"/>
          </w:tcPr>
          <w:p w:rsidR="00A8783E" w:rsidRPr="00A8783E" w:rsidRDefault="00A8783E" w:rsidP="00A8783E">
            <w:pPr>
              <w:spacing w:after="160" w:line="259" w:lineRule="auto"/>
              <w:rPr>
                <w:rFonts w:ascii="Times New Roman" w:hAnsi="Times New Roman"/>
                <w:i/>
                <w:iCs/>
                <w:sz w:val="20"/>
                <w:szCs w:val="20"/>
                <w:lang w:val="en-GB"/>
              </w:rPr>
            </w:pPr>
            <w:r w:rsidRPr="00A8783E">
              <w:rPr>
                <w:rFonts w:ascii="Times New Roman" w:hAnsi="Times New Roman"/>
                <w:i/>
                <w:iCs/>
                <w:sz w:val="20"/>
                <w:szCs w:val="20"/>
                <w:lang w:val="en-GB"/>
              </w:rPr>
              <w:t>Vanellus vanellus</w:t>
            </w:r>
          </w:p>
        </w:tc>
        <w:tc>
          <w:tcPr>
            <w:tcW w:w="0" w:type="auto"/>
            <w:vAlign w:val="center"/>
          </w:tcPr>
          <w:p w:rsidR="00A8783E" w:rsidRPr="00A8783E" w:rsidRDefault="00A8783E" w:rsidP="00A8783E">
            <w:pPr>
              <w:spacing w:after="160" w:line="259" w:lineRule="auto"/>
              <w:rPr>
                <w:rFonts w:ascii="Times New Roman" w:hAnsi="Times New Roman"/>
                <w:sz w:val="20"/>
                <w:szCs w:val="20"/>
                <w:lang w:val="en-GB"/>
              </w:rPr>
            </w:pPr>
          </w:p>
        </w:tc>
        <w:tc>
          <w:tcPr>
            <w:tcW w:w="0" w:type="auto"/>
            <w:vAlign w:val="center"/>
          </w:tcPr>
          <w:p w:rsidR="00A8783E" w:rsidRPr="00A8783E" w:rsidRDefault="00A8783E" w:rsidP="00A8783E">
            <w:pPr>
              <w:spacing w:after="160" w:line="259" w:lineRule="auto"/>
              <w:rPr>
                <w:rFonts w:ascii="Times New Roman" w:hAnsi="Times New Roman"/>
                <w:sz w:val="20"/>
                <w:szCs w:val="20"/>
                <w:lang w:val="en-GB"/>
              </w:rPr>
            </w:pPr>
          </w:p>
        </w:tc>
        <w:tc>
          <w:tcPr>
            <w:tcW w:w="0" w:type="auto"/>
            <w:vAlign w:val="center"/>
          </w:tcPr>
          <w:p w:rsidR="00A8783E" w:rsidRPr="00A8783E" w:rsidRDefault="00A8783E" w:rsidP="00A8783E">
            <w:pPr>
              <w:spacing w:after="160" w:line="259" w:lineRule="auto"/>
              <w:rPr>
                <w:rFonts w:ascii="Times New Roman" w:hAnsi="Times New Roman"/>
                <w:sz w:val="20"/>
                <w:szCs w:val="20"/>
                <w:lang w:val="en-US"/>
              </w:rPr>
            </w:pPr>
            <w:r w:rsidRPr="00A8783E">
              <w:rPr>
                <w:rFonts w:ascii="Times New Roman" w:hAnsi="Times New Roman"/>
                <w:sz w:val="20"/>
                <w:szCs w:val="20"/>
                <w:lang w:val="en-US"/>
              </w:rPr>
              <w:t>r</w:t>
            </w:r>
          </w:p>
        </w:tc>
        <w:tc>
          <w:tcPr>
            <w:tcW w:w="0" w:type="auto"/>
            <w:vAlign w:val="center"/>
          </w:tcPr>
          <w:p w:rsidR="00A8783E" w:rsidRPr="00A8783E" w:rsidRDefault="00A8783E" w:rsidP="00A8783E">
            <w:pPr>
              <w:spacing w:after="160" w:line="259" w:lineRule="auto"/>
              <w:rPr>
                <w:rFonts w:ascii="Times New Roman" w:hAnsi="Times New Roman"/>
                <w:sz w:val="20"/>
                <w:szCs w:val="20"/>
                <w:lang w:val="en-GB"/>
              </w:rPr>
            </w:pPr>
          </w:p>
        </w:tc>
        <w:tc>
          <w:tcPr>
            <w:tcW w:w="0" w:type="auto"/>
            <w:vAlign w:val="center"/>
          </w:tcPr>
          <w:p w:rsidR="00A8783E" w:rsidRPr="00A8783E" w:rsidRDefault="00A8783E" w:rsidP="00A8783E">
            <w:pPr>
              <w:spacing w:after="160" w:line="259" w:lineRule="auto"/>
              <w:rPr>
                <w:rFonts w:ascii="Times New Roman" w:hAnsi="Times New Roman"/>
                <w:sz w:val="20"/>
                <w:szCs w:val="20"/>
              </w:rPr>
            </w:pPr>
            <w:r w:rsidRPr="00A8783E">
              <w:rPr>
                <w:rFonts w:ascii="Times New Roman" w:hAnsi="Times New Roman"/>
                <w:sz w:val="20"/>
                <w:szCs w:val="20"/>
                <w:lang w:val="en-GB"/>
              </w:rPr>
              <w:t>30</w:t>
            </w:r>
          </w:p>
        </w:tc>
        <w:tc>
          <w:tcPr>
            <w:tcW w:w="0" w:type="auto"/>
            <w:vAlign w:val="center"/>
          </w:tcPr>
          <w:p w:rsidR="00A8783E" w:rsidRPr="00A8783E" w:rsidRDefault="00A8783E" w:rsidP="00A8783E">
            <w:pPr>
              <w:spacing w:after="160" w:line="259" w:lineRule="auto"/>
              <w:rPr>
                <w:rFonts w:ascii="Times New Roman" w:hAnsi="Times New Roman"/>
                <w:sz w:val="20"/>
                <w:szCs w:val="20"/>
                <w:lang w:val="en-GB"/>
              </w:rPr>
            </w:pPr>
            <w:r w:rsidRPr="00A8783E">
              <w:rPr>
                <w:rFonts w:ascii="Times New Roman" w:hAnsi="Times New Roman"/>
                <w:sz w:val="20"/>
                <w:szCs w:val="20"/>
                <w:lang w:val="en-GB"/>
              </w:rPr>
              <w:t>p</w:t>
            </w:r>
          </w:p>
        </w:tc>
        <w:tc>
          <w:tcPr>
            <w:tcW w:w="0" w:type="auto"/>
            <w:vAlign w:val="center"/>
          </w:tcPr>
          <w:p w:rsidR="00A8783E" w:rsidRPr="00A8783E" w:rsidRDefault="00A8783E" w:rsidP="00A8783E">
            <w:pPr>
              <w:spacing w:after="160" w:line="259" w:lineRule="auto"/>
              <w:rPr>
                <w:rFonts w:ascii="Times New Roman" w:hAnsi="Times New Roman"/>
                <w:sz w:val="20"/>
                <w:szCs w:val="20"/>
                <w:lang w:val="en-GB"/>
              </w:rPr>
            </w:pPr>
          </w:p>
        </w:tc>
        <w:tc>
          <w:tcPr>
            <w:tcW w:w="0" w:type="auto"/>
            <w:vAlign w:val="center"/>
          </w:tcPr>
          <w:p w:rsidR="00A8783E" w:rsidRPr="00A8783E" w:rsidRDefault="00A8783E" w:rsidP="00A8783E">
            <w:pPr>
              <w:spacing w:after="160" w:line="259" w:lineRule="auto"/>
              <w:rPr>
                <w:rFonts w:ascii="Times New Roman" w:hAnsi="Times New Roman"/>
                <w:sz w:val="20"/>
                <w:szCs w:val="20"/>
                <w:lang w:val="en-GB"/>
              </w:rPr>
            </w:pPr>
            <w:r w:rsidRPr="00A8783E">
              <w:rPr>
                <w:rFonts w:ascii="Times New Roman" w:hAnsi="Times New Roman"/>
                <w:sz w:val="20"/>
                <w:szCs w:val="20"/>
                <w:lang w:val="en-GB"/>
              </w:rPr>
              <w:t>G</w:t>
            </w:r>
          </w:p>
        </w:tc>
        <w:tc>
          <w:tcPr>
            <w:tcW w:w="0" w:type="auto"/>
            <w:vAlign w:val="center"/>
          </w:tcPr>
          <w:p w:rsidR="00A8783E" w:rsidRPr="00A8783E" w:rsidRDefault="00A8783E" w:rsidP="00A8783E">
            <w:pPr>
              <w:spacing w:after="160" w:line="259" w:lineRule="auto"/>
              <w:rPr>
                <w:rFonts w:ascii="Times New Roman" w:hAnsi="Times New Roman"/>
                <w:b/>
                <w:bCs/>
                <w:sz w:val="20"/>
                <w:szCs w:val="20"/>
                <w:lang w:val="en-GB"/>
              </w:rPr>
            </w:pPr>
            <w:r w:rsidRPr="00A8783E">
              <w:rPr>
                <w:rFonts w:ascii="Times New Roman" w:hAnsi="Times New Roman"/>
                <w:b/>
                <w:bCs/>
                <w:color w:val="FF0000"/>
                <w:sz w:val="20"/>
                <w:szCs w:val="20"/>
                <w:lang w:val="en-GB"/>
              </w:rPr>
              <w:t>B</w:t>
            </w:r>
          </w:p>
        </w:tc>
        <w:tc>
          <w:tcPr>
            <w:tcW w:w="0" w:type="auto"/>
            <w:vAlign w:val="center"/>
          </w:tcPr>
          <w:p w:rsidR="00A8783E" w:rsidRPr="00A8783E" w:rsidRDefault="00A8783E" w:rsidP="00A8783E">
            <w:pPr>
              <w:spacing w:after="160" w:line="259" w:lineRule="auto"/>
              <w:rPr>
                <w:rFonts w:ascii="Times New Roman" w:hAnsi="Times New Roman"/>
                <w:sz w:val="20"/>
                <w:szCs w:val="20"/>
                <w:lang w:val="en-GB"/>
              </w:rPr>
            </w:pPr>
            <w:r w:rsidRPr="00A8783E">
              <w:rPr>
                <w:rFonts w:ascii="Times New Roman" w:hAnsi="Times New Roman"/>
                <w:sz w:val="20"/>
                <w:szCs w:val="20"/>
                <w:lang w:val="en-GB"/>
              </w:rPr>
              <w:t>B</w:t>
            </w:r>
          </w:p>
        </w:tc>
        <w:tc>
          <w:tcPr>
            <w:tcW w:w="0" w:type="auto"/>
            <w:vAlign w:val="center"/>
          </w:tcPr>
          <w:p w:rsidR="00A8783E" w:rsidRPr="00A8783E" w:rsidRDefault="00A8783E" w:rsidP="00A8783E">
            <w:pPr>
              <w:spacing w:after="160" w:line="259" w:lineRule="auto"/>
              <w:rPr>
                <w:rFonts w:ascii="Times New Roman" w:hAnsi="Times New Roman"/>
                <w:sz w:val="20"/>
                <w:szCs w:val="20"/>
                <w:lang w:val="en-GB"/>
              </w:rPr>
            </w:pPr>
            <w:r w:rsidRPr="00A8783E">
              <w:rPr>
                <w:rFonts w:ascii="Times New Roman" w:hAnsi="Times New Roman"/>
                <w:sz w:val="20"/>
                <w:szCs w:val="20"/>
                <w:lang w:val="en-GB"/>
              </w:rPr>
              <w:t>C</w:t>
            </w:r>
          </w:p>
        </w:tc>
        <w:tc>
          <w:tcPr>
            <w:tcW w:w="0" w:type="auto"/>
            <w:vAlign w:val="center"/>
          </w:tcPr>
          <w:p w:rsidR="00A8783E" w:rsidRPr="00A8783E" w:rsidRDefault="00A8783E" w:rsidP="00A8783E">
            <w:pPr>
              <w:spacing w:after="160" w:line="259" w:lineRule="auto"/>
              <w:rPr>
                <w:rFonts w:ascii="Times New Roman" w:hAnsi="Times New Roman"/>
                <w:sz w:val="20"/>
                <w:szCs w:val="20"/>
                <w:lang w:val="en-GB"/>
              </w:rPr>
            </w:pPr>
            <w:r w:rsidRPr="00A8783E">
              <w:rPr>
                <w:rFonts w:ascii="Times New Roman" w:hAnsi="Times New Roman"/>
                <w:sz w:val="20"/>
                <w:szCs w:val="20"/>
                <w:lang w:val="en-GB"/>
              </w:rPr>
              <w:t>C</w:t>
            </w:r>
          </w:p>
        </w:tc>
      </w:tr>
    </w:tbl>
    <w:p w:rsidR="00A8783E" w:rsidRPr="00A8783E" w:rsidRDefault="00A8783E" w:rsidP="00A8783E">
      <w:pPr>
        <w:spacing w:after="160" w:line="259" w:lineRule="auto"/>
        <w:rPr>
          <w:rFonts w:ascii="Times New Roman" w:hAnsi="Times New Roman"/>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69" w:name="_Toc89106126"/>
      <w:bookmarkStart w:id="370" w:name="_Toc98741965"/>
      <w:bookmarkStart w:id="371" w:name="_Toc98838640"/>
      <w:r w:rsidRPr="00A8783E">
        <w:rPr>
          <w:rFonts w:ascii="Times New Roman" w:hAnsi="Times New Roman"/>
          <w:color w:val="1F497D"/>
          <w:sz w:val="28"/>
          <w:szCs w:val="28"/>
        </w:rPr>
        <w:t xml:space="preserve">Специфични цели за А144 </w:t>
      </w:r>
      <w:r w:rsidRPr="00A8783E">
        <w:rPr>
          <w:rFonts w:ascii="Times New Roman" w:hAnsi="Times New Roman"/>
          <w:i/>
          <w:iCs/>
          <w:color w:val="1F497D"/>
          <w:sz w:val="28"/>
          <w:szCs w:val="28"/>
          <w:lang w:val="en-US"/>
        </w:rPr>
        <w:t>Calidris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alba</w:t>
      </w:r>
      <w:r w:rsidRPr="00A8783E">
        <w:rPr>
          <w:rFonts w:ascii="Times New Roman" w:hAnsi="Times New Roman"/>
          <w:color w:val="1F497D"/>
          <w:sz w:val="28"/>
          <w:szCs w:val="28"/>
        </w:rPr>
        <w:t xml:space="preserve"> (трипръст брегобегач)</w:t>
      </w:r>
      <w:bookmarkEnd w:id="369"/>
      <w:bookmarkEnd w:id="370"/>
      <w:bookmarkEnd w:id="371"/>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18 – 21 cm. Размах на крилата: 40 –45 </w:t>
      </w:r>
      <w:r w:rsidRPr="00A8783E">
        <w:rPr>
          <w:rFonts w:ascii="Times New Roman" w:hAnsi="Times New Roman"/>
          <w:sz w:val="24"/>
          <w:szCs w:val="24"/>
          <w:lang w:val="en-GB"/>
        </w:rPr>
        <w:t>cm</w:t>
      </w:r>
      <w:r w:rsidRPr="00A8783E">
        <w:rPr>
          <w:rFonts w:ascii="Times New Roman" w:hAnsi="Times New Roman"/>
          <w:sz w:val="24"/>
          <w:szCs w:val="24"/>
        </w:rPr>
        <w:t>. С къс клюн и характерно бързо ходене по бреговата ивица. Повече бяло отдолу в сравнение с другите брегобегачи. Извън размножителния сезон оперението е светло сиво по гърба и бяло отдолу. Краката и клюна са черни. В полет има добре видима дебела бяла ивица на крилата и черна ивица в средата на опашката.</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lastRenderedPageBreak/>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България е преминаващ и зимуващ вид (</w:t>
      </w:r>
      <w:r w:rsidRPr="00A8783E">
        <w:rPr>
          <w:rFonts w:ascii="Times New Roman" w:hAnsi="Times New Roman"/>
          <w:sz w:val="24"/>
          <w:szCs w:val="24"/>
          <w:lang w:val="en-GB"/>
        </w:rPr>
        <w:t>Ivanov</w:t>
      </w:r>
      <w:r w:rsidRPr="00A8783E">
        <w:rPr>
          <w:rFonts w:ascii="Times New Roman" w:hAnsi="Times New Roman"/>
          <w:sz w:val="24"/>
          <w:szCs w:val="24"/>
        </w:rPr>
        <w:t xml:space="preserve"> </w:t>
      </w:r>
      <w:r w:rsidRPr="00A8783E">
        <w:rPr>
          <w:rFonts w:ascii="Times New Roman" w:hAnsi="Times New Roman"/>
          <w:sz w:val="24"/>
          <w:szCs w:val="24"/>
          <w:lang w:val="en-GB"/>
        </w:rPr>
        <w:t>et</w:t>
      </w:r>
      <w:r w:rsidRPr="00A8783E">
        <w:rPr>
          <w:rFonts w:ascii="Times New Roman" w:hAnsi="Times New Roman"/>
          <w:sz w:val="24"/>
          <w:szCs w:val="24"/>
        </w:rPr>
        <w:t xml:space="preserve"> </w:t>
      </w:r>
      <w:r w:rsidRPr="00A8783E">
        <w:rPr>
          <w:rFonts w:ascii="Times New Roman" w:hAnsi="Times New Roman"/>
          <w:sz w:val="24"/>
          <w:szCs w:val="24"/>
          <w:lang w:val="en-GB"/>
        </w:rPr>
        <w:t>al</w:t>
      </w:r>
      <w:r w:rsidRPr="00A8783E">
        <w:rPr>
          <w:rFonts w:ascii="Times New Roman" w:hAnsi="Times New Roman"/>
          <w:sz w:val="24"/>
          <w:szCs w:val="24"/>
        </w:rPr>
        <w:t>., 2014). Гнезди в арктичната тундра. Снася 3 – 4 яйца в периода от втората половина на юни до средата на юли, има едно поколение годишно (</w:t>
      </w:r>
      <w:r w:rsidRPr="00A8783E">
        <w:rPr>
          <w:rFonts w:ascii="Times New Roman" w:hAnsi="Times New Roman"/>
          <w:sz w:val="24"/>
          <w:szCs w:val="24"/>
          <w:lang w:val="en-GB"/>
        </w:rPr>
        <w:t>BWPi</w:t>
      </w:r>
      <w:r w:rsidRPr="00A8783E">
        <w:rPr>
          <w:rFonts w:ascii="Times New Roman" w:hAnsi="Times New Roman"/>
          <w:sz w:val="24"/>
          <w:szCs w:val="24"/>
        </w:rPr>
        <w:t>, 2006). Може да бъде наблюдавана по Черноморското крайбрежие в периода август – май, предимно в района на Бургаските влажни зони, Дуранкулашко и Шабленско езеро, Шабленска тузла и др. По-рядко се среща във вътрешността на страната по пясъчните коси на р. Дунав при маловодие, ез. Сребърна, Софийското поле, язовири около Пловдив и др. (</w:t>
      </w:r>
      <w:hyperlink r:id="rId214" w:history="1">
        <w:r w:rsidRPr="00A8783E">
          <w:rPr>
            <w:rFonts w:ascii="Times New Roman" w:hAnsi="Times New Roman"/>
            <w:color w:val="0563C1"/>
            <w:sz w:val="24"/>
            <w:szCs w:val="24"/>
            <w:u w:val="single"/>
          </w:rPr>
          <w:t>(</w:t>
        </w:r>
        <w:r w:rsidRPr="00A8783E">
          <w:rPr>
            <w:rFonts w:ascii="Times New Roman" w:hAnsi="Times New Roman"/>
            <w:color w:val="0563C1"/>
            <w:sz w:val="24"/>
            <w:szCs w:val="24"/>
            <w:u w:val="single"/>
            <w:lang w:val="en-US"/>
          </w:rPr>
          <w:t>Calidris</w:t>
        </w:r>
        <w:r w:rsidRPr="00A8783E">
          <w:rPr>
            <w:rFonts w:ascii="Times New Roman" w:hAnsi="Times New Roman"/>
            <w:color w:val="0563C1"/>
            <w:sz w:val="24"/>
            <w:szCs w:val="24"/>
            <w:u w:val="single"/>
          </w:rPr>
          <w:t xml:space="preserve"> </w:t>
        </w:r>
        <w:r w:rsidRPr="00A8783E">
          <w:rPr>
            <w:rFonts w:ascii="Times New Roman" w:hAnsi="Times New Roman"/>
            <w:color w:val="0563C1"/>
            <w:sz w:val="24"/>
            <w:szCs w:val="24"/>
            <w:u w:val="single"/>
            <w:lang w:val="en-US"/>
          </w:rPr>
          <w:t>alba</w:t>
        </w:r>
        <w:r w:rsidRPr="00A8783E">
          <w:rPr>
            <w:rFonts w:ascii="Times New Roman" w:hAnsi="Times New Roman"/>
            <w:color w:val="0563C1"/>
            <w:sz w:val="24"/>
            <w:szCs w:val="24"/>
            <w:u w:val="single"/>
          </w:rPr>
          <w:t xml:space="preserve">) - </w:t>
        </w:r>
        <w:r w:rsidRPr="00A8783E">
          <w:rPr>
            <w:rFonts w:ascii="Times New Roman" w:hAnsi="Times New Roman"/>
            <w:color w:val="0563C1"/>
            <w:sz w:val="24"/>
            <w:szCs w:val="24"/>
            <w:u w:val="single"/>
            <w:lang w:val="en-US"/>
          </w:rPr>
          <w:t>Species</w:t>
        </w:r>
        <w:r w:rsidRPr="00A8783E">
          <w:rPr>
            <w:rFonts w:ascii="Times New Roman" w:hAnsi="Times New Roman"/>
            <w:color w:val="0563C1"/>
            <w:sz w:val="24"/>
            <w:szCs w:val="24"/>
            <w:u w:val="single"/>
          </w:rPr>
          <w:t xml:space="preserve"> </w:t>
        </w:r>
        <w:r w:rsidRPr="00A8783E">
          <w:rPr>
            <w:rFonts w:ascii="Times New Roman" w:hAnsi="Times New Roman"/>
            <w:color w:val="0563C1"/>
            <w:sz w:val="24"/>
            <w:szCs w:val="24"/>
            <w:u w:val="single"/>
            <w:lang w:val="en-US"/>
          </w:rPr>
          <w:t>Map</w:t>
        </w:r>
        <w:r w:rsidRPr="00A8783E">
          <w:rPr>
            <w:rFonts w:ascii="Times New Roman" w:hAnsi="Times New Roman"/>
            <w:color w:val="0563C1"/>
            <w:sz w:val="24"/>
            <w:szCs w:val="24"/>
            <w:u w:val="single"/>
          </w:rPr>
          <w:t xml:space="preserve"> - </w:t>
        </w:r>
        <w:r w:rsidRPr="00A8783E">
          <w:rPr>
            <w:rFonts w:ascii="Times New Roman" w:hAnsi="Times New Roman"/>
            <w:color w:val="0563C1"/>
            <w:sz w:val="24"/>
            <w:szCs w:val="24"/>
            <w:u w:val="single"/>
            <w:lang w:val="en-US"/>
          </w:rPr>
          <w:t>eBird</w:t>
        </w:r>
      </w:hyperlink>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  време на миграция видът може да се срещне и по вътрешни сладководни или солени езера, но през зимата е до голяма степен се придържа по морското крайбрежие, обитавайки открити пясъчни плажове, на прибоя на морето, естуари на реки, каменисти и кални брегове и др. (</w:t>
      </w:r>
      <w:r w:rsidRPr="00A8783E">
        <w:rPr>
          <w:rFonts w:ascii="Times New Roman" w:hAnsi="Times New Roman"/>
          <w:sz w:val="24"/>
          <w:szCs w:val="24"/>
          <w:lang w:val="en-GB"/>
        </w:rPr>
        <w:t>BirdLife</w:t>
      </w:r>
      <w:r w:rsidRPr="00A8783E">
        <w:rPr>
          <w:rFonts w:ascii="Times New Roman" w:hAnsi="Times New Roman"/>
          <w:sz w:val="24"/>
          <w:szCs w:val="24"/>
        </w:rPr>
        <w:t xml:space="preserve"> </w:t>
      </w:r>
      <w:r w:rsidRPr="00A8783E">
        <w:rPr>
          <w:rFonts w:ascii="Times New Roman" w:hAnsi="Times New Roman"/>
          <w:sz w:val="24"/>
          <w:szCs w:val="24"/>
          <w:lang w:val="en-GB"/>
        </w:rPr>
        <w:t>International</w:t>
      </w:r>
      <w:r w:rsidRPr="00A8783E">
        <w:rPr>
          <w:rFonts w:ascii="Times New Roman" w:hAnsi="Times New Roman"/>
          <w:sz w:val="24"/>
          <w:szCs w:val="24"/>
        </w:rPr>
        <w:t>, 2021). Подходящите местообитания включват богат набор крайбрежни влажни зони: 1110, 1130, 1140, 1150, 1160, 2110 и 2120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Извън размножителния сезон диетата му се състои от дребни мекотели, ракообразни, полихетни червеи, ларви и какавидни насекоми (</w:t>
      </w:r>
      <w:r w:rsidRPr="00A8783E">
        <w:rPr>
          <w:rFonts w:ascii="Times New Roman" w:hAnsi="Times New Roman"/>
          <w:sz w:val="24"/>
          <w:szCs w:val="24"/>
          <w:lang w:val="en-GB"/>
        </w:rPr>
        <w:t>Diptera</w:t>
      </w:r>
      <w:r w:rsidRPr="00A8783E">
        <w:rPr>
          <w:rFonts w:ascii="Times New Roman" w:hAnsi="Times New Roman"/>
          <w:sz w:val="24"/>
          <w:szCs w:val="24"/>
        </w:rPr>
        <w:t>, Coleoptera, Lepidoptera, Hemiptera и Hymenoptera), рядко риба (</w:t>
      </w:r>
      <w:r w:rsidRPr="00A8783E">
        <w:rPr>
          <w:rFonts w:ascii="Times New Roman" w:hAnsi="Times New Roman"/>
          <w:sz w:val="24"/>
          <w:szCs w:val="24"/>
          <w:lang w:val="en-GB"/>
        </w:rPr>
        <w:t>BirdLife</w:t>
      </w:r>
      <w:r w:rsidRPr="00A8783E">
        <w:rPr>
          <w:rFonts w:ascii="Times New Roman" w:hAnsi="Times New Roman"/>
          <w:sz w:val="24"/>
          <w:szCs w:val="24"/>
        </w:rPr>
        <w:t xml:space="preserve"> </w:t>
      </w:r>
      <w:r w:rsidRPr="00A8783E">
        <w:rPr>
          <w:rFonts w:ascii="Times New Roman" w:hAnsi="Times New Roman"/>
          <w:sz w:val="24"/>
          <w:szCs w:val="24"/>
          <w:lang w:val="en-GB"/>
        </w:rPr>
        <w:t>International</w:t>
      </w:r>
      <w:r w:rsidRPr="00A8783E">
        <w:rPr>
          <w:rFonts w:ascii="Times New Roman" w:hAnsi="Times New Roman"/>
          <w:sz w:val="24"/>
          <w:szCs w:val="24"/>
        </w:rPr>
        <w:t>, 2021).</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Среща се основно по Черноморието в района на Бургаските езера, Дуранкулашко езеро и Шабленско езеро, Шабленска тузла, естуарите на Камчия, Велека и др. По р. Дунав вида е регистриран по пясъчните коси в района на Силистра и ез. Сребърна. Най-често се наблюдава по време на есенна миграция през септември </w:t>
      </w:r>
      <w:hyperlink r:id="rId215" w:history="1">
        <w:r w:rsidRPr="00A8783E">
          <w:rPr>
            <w:rFonts w:ascii="Times New Roman" w:hAnsi="Times New Roman"/>
            <w:color w:val="0563C1"/>
            <w:sz w:val="24"/>
            <w:szCs w:val="24"/>
            <w:u w:val="single"/>
          </w:rPr>
          <w:t>(</w:t>
        </w:r>
        <w:r w:rsidRPr="00A8783E">
          <w:rPr>
            <w:rFonts w:ascii="Times New Roman" w:hAnsi="Times New Roman"/>
            <w:color w:val="0563C1"/>
            <w:sz w:val="24"/>
            <w:szCs w:val="24"/>
            <w:u w:val="single"/>
            <w:lang w:val="en-US"/>
          </w:rPr>
          <w:t>Calidris</w:t>
        </w:r>
        <w:r w:rsidRPr="00A8783E">
          <w:rPr>
            <w:rFonts w:ascii="Times New Roman" w:hAnsi="Times New Roman"/>
            <w:color w:val="0563C1"/>
            <w:sz w:val="24"/>
            <w:szCs w:val="24"/>
            <w:u w:val="single"/>
          </w:rPr>
          <w:t xml:space="preserve"> </w:t>
        </w:r>
        <w:r w:rsidRPr="00A8783E">
          <w:rPr>
            <w:rFonts w:ascii="Times New Roman" w:hAnsi="Times New Roman"/>
            <w:color w:val="0563C1"/>
            <w:sz w:val="24"/>
            <w:szCs w:val="24"/>
            <w:u w:val="single"/>
            <w:lang w:val="en-US"/>
          </w:rPr>
          <w:t>alba</w:t>
        </w:r>
        <w:r w:rsidRPr="00A8783E">
          <w:rPr>
            <w:rFonts w:ascii="Times New Roman" w:hAnsi="Times New Roman"/>
            <w:color w:val="0563C1"/>
            <w:sz w:val="24"/>
            <w:szCs w:val="24"/>
            <w:u w:val="single"/>
          </w:rPr>
          <w:t xml:space="preserve">) - </w:t>
        </w:r>
        <w:r w:rsidRPr="00A8783E">
          <w:rPr>
            <w:rFonts w:ascii="Times New Roman" w:hAnsi="Times New Roman"/>
            <w:color w:val="0563C1"/>
            <w:sz w:val="24"/>
            <w:szCs w:val="24"/>
            <w:u w:val="single"/>
            <w:lang w:val="en-US"/>
          </w:rPr>
          <w:t>Species</w:t>
        </w:r>
        <w:r w:rsidRPr="00A8783E">
          <w:rPr>
            <w:rFonts w:ascii="Times New Roman" w:hAnsi="Times New Roman"/>
            <w:color w:val="0563C1"/>
            <w:sz w:val="24"/>
            <w:szCs w:val="24"/>
            <w:u w:val="single"/>
          </w:rPr>
          <w:t xml:space="preserve"> </w:t>
        </w:r>
        <w:r w:rsidRPr="00A8783E">
          <w:rPr>
            <w:rFonts w:ascii="Times New Roman" w:hAnsi="Times New Roman"/>
            <w:color w:val="0563C1"/>
            <w:sz w:val="24"/>
            <w:szCs w:val="24"/>
            <w:u w:val="single"/>
            <w:lang w:val="en-US"/>
          </w:rPr>
          <w:t>Map</w:t>
        </w:r>
        <w:r w:rsidRPr="00A8783E">
          <w:rPr>
            <w:rFonts w:ascii="Times New Roman" w:hAnsi="Times New Roman"/>
            <w:color w:val="0563C1"/>
            <w:sz w:val="24"/>
            <w:szCs w:val="24"/>
            <w:u w:val="single"/>
          </w:rPr>
          <w:t xml:space="preserve"> - </w:t>
        </w:r>
        <w:r w:rsidRPr="00A8783E">
          <w:rPr>
            <w:rFonts w:ascii="Times New Roman" w:hAnsi="Times New Roman"/>
            <w:color w:val="0563C1"/>
            <w:sz w:val="24"/>
            <w:szCs w:val="24"/>
            <w:u w:val="single"/>
            <w:lang w:val="en-US"/>
          </w:rPr>
          <w:t>eBird</w:t>
        </w:r>
      </w:hyperlink>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Не е включен в приложенията на Директивата за птиците. Според </w:t>
      </w:r>
      <w:r w:rsidRPr="00A8783E">
        <w:rPr>
          <w:rFonts w:ascii="Times New Roman" w:hAnsi="Times New Roman"/>
          <w:sz w:val="24"/>
          <w:szCs w:val="24"/>
          <w:lang w:val="en-GB"/>
        </w:rPr>
        <w:t>IUCN</w:t>
      </w:r>
      <w:r w:rsidRPr="00A8783E">
        <w:rPr>
          <w:rFonts w:ascii="Times New Roman" w:hAnsi="Times New Roman"/>
          <w:sz w:val="24"/>
          <w:szCs w:val="24"/>
        </w:rPr>
        <w:t xml:space="preserve"> –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rPr>
        <w:t xml:space="preserve"> </w:t>
      </w:r>
      <w:r w:rsidRPr="00A8783E">
        <w:rPr>
          <w:rFonts w:ascii="Times New Roman" w:hAnsi="Times New Roman"/>
          <w:sz w:val="24"/>
          <w:szCs w:val="24"/>
          <w:lang w:val="en-GB"/>
        </w:rPr>
        <w:t>Concern</w:t>
      </w:r>
      <w:r w:rsidRPr="00A8783E">
        <w:rPr>
          <w:rFonts w:ascii="Times New Roman" w:hAnsi="Times New Roman"/>
          <w:sz w:val="24"/>
          <w:szCs w:val="24"/>
        </w:rPr>
        <w:t xml:space="preserve">), за територията на континентална Европа –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rPr>
        <w:t xml:space="preserve"> </w:t>
      </w:r>
      <w:r w:rsidRPr="00A8783E">
        <w:rPr>
          <w:rFonts w:ascii="Times New Roman" w:hAnsi="Times New Roman"/>
          <w:sz w:val="24"/>
          <w:szCs w:val="24"/>
          <w:lang w:val="en-GB"/>
        </w:rPr>
        <w:t>Concern</w:t>
      </w:r>
      <w:r w:rsidRPr="00A8783E">
        <w:rPr>
          <w:rFonts w:ascii="Times New Roman" w:hAnsi="Times New Roman"/>
          <w:sz w:val="24"/>
          <w:szCs w:val="24"/>
        </w:rPr>
        <w:t xml:space="preserve">). Не е включен в </w:t>
      </w:r>
      <w:r w:rsidRPr="00A8783E">
        <w:rPr>
          <w:rFonts w:ascii="Times New Roman" w:hAnsi="Times New Roman"/>
          <w:sz w:val="24"/>
          <w:szCs w:val="24"/>
          <w:lang w:val="en-GB"/>
        </w:rPr>
        <w:t>SPEC</w:t>
      </w:r>
      <w:r w:rsidRPr="00A8783E">
        <w:rPr>
          <w:rFonts w:ascii="Times New Roman" w:hAnsi="Times New Roman"/>
          <w:sz w:val="24"/>
          <w:szCs w:val="24"/>
        </w:rPr>
        <w:t xml:space="preserve"> категориите. Не е включен в Червената книга на България.</w:t>
      </w:r>
    </w:p>
    <w:p w:rsidR="00A8783E" w:rsidRPr="00A8783E" w:rsidRDefault="00A8783E" w:rsidP="00A8783E">
      <w:pPr>
        <w:spacing w:before="120" w:after="120" w:line="240" w:lineRule="auto"/>
        <w:jc w:val="both"/>
        <w:rPr>
          <w:rFonts w:ascii="Times New Roman" w:hAnsi="Times New Roman"/>
          <w:bCs/>
          <w:sz w:val="24"/>
          <w:szCs w:val="24"/>
        </w:rPr>
      </w:pPr>
      <w:r w:rsidRPr="00A8783E">
        <w:rPr>
          <w:rFonts w:ascii="Times New Roman" w:hAnsi="Times New Roman"/>
          <w:sz w:val="24"/>
          <w:szCs w:val="24"/>
        </w:rPr>
        <w:t xml:space="preserve">Съгласно Докладването от 2019 г. (за периода 2013 – 2018 г.) националната </w:t>
      </w:r>
      <w:r w:rsidRPr="00A8783E">
        <w:rPr>
          <w:rFonts w:ascii="Times New Roman" w:hAnsi="Times New Roman"/>
          <w:b/>
          <w:sz w:val="24"/>
          <w:szCs w:val="24"/>
        </w:rPr>
        <w:t>зимуваща</w:t>
      </w:r>
      <w:r w:rsidRPr="00A8783E">
        <w:rPr>
          <w:rFonts w:ascii="Times New Roman" w:hAnsi="Times New Roman"/>
          <w:sz w:val="24"/>
          <w:szCs w:val="24"/>
        </w:rPr>
        <w:t xml:space="preserve"> популация на вида се оценя на 20 – 50 индивида. Краткосрочната тенденция (за периода 2000 – 2018) в популацията е </w:t>
      </w:r>
      <w:r w:rsidRPr="00A8783E">
        <w:rPr>
          <w:rFonts w:ascii="Times New Roman" w:hAnsi="Times New Roman"/>
          <w:bCs/>
          <w:sz w:val="24"/>
          <w:szCs w:val="24"/>
        </w:rPr>
        <w:t>флуктуираща</w:t>
      </w:r>
      <w:r w:rsidRPr="00A8783E">
        <w:rPr>
          <w:rFonts w:ascii="Times New Roman" w:hAnsi="Times New Roman"/>
          <w:sz w:val="24"/>
          <w:szCs w:val="24"/>
        </w:rPr>
        <w:t xml:space="preserve"> както и дългосрочната (за периода 1980 – 2018), която също е </w:t>
      </w:r>
      <w:r w:rsidRPr="00A8783E">
        <w:rPr>
          <w:rFonts w:ascii="Times New Roman" w:hAnsi="Times New Roman"/>
          <w:bCs/>
          <w:sz w:val="24"/>
          <w:szCs w:val="24"/>
        </w:rPr>
        <w:t>флуктуираща.</w:t>
      </w:r>
      <w:r w:rsidRPr="00A8783E">
        <w:rPr>
          <w:rFonts w:cs="Calibri"/>
        </w:rPr>
        <w:t xml:space="preserve"> </w:t>
      </w:r>
      <w:r w:rsidRPr="00A8783E">
        <w:rPr>
          <w:rFonts w:ascii="Times New Roman" w:hAnsi="Times New Roman"/>
          <w:bCs/>
          <w:sz w:val="24"/>
          <w:szCs w:val="24"/>
        </w:rPr>
        <w:t>Посочени са следните заплахи и влияния: J02.</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2013 – 2018 г.) националната </w:t>
      </w:r>
      <w:r w:rsidRPr="00A8783E">
        <w:rPr>
          <w:rFonts w:ascii="Times New Roman" w:hAnsi="Times New Roman"/>
          <w:b/>
          <w:sz w:val="24"/>
          <w:szCs w:val="24"/>
        </w:rPr>
        <w:t>мигрираща</w:t>
      </w:r>
      <w:r w:rsidRPr="00A8783E">
        <w:rPr>
          <w:rFonts w:ascii="Times New Roman" w:hAnsi="Times New Roman"/>
          <w:sz w:val="24"/>
          <w:szCs w:val="24"/>
        </w:rPr>
        <w:t xml:space="preserve"> популация на вида се оценя на 10 – 20 индивида. Посочени са следните заплахи и влияния: </w:t>
      </w:r>
      <w:r w:rsidRPr="00A8783E">
        <w:rPr>
          <w:rFonts w:ascii="Times New Roman" w:hAnsi="Times New Roman"/>
          <w:sz w:val="24"/>
          <w:szCs w:val="24"/>
          <w:lang w:val="en-GB"/>
        </w:rPr>
        <w:t>J</w:t>
      </w:r>
      <w:r w:rsidRPr="00A8783E">
        <w:rPr>
          <w:rFonts w:ascii="Times New Roman" w:hAnsi="Times New Roman"/>
          <w:sz w:val="24"/>
          <w:szCs w:val="24"/>
        </w:rPr>
        <w:t xml:space="preserve">02, </w:t>
      </w:r>
      <w:r w:rsidRPr="00A8783E">
        <w:rPr>
          <w:rFonts w:ascii="Times New Roman" w:hAnsi="Times New Roman"/>
          <w:sz w:val="24"/>
          <w:szCs w:val="24"/>
          <w:lang w:val="en-GB"/>
        </w:rPr>
        <w:t>F</w:t>
      </w:r>
      <w:r w:rsidRPr="00A8783E">
        <w:rPr>
          <w:rFonts w:ascii="Times New Roman" w:hAnsi="Times New Roman"/>
          <w:sz w:val="24"/>
          <w:szCs w:val="24"/>
        </w:rPr>
        <w:t>08.</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видът е преминаващ.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sz w:val="24"/>
          <w:szCs w:val="24"/>
          <w:lang w:eastAsia="bg-BG"/>
        </w:rPr>
        <w:t xml:space="preserve">до </w:t>
      </w:r>
      <w:r w:rsidRPr="00A8783E">
        <w:rPr>
          <w:rFonts w:ascii="Times New Roman" w:hAnsi="Times New Roman"/>
          <w:b/>
          <w:bCs/>
          <w:sz w:val="24"/>
          <w:szCs w:val="24"/>
          <w:lang w:eastAsia="bg-BG"/>
        </w:rPr>
        <w:t>3 индивида</w:t>
      </w:r>
      <w:r w:rsidRPr="00A8783E">
        <w:rPr>
          <w:rFonts w:ascii="Times New Roman" w:hAnsi="Times New Roman"/>
          <w:sz w:val="24"/>
          <w:szCs w:val="24"/>
          <w:lang w:eastAsia="bg-BG"/>
        </w:rPr>
        <w:t xml:space="preserve">, което е </w:t>
      </w:r>
      <w:r w:rsidRPr="00A8783E">
        <w:rPr>
          <w:rFonts w:ascii="Times New Roman" w:hAnsi="Times New Roman"/>
          <w:bCs/>
          <w:color w:val="000000"/>
          <w:sz w:val="24"/>
          <w:szCs w:val="24"/>
          <w:lang w:eastAsia="bg-BG"/>
        </w:rPr>
        <w:t>15-30 %</w:t>
      </w:r>
      <w:r w:rsidRPr="00A8783E">
        <w:rPr>
          <w:rFonts w:ascii="Times New Roman" w:hAnsi="Times New Roman"/>
          <w:sz w:val="24"/>
          <w:szCs w:val="24"/>
          <w:lang w:eastAsia="bg-BG"/>
        </w:rPr>
        <w:t xml:space="preserve"> от националната популация (оценка „</w:t>
      </w:r>
      <w:r w:rsidRPr="00A8783E">
        <w:rPr>
          <w:rFonts w:ascii="Times New Roman" w:hAnsi="Times New Roman"/>
          <w:sz w:val="24"/>
          <w:szCs w:val="24"/>
          <w:lang w:val="en-US" w:eastAsia="bg-BG"/>
        </w:rPr>
        <w:t>C</w:t>
      </w:r>
      <w:r w:rsidRPr="00A8783E">
        <w:rPr>
          <w:rFonts w:ascii="Times New Roman" w:hAnsi="Times New Roman"/>
          <w:sz w:val="24"/>
          <w:szCs w:val="24"/>
          <w:lang w:eastAsia="bg-BG"/>
        </w:rPr>
        <w:t>“). Опазването на вида е отлично (оценка „</w:t>
      </w:r>
      <w:r w:rsidRPr="00A8783E">
        <w:rPr>
          <w:rFonts w:ascii="Times New Roman" w:hAnsi="Times New Roman"/>
          <w:sz w:val="24"/>
          <w:szCs w:val="24"/>
          <w:lang w:val="en-US" w:eastAsia="bg-BG"/>
        </w:rPr>
        <w:t>A</w:t>
      </w:r>
      <w:r w:rsidRPr="00A8783E">
        <w:rPr>
          <w:rFonts w:ascii="Times New Roman" w:hAnsi="Times New Roman"/>
          <w:sz w:val="24"/>
          <w:szCs w:val="24"/>
          <w:lang w:eastAsia="bg-BG"/>
        </w:rPr>
        <w:t>“),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4. Анализ на наличната информация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lang w:eastAsia="bg-BG"/>
        </w:rPr>
        <w:lastRenderedPageBreak/>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w:t>
      </w:r>
      <w:r w:rsidRPr="00A8783E">
        <w:rPr>
          <w:rFonts w:ascii="Times New Roman" w:hAnsi="Times New Roman"/>
          <w:sz w:val="24"/>
          <w:szCs w:val="24"/>
        </w:rPr>
        <w:t>По-големи концентрации се наблюдават по Черноморското крайбрежие, по-рядко се среща във вътрешността на страната по пясъчните коси на р. Дунав при маловодие, ез. Сребърна, Софийското поле, язовири около Пловдив и др. На 03.09.2017 г. е отбелязан 1 индивид на територията на защитената зона. (D. Mitev, ebird.org).</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За мигриращата популация са посочени заплахи J02, F08-„Изменение на състоянието на брегови линии, устия или крайбрежия с цел изграждане, използване и защита на жилищна, търговска, промишлена и ваканционна инфраструктура и зони (включително съоръжения за защита от морски въздействия или брегозащитни работи и съоръжения)“. От тях потенциално валидни за СЗЗ „Сребърна” могат да бъдат тези, които са свързани с промяна на бреговата ивица и наличието на пясъчни коси в речното течение в рамките на зоната – </w:t>
      </w:r>
      <w:r w:rsidRPr="00A8783E">
        <w:rPr>
          <w:rFonts w:ascii="Times New Roman" w:hAnsi="Times New Roman"/>
          <w:sz w:val="24"/>
          <w:szCs w:val="24"/>
          <w:lang w:val="en-US"/>
        </w:rPr>
        <w:t>F</w:t>
      </w:r>
      <w:r w:rsidRPr="00A8783E">
        <w:rPr>
          <w:rFonts w:ascii="Times New Roman" w:hAnsi="Times New Roman"/>
          <w:sz w:val="24"/>
          <w:szCs w:val="24"/>
        </w:rPr>
        <w:t>08, тъй като в такива местообитания вида търси храна по време на миграция.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1134"/>
        <w:gridCol w:w="1204"/>
        <w:gridCol w:w="3042"/>
        <w:gridCol w:w="2407"/>
      </w:tblGrid>
      <w:tr w:rsidR="00A8783E" w:rsidRPr="00A8783E" w:rsidTr="005B5318">
        <w:trPr>
          <w:trHeight w:val="130"/>
          <w:tblHeader/>
          <w:jc w:val="center"/>
        </w:trPr>
        <w:tc>
          <w:tcPr>
            <w:tcW w:w="1564" w:type="dxa"/>
            <w:shd w:val="clear" w:color="auto" w:fill="DBE5F1"/>
            <w:vAlign w:val="center"/>
          </w:tcPr>
          <w:p w:rsidR="00A8783E" w:rsidRPr="00A8783E" w:rsidRDefault="00A8783E" w:rsidP="00A8783E">
            <w:pPr>
              <w:spacing w:after="0" w:line="240" w:lineRule="auto"/>
              <w:jc w:val="center"/>
              <w:rPr>
                <w:rFonts w:ascii="Times New Roman" w:hAnsi="Times New Roman"/>
                <w:b/>
                <w:bCs/>
              </w:rPr>
            </w:pPr>
            <w:r w:rsidRPr="00A8783E">
              <w:rPr>
                <w:rFonts w:ascii="Times New Roman" w:hAnsi="Times New Roman"/>
                <w:b/>
                <w:bCs/>
              </w:rPr>
              <w:t>Параметър</w:t>
            </w:r>
          </w:p>
        </w:tc>
        <w:tc>
          <w:tcPr>
            <w:tcW w:w="1134" w:type="dxa"/>
            <w:shd w:val="clear" w:color="auto" w:fill="DBE5F1"/>
            <w:vAlign w:val="center"/>
          </w:tcPr>
          <w:p w:rsidR="00A8783E" w:rsidRPr="00A8783E" w:rsidRDefault="00A8783E" w:rsidP="00A8783E">
            <w:pPr>
              <w:spacing w:after="0" w:line="240" w:lineRule="auto"/>
              <w:jc w:val="center"/>
              <w:rPr>
                <w:rFonts w:ascii="Times New Roman" w:hAnsi="Times New Roman"/>
                <w:b/>
                <w:bCs/>
              </w:rPr>
            </w:pPr>
            <w:r w:rsidRPr="00A8783E">
              <w:rPr>
                <w:rFonts w:ascii="Times New Roman" w:hAnsi="Times New Roman"/>
                <w:b/>
                <w:bCs/>
              </w:rPr>
              <w:t>Мерна единица</w:t>
            </w:r>
          </w:p>
        </w:tc>
        <w:tc>
          <w:tcPr>
            <w:tcW w:w="1204" w:type="dxa"/>
            <w:shd w:val="clear" w:color="auto" w:fill="DBE5F1"/>
            <w:vAlign w:val="center"/>
          </w:tcPr>
          <w:p w:rsidR="00A8783E" w:rsidRPr="00A8783E" w:rsidRDefault="00A8783E" w:rsidP="00A8783E">
            <w:pPr>
              <w:spacing w:after="0" w:line="240" w:lineRule="auto"/>
              <w:jc w:val="center"/>
              <w:rPr>
                <w:rFonts w:ascii="Times New Roman" w:hAnsi="Times New Roman"/>
                <w:b/>
                <w:bCs/>
              </w:rPr>
            </w:pPr>
            <w:r w:rsidRPr="00A8783E">
              <w:rPr>
                <w:rFonts w:ascii="Times New Roman" w:hAnsi="Times New Roman"/>
                <w:b/>
                <w:bCs/>
              </w:rPr>
              <w:t>Целева стойност</w:t>
            </w:r>
          </w:p>
        </w:tc>
        <w:tc>
          <w:tcPr>
            <w:tcW w:w="3042" w:type="dxa"/>
            <w:shd w:val="clear" w:color="auto" w:fill="DBE5F1"/>
            <w:vAlign w:val="center"/>
          </w:tcPr>
          <w:p w:rsidR="00A8783E" w:rsidRPr="00A8783E" w:rsidRDefault="00A8783E" w:rsidP="00A8783E">
            <w:pPr>
              <w:spacing w:after="0" w:line="240" w:lineRule="auto"/>
              <w:jc w:val="center"/>
              <w:rPr>
                <w:rFonts w:ascii="Times New Roman" w:hAnsi="Times New Roman"/>
                <w:b/>
                <w:bCs/>
              </w:rPr>
            </w:pPr>
            <w:r w:rsidRPr="00A8783E">
              <w:rPr>
                <w:rFonts w:ascii="Times New Roman" w:hAnsi="Times New Roman"/>
                <w:b/>
                <w:bCs/>
              </w:rPr>
              <w:t>Допълнителна информация</w:t>
            </w:r>
          </w:p>
        </w:tc>
        <w:tc>
          <w:tcPr>
            <w:tcW w:w="2407" w:type="dxa"/>
            <w:shd w:val="clear" w:color="auto" w:fill="DBE5F1"/>
            <w:vAlign w:val="center"/>
          </w:tcPr>
          <w:p w:rsidR="00A8783E" w:rsidRPr="00A8783E" w:rsidRDefault="00A8783E" w:rsidP="00A8783E">
            <w:pPr>
              <w:spacing w:after="0" w:line="240" w:lineRule="auto"/>
              <w:jc w:val="center"/>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trHeight w:val="958"/>
          <w:jc w:val="center"/>
        </w:trPr>
        <w:tc>
          <w:tcPr>
            <w:tcW w:w="1564"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мигриращата популация</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20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до 3 инд.</w:t>
            </w:r>
          </w:p>
        </w:tc>
        <w:tc>
          <w:tcPr>
            <w:tcW w:w="304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 СФ за концентрацията на вида в зоната е посочена максимална численост 3 инд. Липсват други публикувани данни за концентрацията на вида в зоната, поради което се налага поставянето на междинна цел.</w:t>
            </w:r>
          </w:p>
        </w:tc>
        <w:tc>
          <w:tcPr>
            <w:tcW w:w="240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A8783E" w:rsidRPr="00A8783E" w:rsidTr="005B5318">
        <w:trPr>
          <w:trHeight w:val="2030"/>
          <w:jc w:val="center"/>
        </w:trPr>
        <w:tc>
          <w:tcPr>
            <w:tcW w:w="1564"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хранителни местообитания на вида</w:t>
            </w:r>
          </w:p>
        </w:tc>
        <w:tc>
          <w:tcPr>
            <w:tcW w:w="1134" w:type="dxa"/>
          </w:tcPr>
          <w:p w:rsidR="00A8783E" w:rsidRPr="00A8783E" w:rsidRDefault="00A8783E" w:rsidP="00A8783E">
            <w:pPr>
              <w:spacing w:after="0" w:line="240" w:lineRule="auto"/>
              <w:rPr>
                <w:rFonts w:ascii="Times New Roman" w:hAnsi="Times New Roman"/>
                <w:lang w:val="en-GB"/>
              </w:rPr>
            </w:pPr>
            <w:r w:rsidRPr="00A8783E">
              <w:rPr>
                <w:rFonts w:ascii="Times New Roman" w:hAnsi="Times New Roman"/>
                <w:lang w:val="en-GB"/>
              </w:rPr>
              <w:t>ha</w:t>
            </w:r>
          </w:p>
        </w:tc>
        <w:tc>
          <w:tcPr>
            <w:tcW w:w="1204"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rPr>
              <w:t>Най-малко 23</w:t>
            </w:r>
          </w:p>
        </w:tc>
        <w:tc>
          <w:tcPr>
            <w:tcW w:w="3042" w:type="dxa"/>
          </w:tcPr>
          <w:p w:rsidR="00A8783E" w:rsidRPr="00A8783E" w:rsidRDefault="00A8783E" w:rsidP="00A8783E">
            <w:pPr>
              <w:spacing w:after="0" w:line="240" w:lineRule="auto"/>
              <w:jc w:val="both"/>
              <w:rPr>
                <w:rFonts w:ascii="Times New Roman" w:hAnsi="Times New Roman"/>
                <w:lang w:val="ru-RU"/>
              </w:rPr>
            </w:pPr>
            <w:r w:rsidRPr="00A8783E">
              <w:rPr>
                <w:rFonts w:ascii="Times New Roman" w:hAnsi="Times New Roman"/>
              </w:rPr>
              <w:t>Изчислена приблизително</w:t>
            </w:r>
            <w:r w:rsidRPr="00A8783E">
              <w:rPr>
                <w:rFonts w:ascii="Times New Roman" w:hAnsi="Times New Roman"/>
                <w:lang w:val="en-US"/>
              </w:rPr>
              <w:t xml:space="preserve"> </w:t>
            </w:r>
            <w:r w:rsidRPr="00A8783E">
              <w:rPr>
                <w:rFonts w:ascii="Times New Roman" w:hAnsi="Times New Roman"/>
              </w:rPr>
              <w:t xml:space="preserve">на база наличните пясъчни коси в р. Дунав в рамките на зоната чрез </w:t>
            </w:r>
            <w:r w:rsidRPr="00A8783E">
              <w:rPr>
                <w:rFonts w:ascii="Times New Roman" w:hAnsi="Times New Roman"/>
                <w:lang w:val="en-US"/>
              </w:rPr>
              <w:t>GoogleEarth</w:t>
            </w:r>
            <w:r w:rsidRPr="00A8783E">
              <w:rPr>
                <w:rFonts w:ascii="Times New Roman" w:hAnsi="Times New Roman"/>
              </w:rPr>
              <w:t>. Точна площ на пригодните местообитания не може да се даде, тъй като площта на пясъчните коси и речните брегове ще е различна през отделните години и зависи от нивото на реката. Вида може да бъде наблюдаван в зоната, когато нивото на реката е по-ниско и се образуват пясъчни коси, по които птиците търсят храна, а също и по речните крайбрежия.</w:t>
            </w:r>
          </w:p>
        </w:tc>
        <w:tc>
          <w:tcPr>
            <w:tcW w:w="2407" w:type="dxa"/>
          </w:tcPr>
          <w:p w:rsidR="00A8783E" w:rsidRPr="00A8783E" w:rsidRDefault="00A8783E" w:rsidP="00A8783E">
            <w:pPr>
              <w:spacing w:after="0" w:line="240" w:lineRule="auto"/>
              <w:jc w:val="both"/>
              <w:rPr>
                <w:rFonts w:ascii="Times New Roman" w:hAnsi="Times New Roman"/>
                <w:lang w:val="ru-RU"/>
              </w:rPr>
            </w:pPr>
            <w:r w:rsidRPr="00A8783E">
              <w:rPr>
                <w:rFonts w:ascii="Times New Roman" w:hAnsi="Times New Roman"/>
              </w:rPr>
              <w:t>Поддържане на площта на подходящите хранителни местообитания на вида в размер най-малко</w:t>
            </w:r>
            <w:r w:rsidRPr="00A8783E">
              <w:rPr>
                <w:rFonts w:ascii="Times New Roman" w:hAnsi="Times New Roman"/>
                <w:lang w:val="ru-RU"/>
              </w:rPr>
              <w:t xml:space="preserve"> 23 </w:t>
            </w:r>
            <w:r w:rsidRPr="00A8783E">
              <w:rPr>
                <w:rFonts w:ascii="Times New Roman" w:hAnsi="Times New Roman"/>
                <w:lang w:val="en-US"/>
              </w:rPr>
              <w:t>ha</w:t>
            </w:r>
            <w:r w:rsidRPr="00A8783E">
              <w:rPr>
                <w:rFonts w:ascii="Times New Roman" w:hAnsi="Times New Roman"/>
                <w:lang w:val="ru-RU"/>
              </w:rPr>
              <w:t xml:space="preserve">. </w:t>
            </w:r>
            <w:r w:rsidRPr="00A8783E">
              <w:rPr>
                <w:rFonts w:ascii="Times New Roman" w:hAnsi="Times New Roman"/>
              </w:rPr>
              <w:t>Площта на пясъчните коси и речните брегове ще е различна през отделните години и зависи от нивото на реката.</w:t>
            </w:r>
          </w:p>
        </w:tc>
      </w:tr>
      <w:tr w:rsidR="00A8783E" w:rsidRPr="00A8783E" w:rsidTr="005B5318">
        <w:trPr>
          <w:trHeight w:val="2030"/>
          <w:jc w:val="center"/>
        </w:trPr>
        <w:tc>
          <w:tcPr>
            <w:tcW w:w="1564"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 xml:space="preserve">Екологично състояние на водните тела с местообитания на вида – по </w:t>
            </w:r>
            <w:r w:rsidRPr="00A8783E">
              <w:rPr>
                <w:rFonts w:ascii="Times New Roman" w:hAnsi="Times New Roman"/>
              </w:rPr>
              <w:lastRenderedPageBreak/>
              <w:t>биологичен елемент водни безгръбначни (JDS4-Aquatic Macroinvertebrates)</w:t>
            </w:r>
          </w:p>
        </w:tc>
        <w:tc>
          <w:tcPr>
            <w:tcW w:w="113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lastRenderedPageBreak/>
              <w:t>5 степенна скала за екологично състояние</w:t>
            </w:r>
          </w:p>
        </w:tc>
        <w:tc>
          <w:tcPr>
            <w:tcW w:w="120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1-Отлично/2-Добро</w:t>
            </w:r>
          </w:p>
        </w:tc>
        <w:tc>
          <w:tcPr>
            <w:tcW w:w="3042" w:type="dxa"/>
          </w:tcPr>
          <w:tbl>
            <w:tblPr>
              <w:tblW w:w="3337" w:type="dxa"/>
              <w:jc w:val="center"/>
              <w:tblLayout w:type="fixed"/>
              <w:tblCellMar>
                <w:left w:w="70" w:type="dxa"/>
                <w:right w:w="70" w:type="dxa"/>
              </w:tblCellMar>
              <w:tblLook w:val="00A0" w:firstRow="1" w:lastRow="0" w:firstColumn="1" w:lastColumn="0" w:noHBand="0" w:noVBand="0"/>
            </w:tblPr>
            <w:tblGrid>
              <w:gridCol w:w="3337"/>
            </w:tblGrid>
            <w:tr w:rsidR="00A8783E" w:rsidRPr="00A8783E" w:rsidTr="005B5318">
              <w:trPr>
                <w:trHeight w:val="59"/>
                <w:jc w:val="center"/>
              </w:trPr>
              <w:tc>
                <w:tcPr>
                  <w:tcW w:w="3337"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347"/>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77"/>
                <w:jc w:val="center"/>
              </w:trPr>
              <w:tc>
                <w:tcPr>
                  <w:tcW w:w="3337"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347"/>
                    <w:rPr>
                      <w:rFonts w:ascii="Times New Roman" w:hAnsi="Times New Roman"/>
                    </w:rPr>
                  </w:pPr>
                  <w:r w:rsidRPr="00A8783E">
                    <w:rPr>
                      <w:rFonts w:ascii="Times New Roman" w:hAnsi="Times New Roman"/>
                    </w:rPr>
                    <w:t>1-Отлично - High</w:t>
                  </w:r>
                </w:p>
              </w:tc>
            </w:tr>
            <w:tr w:rsidR="00A8783E" w:rsidRPr="00A8783E" w:rsidTr="005B5318">
              <w:trPr>
                <w:trHeight w:val="277"/>
                <w:jc w:val="center"/>
              </w:trPr>
              <w:tc>
                <w:tcPr>
                  <w:tcW w:w="3337"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347"/>
                    <w:rPr>
                      <w:rFonts w:ascii="Times New Roman" w:hAnsi="Times New Roman"/>
                    </w:rPr>
                  </w:pPr>
                  <w:r w:rsidRPr="00A8783E">
                    <w:rPr>
                      <w:rFonts w:ascii="Times New Roman" w:hAnsi="Times New Roman"/>
                    </w:rPr>
                    <w:t>2-Добро - Good</w:t>
                  </w:r>
                </w:p>
              </w:tc>
            </w:tr>
            <w:tr w:rsidR="00A8783E" w:rsidRPr="00A8783E" w:rsidTr="005B5318">
              <w:trPr>
                <w:trHeight w:val="277"/>
                <w:jc w:val="center"/>
              </w:trPr>
              <w:tc>
                <w:tcPr>
                  <w:tcW w:w="3337"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347"/>
                    <w:rPr>
                      <w:rFonts w:ascii="Times New Roman" w:hAnsi="Times New Roman"/>
                    </w:rPr>
                  </w:pPr>
                  <w:r w:rsidRPr="00A8783E">
                    <w:rPr>
                      <w:rFonts w:ascii="Times New Roman" w:hAnsi="Times New Roman"/>
                    </w:rPr>
                    <w:t>3-Умерено - Moderate</w:t>
                  </w:r>
                </w:p>
              </w:tc>
            </w:tr>
            <w:tr w:rsidR="00A8783E" w:rsidRPr="00A8783E" w:rsidTr="005B5318">
              <w:trPr>
                <w:trHeight w:val="277"/>
                <w:jc w:val="center"/>
              </w:trPr>
              <w:tc>
                <w:tcPr>
                  <w:tcW w:w="3337"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347"/>
                    <w:rPr>
                      <w:rFonts w:ascii="Times New Roman" w:hAnsi="Times New Roman"/>
                    </w:rPr>
                  </w:pPr>
                  <w:r w:rsidRPr="00A8783E">
                    <w:rPr>
                      <w:rFonts w:ascii="Times New Roman" w:hAnsi="Times New Roman"/>
                    </w:rPr>
                    <w:t>4-Лошо - Poor</w:t>
                  </w:r>
                </w:p>
              </w:tc>
            </w:tr>
            <w:tr w:rsidR="00A8783E" w:rsidRPr="00A8783E" w:rsidTr="005B5318">
              <w:trPr>
                <w:trHeight w:val="277"/>
                <w:jc w:val="center"/>
              </w:trPr>
              <w:tc>
                <w:tcPr>
                  <w:tcW w:w="333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347"/>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rPr>
              <w:t xml:space="preserve">Екологичното състояние на </w:t>
            </w:r>
            <w:r w:rsidRPr="00A8783E">
              <w:rPr>
                <w:rFonts w:ascii="Times New Roman" w:hAnsi="Times New Roman"/>
              </w:rPr>
              <w:lastRenderedPageBreak/>
              <w:t xml:space="preserve">водите на р. Дунав в пункт „Силистра“ по параметър Макрозообентос е оценено на </w:t>
            </w:r>
            <w:r w:rsidRPr="00A8783E">
              <w:rPr>
                <w:rFonts w:ascii="Times New Roman" w:hAnsi="Times New Roman"/>
                <w:b/>
                <w:bCs/>
              </w:rPr>
              <w:t>умерено (3)</w:t>
            </w:r>
            <w:r w:rsidRPr="00A8783E">
              <w:rPr>
                <w:rFonts w:ascii="Times New Roman" w:hAnsi="Times New Roman"/>
              </w:rPr>
              <w:t xml:space="preserve"> според доклада на JDS4 (2019-2020, табл. 1, стр. 62).</w:t>
            </w:r>
          </w:p>
        </w:tc>
        <w:tc>
          <w:tcPr>
            <w:tcW w:w="240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60" w:line="259" w:lineRule="auto"/>
        <w:rPr>
          <w:rFonts w:ascii="Times New Roman" w:hAnsi="Times New Roman"/>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72" w:name="_Toc89106127"/>
      <w:bookmarkStart w:id="373" w:name="_Toc98741966"/>
      <w:bookmarkStart w:id="374" w:name="_Toc98838641"/>
      <w:r w:rsidRPr="00A8783E">
        <w:rPr>
          <w:rFonts w:ascii="Times New Roman" w:hAnsi="Times New Roman"/>
          <w:color w:val="1F497D"/>
          <w:sz w:val="28"/>
          <w:szCs w:val="28"/>
        </w:rPr>
        <w:t>Специфични цели за А151/</w:t>
      </w:r>
      <w:r w:rsidRPr="00A8783E">
        <w:rPr>
          <w:rFonts w:ascii="Times New Roman" w:hAnsi="Times New Roman"/>
          <w:color w:val="1F497D"/>
          <w:sz w:val="28"/>
          <w:szCs w:val="28"/>
          <w:lang w:val="en-US"/>
        </w:rPr>
        <w:t>A</w:t>
      </w:r>
      <w:r w:rsidRPr="00A8783E">
        <w:rPr>
          <w:rFonts w:ascii="Times New Roman" w:hAnsi="Times New Roman"/>
          <w:color w:val="1F497D"/>
          <w:sz w:val="28"/>
          <w:szCs w:val="28"/>
        </w:rPr>
        <w:t xml:space="preserve">861 </w:t>
      </w:r>
      <w:r w:rsidRPr="00A8783E">
        <w:rPr>
          <w:rFonts w:ascii="Times New Roman" w:hAnsi="Times New Roman"/>
          <w:i/>
          <w:iCs/>
          <w:color w:val="1F497D"/>
          <w:sz w:val="28"/>
          <w:szCs w:val="28"/>
          <w:lang w:val="en-US"/>
        </w:rPr>
        <w:t>Philomachus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pugnax</w:t>
      </w:r>
      <w:r w:rsidRPr="00A8783E">
        <w:rPr>
          <w:rFonts w:ascii="Times New Roman" w:hAnsi="Times New Roman"/>
          <w:i/>
          <w:iCs/>
          <w:color w:val="1F497D"/>
          <w:sz w:val="28"/>
          <w:szCs w:val="28"/>
        </w:rPr>
        <w:t xml:space="preserve"> / </w:t>
      </w:r>
      <w:r w:rsidRPr="00A8783E">
        <w:rPr>
          <w:rFonts w:ascii="Times New Roman" w:hAnsi="Times New Roman"/>
          <w:i/>
          <w:iCs/>
          <w:color w:val="1F497D"/>
          <w:sz w:val="28"/>
          <w:szCs w:val="28"/>
          <w:lang w:val="en-US"/>
        </w:rPr>
        <w:t>Calidris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pugnax</w:t>
      </w:r>
      <w:r w:rsidRPr="00A8783E">
        <w:rPr>
          <w:rFonts w:ascii="Times New Roman" w:hAnsi="Times New Roman"/>
          <w:color w:val="1F497D"/>
          <w:sz w:val="28"/>
          <w:szCs w:val="28"/>
        </w:rPr>
        <w:t xml:space="preserve"> (бойник)</w:t>
      </w:r>
      <w:bookmarkEnd w:id="372"/>
      <w:bookmarkEnd w:id="373"/>
      <w:bookmarkEnd w:id="374"/>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w:t>
      </w:r>
      <w:r w:rsidRPr="00A8783E">
        <w:rPr>
          <w:rFonts w:ascii="Times New Roman" w:hAnsi="Times New Roman"/>
          <w:sz w:val="24"/>
          <w:szCs w:val="24"/>
          <w:lang w:val="ru-RU"/>
        </w:rPr>
        <w:t>22,5</w:t>
      </w:r>
      <w:r w:rsidRPr="00A8783E">
        <w:rPr>
          <w:rFonts w:ascii="Times New Roman" w:hAnsi="Times New Roman"/>
          <w:sz w:val="24"/>
          <w:szCs w:val="24"/>
        </w:rPr>
        <w:t xml:space="preserve"> – 33 cm. Размах на крилата: </w:t>
      </w:r>
      <w:r w:rsidRPr="00A8783E">
        <w:rPr>
          <w:rFonts w:ascii="Times New Roman" w:hAnsi="Times New Roman"/>
          <w:sz w:val="24"/>
          <w:szCs w:val="24"/>
          <w:lang w:val="ru-RU"/>
        </w:rPr>
        <w:t>50 – 59</w:t>
      </w:r>
      <w:r w:rsidRPr="00A8783E">
        <w:rPr>
          <w:rFonts w:ascii="Times New Roman" w:hAnsi="Times New Roman"/>
          <w:sz w:val="24"/>
          <w:szCs w:val="24"/>
        </w:rPr>
        <w:t xml:space="preserve"> </w:t>
      </w:r>
      <w:r w:rsidRPr="00A8783E">
        <w:rPr>
          <w:rFonts w:ascii="Times New Roman" w:hAnsi="Times New Roman"/>
          <w:sz w:val="24"/>
          <w:szCs w:val="24"/>
          <w:lang w:val="en-GB"/>
        </w:rPr>
        <w:t>cm</w:t>
      </w:r>
      <w:r w:rsidRPr="00A8783E">
        <w:rPr>
          <w:rFonts w:ascii="Times New Roman" w:hAnsi="Times New Roman"/>
          <w:sz w:val="24"/>
          <w:szCs w:val="24"/>
        </w:rPr>
        <w:t xml:space="preserve">. Необичаен и характерен вид дъждосвирцова птица, с висока  изменчивост, както по размер, така и по оперение и оцветяване на голите части. През брачния сезон при мъжките индивиди темето, удължените пера на тила, вратът, шията и гушата, а също гърбът и плещите са оцветени изключително разнообразно при различните индивиди. 3имно оперение – тялото отгоре сивокафяво, с тесни белезникави кантове на перата. Вратът сивкав или бял. Страните на главата мръснобели. Долната част на тялото бяла със сивокафяв налеп по гушата, гърдите и страните на корема (Beaman and Madge 1998; </w:t>
      </w:r>
      <w:r w:rsidRPr="00A8783E">
        <w:rPr>
          <w:rFonts w:ascii="Times New Roman" w:hAnsi="Times New Roman"/>
          <w:sz w:val="24"/>
          <w:szCs w:val="24"/>
          <w:lang w:val="en-GB"/>
        </w:rPr>
        <w:t>Message</w:t>
      </w:r>
      <w:r w:rsidRPr="00A8783E">
        <w:rPr>
          <w:rFonts w:ascii="Times New Roman" w:hAnsi="Times New Roman"/>
          <w:sz w:val="24"/>
          <w:szCs w:val="24"/>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w:t>
      </w:r>
      <w:r w:rsidRPr="00A8783E">
        <w:rPr>
          <w:rFonts w:ascii="Times New Roman" w:hAnsi="Times New Roman"/>
          <w:sz w:val="24"/>
          <w:szCs w:val="24"/>
          <w:lang w:val="en-GB"/>
        </w:rPr>
        <w:t>Taylor</w:t>
      </w:r>
      <w:r w:rsidRPr="00A8783E">
        <w:rPr>
          <w:rFonts w:ascii="Times New Roman" w:hAnsi="Times New Roman"/>
          <w:sz w:val="24"/>
          <w:szCs w:val="24"/>
        </w:rPr>
        <w:t xml:space="preserve"> 2005; Нанкинов и др., 1997).</w:t>
      </w:r>
    </w:p>
    <w:p w:rsidR="00A8783E" w:rsidRPr="00A8783E" w:rsidRDefault="00A8783E" w:rsidP="00A8783E">
      <w:pPr>
        <w:spacing w:before="120" w:after="120" w:line="240" w:lineRule="auto"/>
        <w:jc w:val="both"/>
        <w:rPr>
          <w:rFonts w:ascii="Times New Roman" w:hAnsi="Times New Roman"/>
          <w:i/>
          <w:iCs/>
          <w:sz w:val="24"/>
          <w:szCs w:val="24"/>
          <w:lang w:val="ru-RU"/>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В България е прелетен</w:t>
      </w:r>
      <w:r w:rsidRPr="00A8783E">
        <w:rPr>
          <w:rFonts w:ascii="Times New Roman" w:hAnsi="Times New Roman"/>
          <w:sz w:val="24"/>
          <w:szCs w:val="24"/>
          <w:lang w:val="ru-RU"/>
        </w:rPr>
        <w:t xml:space="preserve"> </w:t>
      </w:r>
      <w:r w:rsidRPr="00A8783E">
        <w:rPr>
          <w:rFonts w:ascii="Times New Roman" w:hAnsi="Times New Roman"/>
          <w:sz w:val="24"/>
          <w:szCs w:val="24"/>
        </w:rPr>
        <w:t>и зимуващ</w:t>
      </w:r>
      <w:r w:rsidRPr="00A8783E">
        <w:rPr>
          <w:rFonts w:ascii="Times New Roman" w:hAnsi="Times New Roman"/>
          <w:sz w:val="24"/>
          <w:szCs w:val="24"/>
          <w:lang w:val="ru-RU"/>
        </w:rPr>
        <w:t xml:space="preserve"> </w:t>
      </w:r>
      <w:r w:rsidRPr="00A8783E">
        <w:rPr>
          <w:rFonts w:ascii="Times New Roman" w:hAnsi="Times New Roman"/>
          <w:sz w:val="24"/>
          <w:szCs w:val="24"/>
        </w:rPr>
        <w:t>вид (</w:t>
      </w:r>
      <w:r w:rsidRPr="00A8783E">
        <w:rPr>
          <w:rFonts w:ascii="Times New Roman" w:hAnsi="Times New Roman"/>
          <w:sz w:val="24"/>
          <w:szCs w:val="24"/>
          <w:lang w:val="en-GB"/>
        </w:rPr>
        <w:t>Ivanov</w:t>
      </w:r>
      <w:r w:rsidRPr="00A8783E">
        <w:rPr>
          <w:rFonts w:ascii="Times New Roman" w:hAnsi="Times New Roman"/>
          <w:sz w:val="24"/>
          <w:szCs w:val="24"/>
        </w:rPr>
        <w:t xml:space="preserve"> </w:t>
      </w:r>
      <w:r w:rsidRPr="00A8783E">
        <w:rPr>
          <w:rFonts w:ascii="Times New Roman" w:hAnsi="Times New Roman"/>
          <w:sz w:val="24"/>
          <w:szCs w:val="24"/>
          <w:lang w:val="en-GB"/>
        </w:rPr>
        <w:t>et</w:t>
      </w:r>
      <w:r w:rsidRPr="00A8783E">
        <w:rPr>
          <w:rFonts w:ascii="Times New Roman" w:hAnsi="Times New Roman"/>
          <w:sz w:val="24"/>
          <w:szCs w:val="24"/>
        </w:rPr>
        <w:t xml:space="preserve"> </w:t>
      </w:r>
      <w:r w:rsidRPr="00A8783E">
        <w:rPr>
          <w:rFonts w:ascii="Times New Roman" w:hAnsi="Times New Roman"/>
          <w:sz w:val="24"/>
          <w:szCs w:val="24"/>
          <w:lang w:val="en-GB"/>
        </w:rPr>
        <w:t>al</w:t>
      </w:r>
      <w:r w:rsidRPr="00A8783E">
        <w:rPr>
          <w:rFonts w:ascii="Times New Roman" w:hAnsi="Times New Roman"/>
          <w:sz w:val="24"/>
          <w:szCs w:val="24"/>
        </w:rPr>
        <w:t>., 2014). Палеарктичен вид, разпространен в Евразия от Британските острови на изток до Берингово море.</w:t>
      </w:r>
      <w:r w:rsidRPr="00A8783E">
        <w:rPr>
          <w:rFonts w:ascii="Times New Roman" w:hAnsi="Times New Roman"/>
          <w:color w:val="FF0000"/>
          <w:sz w:val="24"/>
          <w:szCs w:val="24"/>
        </w:rPr>
        <w:t xml:space="preserve"> </w:t>
      </w:r>
      <w:r w:rsidRPr="00A8783E">
        <w:rPr>
          <w:rFonts w:ascii="Times New Roman" w:hAnsi="Times New Roman"/>
          <w:sz w:val="24"/>
          <w:szCs w:val="24"/>
        </w:rPr>
        <w:t xml:space="preserve">Мигрира на широк фронт в цяла Европа. Гнезди от май до август, като мъжките се събират в подходящи токовища, а женските гнездят самостоятелно или в полуколониални групи </w:t>
      </w:r>
      <w:r w:rsidRPr="00A8783E">
        <w:rPr>
          <w:rFonts w:ascii="Times New Roman" w:hAnsi="Times New Roman"/>
          <w:sz w:val="24"/>
          <w:szCs w:val="24"/>
          <w:lang w:val="ru-RU"/>
        </w:rPr>
        <w:t xml:space="preserve">(BirdLife International 2016; </w:t>
      </w:r>
      <w:r w:rsidRPr="00A8783E">
        <w:rPr>
          <w:rFonts w:ascii="Times New Roman" w:hAnsi="Times New Roman"/>
          <w:sz w:val="24"/>
          <w:szCs w:val="24"/>
        </w:rPr>
        <w:t>Нанкинов и др. 1997). Многочислена птица по Черноморското, а също около подходящи водоеми по Дунавското крайбрежие и в страната.</w:t>
      </w:r>
    </w:p>
    <w:p w:rsidR="00A8783E" w:rsidRPr="00A8783E" w:rsidRDefault="00A8783E" w:rsidP="00A8783E">
      <w:pPr>
        <w:spacing w:before="120" w:after="120" w:line="240" w:lineRule="auto"/>
        <w:jc w:val="both"/>
        <w:rPr>
          <w:rFonts w:ascii="Times New Roman" w:hAnsi="Times New Roman"/>
          <w:i/>
          <w:iCs/>
          <w:sz w:val="24"/>
          <w:szCs w:val="24"/>
          <w:lang w:val="ru-RU"/>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Евритопна птица, която се среща по морския бряг, езера, сегашни и бивши блата, мочурища, влажни ливади, хвостохранилища, старѝци, разливи и делти на реки, язовири, рибарници, оризища, канали с тинесто дъно, по-малки или временно образувани водоеми сред полета, по пасища, в покрайнините на населените пунктове и др. (</w:t>
      </w:r>
      <w:bookmarkStart w:id="375" w:name="_Hlk84455172"/>
      <w:r w:rsidRPr="00A8783E">
        <w:rPr>
          <w:rFonts w:ascii="Times New Roman" w:hAnsi="Times New Roman"/>
          <w:sz w:val="24"/>
          <w:szCs w:val="24"/>
          <w:lang w:val="ru-RU"/>
        </w:rPr>
        <w:t>Нанкинов и др., 1997</w:t>
      </w:r>
      <w:bookmarkEnd w:id="375"/>
      <w:r w:rsidRPr="00A8783E">
        <w:rPr>
          <w:rFonts w:ascii="Times New Roman" w:hAnsi="Times New Roman"/>
          <w:sz w:val="24"/>
          <w:szCs w:val="24"/>
        </w:rPr>
        <w:t>). Подходящите местообитания включват голям брой крайбрежни влажни зони: 1110, 1130, 1140, 1150, 1160, съгласно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lang w:val="ru-RU"/>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Основната храна са водни и наземни насекоми и техните ларви: комари, бръмбари, ручейници, дървеници, скакалци, а също дребни миди, охлюви, ракообразни, дъждовни червеи, рядко семена и зелени части на плевелни и културни растения (</w:t>
      </w:r>
      <w:r w:rsidRPr="00A8783E">
        <w:rPr>
          <w:rFonts w:ascii="Times New Roman" w:hAnsi="Times New Roman"/>
          <w:sz w:val="24"/>
          <w:szCs w:val="24"/>
          <w:lang w:val="ru-RU"/>
        </w:rPr>
        <w:t>Нанкинов и др. 1997</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Среща се с най-висока плътност по Черноморието в района на Атанасовско езеро, Бургаско езеро, Комплекс Мандра-Пода, Поморийско езеро, Варненско-Белославско езеро, Дуранкулашко и Шабленско езеро по време на миграция, пролет – от февруари до май, и есен – от август до ноември, както и с по-ниска численост около естествени и изкуствени водоеми из страната – Обнова, комплекс Калимок, язовир Пясъчник, рибарници Мечка, рибарници Хаджи Димитрово, к-с Камчия </w:t>
      </w:r>
      <w:r w:rsidRPr="00A8783E">
        <w:rPr>
          <w:rFonts w:ascii="Times New Roman" w:hAnsi="Times New Roman"/>
          <w:sz w:val="24"/>
          <w:szCs w:val="24"/>
          <w:lang w:val="ru-RU"/>
        </w:rPr>
        <w:t xml:space="preserve">(Dimitrov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xml:space="preserve">. 2005; </w:t>
      </w:r>
      <w:r w:rsidRPr="00A8783E">
        <w:rPr>
          <w:rFonts w:ascii="Times New Roman" w:hAnsi="Times New Roman"/>
          <w:sz w:val="24"/>
          <w:szCs w:val="24"/>
        </w:rPr>
        <w:t>Костадинова, Граматиков</w:t>
      </w:r>
      <w:r w:rsidRPr="00A8783E">
        <w:rPr>
          <w:rFonts w:ascii="Times New Roman" w:hAnsi="Times New Roman"/>
          <w:sz w:val="24"/>
          <w:szCs w:val="24"/>
          <w:lang w:val="ru-RU"/>
        </w:rPr>
        <w:t xml:space="preserve"> </w:t>
      </w:r>
      <w:r w:rsidRPr="00A8783E">
        <w:rPr>
          <w:rFonts w:ascii="Times New Roman" w:hAnsi="Times New Roman"/>
          <w:sz w:val="24"/>
          <w:szCs w:val="24"/>
        </w:rPr>
        <w:t xml:space="preserve">2007; </w:t>
      </w:r>
      <w:r w:rsidRPr="00A8783E">
        <w:rPr>
          <w:rFonts w:ascii="Times New Roman" w:hAnsi="Times New Roman"/>
          <w:sz w:val="24"/>
          <w:szCs w:val="24"/>
          <w:lang w:val="ru-RU"/>
        </w:rPr>
        <w:t>Нанкинов и др., 1997)</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Включен в Приложения 1 и 2Б</w:t>
      </w:r>
      <w:r w:rsidRPr="00A8783E">
        <w:rPr>
          <w:rFonts w:ascii="Times New Roman" w:hAnsi="Times New Roman"/>
          <w:sz w:val="24"/>
          <w:szCs w:val="24"/>
          <w:lang w:val="ru-RU"/>
        </w:rPr>
        <w:t xml:space="preserve"> </w:t>
      </w:r>
      <w:r w:rsidRPr="00A8783E">
        <w:rPr>
          <w:rFonts w:ascii="Times New Roman" w:hAnsi="Times New Roman"/>
          <w:sz w:val="24"/>
          <w:szCs w:val="24"/>
        </w:rPr>
        <w:t xml:space="preserve">на Директивата за птиците. Според </w:t>
      </w:r>
      <w:r w:rsidRPr="00A8783E">
        <w:rPr>
          <w:rFonts w:ascii="Times New Roman" w:hAnsi="Times New Roman"/>
          <w:sz w:val="24"/>
          <w:szCs w:val="24"/>
          <w:lang w:val="en-GB"/>
        </w:rPr>
        <w:t>IUCN</w:t>
      </w:r>
      <w:r w:rsidRPr="00A8783E">
        <w:rPr>
          <w:rFonts w:ascii="Times New Roman" w:hAnsi="Times New Roman"/>
          <w:sz w:val="24"/>
          <w:szCs w:val="24"/>
        </w:rPr>
        <w:t xml:space="preserve"> видът </w:t>
      </w:r>
      <w:r w:rsidRPr="00A8783E">
        <w:rPr>
          <w:rFonts w:ascii="Times New Roman" w:hAnsi="Times New Roman"/>
          <w:sz w:val="24"/>
          <w:szCs w:val="24"/>
          <w:lang w:val="en-US"/>
        </w:rPr>
        <w:t>e</w:t>
      </w:r>
      <w:r w:rsidRPr="00A8783E">
        <w:rPr>
          <w:rFonts w:ascii="Times New Roman" w:hAnsi="Times New Roman"/>
          <w:sz w:val="24"/>
          <w:szCs w:val="24"/>
        </w:rPr>
        <w:t xml:space="preserve"> Слабо засегнат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rPr>
        <w:t xml:space="preserve"> </w:t>
      </w:r>
      <w:r w:rsidRPr="00A8783E">
        <w:rPr>
          <w:rFonts w:ascii="Times New Roman" w:hAnsi="Times New Roman"/>
          <w:sz w:val="24"/>
          <w:szCs w:val="24"/>
          <w:lang w:val="en-GB"/>
        </w:rPr>
        <w:t>Concern</w:t>
      </w:r>
      <w:r w:rsidRPr="00A8783E">
        <w:rPr>
          <w:rFonts w:ascii="Times New Roman" w:hAnsi="Times New Roman"/>
          <w:sz w:val="24"/>
          <w:szCs w:val="24"/>
        </w:rPr>
        <w:t xml:space="preserve">), за територията на континентална Европа –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rPr>
        <w:t xml:space="preserve"> </w:t>
      </w:r>
      <w:r w:rsidRPr="00A8783E">
        <w:rPr>
          <w:rFonts w:ascii="Times New Roman" w:hAnsi="Times New Roman"/>
          <w:sz w:val="24"/>
          <w:szCs w:val="24"/>
          <w:lang w:val="en-GB"/>
        </w:rPr>
        <w:t>Concern</w:t>
      </w:r>
      <w:r w:rsidRPr="00A8783E">
        <w:rPr>
          <w:rFonts w:ascii="Times New Roman" w:hAnsi="Times New Roman"/>
          <w:sz w:val="24"/>
          <w:szCs w:val="24"/>
        </w:rPr>
        <w:t xml:space="preserve">). </w:t>
      </w:r>
      <w:r w:rsidRPr="00A8783E">
        <w:rPr>
          <w:rFonts w:ascii="Times New Roman" w:hAnsi="Times New Roman"/>
          <w:sz w:val="24"/>
          <w:szCs w:val="24"/>
          <w:lang w:val="en-GB"/>
        </w:rPr>
        <w:t>SPEC</w:t>
      </w:r>
      <w:r w:rsidRPr="00A8783E">
        <w:rPr>
          <w:rFonts w:ascii="Times New Roman" w:hAnsi="Times New Roman"/>
          <w:sz w:val="24"/>
          <w:szCs w:val="24"/>
          <w:lang w:val="ru-RU"/>
        </w:rPr>
        <w:t xml:space="preserve"> 2</w:t>
      </w:r>
      <w:r w:rsidRPr="00A8783E">
        <w:rPr>
          <w:rFonts w:ascii="Times New Roman" w:hAnsi="Times New Roman"/>
          <w:sz w:val="24"/>
          <w:szCs w:val="24"/>
        </w:rPr>
        <w:t xml:space="preserve"> категория (BirdLife International 2017). Не е включен в Червената книга на България.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2013 – 2018 г.) националната </w:t>
      </w:r>
      <w:r w:rsidRPr="00A8783E">
        <w:rPr>
          <w:rFonts w:ascii="Times New Roman" w:hAnsi="Times New Roman"/>
          <w:b/>
          <w:sz w:val="24"/>
          <w:szCs w:val="24"/>
        </w:rPr>
        <w:t>зимуваща</w:t>
      </w:r>
      <w:r w:rsidRPr="00A8783E">
        <w:rPr>
          <w:rFonts w:ascii="Times New Roman" w:hAnsi="Times New Roman"/>
          <w:sz w:val="24"/>
          <w:szCs w:val="24"/>
        </w:rPr>
        <w:t xml:space="preserve"> популация на вида се оценя на </w:t>
      </w:r>
      <w:r w:rsidRPr="00A8783E">
        <w:rPr>
          <w:rFonts w:ascii="Times New Roman" w:hAnsi="Times New Roman"/>
          <w:sz w:val="24"/>
          <w:szCs w:val="24"/>
          <w:lang w:val="ru-RU"/>
        </w:rPr>
        <w:t>10</w:t>
      </w:r>
      <w:r w:rsidRPr="00A8783E">
        <w:rPr>
          <w:rFonts w:ascii="Times New Roman" w:hAnsi="Times New Roman"/>
          <w:sz w:val="24"/>
          <w:szCs w:val="24"/>
        </w:rPr>
        <w:t xml:space="preserve"> – </w:t>
      </w:r>
      <w:r w:rsidRPr="00A8783E">
        <w:rPr>
          <w:rFonts w:ascii="Times New Roman" w:hAnsi="Times New Roman"/>
          <w:sz w:val="24"/>
          <w:szCs w:val="24"/>
          <w:lang w:val="ru-RU"/>
        </w:rPr>
        <w:t>60</w:t>
      </w:r>
      <w:r w:rsidRPr="00A8783E">
        <w:rPr>
          <w:rFonts w:ascii="Times New Roman" w:hAnsi="Times New Roman"/>
          <w:sz w:val="24"/>
          <w:szCs w:val="24"/>
        </w:rPr>
        <w:t xml:space="preserve"> индивида. Краткосрочната тенденция (за периода 2000 – 2018) за популацията е </w:t>
      </w:r>
      <w:r w:rsidRPr="00A8783E">
        <w:rPr>
          <w:rFonts w:ascii="Times New Roman" w:hAnsi="Times New Roman"/>
          <w:bCs/>
          <w:sz w:val="24"/>
          <w:szCs w:val="24"/>
        </w:rPr>
        <w:t>флуктуираща</w:t>
      </w:r>
      <w:r w:rsidRPr="00A8783E">
        <w:rPr>
          <w:rFonts w:ascii="Times New Roman" w:hAnsi="Times New Roman"/>
          <w:sz w:val="24"/>
          <w:szCs w:val="24"/>
        </w:rPr>
        <w:t xml:space="preserve">, дългосрочната (за периода 1980 – 2018) също е </w:t>
      </w:r>
      <w:r w:rsidRPr="00A8783E">
        <w:rPr>
          <w:rFonts w:ascii="Times New Roman" w:hAnsi="Times New Roman"/>
          <w:bCs/>
          <w:sz w:val="24"/>
          <w:szCs w:val="24"/>
        </w:rPr>
        <w:t>флуктуираща</w:t>
      </w:r>
      <w:r w:rsidRPr="00A8783E">
        <w:rPr>
          <w:rFonts w:ascii="Times New Roman" w:hAnsi="Times New Roman"/>
          <w:sz w:val="24"/>
          <w:szCs w:val="24"/>
        </w:rPr>
        <w:t>.</w:t>
      </w:r>
      <w:r w:rsidRPr="00A8783E">
        <w:rPr>
          <w:rFonts w:cs="Calibri"/>
        </w:rPr>
        <w:t xml:space="preserve"> </w:t>
      </w:r>
      <w:r w:rsidRPr="00A8783E">
        <w:rPr>
          <w:rFonts w:ascii="Times New Roman" w:hAnsi="Times New Roman"/>
          <w:sz w:val="24"/>
          <w:szCs w:val="24"/>
        </w:rPr>
        <w:t>Посочени са следните заплахи и влияния: F03.</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Съгласно Докладването от 2019 г. (за периода 200</w:t>
      </w:r>
      <w:r w:rsidRPr="00A8783E">
        <w:rPr>
          <w:rFonts w:ascii="Times New Roman" w:hAnsi="Times New Roman"/>
          <w:sz w:val="24"/>
          <w:szCs w:val="24"/>
          <w:lang w:val="ru-RU"/>
        </w:rPr>
        <w:t>1</w:t>
      </w:r>
      <w:r w:rsidRPr="00A8783E">
        <w:rPr>
          <w:rFonts w:ascii="Times New Roman" w:hAnsi="Times New Roman"/>
          <w:sz w:val="24"/>
          <w:szCs w:val="24"/>
        </w:rPr>
        <w:t xml:space="preserve"> – 2018 г.) националната </w:t>
      </w:r>
      <w:r w:rsidRPr="00A8783E">
        <w:rPr>
          <w:rFonts w:ascii="Times New Roman" w:hAnsi="Times New Roman"/>
          <w:b/>
          <w:sz w:val="24"/>
          <w:szCs w:val="24"/>
        </w:rPr>
        <w:t>мигрираща</w:t>
      </w:r>
      <w:r w:rsidRPr="00A8783E">
        <w:rPr>
          <w:rFonts w:ascii="Times New Roman" w:hAnsi="Times New Roman"/>
          <w:sz w:val="24"/>
          <w:szCs w:val="24"/>
        </w:rPr>
        <w:t xml:space="preserve"> популация на вида се оценя на </w:t>
      </w:r>
      <w:r w:rsidRPr="00A8783E">
        <w:rPr>
          <w:rFonts w:ascii="Times New Roman" w:hAnsi="Times New Roman"/>
          <w:sz w:val="24"/>
          <w:szCs w:val="24"/>
          <w:lang w:val="ru-RU"/>
        </w:rPr>
        <w:t>20000</w:t>
      </w:r>
      <w:r w:rsidRPr="00A8783E">
        <w:rPr>
          <w:rFonts w:ascii="Times New Roman" w:hAnsi="Times New Roman"/>
          <w:sz w:val="24"/>
          <w:szCs w:val="24"/>
        </w:rPr>
        <w:t xml:space="preserve"> – </w:t>
      </w:r>
      <w:r w:rsidRPr="00A8783E">
        <w:rPr>
          <w:rFonts w:ascii="Times New Roman" w:hAnsi="Times New Roman"/>
          <w:sz w:val="24"/>
          <w:szCs w:val="24"/>
          <w:lang w:val="ru-RU"/>
        </w:rPr>
        <w:t>450</w:t>
      </w:r>
      <w:r w:rsidRPr="00A8783E">
        <w:rPr>
          <w:rFonts w:ascii="Times New Roman" w:hAnsi="Times New Roman"/>
          <w:sz w:val="24"/>
          <w:szCs w:val="24"/>
        </w:rPr>
        <w:t xml:space="preserve">00 индивида. Краткосрочната тенденция (за периода 2001 – 2018) в популацията е </w:t>
      </w:r>
      <w:r w:rsidRPr="00A8783E">
        <w:rPr>
          <w:rFonts w:ascii="Times New Roman" w:hAnsi="Times New Roman"/>
          <w:bCs/>
          <w:sz w:val="24"/>
          <w:szCs w:val="24"/>
        </w:rPr>
        <w:t>неизвестна</w:t>
      </w:r>
      <w:r w:rsidRPr="00A8783E">
        <w:rPr>
          <w:rFonts w:ascii="Times New Roman" w:hAnsi="Times New Roman"/>
          <w:sz w:val="24"/>
          <w:szCs w:val="24"/>
        </w:rPr>
        <w:t xml:space="preserve"> както и дългосрочната (за периода 1980 – 2018) също е </w:t>
      </w:r>
      <w:r w:rsidRPr="00A8783E">
        <w:rPr>
          <w:rFonts w:ascii="Times New Roman" w:hAnsi="Times New Roman"/>
          <w:bCs/>
          <w:sz w:val="24"/>
          <w:szCs w:val="24"/>
        </w:rPr>
        <w:t xml:space="preserve">неизвестна. </w:t>
      </w:r>
      <w:r w:rsidRPr="00A8783E">
        <w:rPr>
          <w:rFonts w:ascii="Times New Roman" w:hAnsi="Times New Roman"/>
          <w:sz w:val="24"/>
          <w:szCs w:val="24"/>
        </w:rPr>
        <w:t>Посочени са следните заплахи и влияния</w:t>
      </w:r>
      <w:r w:rsidRPr="00A8783E">
        <w:rPr>
          <w:rFonts w:ascii="Times New Roman" w:hAnsi="Times New Roman"/>
          <w:sz w:val="24"/>
          <w:szCs w:val="24"/>
          <w:lang w:val="ru-RU"/>
        </w:rPr>
        <w:t xml:space="preserve">: F26 и </w:t>
      </w:r>
      <w:r w:rsidRPr="00A8783E">
        <w:rPr>
          <w:rFonts w:ascii="Times New Roman" w:hAnsi="Times New Roman"/>
          <w:sz w:val="24"/>
          <w:szCs w:val="24"/>
          <w:lang w:val="en-GB"/>
        </w:rPr>
        <w:t>F</w:t>
      </w:r>
      <w:r w:rsidRPr="00A8783E">
        <w:rPr>
          <w:rFonts w:ascii="Times New Roman" w:hAnsi="Times New Roman"/>
          <w:sz w:val="24"/>
          <w:szCs w:val="24"/>
          <w:lang w:val="ru-RU"/>
        </w:rPr>
        <w:t>03</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мигриращ</w:t>
      </w:r>
      <w:r w:rsidRPr="00A8783E">
        <w:rPr>
          <w:rFonts w:ascii="Times New Roman" w:hAnsi="Times New Roman"/>
          <w:sz w:val="24"/>
          <w:szCs w:val="24"/>
        </w:rPr>
        <w:t>, като популацията се оценява на до 12 индивида, което представлява 0,02 – 0,06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Чест и многочислен пролетен и много рядък есенен мигрант. Особено чест е между селата Обнова и Българене и между селата Загражден и Дъбован (Шурулинков и др. 2005). По време на миграция се среща основно по влажните зони на Черноморското крайбрежие. Относително обикновен мигрант в Бургаските влажни зони, като през пролетта максималните стойности са 2422 инд., а през есента – 2046 инд. (Dimitrov et al., 2005).Според Костадинова, Граматиков (2007), видът присъства в зоната по време на миграция с 0-12 индивида. Не са извършени теренни наблюдения по време на миграция през 2021 г. в зоната.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данни  от eBird, видът е наблюдаван в зоната през август 1998 г.- 5 инд., през  април  2016  г.- 150 инд., през март  2021 г.- 22 инд. и през май 2021 г. – 1 инд. По данни  от https://observation.org  за 2021 г., видът е наблюдаван в зоната през февруари – 8 инд., март - 150 инд. и юли – 2 инд. Липсват други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Посочените заплахи за мигриращата популация </w:t>
      </w:r>
      <w:r w:rsidRPr="00A8783E">
        <w:rPr>
          <w:rFonts w:ascii="Times New Roman" w:hAnsi="Times New Roman"/>
          <w:sz w:val="24"/>
          <w:szCs w:val="24"/>
          <w:lang w:val="en-US"/>
        </w:rPr>
        <w:t>F</w:t>
      </w:r>
      <w:r w:rsidRPr="00A8783E">
        <w:rPr>
          <w:rFonts w:ascii="Times New Roman" w:hAnsi="Times New Roman"/>
          <w:sz w:val="24"/>
          <w:szCs w:val="24"/>
        </w:rPr>
        <w:t xml:space="preserve">26 и </w:t>
      </w:r>
      <w:r w:rsidRPr="00A8783E">
        <w:rPr>
          <w:rFonts w:ascii="Times New Roman" w:hAnsi="Times New Roman"/>
          <w:sz w:val="24"/>
          <w:szCs w:val="24"/>
          <w:lang w:val="en-US"/>
        </w:rPr>
        <w:t>F</w:t>
      </w:r>
      <w:r w:rsidRPr="00A8783E">
        <w:rPr>
          <w:rFonts w:ascii="Times New Roman" w:hAnsi="Times New Roman"/>
          <w:sz w:val="24"/>
          <w:szCs w:val="24"/>
        </w:rPr>
        <w:t>03 в докладването по чл. 12 от 2019 г. за вида, нямат отношение към зоната.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2"/>
        <w:gridCol w:w="1134"/>
        <w:gridCol w:w="1276"/>
        <w:gridCol w:w="2693"/>
        <w:gridCol w:w="2339"/>
      </w:tblGrid>
      <w:tr w:rsidR="00A8783E" w:rsidRPr="00A8783E" w:rsidTr="005B5318">
        <w:trPr>
          <w:tblHeader/>
          <w:jc w:val="center"/>
        </w:trPr>
        <w:tc>
          <w:tcPr>
            <w:tcW w:w="1772"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lastRenderedPageBreak/>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693"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339"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77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Популация</w:t>
            </w:r>
            <w:r w:rsidRPr="00A8783E">
              <w:rPr>
                <w:rFonts w:ascii="Times New Roman" w:hAnsi="Times New Roman"/>
              </w:rPr>
              <w:t>: Размер на мигриращата популация</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до </w:t>
            </w:r>
            <w:r w:rsidRPr="00A8783E">
              <w:rPr>
                <w:rFonts w:ascii="Times New Roman" w:hAnsi="Times New Roman"/>
                <w:lang w:val="en-US"/>
              </w:rPr>
              <w:t>12</w:t>
            </w:r>
            <w:r w:rsidRPr="00A8783E">
              <w:rPr>
                <w:rFonts w:ascii="Times New Roman" w:hAnsi="Times New Roman"/>
              </w:rPr>
              <w:t xml:space="preserve"> инд. </w:t>
            </w:r>
          </w:p>
        </w:tc>
        <w:tc>
          <w:tcPr>
            <w:tcW w:w="269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 СФ за концентрацията на вида в зоната е посочена максимална численост 12 инд. Липсват други публикувани данни за концентрацията на вида в зоната, поради което се налага поставянето на междинна цел до 2025 г. </w:t>
            </w:r>
          </w:p>
        </w:tc>
        <w:tc>
          <w:tcPr>
            <w:tcW w:w="233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до 2025 г.: провеждане на проучване за установяване на текущата миграционна численост на вида в зоната.</w:t>
            </w:r>
          </w:p>
        </w:tc>
      </w:tr>
      <w:tr w:rsidR="00A8783E" w:rsidRPr="00A8783E" w:rsidTr="005B5318">
        <w:trPr>
          <w:trHeight w:val="381"/>
          <w:jc w:val="center"/>
        </w:trPr>
        <w:tc>
          <w:tcPr>
            <w:tcW w:w="177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Местообитание на вида</w:t>
            </w:r>
            <w:r w:rsidRPr="00A8783E">
              <w:rPr>
                <w:rFonts w:ascii="Times New Roman" w:hAnsi="Times New Roman"/>
              </w:rPr>
              <w:t xml:space="preserve">: Площ на подходящите хранителни местообитания на вида </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ha</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 xml:space="preserve">Най-малко </w:t>
            </w:r>
            <w:r w:rsidRPr="00A8783E">
              <w:rPr>
                <w:rFonts w:ascii="Times New Roman" w:hAnsi="Times New Roman"/>
              </w:rPr>
              <w:t>565</w:t>
            </w:r>
          </w:p>
        </w:tc>
        <w:tc>
          <w:tcPr>
            <w:tcW w:w="269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Изчислена на база % участие на местообитание N07-мочурища и блата. По време на миграция вида използва голямо разнообразие от местообитания за търсене на храна.</w:t>
            </w:r>
          </w:p>
        </w:tc>
        <w:tc>
          <w:tcPr>
            <w:tcW w:w="233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най-малко 565 ha. чрез поддържане на оптимално водно ниво в зоната.</w:t>
            </w:r>
          </w:p>
        </w:tc>
      </w:tr>
      <w:tr w:rsidR="00A8783E" w:rsidRPr="00A8783E" w:rsidTr="005B5318">
        <w:trPr>
          <w:trHeight w:val="381"/>
          <w:jc w:val="center"/>
        </w:trPr>
        <w:tc>
          <w:tcPr>
            <w:tcW w:w="177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Екологично състояние на водните тела с местообитания на вида, по биологичен елемент риби (JDS4-Макрозообентос)</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 степенна скала</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2-Добро или 1-Отлично</w:t>
            </w:r>
          </w:p>
        </w:tc>
        <w:tc>
          <w:tcPr>
            <w:tcW w:w="2693" w:type="dxa"/>
          </w:tcPr>
          <w:tbl>
            <w:tblPr>
              <w:tblW w:w="2642" w:type="dxa"/>
              <w:tblInd w:w="3" w:type="dxa"/>
              <w:tblLayout w:type="fixed"/>
              <w:tblCellMar>
                <w:left w:w="70" w:type="dxa"/>
                <w:right w:w="70" w:type="dxa"/>
              </w:tblCellMar>
              <w:tblLook w:val="00A0" w:firstRow="1" w:lastRow="0" w:firstColumn="1" w:lastColumn="0" w:noHBand="0" w:noVBand="0"/>
            </w:tblPr>
            <w:tblGrid>
              <w:gridCol w:w="2642"/>
            </w:tblGrid>
            <w:tr w:rsidR="00A8783E" w:rsidRPr="00A8783E" w:rsidTr="005B5318">
              <w:trPr>
                <w:trHeight w:val="288"/>
              </w:trPr>
              <w:tc>
                <w:tcPr>
                  <w:tcW w:w="2642"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88"/>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1-Отлично - High</w:t>
                  </w:r>
                </w:p>
              </w:tc>
            </w:tr>
            <w:tr w:rsidR="00A8783E" w:rsidRPr="00A8783E" w:rsidTr="005B5318">
              <w:trPr>
                <w:trHeight w:val="288"/>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2-Добро - Good</w:t>
                  </w:r>
                </w:p>
              </w:tc>
            </w:tr>
            <w:tr w:rsidR="00A8783E" w:rsidRPr="00A8783E" w:rsidTr="005B5318">
              <w:trPr>
                <w:trHeight w:val="288"/>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3-Умерено - Moderate</w:t>
                  </w:r>
                </w:p>
              </w:tc>
            </w:tr>
            <w:tr w:rsidR="00A8783E" w:rsidRPr="00A8783E" w:rsidTr="005B5318">
              <w:trPr>
                <w:trHeight w:val="288"/>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4-Лошо - Poor</w:t>
                  </w:r>
                </w:p>
              </w:tc>
            </w:tr>
            <w:tr w:rsidR="00A8783E" w:rsidRPr="00A8783E" w:rsidTr="005B5318">
              <w:trPr>
                <w:trHeight w:val="288"/>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rPr>
                      <w:rFonts w:ascii="Times New Roman" w:hAnsi="Times New Roman"/>
                    </w:rPr>
                  </w:pPr>
                  <w:r w:rsidRPr="00A8783E">
                    <w:rPr>
                      <w:rFonts w:ascii="Times New Roman" w:hAnsi="Times New Roman"/>
                    </w:rPr>
                    <w:t>5-Много лошо - Bad</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Според данните от биологичния мониторинг на повърхностните води през 2020 г. ЕС на ез. Сребърна е определено като </w:t>
            </w:r>
            <w:r w:rsidRPr="00A8783E">
              <w:rPr>
                <w:rFonts w:ascii="Times New Roman" w:hAnsi="Times New Roman"/>
                <w:b/>
              </w:rPr>
              <w:t>Отлично</w:t>
            </w:r>
            <w:r w:rsidRPr="00A8783E">
              <w:rPr>
                <w:rFonts w:ascii="Times New Roman" w:hAnsi="Times New Roman"/>
              </w:rPr>
              <w:t xml:space="preserve"> по БЕК Макрозообентос.</w:t>
            </w:r>
          </w:p>
        </w:tc>
        <w:tc>
          <w:tcPr>
            <w:tcW w:w="233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A8783E" w:rsidRPr="00A8783E" w:rsidRDefault="00A8783E" w:rsidP="00A8783E">
      <w:pPr>
        <w:spacing w:after="160" w:line="259" w:lineRule="auto"/>
        <w:rPr>
          <w:rFonts w:ascii="Times New Roman" w:hAnsi="Times New Roman"/>
          <w:sz w:val="24"/>
          <w:szCs w:val="24"/>
          <w:lang w:val="ru-RU"/>
        </w:rPr>
      </w:pPr>
    </w:p>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t xml:space="preserve">6. Необходимост от промени в СФ за (СЗЗ) </w:t>
      </w:r>
      <w:r w:rsidRPr="00A8783E">
        <w:rPr>
          <w:rFonts w:ascii="Times New Roman" w:hAnsi="Times New Roman"/>
          <w:b/>
          <w:bCs/>
          <w:sz w:val="24"/>
          <w:szCs w:val="24"/>
        </w:rPr>
        <w:t>BG0000241 „Сребърна“</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Актуализиране на кода (</w:t>
      </w:r>
      <w:r w:rsidRPr="00A8783E">
        <w:rPr>
          <w:rFonts w:ascii="Times New Roman" w:hAnsi="Times New Roman"/>
          <w:sz w:val="24"/>
          <w:szCs w:val="24"/>
          <w:lang w:val="en-GB"/>
        </w:rPr>
        <w:t>code</w:t>
      </w:r>
      <w:r w:rsidRPr="00A8783E">
        <w:rPr>
          <w:rFonts w:ascii="Times New Roman" w:hAnsi="Times New Roman"/>
          <w:sz w:val="24"/>
          <w:szCs w:val="24"/>
        </w:rPr>
        <w:t>) и научното наименование (Scientific Name), съобразно Докладването от 2019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175"/>
        <w:gridCol w:w="175"/>
        <w:gridCol w:w="572"/>
        <w:gridCol w:w="605"/>
        <w:gridCol w:w="594"/>
        <w:gridCol w:w="578"/>
        <w:gridCol w:w="839"/>
        <w:gridCol w:w="950"/>
        <w:gridCol w:w="622"/>
        <w:gridCol w:w="522"/>
        <w:gridCol w:w="578"/>
      </w:tblGrid>
      <w:tr w:rsidR="00A8783E" w:rsidRPr="00A8783E" w:rsidTr="005B5318">
        <w:trPr>
          <w:jc w:val="center"/>
        </w:trPr>
        <w:tc>
          <w:tcPr>
            <w:tcW w:w="0" w:type="auto"/>
            <w:gridSpan w:val="6"/>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Species</w:t>
            </w:r>
          </w:p>
        </w:tc>
        <w:tc>
          <w:tcPr>
            <w:tcW w:w="0" w:type="auto"/>
            <w:gridSpan w:val="6"/>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Population in the site</w:t>
            </w:r>
          </w:p>
        </w:tc>
        <w:tc>
          <w:tcPr>
            <w:tcW w:w="0" w:type="auto"/>
            <w:gridSpan w:val="4"/>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G</w:t>
            </w:r>
          </w:p>
        </w:tc>
        <w:tc>
          <w:tcPr>
            <w:tcW w:w="0" w:type="auto"/>
            <w:vMerge w:val="restart"/>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Code</w:t>
            </w:r>
          </w:p>
        </w:tc>
        <w:tc>
          <w:tcPr>
            <w:tcW w:w="0" w:type="auto"/>
            <w:vMerge w:val="restart"/>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Scientific Name</w:t>
            </w:r>
          </w:p>
        </w:tc>
        <w:tc>
          <w:tcPr>
            <w:tcW w:w="0" w:type="auto"/>
            <w:vMerge w:val="restart"/>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S</w:t>
            </w:r>
          </w:p>
        </w:tc>
        <w:tc>
          <w:tcPr>
            <w:tcW w:w="0" w:type="auto"/>
            <w:vMerge w:val="restart"/>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NP</w:t>
            </w:r>
          </w:p>
        </w:tc>
        <w:tc>
          <w:tcPr>
            <w:tcW w:w="0" w:type="auto"/>
            <w:gridSpan w:val="2"/>
            <w:vMerge w:val="restart"/>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T</w:t>
            </w:r>
          </w:p>
        </w:tc>
        <w:tc>
          <w:tcPr>
            <w:tcW w:w="0" w:type="auto"/>
            <w:gridSpan w:val="2"/>
            <w:shd w:val="clear" w:color="auto" w:fill="D9D9D9"/>
            <w:vAlign w:val="center"/>
          </w:tcPr>
          <w:p w:rsidR="00A8783E" w:rsidRPr="00A8783E" w:rsidRDefault="00A8783E" w:rsidP="00A8783E">
            <w:pPr>
              <w:spacing w:after="120" w:line="240" w:lineRule="auto"/>
              <w:jc w:val="center"/>
              <w:rPr>
                <w:rFonts w:ascii="Times New Roman" w:hAnsi="Times New Roman"/>
                <w:b/>
                <w:bCs/>
                <w:sz w:val="20"/>
                <w:szCs w:val="20"/>
                <w:lang w:val="en-US" w:eastAsia="en-GB"/>
              </w:rPr>
            </w:pPr>
            <w:r w:rsidRPr="00A8783E">
              <w:rPr>
                <w:rFonts w:ascii="Times New Roman" w:hAnsi="Times New Roman"/>
                <w:b/>
                <w:bCs/>
                <w:sz w:val="20"/>
                <w:szCs w:val="20"/>
                <w:lang w:val="en-US" w:eastAsia="en-GB"/>
              </w:rPr>
              <w:t>Size</w:t>
            </w:r>
          </w:p>
        </w:tc>
        <w:tc>
          <w:tcPr>
            <w:tcW w:w="0" w:type="auto"/>
            <w:vMerge w:val="restart"/>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Unit</w:t>
            </w:r>
          </w:p>
        </w:tc>
        <w:tc>
          <w:tcPr>
            <w:tcW w:w="0" w:type="auto"/>
            <w:vMerge w:val="restart"/>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Cat.</w:t>
            </w:r>
          </w:p>
        </w:tc>
        <w:tc>
          <w:tcPr>
            <w:tcW w:w="0" w:type="auto"/>
            <w:vMerge w:val="restart"/>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D.qual.</w:t>
            </w:r>
          </w:p>
        </w:tc>
        <w:tc>
          <w:tcPr>
            <w:tcW w:w="0" w:type="auto"/>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A/B/C/D</w:t>
            </w:r>
          </w:p>
        </w:tc>
        <w:tc>
          <w:tcPr>
            <w:tcW w:w="0" w:type="auto"/>
            <w:gridSpan w:val="3"/>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120" w:line="240" w:lineRule="auto"/>
              <w:jc w:val="both"/>
              <w:rPr>
                <w:rFonts w:ascii="Times New Roman" w:hAnsi="Times New Roman"/>
                <w:sz w:val="20"/>
                <w:szCs w:val="20"/>
                <w:lang w:val="en-US" w:eastAsia="en-GB"/>
              </w:rPr>
            </w:pPr>
          </w:p>
        </w:tc>
        <w:tc>
          <w:tcPr>
            <w:tcW w:w="0" w:type="auto"/>
            <w:vMerge/>
            <w:shd w:val="clear" w:color="auto" w:fill="D9D9D9"/>
            <w:vAlign w:val="center"/>
          </w:tcPr>
          <w:p w:rsidR="00A8783E" w:rsidRPr="00A8783E" w:rsidRDefault="00A8783E" w:rsidP="00A8783E">
            <w:pPr>
              <w:spacing w:after="120" w:line="240" w:lineRule="auto"/>
              <w:jc w:val="both"/>
              <w:rPr>
                <w:rFonts w:ascii="Times New Roman" w:hAnsi="Times New Roman"/>
                <w:sz w:val="20"/>
                <w:szCs w:val="20"/>
                <w:lang w:val="en-US" w:eastAsia="en-GB"/>
              </w:rPr>
            </w:pPr>
          </w:p>
        </w:tc>
        <w:tc>
          <w:tcPr>
            <w:tcW w:w="0" w:type="auto"/>
            <w:vMerge/>
            <w:shd w:val="clear" w:color="auto" w:fill="D9D9D9"/>
            <w:vAlign w:val="center"/>
          </w:tcPr>
          <w:p w:rsidR="00A8783E" w:rsidRPr="00A8783E" w:rsidRDefault="00A8783E" w:rsidP="00A8783E">
            <w:pPr>
              <w:spacing w:after="120" w:line="240" w:lineRule="auto"/>
              <w:jc w:val="both"/>
              <w:rPr>
                <w:rFonts w:ascii="Times New Roman" w:hAnsi="Times New Roman"/>
                <w:sz w:val="20"/>
                <w:szCs w:val="20"/>
                <w:lang w:val="en-US" w:eastAsia="en-GB"/>
              </w:rPr>
            </w:pPr>
          </w:p>
        </w:tc>
        <w:tc>
          <w:tcPr>
            <w:tcW w:w="0" w:type="auto"/>
            <w:vMerge/>
            <w:shd w:val="clear" w:color="auto" w:fill="D9D9D9"/>
            <w:vAlign w:val="center"/>
          </w:tcPr>
          <w:p w:rsidR="00A8783E" w:rsidRPr="00A8783E" w:rsidRDefault="00A8783E" w:rsidP="00A8783E">
            <w:pPr>
              <w:spacing w:after="120" w:line="240" w:lineRule="auto"/>
              <w:jc w:val="both"/>
              <w:rPr>
                <w:rFonts w:ascii="Times New Roman" w:hAnsi="Times New Roman"/>
                <w:sz w:val="20"/>
                <w:szCs w:val="20"/>
                <w:lang w:val="en-US" w:eastAsia="en-GB"/>
              </w:rPr>
            </w:pPr>
          </w:p>
        </w:tc>
        <w:tc>
          <w:tcPr>
            <w:tcW w:w="0" w:type="auto"/>
            <w:vMerge/>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p>
        </w:tc>
        <w:tc>
          <w:tcPr>
            <w:tcW w:w="0" w:type="auto"/>
            <w:gridSpan w:val="2"/>
            <w:vMerge/>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p>
        </w:tc>
        <w:tc>
          <w:tcPr>
            <w:tcW w:w="0" w:type="auto"/>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Min</w:t>
            </w:r>
          </w:p>
        </w:tc>
        <w:tc>
          <w:tcPr>
            <w:tcW w:w="0" w:type="auto"/>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Max</w:t>
            </w:r>
          </w:p>
        </w:tc>
        <w:tc>
          <w:tcPr>
            <w:tcW w:w="0" w:type="auto"/>
            <w:vMerge/>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p>
        </w:tc>
        <w:tc>
          <w:tcPr>
            <w:tcW w:w="0" w:type="auto"/>
            <w:vMerge/>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p>
        </w:tc>
        <w:tc>
          <w:tcPr>
            <w:tcW w:w="0" w:type="auto"/>
            <w:vMerge/>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p>
        </w:tc>
        <w:tc>
          <w:tcPr>
            <w:tcW w:w="0" w:type="auto"/>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Pop.</w:t>
            </w:r>
          </w:p>
        </w:tc>
        <w:tc>
          <w:tcPr>
            <w:tcW w:w="0" w:type="auto"/>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Con.</w:t>
            </w:r>
          </w:p>
        </w:tc>
        <w:tc>
          <w:tcPr>
            <w:tcW w:w="0" w:type="auto"/>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Iso.</w:t>
            </w:r>
          </w:p>
        </w:tc>
        <w:tc>
          <w:tcPr>
            <w:tcW w:w="0" w:type="auto"/>
            <w:shd w:val="clear" w:color="auto" w:fill="D9D9D9"/>
            <w:vAlign w:val="center"/>
          </w:tcPr>
          <w:p w:rsidR="00A8783E" w:rsidRPr="00A8783E" w:rsidRDefault="00A8783E" w:rsidP="00A8783E">
            <w:pPr>
              <w:spacing w:after="120" w:line="240" w:lineRule="auto"/>
              <w:jc w:val="both"/>
              <w:rPr>
                <w:rFonts w:ascii="Times New Roman" w:hAnsi="Times New Roman"/>
                <w:b/>
                <w:bCs/>
                <w:sz w:val="20"/>
                <w:szCs w:val="20"/>
                <w:lang w:val="en-US" w:eastAsia="en-GB"/>
              </w:rPr>
            </w:pPr>
            <w:r w:rsidRPr="00A8783E">
              <w:rPr>
                <w:rFonts w:ascii="Times New Roman" w:hAnsi="Times New Roman"/>
                <w:b/>
                <w:bCs/>
                <w:sz w:val="20"/>
                <w:szCs w:val="20"/>
                <w:lang w:val="en-US" w:eastAsia="en-GB"/>
              </w:rPr>
              <w:t>Glo.</w:t>
            </w:r>
          </w:p>
        </w:tc>
      </w:tr>
      <w:tr w:rsidR="00A8783E" w:rsidRPr="00A8783E" w:rsidTr="005B5318">
        <w:trPr>
          <w:trHeight w:val="295"/>
          <w:jc w:val="center"/>
        </w:trPr>
        <w:tc>
          <w:tcPr>
            <w:tcW w:w="0" w:type="auto"/>
            <w:vAlign w:val="center"/>
          </w:tcPr>
          <w:p w:rsidR="00A8783E" w:rsidRPr="00A8783E" w:rsidRDefault="00A8783E" w:rsidP="00A8783E">
            <w:pPr>
              <w:spacing w:after="120" w:line="240" w:lineRule="auto"/>
              <w:rPr>
                <w:rFonts w:ascii="Times New Roman" w:hAnsi="Times New Roman"/>
                <w:sz w:val="20"/>
                <w:szCs w:val="20"/>
                <w:lang w:val="en-US" w:eastAsia="en-GB"/>
              </w:rPr>
            </w:pPr>
            <w:r w:rsidRPr="00A8783E">
              <w:rPr>
                <w:rFonts w:ascii="Times New Roman" w:hAnsi="Times New Roman"/>
                <w:sz w:val="20"/>
                <w:szCs w:val="20"/>
                <w:lang w:val="en-US" w:eastAsia="en-GB"/>
              </w:rPr>
              <w:t>В</w:t>
            </w:r>
          </w:p>
        </w:tc>
        <w:tc>
          <w:tcPr>
            <w:tcW w:w="0" w:type="auto"/>
            <w:vAlign w:val="center"/>
          </w:tcPr>
          <w:p w:rsidR="00A8783E" w:rsidRPr="00A8783E" w:rsidRDefault="00A8783E" w:rsidP="00A8783E">
            <w:pPr>
              <w:spacing w:after="120" w:line="240" w:lineRule="auto"/>
              <w:rPr>
                <w:rFonts w:ascii="Times New Roman" w:hAnsi="Times New Roman"/>
                <w:sz w:val="20"/>
                <w:szCs w:val="20"/>
                <w:lang w:eastAsia="en-GB"/>
              </w:rPr>
            </w:pPr>
            <w:r w:rsidRPr="00A8783E">
              <w:rPr>
                <w:rFonts w:ascii="Times New Roman" w:hAnsi="Times New Roman"/>
                <w:color w:val="FF0000"/>
                <w:sz w:val="20"/>
                <w:szCs w:val="20"/>
                <w:lang w:val="en-US"/>
              </w:rPr>
              <w:t>A</w:t>
            </w:r>
            <w:r w:rsidRPr="00A8783E">
              <w:rPr>
                <w:rFonts w:ascii="Times New Roman" w:hAnsi="Times New Roman"/>
                <w:color w:val="FF0000"/>
                <w:sz w:val="20"/>
                <w:szCs w:val="20"/>
              </w:rPr>
              <w:t>151</w:t>
            </w:r>
          </w:p>
        </w:tc>
        <w:tc>
          <w:tcPr>
            <w:tcW w:w="0" w:type="auto"/>
            <w:vAlign w:val="center"/>
          </w:tcPr>
          <w:p w:rsidR="00A8783E" w:rsidRPr="00A8783E" w:rsidRDefault="00A8783E" w:rsidP="00A8783E">
            <w:pPr>
              <w:autoSpaceDE w:val="0"/>
              <w:autoSpaceDN w:val="0"/>
              <w:adjustRightInd w:val="0"/>
              <w:spacing w:after="120" w:line="240" w:lineRule="auto"/>
              <w:rPr>
                <w:rFonts w:ascii="Times New Roman" w:hAnsi="Times New Roman"/>
                <w:b/>
                <w:bCs/>
                <w:color w:val="000000"/>
                <w:sz w:val="20"/>
                <w:szCs w:val="20"/>
                <w:lang w:val="en-US"/>
              </w:rPr>
            </w:pPr>
            <w:r w:rsidRPr="00A8783E">
              <w:rPr>
                <w:rFonts w:ascii="Times New Roman" w:hAnsi="Times New Roman"/>
                <w:b/>
                <w:bCs/>
                <w:i/>
                <w:iCs/>
                <w:color w:val="FF0000"/>
                <w:sz w:val="20"/>
                <w:szCs w:val="20"/>
                <w:lang w:eastAsia="bg-BG"/>
              </w:rPr>
              <w:t>Calidris pugnax</w:t>
            </w:r>
          </w:p>
        </w:tc>
        <w:tc>
          <w:tcPr>
            <w:tcW w:w="0" w:type="auto"/>
            <w:vAlign w:val="center"/>
          </w:tcPr>
          <w:p w:rsidR="00A8783E" w:rsidRPr="00A8783E" w:rsidRDefault="00A8783E" w:rsidP="00A8783E">
            <w:pPr>
              <w:spacing w:after="120" w:line="240" w:lineRule="auto"/>
              <w:rPr>
                <w:rFonts w:ascii="Times New Roman" w:hAnsi="Times New Roman"/>
                <w:sz w:val="20"/>
                <w:szCs w:val="20"/>
                <w:lang w:val="en-US" w:eastAsia="en-GB"/>
              </w:rPr>
            </w:pPr>
          </w:p>
        </w:tc>
        <w:tc>
          <w:tcPr>
            <w:tcW w:w="0" w:type="auto"/>
            <w:vAlign w:val="center"/>
          </w:tcPr>
          <w:p w:rsidR="00A8783E" w:rsidRPr="00A8783E" w:rsidRDefault="00A8783E" w:rsidP="00A8783E">
            <w:pPr>
              <w:spacing w:after="120" w:line="240" w:lineRule="auto"/>
              <w:rPr>
                <w:rFonts w:ascii="Times New Roman" w:hAnsi="Times New Roman"/>
                <w:b/>
                <w:bCs/>
                <w:sz w:val="20"/>
                <w:szCs w:val="20"/>
                <w:lang w:val="en-US" w:eastAsia="en-GB"/>
              </w:rPr>
            </w:pPr>
          </w:p>
        </w:tc>
        <w:tc>
          <w:tcPr>
            <w:tcW w:w="0" w:type="auto"/>
            <w:gridSpan w:val="2"/>
            <w:vAlign w:val="center"/>
          </w:tcPr>
          <w:p w:rsidR="00A8783E" w:rsidRPr="00A8783E" w:rsidRDefault="00A8783E" w:rsidP="00A8783E">
            <w:pPr>
              <w:spacing w:after="120" w:line="240" w:lineRule="auto"/>
              <w:rPr>
                <w:rFonts w:ascii="Times New Roman" w:hAnsi="Times New Roman"/>
                <w:b/>
                <w:bCs/>
                <w:sz w:val="20"/>
                <w:szCs w:val="20"/>
                <w:lang w:eastAsia="en-GB"/>
              </w:rPr>
            </w:pPr>
            <w:r w:rsidRPr="00A8783E">
              <w:rPr>
                <w:rFonts w:ascii="Times New Roman" w:hAnsi="Times New Roman"/>
                <w:color w:val="000000"/>
                <w:sz w:val="20"/>
                <w:szCs w:val="20"/>
              </w:rPr>
              <w:t>с</w:t>
            </w:r>
          </w:p>
        </w:tc>
        <w:tc>
          <w:tcPr>
            <w:tcW w:w="0" w:type="auto"/>
            <w:vAlign w:val="center"/>
          </w:tcPr>
          <w:p w:rsidR="00A8783E" w:rsidRPr="00A8783E" w:rsidRDefault="00A8783E" w:rsidP="00A8783E">
            <w:pPr>
              <w:spacing w:after="120" w:line="240" w:lineRule="auto"/>
              <w:rPr>
                <w:rFonts w:ascii="Times New Roman" w:hAnsi="Times New Roman"/>
                <w:color w:val="FF0000"/>
                <w:sz w:val="20"/>
                <w:szCs w:val="20"/>
                <w:lang w:eastAsia="en-GB"/>
              </w:rPr>
            </w:pPr>
            <w:r w:rsidRPr="00A8783E">
              <w:rPr>
                <w:rFonts w:ascii="Times New Roman" w:hAnsi="Times New Roman"/>
                <w:sz w:val="20"/>
                <w:szCs w:val="20"/>
                <w:lang w:eastAsia="en-GB"/>
              </w:rPr>
              <w:t>0</w:t>
            </w:r>
          </w:p>
        </w:tc>
        <w:tc>
          <w:tcPr>
            <w:tcW w:w="0" w:type="auto"/>
            <w:vAlign w:val="center"/>
          </w:tcPr>
          <w:p w:rsidR="00A8783E" w:rsidRPr="00A8783E" w:rsidRDefault="00A8783E" w:rsidP="00A8783E">
            <w:pPr>
              <w:spacing w:after="120" w:line="240" w:lineRule="auto"/>
              <w:rPr>
                <w:rFonts w:ascii="Times New Roman" w:hAnsi="Times New Roman"/>
                <w:color w:val="FF0000"/>
                <w:sz w:val="20"/>
                <w:szCs w:val="20"/>
                <w:lang w:eastAsia="en-GB"/>
              </w:rPr>
            </w:pPr>
            <w:r w:rsidRPr="00A8783E">
              <w:rPr>
                <w:rFonts w:ascii="Times New Roman" w:hAnsi="Times New Roman"/>
                <w:sz w:val="20"/>
                <w:szCs w:val="20"/>
              </w:rPr>
              <w:t>12</w:t>
            </w:r>
          </w:p>
        </w:tc>
        <w:tc>
          <w:tcPr>
            <w:tcW w:w="0" w:type="auto"/>
            <w:vAlign w:val="center"/>
          </w:tcPr>
          <w:p w:rsidR="00A8783E" w:rsidRPr="00A8783E" w:rsidRDefault="00A8783E" w:rsidP="00A8783E">
            <w:pPr>
              <w:spacing w:after="120" w:line="240" w:lineRule="auto"/>
              <w:rPr>
                <w:rFonts w:ascii="Times New Roman" w:hAnsi="Times New Roman"/>
                <w:sz w:val="20"/>
                <w:szCs w:val="20"/>
                <w:lang w:val="en-US" w:eastAsia="en-GB"/>
              </w:rPr>
            </w:pPr>
            <w:r w:rsidRPr="00A8783E">
              <w:rPr>
                <w:rFonts w:ascii="Times New Roman" w:hAnsi="Times New Roman"/>
                <w:color w:val="000000"/>
                <w:sz w:val="20"/>
                <w:szCs w:val="20"/>
                <w:lang w:val="en-US"/>
              </w:rPr>
              <w:t>i</w:t>
            </w:r>
          </w:p>
        </w:tc>
        <w:tc>
          <w:tcPr>
            <w:tcW w:w="0" w:type="auto"/>
            <w:vAlign w:val="center"/>
          </w:tcPr>
          <w:p w:rsidR="00A8783E" w:rsidRPr="00A8783E" w:rsidRDefault="00A8783E" w:rsidP="00A8783E">
            <w:pPr>
              <w:spacing w:after="120" w:line="240" w:lineRule="auto"/>
              <w:rPr>
                <w:rFonts w:ascii="Times New Roman" w:hAnsi="Times New Roman"/>
                <w:b/>
                <w:bCs/>
                <w:sz w:val="20"/>
                <w:szCs w:val="20"/>
                <w:lang w:val="en-US" w:eastAsia="en-GB"/>
              </w:rPr>
            </w:pPr>
          </w:p>
        </w:tc>
        <w:tc>
          <w:tcPr>
            <w:tcW w:w="0" w:type="auto"/>
            <w:vAlign w:val="center"/>
          </w:tcPr>
          <w:p w:rsidR="00A8783E" w:rsidRPr="00A8783E" w:rsidRDefault="00A8783E" w:rsidP="00A8783E">
            <w:pPr>
              <w:spacing w:after="120" w:line="240" w:lineRule="auto"/>
              <w:rPr>
                <w:rFonts w:ascii="Times New Roman" w:hAnsi="Times New Roman"/>
                <w:bCs/>
                <w:sz w:val="20"/>
                <w:szCs w:val="20"/>
                <w:lang w:val="en-US" w:eastAsia="en-GB"/>
              </w:rPr>
            </w:pPr>
            <w:r w:rsidRPr="00A8783E">
              <w:rPr>
                <w:rFonts w:ascii="Times New Roman" w:hAnsi="Times New Roman"/>
                <w:sz w:val="20"/>
                <w:szCs w:val="20"/>
                <w:lang w:val="en-US"/>
              </w:rPr>
              <w:t>G</w:t>
            </w:r>
          </w:p>
        </w:tc>
        <w:tc>
          <w:tcPr>
            <w:tcW w:w="0" w:type="auto"/>
            <w:vAlign w:val="center"/>
          </w:tcPr>
          <w:p w:rsidR="00A8783E" w:rsidRPr="00A8783E" w:rsidRDefault="00A8783E" w:rsidP="00A8783E">
            <w:pPr>
              <w:spacing w:after="120" w:line="240" w:lineRule="auto"/>
              <w:rPr>
                <w:rFonts w:ascii="Times New Roman" w:hAnsi="Times New Roman"/>
                <w:bCs/>
                <w:sz w:val="20"/>
                <w:szCs w:val="20"/>
                <w:lang w:eastAsia="en-GB"/>
              </w:rPr>
            </w:pPr>
            <w:r w:rsidRPr="00A8783E">
              <w:rPr>
                <w:rFonts w:ascii="Times New Roman" w:hAnsi="Times New Roman"/>
                <w:bCs/>
                <w:sz w:val="20"/>
                <w:szCs w:val="20"/>
              </w:rPr>
              <w:t>С</w:t>
            </w:r>
          </w:p>
        </w:tc>
        <w:tc>
          <w:tcPr>
            <w:tcW w:w="0" w:type="auto"/>
            <w:vAlign w:val="center"/>
          </w:tcPr>
          <w:p w:rsidR="00A8783E" w:rsidRPr="00A8783E" w:rsidRDefault="00A8783E" w:rsidP="00A8783E">
            <w:pPr>
              <w:spacing w:after="120" w:line="240" w:lineRule="auto"/>
              <w:rPr>
                <w:rFonts w:ascii="Times New Roman" w:hAnsi="Times New Roman"/>
                <w:color w:val="FF0000"/>
                <w:sz w:val="20"/>
                <w:szCs w:val="20"/>
                <w:lang w:eastAsia="en-GB"/>
              </w:rPr>
            </w:pPr>
            <w:r w:rsidRPr="00A8783E">
              <w:rPr>
                <w:rFonts w:ascii="Times New Roman" w:hAnsi="Times New Roman"/>
                <w:sz w:val="20"/>
                <w:szCs w:val="20"/>
              </w:rPr>
              <w:t>В</w:t>
            </w:r>
          </w:p>
        </w:tc>
        <w:tc>
          <w:tcPr>
            <w:tcW w:w="0" w:type="auto"/>
            <w:vAlign w:val="center"/>
          </w:tcPr>
          <w:p w:rsidR="00A8783E" w:rsidRPr="00A8783E" w:rsidRDefault="00A8783E" w:rsidP="00A8783E">
            <w:pPr>
              <w:spacing w:after="120" w:line="240" w:lineRule="auto"/>
              <w:rPr>
                <w:rFonts w:ascii="Times New Roman" w:hAnsi="Times New Roman"/>
                <w:b/>
                <w:bCs/>
                <w:sz w:val="20"/>
                <w:szCs w:val="20"/>
                <w:lang w:val="en-US" w:eastAsia="en-GB"/>
              </w:rPr>
            </w:pPr>
            <w:r w:rsidRPr="00A8783E">
              <w:rPr>
                <w:rFonts w:ascii="Times New Roman" w:hAnsi="Times New Roman"/>
                <w:color w:val="000000"/>
                <w:sz w:val="20"/>
                <w:szCs w:val="20"/>
                <w:lang w:val="en-US"/>
              </w:rPr>
              <w:t>C</w:t>
            </w:r>
          </w:p>
        </w:tc>
        <w:tc>
          <w:tcPr>
            <w:tcW w:w="0" w:type="auto"/>
            <w:vAlign w:val="center"/>
          </w:tcPr>
          <w:p w:rsidR="00A8783E" w:rsidRPr="00A8783E" w:rsidRDefault="00A8783E" w:rsidP="00A8783E">
            <w:pPr>
              <w:spacing w:after="120" w:line="240" w:lineRule="auto"/>
              <w:rPr>
                <w:rFonts w:ascii="Times New Roman" w:hAnsi="Times New Roman"/>
                <w:b/>
                <w:bCs/>
                <w:sz w:val="20"/>
                <w:szCs w:val="20"/>
                <w:lang w:eastAsia="en-GB"/>
              </w:rPr>
            </w:pPr>
            <w:r w:rsidRPr="00A8783E">
              <w:rPr>
                <w:rFonts w:ascii="Times New Roman" w:hAnsi="Times New Roman"/>
                <w:color w:val="000000"/>
                <w:sz w:val="20"/>
                <w:szCs w:val="20"/>
              </w:rPr>
              <w:t>С</w:t>
            </w:r>
          </w:p>
        </w:tc>
      </w:tr>
    </w:tbl>
    <w:p w:rsidR="00A8783E" w:rsidRPr="00A8783E" w:rsidRDefault="00A8783E" w:rsidP="00A8783E">
      <w:pPr>
        <w:spacing w:before="120" w:after="120" w:line="259" w:lineRule="auto"/>
        <w:jc w:val="both"/>
        <w:rPr>
          <w:rFonts w:ascii="Times New Roman" w:hAnsi="Times New Roman"/>
          <w:color w:val="000000"/>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76" w:name="_Toc88865722"/>
      <w:bookmarkStart w:id="377" w:name="_Toc89106128"/>
      <w:bookmarkStart w:id="378" w:name="_Toc98741967"/>
      <w:bookmarkStart w:id="379" w:name="_Toc98838642"/>
      <w:r w:rsidRPr="00A8783E">
        <w:rPr>
          <w:rFonts w:ascii="Times New Roman" w:hAnsi="Times New Roman"/>
          <w:color w:val="1F497D"/>
          <w:sz w:val="28"/>
          <w:szCs w:val="28"/>
        </w:rPr>
        <w:t>Специфични цели за А1</w:t>
      </w:r>
      <w:r w:rsidRPr="00A8783E">
        <w:rPr>
          <w:rFonts w:ascii="Times New Roman" w:hAnsi="Times New Roman"/>
          <w:color w:val="1F497D"/>
          <w:sz w:val="28"/>
          <w:szCs w:val="28"/>
          <w:lang w:val="ru-RU"/>
        </w:rPr>
        <w:t>65</w:t>
      </w:r>
      <w:r w:rsidRPr="00A8783E">
        <w:rPr>
          <w:rFonts w:ascii="Times New Roman" w:hAnsi="Times New Roman"/>
          <w:color w:val="1F497D"/>
          <w:sz w:val="28"/>
          <w:szCs w:val="28"/>
        </w:rPr>
        <w:t xml:space="preserve"> </w:t>
      </w:r>
      <w:r w:rsidRPr="00A8783E">
        <w:rPr>
          <w:rFonts w:ascii="Times New Roman" w:hAnsi="Times New Roman"/>
          <w:i/>
          <w:iCs/>
          <w:color w:val="1F497D"/>
          <w:sz w:val="28"/>
          <w:szCs w:val="28"/>
          <w:lang w:val="en-US"/>
        </w:rPr>
        <w:t>Tringa</w:t>
      </w:r>
      <w:r w:rsidRPr="00A8783E">
        <w:rPr>
          <w:rFonts w:ascii="Times New Roman" w:hAnsi="Times New Roman"/>
          <w:i/>
          <w:iCs/>
          <w:color w:val="1F497D"/>
          <w:sz w:val="28"/>
          <w:szCs w:val="28"/>
          <w:lang w:val="ru-RU"/>
        </w:rPr>
        <w:t xml:space="preserve"> </w:t>
      </w:r>
      <w:r w:rsidRPr="00A8783E">
        <w:rPr>
          <w:rFonts w:ascii="Times New Roman" w:hAnsi="Times New Roman"/>
          <w:i/>
          <w:iCs/>
          <w:color w:val="1F497D"/>
          <w:sz w:val="28"/>
          <w:szCs w:val="28"/>
          <w:lang w:val="en-US"/>
        </w:rPr>
        <w:t>ochropus</w:t>
      </w:r>
      <w:r w:rsidRPr="00A8783E">
        <w:rPr>
          <w:rFonts w:ascii="Times New Roman" w:hAnsi="Times New Roman"/>
          <w:color w:val="1F497D"/>
          <w:sz w:val="28"/>
          <w:szCs w:val="28"/>
        </w:rPr>
        <w:t xml:space="preserve"> (голям горски </w:t>
      </w:r>
      <w:bookmarkStart w:id="380" w:name="_Hlk84971226"/>
      <w:r w:rsidRPr="00A8783E">
        <w:rPr>
          <w:rFonts w:ascii="Times New Roman" w:hAnsi="Times New Roman"/>
          <w:color w:val="1F497D"/>
          <w:sz w:val="28"/>
          <w:szCs w:val="28"/>
        </w:rPr>
        <w:t>водобегач</w:t>
      </w:r>
      <w:bookmarkEnd w:id="380"/>
      <w:r w:rsidRPr="00A8783E">
        <w:rPr>
          <w:rFonts w:ascii="Times New Roman" w:hAnsi="Times New Roman"/>
          <w:color w:val="1F497D"/>
          <w:sz w:val="28"/>
          <w:szCs w:val="28"/>
        </w:rPr>
        <w:t>)</w:t>
      </w:r>
      <w:bookmarkEnd w:id="376"/>
      <w:bookmarkEnd w:id="377"/>
      <w:bookmarkEnd w:id="378"/>
      <w:bookmarkEnd w:id="379"/>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lastRenderedPageBreak/>
        <w:t xml:space="preserve">Дължина на тялото: </w:t>
      </w:r>
      <w:r w:rsidRPr="00A8783E">
        <w:rPr>
          <w:rFonts w:ascii="Times New Roman" w:hAnsi="Times New Roman"/>
          <w:sz w:val="24"/>
          <w:szCs w:val="24"/>
          <w:lang w:val="ru-RU"/>
        </w:rPr>
        <w:t>21</w:t>
      </w:r>
      <w:r w:rsidRPr="00A8783E">
        <w:rPr>
          <w:rFonts w:ascii="Times New Roman" w:hAnsi="Times New Roman"/>
          <w:sz w:val="24"/>
          <w:szCs w:val="24"/>
        </w:rPr>
        <w:t xml:space="preserve"> – </w:t>
      </w:r>
      <w:r w:rsidRPr="00A8783E">
        <w:rPr>
          <w:rFonts w:ascii="Times New Roman" w:hAnsi="Times New Roman"/>
          <w:sz w:val="24"/>
          <w:szCs w:val="24"/>
          <w:lang w:val="ru-RU"/>
        </w:rPr>
        <w:t>24</w:t>
      </w:r>
      <w:r w:rsidRPr="00A8783E">
        <w:rPr>
          <w:rFonts w:ascii="Times New Roman" w:hAnsi="Times New Roman"/>
          <w:sz w:val="24"/>
          <w:szCs w:val="24"/>
        </w:rPr>
        <w:t xml:space="preserve"> cm. Размах на крилата: </w:t>
      </w:r>
      <w:r w:rsidRPr="00A8783E">
        <w:rPr>
          <w:rFonts w:ascii="Times New Roman" w:hAnsi="Times New Roman"/>
          <w:sz w:val="24"/>
          <w:szCs w:val="24"/>
          <w:lang w:val="ru-RU"/>
        </w:rPr>
        <w:t>57 – 61</w:t>
      </w:r>
      <w:r w:rsidRPr="00A8783E">
        <w:rPr>
          <w:rFonts w:ascii="Times New Roman" w:hAnsi="Times New Roman"/>
          <w:sz w:val="24"/>
          <w:szCs w:val="24"/>
        </w:rPr>
        <w:t xml:space="preserve"> </w:t>
      </w:r>
      <w:r w:rsidRPr="00A8783E">
        <w:rPr>
          <w:rFonts w:ascii="Times New Roman" w:hAnsi="Times New Roman"/>
          <w:sz w:val="24"/>
          <w:szCs w:val="24"/>
          <w:lang w:val="en-GB"/>
        </w:rPr>
        <w:t>cm</w:t>
      </w:r>
      <w:r w:rsidRPr="00A8783E">
        <w:rPr>
          <w:rFonts w:ascii="Times New Roman" w:hAnsi="Times New Roman"/>
          <w:sz w:val="24"/>
          <w:szCs w:val="24"/>
        </w:rPr>
        <w:t>. Дребен водобегач със сравнително къси, сивкаво зелени</w:t>
      </w:r>
      <w:r w:rsidRPr="00A8783E">
        <w:rPr>
          <w:rFonts w:ascii="Times New Roman" w:hAnsi="Times New Roman"/>
          <w:sz w:val="24"/>
          <w:szCs w:val="24"/>
          <w:lang w:val="ru-RU"/>
        </w:rPr>
        <w:t xml:space="preserve"> </w:t>
      </w:r>
      <w:r w:rsidRPr="00A8783E">
        <w:rPr>
          <w:rFonts w:ascii="Times New Roman" w:hAnsi="Times New Roman"/>
          <w:sz w:val="24"/>
          <w:szCs w:val="24"/>
        </w:rPr>
        <w:t>крака, които изглеждат тъмни от разстояние. Най-тъмният вид от рода; горните части имат почти маслинено-кафяв оттенък и множество малки бели петна. Къса първична проекция; крилата изпъкват точно зад върха на опашката. Прилича на малкия горски водобегач (</w:t>
      </w:r>
      <w:r w:rsidRPr="00A8783E">
        <w:rPr>
          <w:rFonts w:ascii="Times New Roman" w:hAnsi="Times New Roman"/>
          <w:i/>
          <w:iCs/>
          <w:sz w:val="24"/>
          <w:szCs w:val="24"/>
        </w:rPr>
        <w:t>Tringa glareola</w:t>
      </w:r>
      <w:r w:rsidRPr="00A8783E">
        <w:rPr>
          <w:rFonts w:ascii="Times New Roman" w:hAnsi="Times New Roman"/>
          <w:sz w:val="24"/>
          <w:szCs w:val="24"/>
        </w:rPr>
        <w:t>), но се отличава от него по чисто бялото надопашие, почти черния гръб и прибраните при полет крака (Beaman and Madge</w:t>
      </w:r>
      <w:r w:rsidRPr="00A8783E">
        <w:rPr>
          <w:rFonts w:ascii="Times New Roman" w:hAnsi="Times New Roman"/>
          <w:sz w:val="24"/>
          <w:szCs w:val="24"/>
          <w:lang w:val="ru-RU"/>
        </w:rPr>
        <w:t>,</w:t>
      </w:r>
      <w:r w:rsidRPr="00A8783E">
        <w:rPr>
          <w:rFonts w:ascii="Times New Roman" w:hAnsi="Times New Roman"/>
          <w:sz w:val="24"/>
          <w:szCs w:val="24"/>
        </w:rPr>
        <w:t xml:space="preserve"> 1998; Message </w:t>
      </w:r>
      <w:r w:rsidRPr="00A8783E">
        <w:rPr>
          <w:rFonts w:ascii="Times New Roman" w:hAnsi="Times New Roman"/>
          <w:sz w:val="24"/>
          <w:szCs w:val="24"/>
          <w:lang w:val="ru-RU"/>
        </w:rPr>
        <w:t>and</w:t>
      </w:r>
      <w:r w:rsidRPr="00A8783E">
        <w:rPr>
          <w:rFonts w:ascii="Times New Roman" w:hAnsi="Times New Roman"/>
          <w:sz w:val="24"/>
          <w:szCs w:val="24"/>
        </w:rPr>
        <w:t xml:space="preserve"> Taylor</w:t>
      </w:r>
      <w:r w:rsidRPr="00A8783E">
        <w:rPr>
          <w:rFonts w:ascii="Times New Roman" w:hAnsi="Times New Roman"/>
          <w:sz w:val="24"/>
          <w:szCs w:val="24"/>
          <w:lang w:val="ru-RU"/>
        </w:rPr>
        <w:t xml:space="preserve">, </w:t>
      </w:r>
      <w:r w:rsidRPr="00A8783E">
        <w:rPr>
          <w:rFonts w:ascii="Times New Roman" w:hAnsi="Times New Roman"/>
          <w:sz w:val="24"/>
          <w:szCs w:val="24"/>
        </w:rPr>
        <w:t>2005</w:t>
      </w:r>
      <w:r w:rsidRPr="00A8783E">
        <w:rPr>
          <w:rFonts w:ascii="Times New Roman" w:hAnsi="Times New Roman"/>
          <w:sz w:val="24"/>
          <w:szCs w:val="24"/>
          <w:lang w:val="ru-RU"/>
        </w:rPr>
        <w:t xml:space="preserve">; </w:t>
      </w:r>
      <w:r w:rsidRPr="00A8783E">
        <w:rPr>
          <w:rFonts w:ascii="Times New Roman" w:hAnsi="Times New Roman"/>
          <w:sz w:val="24"/>
          <w:szCs w:val="24"/>
        </w:rPr>
        <w:t>Нанкинов и др. 1997).</w:t>
      </w:r>
    </w:p>
    <w:p w:rsidR="00A8783E" w:rsidRPr="00A8783E" w:rsidRDefault="00A8783E" w:rsidP="00A8783E">
      <w:pPr>
        <w:spacing w:before="120" w:after="120" w:line="240" w:lineRule="auto"/>
        <w:jc w:val="both"/>
        <w:rPr>
          <w:rFonts w:ascii="Times New Roman" w:hAnsi="Times New Roman"/>
          <w:i/>
          <w:iCs/>
          <w:sz w:val="24"/>
          <w:szCs w:val="24"/>
          <w:lang w:val="ru-RU"/>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В България е гнездящ, прелетен</w:t>
      </w:r>
      <w:r w:rsidRPr="00A8783E">
        <w:rPr>
          <w:rFonts w:ascii="Times New Roman" w:hAnsi="Times New Roman"/>
          <w:sz w:val="24"/>
          <w:szCs w:val="24"/>
          <w:lang w:val="ru-RU"/>
        </w:rPr>
        <w:t xml:space="preserve"> </w:t>
      </w:r>
      <w:r w:rsidRPr="00A8783E">
        <w:rPr>
          <w:rFonts w:ascii="Times New Roman" w:hAnsi="Times New Roman"/>
          <w:sz w:val="24"/>
          <w:szCs w:val="24"/>
        </w:rPr>
        <w:t>и зимуващ</w:t>
      </w:r>
      <w:r w:rsidRPr="00A8783E">
        <w:rPr>
          <w:rFonts w:ascii="Times New Roman" w:hAnsi="Times New Roman"/>
          <w:sz w:val="24"/>
          <w:szCs w:val="24"/>
          <w:lang w:val="ru-RU"/>
        </w:rPr>
        <w:t xml:space="preserve"> </w:t>
      </w:r>
      <w:r w:rsidRPr="00A8783E">
        <w:rPr>
          <w:rFonts w:ascii="Times New Roman" w:hAnsi="Times New Roman"/>
          <w:sz w:val="24"/>
          <w:szCs w:val="24"/>
        </w:rPr>
        <w:t xml:space="preserve">вид. Пролетния прелет е от първите дни на март до началото на май, есенният – от началото на август до края на ноември. По време на миграция прекосява цялата страна като във влажните местообитания се задържат по няколко десетки индивида. Среща се главно по реките Дунав, Искър, Вит, Осъм, Бели Лом и Черноморското крайбрежие </w:t>
      </w:r>
      <w:r w:rsidRPr="00A8783E">
        <w:rPr>
          <w:rFonts w:ascii="Times New Roman" w:hAnsi="Times New Roman"/>
          <w:sz w:val="24"/>
          <w:szCs w:val="24"/>
          <w:lang w:val="ru-RU"/>
        </w:rPr>
        <w:t>(</w:t>
      </w:r>
      <w:r w:rsidRPr="00A8783E">
        <w:rPr>
          <w:rFonts w:ascii="Times New Roman" w:hAnsi="Times New Roman"/>
          <w:sz w:val="24"/>
          <w:szCs w:val="24"/>
          <w:lang w:val="en-GB"/>
        </w:rPr>
        <w:t>Ivanov</w:t>
      </w:r>
      <w:r w:rsidRPr="00A8783E">
        <w:rPr>
          <w:rFonts w:ascii="Times New Roman" w:hAnsi="Times New Roman"/>
          <w:sz w:val="24"/>
          <w:szCs w:val="24"/>
        </w:rPr>
        <w:t xml:space="preserve"> </w:t>
      </w:r>
      <w:r w:rsidRPr="00A8783E">
        <w:rPr>
          <w:rFonts w:ascii="Times New Roman" w:hAnsi="Times New Roman"/>
          <w:sz w:val="24"/>
          <w:szCs w:val="24"/>
          <w:lang w:val="en-GB"/>
        </w:rPr>
        <w:t>et</w:t>
      </w:r>
      <w:r w:rsidRPr="00A8783E">
        <w:rPr>
          <w:rFonts w:ascii="Times New Roman" w:hAnsi="Times New Roman"/>
          <w:sz w:val="24"/>
          <w:szCs w:val="24"/>
        </w:rPr>
        <w:t xml:space="preserve"> </w:t>
      </w:r>
      <w:r w:rsidRPr="00A8783E">
        <w:rPr>
          <w:rFonts w:ascii="Times New Roman" w:hAnsi="Times New Roman"/>
          <w:sz w:val="24"/>
          <w:szCs w:val="24"/>
          <w:lang w:val="en-GB"/>
        </w:rPr>
        <w:t>al</w:t>
      </w:r>
      <w:r w:rsidRPr="00A8783E">
        <w:rPr>
          <w:rFonts w:ascii="Times New Roman" w:hAnsi="Times New Roman"/>
          <w:sz w:val="24"/>
          <w:szCs w:val="24"/>
        </w:rPr>
        <w:t>. 2014; Шурулинков,</w:t>
      </w:r>
      <w:r w:rsidRPr="00A8783E">
        <w:rPr>
          <w:rFonts w:ascii="Times New Roman" w:hAnsi="Times New Roman"/>
          <w:sz w:val="24"/>
          <w:szCs w:val="24"/>
          <w:lang w:val="ru-RU"/>
        </w:rPr>
        <w:t xml:space="preserve"> 2015)</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i/>
          <w:iCs/>
          <w:sz w:val="24"/>
          <w:szCs w:val="24"/>
          <w:lang w:val="ru-RU"/>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Плитки крайбрежия на реки и стоящи водоеми, влажни ливади и пасища в близост до микроязовири. Заблатени гори и горски участъци близо до водоеми, обрасли с дървета и храсти брегове на езера, блата, реки, канали, край мочурища и ливади. Обитава по-често край бавно течащи водоеми със спокойна водна повърхност. Избягва бързо течащите реки (</w:t>
      </w:r>
      <w:r w:rsidRPr="00A8783E">
        <w:rPr>
          <w:rFonts w:ascii="Times New Roman" w:hAnsi="Times New Roman"/>
          <w:sz w:val="24"/>
          <w:szCs w:val="24"/>
          <w:lang w:val="ru-RU"/>
        </w:rPr>
        <w:t xml:space="preserve">Нанкинов и др. 1997; </w:t>
      </w:r>
      <w:r w:rsidRPr="00A8783E">
        <w:rPr>
          <w:rFonts w:ascii="Times New Roman" w:hAnsi="Times New Roman"/>
          <w:sz w:val="24"/>
          <w:szCs w:val="24"/>
        </w:rPr>
        <w:t>Шурулинков,</w:t>
      </w:r>
      <w:r w:rsidRPr="00A8783E">
        <w:rPr>
          <w:rFonts w:ascii="Times New Roman" w:hAnsi="Times New Roman"/>
          <w:sz w:val="24"/>
          <w:szCs w:val="24"/>
          <w:lang w:val="ru-RU"/>
        </w:rPr>
        <w:t xml:space="preserve"> 2015</w:t>
      </w:r>
      <w:r w:rsidRPr="00A8783E">
        <w:rPr>
          <w:rFonts w:ascii="Times New Roman" w:hAnsi="Times New Roman"/>
          <w:sz w:val="24"/>
          <w:szCs w:val="24"/>
        </w:rPr>
        <w:t>). Подходящите местообитания включват голям брой крайбрежни влажни зони: 1110, 1130, 1140, 1150, 1160; Сладководни местообитания: 3150, 3160, 3260 3270 и Естествени и полуестествени тревни формации: 6440, 6510 съгласно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lang w:val="ru-RU"/>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Храни се с различни водни и околоводни безгръбначни – червеи, дребни охлюви и миди, плодчета и много насекоми и техните ларви: бръмбари (бегачи, водолюбчета, хоботници), ципокрили (мравки), полутвърдокрили, пеперуди, двукрили (дълrоножки, комари), водни кончета, а също паяци</w:t>
      </w:r>
      <w:r w:rsidRPr="00A8783E">
        <w:rPr>
          <w:rFonts w:ascii="Times New Roman" w:hAnsi="Times New Roman"/>
          <w:sz w:val="24"/>
          <w:szCs w:val="24"/>
          <w:lang w:val="ru-RU"/>
        </w:rPr>
        <w:t xml:space="preserve"> </w:t>
      </w:r>
      <w:r w:rsidRPr="00A8783E">
        <w:rPr>
          <w:rFonts w:ascii="Times New Roman" w:hAnsi="Times New Roman"/>
          <w:sz w:val="24"/>
          <w:szCs w:val="24"/>
        </w:rPr>
        <w:t>и риби, както и растителни фрагменти  (BirdLife International 2016; Нанкинов и др., 1997; Шурулинков,</w:t>
      </w:r>
      <w:r w:rsidRPr="00A8783E">
        <w:rPr>
          <w:rFonts w:ascii="Times New Roman" w:hAnsi="Times New Roman"/>
          <w:sz w:val="24"/>
          <w:szCs w:val="24"/>
          <w:lang w:val="ru-RU"/>
        </w:rPr>
        <w:t xml:space="preserve"> 2015</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Широко разпространен гнездящ вид покрай реки и потоци както в равнинните, така и в планинските части на страната. Отбелязван в Тракийската низина (по реките Тополница и Марица), в Западните Родопи, по поречията на реките Струма, Искър, Тунджа, в Софийското поле, в Добруджа, в Източна Стара планина, до Мандренското езеро. След 1950 г. са установени редица нови находища – в Добруджа, в Тракийската низина, по р. Струма, по Черноморското крайбрежие (до Балтата; до Шабленското езеро; до Несебър; в Атанасовското езеро), в Западна Стара планина, покрай р. Дунав (в Никополско; до с. Басарбово, Русенско, в рибарниците Калимок), в Розовата долина, в Дунавската равнина, в Източна Стара планина, в Софийското поле (Митев </w:t>
      </w:r>
      <w:r w:rsidRPr="00A8783E">
        <w:rPr>
          <w:rFonts w:ascii="Times New Roman" w:hAnsi="Times New Roman"/>
          <w:sz w:val="24"/>
          <w:szCs w:val="24"/>
          <w:lang w:val="ru-RU"/>
        </w:rPr>
        <w:t>и</w:t>
      </w:r>
      <w:r w:rsidRPr="00A8783E">
        <w:rPr>
          <w:rFonts w:ascii="Times New Roman" w:hAnsi="Times New Roman"/>
          <w:sz w:val="24"/>
          <w:szCs w:val="24"/>
        </w:rPr>
        <w:t xml:space="preserve"> Димитров, 2007). Съгласно Червена книга на България (2015), в повечето от старите гнездови находища не е потвърден през периода 2001-2011 и се среща главно по реките Дунав, Искър, Вит, Осъм, Бели Лом и Черноморското крайбрежие, с епизодично гнездене на отделни двойки в средните течения на реки, край язовири и рибарници. По време на миграция и зимуване</w:t>
      </w:r>
      <w:r w:rsidRPr="00A8783E">
        <w:rPr>
          <w:rFonts w:ascii="Times New Roman" w:hAnsi="Times New Roman"/>
          <w:sz w:val="24"/>
          <w:szCs w:val="24"/>
          <w:lang w:val="ru-RU"/>
        </w:rPr>
        <w:t xml:space="preserve"> </w:t>
      </w:r>
      <w:r w:rsidRPr="00A8783E">
        <w:rPr>
          <w:rFonts w:ascii="Times New Roman" w:hAnsi="Times New Roman"/>
          <w:sz w:val="24"/>
          <w:szCs w:val="24"/>
        </w:rPr>
        <w:t xml:space="preserve">се среща по Черноморието в района на Атанасовско езеро, Бургаско езеро, Комплекс Мандра-Пода, Поморийско езеро, Варненско-Белославско </w:t>
      </w:r>
      <w:r w:rsidRPr="00A8783E">
        <w:rPr>
          <w:rFonts w:ascii="Times New Roman" w:hAnsi="Times New Roman"/>
          <w:sz w:val="24"/>
          <w:szCs w:val="24"/>
        </w:rPr>
        <w:lastRenderedPageBreak/>
        <w:t>езеро, Дуранкулашко и Шабленско езеро</w:t>
      </w:r>
      <w:r w:rsidRPr="00A8783E">
        <w:rPr>
          <w:rFonts w:ascii="Times New Roman" w:hAnsi="Times New Roman"/>
          <w:sz w:val="24"/>
          <w:szCs w:val="24"/>
          <w:lang w:val="ru-RU"/>
        </w:rPr>
        <w:t xml:space="preserve"> (Dimitrov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xml:space="preserve">. 2005; </w:t>
      </w:r>
      <w:r w:rsidRPr="00A8783E">
        <w:rPr>
          <w:rFonts w:ascii="Times New Roman" w:hAnsi="Times New Roman"/>
          <w:sz w:val="24"/>
          <w:szCs w:val="24"/>
        </w:rPr>
        <w:t>Michev</w:t>
      </w:r>
      <w:r w:rsidRPr="00A8783E">
        <w:rPr>
          <w:rFonts w:ascii="Times New Roman" w:hAnsi="Times New Roman"/>
          <w:sz w:val="24"/>
          <w:szCs w:val="24"/>
          <w:lang w:val="ru-RU"/>
        </w:rPr>
        <w:t xml:space="preserve"> </w:t>
      </w:r>
      <w:r w:rsidRPr="00A8783E">
        <w:rPr>
          <w:rFonts w:ascii="Times New Roman" w:hAnsi="Times New Roman"/>
          <w:sz w:val="24"/>
          <w:szCs w:val="24"/>
          <w:lang w:val="en-US"/>
        </w:rPr>
        <w:t>and</w:t>
      </w:r>
      <w:r w:rsidRPr="00A8783E">
        <w:rPr>
          <w:rFonts w:ascii="Times New Roman" w:hAnsi="Times New Roman"/>
          <w:sz w:val="24"/>
          <w:szCs w:val="24"/>
        </w:rPr>
        <w:t xml:space="preserve"> Profirov </w:t>
      </w:r>
      <w:r w:rsidRPr="00A8783E">
        <w:rPr>
          <w:rFonts w:ascii="Times New Roman" w:hAnsi="Times New Roman"/>
          <w:sz w:val="24"/>
          <w:szCs w:val="24"/>
          <w:lang w:val="ru-RU"/>
        </w:rPr>
        <w:t xml:space="preserve">2003; </w:t>
      </w:r>
      <w:r w:rsidRPr="00A8783E">
        <w:rPr>
          <w:rFonts w:ascii="Times New Roman" w:hAnsi="Times New Roman"/>
          <w:sz w:val="24"/>
          <w:szCs w:val="24"/>
        </w:rPr>
        <w:t>Костадинова и Граматиков</w:t>
      </w:r>
      <w:r w:rsidRPr="00A8783E">
        <w:rPr>
          <w:rFonts w:ascii="Times New Roman" w:hAnsi="Times New Roman"/>
          <w:sz w:val="24"/>
          <w:szCs w:val="24"/>
          <w:lang w:val="ru-RU"/>
        </w:rPr>
        <w:t xml:space="preserve"> </w:t>
      </w:r>
      <w:r w:rsidRPr="00A8783E">
        <w:rPr>
          <w:rFonts w:ascii="Times New Roman" w:hAnsi="Times New Roman"/>
          <w:sz w:val="24"/>
          <w:szCs w:val="24"/>
        </w:rPr>
        <w:t xml:space="preserve">2007; </w:t>
      </w:r>
      <w:r w:rsidRPr="00A8783E">
        <w:rPr>
          <w:rFonts w:ascii="Times New Roman" w:hAnsi="Times New Roman"/>
          <w:sz w:val="24"/>
          <w:szCs w:val="24"/>
          <w:lang w:val="ru-RU"/>
        </w:rPr>
        <w:t>Нанкинов и др., 1997)</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Не е включен в Директивата за птиците. Според </w:t>
      </w:r>
      <w:r w:rsidRPr="00A8783E">
        <w:rPr>
          <w:rFonts w:ascii="Times New Roman" w:hAnsi="Times New Roman"/>
          <w:sz w:val="24"/>
          <w:szCs w:val="24"/>
          <w:lang w:val="en-GB"/>
        </w:rPr>
        <w:t>IUCN</w:t>
      </w:r>
      <w:r w:rsidRPr="00A8783E">
        <w:rPr>
          <w:rFonts w:ascii="Times New Roman" w:hAnsi="Times New Roman"/>
          <w:sz w:val="24"/>
          <w:szCs w:val="24"/>
        </w:rPr>
        <w:t xml:space="preserve"> видът </w:t>
      </w:r>
      <w:r w:rsidRPr="00A8783E">
        <w:rPr>
          <w:rFonts w:ascii="Times New Roman" w:hAnsi="Times New Roman"/>
          <w:sz w:val="24"/>
          <w:szCs w:val="24"/>
          <w:lang w:val="en-US"/>
        </w:rPr>
        <w:t>e</w:t>
      </w:r>
      <w:r w:rsidRPr="00A8783E">
        <w:rPr>
          <w:rFonts w:ascii="Times New Roman" w:hAnsi="Times New Roman"/>
          <w:sz w:val="24"/>
          <w:szCs w:val="24"/>
        </w:rPr>
        <w:t xml:space="preserve"> Незастрашен LC (Least Concern), за територията на континентална Европа – LC (Least Concern) (BirdLife International 2015). Няма SPEC категория (BirdLife International, 2017). Включен е в Червената книга на България в категория застрашен вид </w:t>
      </w:r>
      <w:r w:rsidRPr="00A8783E">
        <w:rPr>
          <w:rFonts w:ascii="Times New Roman" w:hAnsi="Times New Roman"/>
          <w:sz w:val="24"/>
          <w:szCs w:val="24"/>
          <w:lang w:val="ru-RU"/>
        </w:rPr>
        <w:t>(</w:t>
      </w:r>
      <w:r w:rsidRPr="00A8783E">
        <w:rPr>
          <w:rFonts w:ascii="Times New Roman" w:hAnsi="Times New Roman"/>
          <w:sz w:val="24"/>
          <w:szCs w:val="24"/>
        </w:rPr>
        <w:t>ЕN</w:t>
      </w:r>
      <w:r w:rsidRPr="00A8783E">
        <w:rPr>
          <w:rFonts w:ascii="Times New Roman" w:hAnsi="Times New Roman"/>
          <w:sz w:val="24"/>
          <w:szCs w:val="24"/>
          <w:lang w:val="ru-RU"/>
        </w:rPr>
        <w:t>)</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 на 40 – 90 двойки. Краткосрочната тенденция (за периода 2000 – 2018) за популацията е неизвестна, дългосрочната (за периода 1980 – 2018) също е неизвестна.</w:t>
      </w:r>
      <w:r w:rsidRPr="00A8783E">
        <w:rPr>
          <w:rFonts w:cs="Calibri"/>
        </w:rPr>
        <w:t xml:space="preserve"> </w:t>
      </w:r>
      <w:r w:rsidRPr="00A8783E">
        <w:rPr>
          <w:rFonts w:ascii="Times New Roman" w:hAnsi="Times New Roman"/>
          <w:sz w:val="24"/>
          <w:szCs w:val="24"/>
        </w:rPr>
        <w:t>Не са посочени заплахи и влияния.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2013 – 2018 г.) националната </w:t>
      </w:r>
      <w:r w:rsidRPr="00A8783E">
        <w:rPr>
          <w:rFonts w:ascii="Times New Roman" w:hAnsi="Times New Roman"/>
          <w:b/>
          <w:bCs/>
          <w:sz w:val="24"/>
          <w:szCs w:val="24"/>
        </w:rPr>
        <w:t>зимуваща</w:t>
      </w:r>
      <w:r w:rsidRPr="00A8783E">
        <w:rPr>
          <w:rFonts w:ascii="Times New Roman" w:hAnsi="Times New Roman"/>
          <w:sz w:val="24"/>
          <w:szCs w:val="24"/>
        </w:rPr>
        <w:t xml:space="preserve"> популация на вида се оценя на 50 – 150 индивида. Краткосрочната тенденция (за периода 1999 – 2018) за популацията е флуктуираща, дългосрочната (за периода 1980 – 2018) също е флуктуираща. Не са посочени заплахи и влияния.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2001 – 2018 г.) националната </w:t>
      </w:r>
      <w:r w:rsidRPr="00A8783E">
        <w:rPr>
          <w:rFonts w:ascii="Times New Roman" w:hAnsi="Times New Roman"/>
          <w:b/>
          <w:bCs/>
          <w:sz w:val="24"/>
          <w:szCs w:val="24"/>
        </w:rPr>
        <w:t>мигрираща</w:t>
      </w:r>
      <w:r w:rsidRPr="00A8783E">
        <w:rPr>
          <w:rFonts w:ascii="Times New Roman" w:hAnsi="Times New Roman"/>
          <w:sz w:val="24"/>
          <w:szCs w:val="24"/>
        </w:rPr>
        <w:t xml:space="preserve"> популация на вида се оценя на 100 – 500 индивида. Краткосрочната тенденция (за периода 2001 – 2018) в популацията е неизвестна, дългосрочната (за периода 1980 – 2018) също е неизвестна. Посочени са следните заплахи и влияния:</w:t>
      </w:r>
      <w:r w:rsidRPr="00A8783E">
        <w:rPr>
          <w:rFonts w:ascii="Times New Roman" w:hAnsi="Times New Roman"/>
          <w:sz w:val="24"/>
          <w:szCs w:val="24"/>
          <w:lang w:val="ru-RU"/>
        </w:rPr>
        <w:t xml:space="preserve"> K</w:t>
      </w:r>
      <w:r w:rsidRPr="00A8783E">
        <w:rPr>
          <w:rFonts w:ascii="Times New Roman" w:hAnsi="Times New Roman"/>
          <w:sz w:val="24"/>
          <w:szCs w:val="24"/>
        </w:rPr>
        <w:t xml:space="preserve">02, </w:t>
      </w:r>
      <w:r w:rsidRPr="00A8783E">
        <w:rPr>
          <w:rFonts w:ascii="Times New Roman" w:hAnsi="Times New Roman"/>
          <w:sz w:val="24"/>
          <w:szCs w:val="24"/>
          <w:lang w:val="ru-RU"/>
        </w:rPr>
        <w:t>K04, F</w:t>
      </w:r>
      <w:r w:rsidRPr="00A8783E">
        <w:rPr>
          <w:rFonts w:ascii="Times New Roman" w:hAnsi="Times New Roman"/>
          <w:sz w:val="24"/>
          <w:szCs w:val="24"/>
        </w:rPr>
        <w:t xml:space="preserve">05, </w:t>
      </w:r>
      <w:r w:rsidRPr="00A8783E">
        <w:rPr>
          <w:rFonts w:ascii="Times New Roman" w:hAnsi="Times New Roman"/>
          <w:sz w:val="24"/>
          <w:szCs w:val="24"/>
          <w:lang w:val="ru-RU"/>
        </w:rPr>
        <w:t>F</w:t>
      </w:r>
      <w:r w:rsidRPr="00A8783E">
        <w:rPr>
          <w:rFonts w:ascii="Times New Roman" w:hAnsi="Times New Roman"/>
          <w:sz w:val="24"/>
          <w:szCs w:val="24"/>
        </w:rPr>
        <w:t>26.</w:t>
      </w:r>
    </w:p>
    <w:p w:rsidR="00A8783E" w:rsidRPr="00A8783E" w:rsidRDefault="00A8783E" w:rsidP="00A8783E">
      <w:pPr>
        <w:spacing w:before="120" w:after="120" w:line="240" w:lineRule="auto"/>
        <w:jc w:val="both"/>
        <w:rPr>
          <w:rFonts w:ascii="Times New Roman" w:hAnsi="Times New Roman"/>
          <w:b/>
          <w:bCs/>
          <w:color w:val="0070C0"/>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Според СФ</w:t>
      </w:r>
      <w:r w:rsidRPr="00A8783E">
        <w:rPr>
          <w:rFonts w:ascii="Times New Roman" w:hAnsi="Times New Roman"/>
          <w:b/>
          <w:bCs/>
          <w:sz w:val="24"/>
          <w:szCs w:val="24"/>
        </w:rPr>
        <w:t xml:space="preserve"> мигриращата </w:t>
      </w:r>
      <w:r w:rsidRPr="00A8783E">
        <w:rPr>
          <w:rFonts w:ascii="Times New Roman" w:hAnsi="Times New Roman"/>
          <w:sz w:val="24"/>
          <w:szCs w:val="24"/>
        </w:rPr>
        <w:t xml:space="preserve">популация на вида се оценява на </w:t>
      </w:r>
      <w:r w:rsidRPr="00A8783E">
        <w:rPr>
          <w:rFonts w:ascii="Times New Roman" w:hAnsi="Times New Roman"/>
          <w:b/>
          <w:bCs/>
          <w:sz w:val="24"/>
          <w:szCs w:val="24"/>
          <w:lang w:val="ru-RU"/>
        </w:rPr>
        <w:t xml:space="preserve">до </w:t>
      </w:r>
      <w:r w:rsidRPr="00A8783E">
        <w:rPr>
          <w:rFonts w:ascii="Times New Roman" w:hAnsi="Times New Roman"/>
          <w:b/>
          <w:bCs/>
          <w:sz w:val="24"/>
          <w:szCs w:val="24"/>
        </w:rPr>
        <w:t>4 индивида</w:t>
      </w:r>
      <w:r w:rsidRPr="00A8783E">
        <w:rPr>
          <w:rFonts w:ascii="Times New Roman" w:hAnsi="Times New Roman"/>
          <w:sz w:val="24"/>
          <w:szCs w:val="24"/>
        </w:rPr>
        <w:t>, което е 0,8 % от националната мигрираща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A8783E">
        <w:rPr>
          <w:rFonts w:ascii="Times New Roman" w:hAnsi="Times New Roman"/>
          <w:sz w:val="24"/>
          <w:szCs w:val="24"/>
          <w:lang w:val="ru-RU"/>
        </w:rPr>
        <w:t xml:space="preserve"> </w:t>
      </w:r>
      <w:r w:rsidRPr="00A8783E">
        <w:rPr>
          <w:rFonts w:ascii="Times New Roman" w:hAnsi="Times New Roman"/>
          <w:sz w:val="24"/>
          <w:szCs w:val="24"/>
        </w:rPr>
        <w:t xml:space="preserve">В средна Дунавска равнина горския водобегач се среща с почти еднаква численост през цялата година. Максимална численост е установена на 12.07.2000 г. край р. Дунав между Белене и Никопол – 30 екз.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По време на миграция и зимуване</w:t>
      </w:r>
      <w:r w:rsidRPr="00A8783E">
        <w:rPr>
          <w:rFonts w:ascii="Times New Roman" w:hAnsi="Times New Roman"/>
          <w:sz w:val="24"/>
          <w:szCs w:val="24"/>
          <w:lang w:val="ru-RU"/>
        </w:rPr>
        <w:t xml:space="preserve"> </w:t>
      </w:r>
      <w:r w:rsidRPr="00A8783E">
        <w:rPr>
          <w:rFonts w:ascii="Times New Roman" w:hAnsi="Times New Roman"/>
          <w:sz w:val="24"/>
          <w:szCs w:val="24"/>
        </w:rPr>
        <w:t>се среща по-често по Черноморското крайбрежие.</w:t>
      </w:r>
      <w:r w:rsidRPr="00A8783E">
        <w:rPr>
          <w:rFonts w:cs="Calibri"/>
        </w:rPr>
        <w:t xml:space="preserve"> </w:t>
      </w:r>
      <w:r w:rsidRPr="00A8783E">
        <w:rPr>
          <w:rFonts w:ascii="Times New Roman" w:hAnsi="Times New Roman"/>
          <w:sz w:val="24"/>
          <w:szCs w:val="24"/>
        </w:rPr>
        <w:t>Вида може да бъде наблюдаван както на брега на реката така и на острова в рамките на зоната само, когато нивото на реката е ниско и се образуват пясъчни коси, по които птиците търсят храна.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докладването по чл. 12 от Директива за птиците за мигриращата популация на вида са посочени следните заплахи (K02, K04, F05, F26), като от тези заплахи  отношение към вида в зоната може да има K04-Изменение на хидродинамичните характеристики. Може да се добавят още F08-Изменение на състоянието на брегови линии, устия или крайбрежия с цел изграждане, използване и защита на жилищна, търговска, промишлена и ваканционна инфраструктура и зони и E05-Дейности на сухопътния, водния и въздушния транспорт, причиняващи замърсяване на повърхностни или подземни води.</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50"/>
        <w:gridCol w:w="1134"/>
        <w:gridCol w:w="1134"/>
        <w:gridCol w:w="2552"/>
        <w:gridCol w:w="2699"/>
      </w:tblGrid>
      <w:tr w:rsidR="00A8783E" w:rsidRPr="00A8783E" w:rsidTr="005B5318">
        <w:trPr>
          <w:tblHeader/>
          <w:jc w:val="center"/>
        </w:trPr>
        <w:tc>
          <w:tcPr>
            <w:tcW w:w="1850"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lastRenderedPageBreak/>
              <w:t>Параметър</w:t>
            </w:r>
          </w:p>
        </w:tc>
        <w:tc>
          <w:tcPr>
            <w:tcW w:w="1134"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Мерна единица </w:t>
            </w:r>
          </w:p>
        </w:tc>
        <w:tc>
          <w:tcPr>
            <w:tcW w:w="1134"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Целева стойност </w:t>
            </w:r>
          </w:p>
        </w:tc>
        <w:tc>
          <w:tcPr>
            <w:tcW w:w="2552"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Допълнителна информация </w:t>
            </w:r>
          </w:p>
        </w:tc>
        <w:tc>
          <w:tcPr>
            <w:tcW w:w="2699" w:type="dxa"/>
            <w:shd w:val="clear" w:color="auto" w:fill="DBE5F1"/>
            <w:vAlign w:val="center"/>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850" w:type="dxa"/>
          </w:tcPr>
          <w:p w:rsidR="00A8783E" w:rsidRPr="00A8783E" w:rsidRDefault="00A8783E" w:rsidP="00A8783E">
            <w:pPr>
              <w:spacing w:after="0" w:line="240" w:lineRule="auto"/>
              <w:rPr>
                <w:rFonts w:ascii="Times New Roman" w:hAnsi="Times New Roman"/>
              </w:rPr>
            </w:pPr>
            <w:r w:rsidRPr="00A8783E">
              <w:rPr>
                <w:rFonts w:ascii="Times New Roman" w:hAnsi="Times New Roman"/>
                <w:b/>
              </w:rPr>
              <w:t>Популация:</w:t>
            </w:r>
            <w:r w:rsidRPr="00A8783E">
              <w:rPr>
                <w:rFonts w:ascii="Times New Roman" w:hAnsi="Times New Roman"/>
              </w:rPr>
              <w:t xml:space="preserve"> Размер на мигриращата популация</w:t>
            </w:r>
          </w:p>
        </w:tc>
        <w:tc>
          <w:tcPr>
            <w:tcW w:w="113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индивиди</w:t>
            </w:r>
          </w:p>
        </w:tc>
        <w:tc>
          <w:tcPr>
            <w:tcW w:w="113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до 4 инд.</w:t>
            </w:r>
          </w:p>
        </w:tc>
        <w:tc>
          <w:tcPr>
            <w:tcW w:w="2552"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Целевата стойност е определена от СФ. Тези данни се нуждаят от потвърждение/актуализация в резултата на адекватен мониторинг в периода октомври – март месец.</w:t>
            </w:r>
          </w:p>
        </w:tc>
        <w:tc>
          <w:tcPr>
            <w:tcW w:w="2699"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Междинна цел до 2025 г: провеждане на проучване за установяване на текущата миграционна численост на вида в зоната в подходящите местообитания като се следват одобрените от ИАОС методики.</w:t>
            </w:r>
          </w:p>
        </w:tc>
      </w:tr>
      <w:tr w:rsidR="00A8783E" w:rsidRPr="00A8783E" w:rsidTr="005B5318">
        <w:trPr>
          <w:trHeight w:val="748"/>
          <w:jc w:val="center"/>
        </w:trPr>
        <w:tc>
          <w:tcPr>
            <w:tcW w:w="1850" w:type="dxa"/>
            <w:shd w:val="clear" w:color="auto" w:fill="auto"/>
          </w:tcPr>
          <w:p w:rsidR="00A8783E" w:rsidRPr="00A8783E" w:rsidRDefault="00A8783E" w:rsidP="00A8783E">
            <w:pPr>
              <w:spacing w:after="0" w:line="240" w:lineRule="auto"/>
              <w:jc w:val="both"/>
              <w:rPr>
                <w:rFonts w:ascii="Times New Roman" w:hAnsi="Times New Roman" w:cs="Calibri"/>
                <w:szCs w:val="20"/>
                <w:lang w:eastAsia="bg-BG"/>
              </w:rPr>
            </w:pPr>
            <w:r w:rsidRPr="00A8783E">
              <w:rPr>
                <w:rFonts w:ascii="Times New Roman" w:hAnsi="Times New Roman" w:cs="Calibri"/>
                <w:b/>
                <w:szCs w:val="20"/>
                <w:lang w:eastAsia="bg-BG"/>
              </w:rPr>
              <w:t xml:space="preserve">Местообитание на вида: </w:t>
            </w:r>
            <w:r w:rsidRPr="00A8783E">
              <w:rPr>
                <w:rFonts w:ascii="Times New Roman" w:hAnsi="Times New Roman" w:cs="Calibri"/>
                <w:szCs w:val="20"/>
                <w:lang w:eastAsia="bg-BG"/>
              </w:rPr>
              <w:t>площ на подходящите местообитания за търсене на храна</w:t>
            </w:r>
          </w:p>
        </w:tc>
        <w:tc>
          <w:tcPr>
            <w:tcW w:w="1134" w:type="dxa"/>
            <w:shd w:val="clear" w:color="auto" w:fill="auto"/>
          </w:tcPr>
          <w:p w:rsidR="00A8783E" w:rsidRPr="00A8783E" w:rsidRDefault="00A8783E" w:rsidP="00A8783E">
            <w:pPr>
              <w:spacing w:after="0" w:line="240" w:lineRule="auto"/>
              <w:jc w:val="both"/>
              <w:rPr>
                <w:rFonts w:ascii="Times New Roman" w:hAnsi="Times New Roman" w:cs="Calibri"/>
                <w:szCs w:val="20"/>
                <w:lang w:eastAsia="bg-BG"/>
              </w:rPr>
            </w:pPr>
            <w:r w:rsidRPr="00A8783E">
              <w:rPr>
                <w:rFonts w:ascii="Times New Roman" w:hAnsi="Times New Roman" w:cs="Calibri"/>
                <w:szCs w:val="20"/>
                <w:lang w:eastAsia="bg-BG"/>
              </w:rPr>
              <w:t>ha</w:t>
            </w:r>
          </w:p>
        </w:tc>
        <w:tc>
          <w:tcPr>
            <w:tcW w:w="1134"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rPr>
              <w:t>Най-малко 23</w:t>
            </w:r>
          </w:p>
        </w:tc>
        <w:tc>
          <w:tcPr>
            <w:tcW w:w="2552" w:type="dxa"/>
          </w:tcPr>
          <w:p w:rsidR="00A8783E" w:rsidRPr="00A8783E" w:rsidRDefault="00A8783E" w:rsidP="00A8783E">
            <w:pPr>
              <w:spacing w:after="0" w:line="240" w:lineRule="auto"/>
              <w:jc w:val="both"/>
              <w:rPr>
                <w:rFonts w:ascii="Times New Roman" w:hAnsi="Times New Roman"/>
                <w:lang w:val="ru-RU"/>
              </w:rPr>
            </w:pPr>
            <w:r w:rsidRPr="00A8783E">
              <w:rPr>
                <w:rFonts w:ascii="Times New Roman" w:hAnsi="Times New Roman"/>
              </w:rPr>
              <w:t>Изчислена приблизително</w:t>
            </w:r>
            <w:r w:rsidRPr="00A8783E">
              <w:rPr>
                <w:rFonts w:ascii="Times New Roman" w:hAnsi="Times New Roman"/>
                <w:lang w:val="en-US"/>
              </w:rPr>
              <w:t xml:space="preserve"> </w:t>
            </w:r>
            <w:r w:rsidRPr="00A8783E">
              <w:rPr>
                <w:rFonts w:ascii="Times New Roman" w:hAnsi="Times New Roman"/>
              </w:rPr>
              <w:t xml:space="preserve">на база наличните пясъчни коси в р. Дунав в рамките на зоната чрез </w:t>
            </w:r>
            <w:r w:rsidRPr="00A8783E">
              <w:rPr>
                <w:rFonts w:ascii="Times New Roman" w:hAnsi="Times New Roman"/>
                <w:lang w:val="en-US"/>
              </w:rPr>
              <w:t>GoogleEarth</w:t>
            </w:r>
            <w:r w:rsidRPr="00A8783E">
              <w:rPr>
                <w:rFonts w:ascii="Times New Roman" w:hAnsi="Times New Roman"/>
              </w:rPr>
              <w:t>. Точна площ на пригодните местообитания не може да се даде, тъй като площта на пясъчните коси, речните брегове и плитчините в резервата ще е различна през отделните години и зависи от нивото на реката. Вида може да бъде наблюдаван в зоната, когато нивото на реката е по-ниско и се образуват пясъчни коси, речни плитчини и плитчини в крайбрежните части на резервата, в които птиците търсят храна.</w:t>
            </w:r>
          </w:p>
        </w:tc>
        <w:tc>
          <w:tcPr>
            <w:tcW w:w="269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площта на подходящите хранителни местообитания на вида в размер най-малко</w:t>
            </w:r>
            <w:r w:rsidRPr="00A8783E">
              <w:rPr>
                <w:rFonts w:ascii="Times New Roman" w:hAnsi="Times New Roman"/>
                <w:lang w:val="ru-RU"/>
              </w:rPr>
              <w:t xml:space="preserve"> 23 </w:t>
            </w:r>
            <w:r w:rsidRPr="00A8783E">
              <w:rPr>
                <w:rFonts w:ascii="Times New Roman" w:hAnsi="Times New Roman"/>
                <w:lang w:val="en-US"/>
              </w:rPr>
              <w:t>ha</w:t>
            </w:r>
            <w:r w:rsidRPr="00A8783E">
              <w:rPr>
                <w:rFonts w:ascii="Times New Roman" w:hAnsi="Times New Roman"/>
                <w:lang w:val="ru-RU"/>
              </w:rPr>
              <w:t xml:space="preserve">. </w:t>
            </w:r>
            <w:r w:rsidRPr="00A8783E">
              <w:rPr>
                <w:rFonts w:ascii="Times New Roman" w:hAnsi="Times New Roman"/>
              </w:rPr>
              <w:t>Площта на пясъчните коси, речните брегове и крайбрежните плитчини в резервата ще е различна през отделните години и зависи от нивото на реката и от нивото на водата в езерото.</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Забрана за изземване на пясък и други речни наноси в рамките на зоната, за да се запазят пясъчните коси по крайбрежието на острова. Тази мярка е залегнала и в Националния план за опазване на влажните зони в България.</w:t>
            </w:r>
          </w:p>
        </w:tc>
      </w:tr>
    </w:tbl>
    <w:p w:rsidR="00A8783E" w:rsidRPr="00A8783E" w:rsidRDefault="00A8783E" w:rsidP="00A8783E">
      <w:pPr>
        <w:spacing w:before="120" w:after="120" w:line="259" w:lineRule="auto"/>
        <w:jc w:val="both"/>
        <w:rPr>
          <w:rFonts w:ascii="Times New Roman" w:hAnsi="Times New Roman"/>
          <w:b/>
          <w:bCs/>
          <w:color w:val="000000"/>
          <w:sz w:val="24"/>
          <w:szCs w:val="24"/>
        </w:rPr>
      </w:pPr>
    </w:p>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t xml:space="preserve">6. Необходимост от промени в СФ за (СЗЗ) </w:t>
      </w:r>
      <w:r w:rsidRPr="00A8783E">
        <w:rPr>
          <w:rFonts w:ascii="Times New Roman" w:hAnsi="Times New Roman"/>
          <w:b/>
          <w:bCs/>
          <w:sz w:val="24"/>
          <w:szCs w:val="24"/>
        </w:rPr>
        <w:t>BG0000241 „Сребърна“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Не са необходими промени в СФ.</w:t>
      </w: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81" w:name="_Toc89106129"/>
      <w:bookmarkStart w:id="382" w:name="_Toc98741968"/>
      <w:bookmarkStart w:id="383" w:name="_Toc98838643"/>
      <w:r w:rsidRPr="00A8783E">
        <w:rPr>
          <w:rFonts w:ascii="Times New Roman" w:hAnsi="Times New Roman"/>
          <w:color w:val="1F497D"/>
          <w:sz w:val="28"/>
          <w:szCs w:val="28"/>
        </w:rPr>
        <w:t xml:space="preserve">Специфични цели за А176 </w:t>
      </w:r>
      <w:r w:rsidRPr="00A8783E">
        <w:rPr>
          <w:rFonts w:ascii="Times New Roman" w:hAnsi="Times New Roman"/>
          <w:i/>
          <w:iCs/>
          <w:color w:val="1F497D"/>
          <w:sz w:val="28"/>
          <w:szCs w:val="28"/>
          <w:lang w:val="en-US"/>
        </w:rPr>
        <w:t>Larus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melanocephalus</w:t>
      </w:r>
      <w:r w:rsidRPr="00A8783E">
        <w:rPr>
          <w:rFonts w:ascii="Times New Roman" w:hAnsi="Times New Roman"/>
          <w:color w:val="1F497D"/>
          <w:sz w:val="28"/>
          <w:szCs w:val="28"/>
        </w:rPr>
        <w:t xml:space="preserve"> (малка черноглава чайка)</w:t>
      </w:r>
      <w:bookmarkEnd w:id="381"/>
      <w:bookmarkEnd w:id="382"/>
      <w:bookmarkEnd w:id="383"/>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36-38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92-100 </w:t>
      </w:r>
      <w:r w:rsidRPr="00A8783E">
        <w:rPr>
          <w:rFonts w:ascii="Times New Roman" w:hAnsi="Times New Roman"/>
          <w:sz w:val="24"/>
          <w:szCs w:val="24"/>
          <w:lang w:val="en-US"/>
        </w:rPr>
        <w:t>cm</w:t>
      </w:r>
      <w:r w:rsidRPr="00A8783E">
        <w:rPr>
          <w:rFonts w:ascii="Times New Roman" w:hAnsi="Times New Roman"/>
          <w:sz w:val="24"/>
          <w:szCs w:val="24"/>
        </w:rPr>
        <w:t>. Има сезонен и възрастов диморфизъм. Възрастните през размножителния период са бели с черна глава, сив гръб и сиви крила. През есенно-зимния период главата е бяла с тъмно петно зад окото. Младите отгоре са сиво- кафяви с черни първостепенни махови пера и черна ивица на края на опашката. Възрастните през есенно-зимния период се отличават от тези на речната чайка по окраската на главата и бялата долна страна на крилата, а младите — по оцветяването на първостепенните махови пера.</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Постоянен, преминаващ и зимуващ вид. Пролетната миграция е от средата на март до края на май, а есенната – от началото на август до края на септември. Гнезди на многочислени и плътни колонии.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Гнезди в соленоводни и свръхсолени езера – лагуни и лимани, като разполага гнездата си по разделителните диги в солниците, изкуствените платформи за подпомагане гнезденето на водолюбивите птици, по-рядко по засолени терени с халофитна растителност. През останалите сезони се среща и навътре в сушата по разнообразни влажни зони (Янков, ред., 2007). Разстоянието между отделните гнезда е от 0,3 до 4 м, средно 0,63 м (Нанкинов и др., 1997). Подходящи местообитания вероятно са 1150 и 3150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Храни се с ракообразни, дребни рибки, насекоми и полевки.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 отделни гнездовища по Черноморското крайбрежие, в зависимост от наличието на соленоводни или свръхсолени езера, основно в Атанасовското и Поморийското езеро. Неразмножаващи се индивиди и ята остават през гнездовия период в Дуранкулашкото езеро, Шабленската тузла, в ез. Сребърна, във влажни зони по р. Огоста и др. По-големи концентрации по време на есенната миграция са наблюдавани край н. Калиакра и Бургаските езера. Зимуващата в България популация е малобройна, концентрирана основно по Черноморското крайбрежие. (Янков, ред., 2007; Нанкинов и др., 1997).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Защитен вид по ЗБР (Приложения 2 и 3). Включен в Приложение 1 на Директивата за птиците. Включен в Червената книга на Р България (2015) в категория уязвим (VU).  Според IUCN – LC (Least Concern), за територията на континентална Европа – LC (Least Concern).</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Съгласно докладването през 2019 г. (за периода 2013-2019 г.),</w:t>
      </w:r>
      <w:r w:rsidRPr="00A8783E">
        <w:t xml:space="preserve"> </w:t>
      </w:r>
      <w:r w:rsidRPr="00A8783E">
        <w:rPr>
          <w:rFonts w:ascii="Times New Roman" w:hAnsi="Times New Roman"/>
          <w:b/>
          <w:bCs/>
          <w:sz w:val="24"/>
          <w:szCs w:val="24"/>
        </w:rPr>
        <w:t>мигриращата</w:t>
      </w:r>
      <w:r w:rsidRPr="00A8783E">
        <w:rPr>
          <w:rFonts w:ascii="Times New Roman" w:hAnsi="Times New Roman"/>
          <w:sz w:val="24"/>
          <w:szCs w:val="24"/>
        </w:rPr>
        <w:t xml:space="preserve"> национална популация се оценява на </w:t>
      </w:r>
      <w:r w:rsidRPr="00A8783E">
        <w:rPr>
          <w:rFonts w:ascii="Times New Roman" w:hAnsi="Times New Roman"/>
          <w:bCs/>
          <w:sz w:val="24"/>
          <w:szCs w:val="24"/>
        </w:rPr>
        <w:t>2000-4000</w:t>
      </w:r>
      <w:r w:rsidRPr="00A8783E">
        <w:rPr>
          <w:rFonts w:ascii="Times New Roman" w:hAnsi="Times New Roman"/>
          <w:sz w:val="24"/>
          <w:szCs w:val="24"/>
        </w:rPr>
        <w:t xml:space="preserve"> индивида. Не са посочени краткосрочни и дългосрочни тенденции в числеността на преминаващите индивиди. Краткосрочната тенденция на популацията в рамките на Натура 2000 е нарастваща. Посочени са следните заплахи и влияния:</w:t>
      </w:r>
      <w:r w:rsidRPr="00A8783E">
        <w:rPr>
          <w:rFonts w:ascii="Times New Roman" w:hAnsi="Times New Roman"/>
          <w:i/>
          <w:iCs/>
          <w:sz w:val="24"/>
          <w:szCs w:val="24"/>
        </w:rPr>
        <w:t xml:space="preserve"> </w:t>
      </w:r>
      <w:r w:rsidRPr="00A8783E">
        <w:rPr>
          <w:rFonts w:ascii="Times New Roman" w:hAnsi="Times New Roman"/>
          <w:iCs/>
          <w:sz w:val="24"/>
          <w:szCs w:val="24"/>
        </w:rPr>
        <w:t>C03; F26</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Зимуващата</w:t>
      </w:r>
      <w:r w:rsidRPr="00A8783E">
        <w:rPr>
          <w:rFonts w:ascii="Times New Roman" w:hAnsi="Times New Roman"/>
          <w:sz w:val="24"/>
          <w:szCs w:val="24"/>
        </w:rPr>
        <w:t xml:space="preserve"> популация е оценена на </w:t>
      </w:r>
      <w:r w:rsidRPr="00A8783E">
        <w:rPr>
          <w:rFonts w:ascii="Times New Roman" w:hAnsi="Times New Roman"/>
          <w:bCs/>
          <w:sz w:val="24"/>
          <w:szCs w:val="24"/>
        </w:rPr>
        <w:t>20-300</w:t>
      </w:r>
      <w:r w:rsidRPr="00A8783E">
        <w:rPr>
          <w:rFonts w:ascii="Times New Roman" w:hAnsi="Times New Roman"/>
          <w:sz w:val="24"/>
          <w:szCs w:val="24"/>
        </w:rPr>
        <w:t xml:space="preserve"> индивида. Краткосрочната (2000-2018 г.) и дългосрочната (1980-2018 г.) популационни тенденции са флуктуиращи. Посочени са следните заплахи и влияния: </w:t>
      </w:r>
      <w:r w:rsidRPr="00A8783E">
        <w:rPr>
          <w:rFonts w:ascii="Times New Roman" w:hAnsi="Times New Roman"/>
          <w:iCs/>
          <w:sz w:val="24"/>
          <w:szCs w:val="24"/>
        </w:rPr>
        <w:t>C03; D02</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се оценява на </w:t>
      </w:r>
      <w:r w:rsidRPr="00A8783E">
        <w:rPr>
          <w:rFonts w:ascii="Times New Roman" w:hAnsi="Times New Roman"/>
          <w:b/>
          <w:bCs/>
          <w:sz w:val="24"/>
          <w:szCs w:val="24"/>
        </w:rPr>
        <w:t>2-6</w:t>
      </w:r>
      <w:r w:rsidRPr="00A8783E">
        <w:rPr>
          <w:rFonts w:ascii="Times New Roman" w:hAnsi="Times New Roman"/>
          <w:sz w:val="24"/>
          <w:szCs w:val="24"/>
        </w:rPr>
        <w:t xml:space="preserve"> двойки. Краткосрочната (2001-2018 г.) и дългосрочната (1980-2018 г.) популационни тенденции са флуктуиращи. Краткосрочната тенденция на гнездящата популацията в рамките на Натура 2000 е флуктуираща. Посочени са следните заплахи: </w:t>
      </w:r>
      <w:r w:rsidRPr="00A8783E">
        <w:rPr>
          <w:rFonts w:ascii="Times New Roman" w:hAnsi="Times New Roman"/>
          <w:iCs/>
          <w:sz w:val="24"/>
          <w:szCs w:val="24"/>
        </w:rPr>
        <w:t>J02; K03</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Червената книга (2015) като заплахи са посочени промени в режима на стопанисване на селскостопанските площи, ремонт на дигите в Атанасовското и Поморийското езеро. Унищожаване на мътилата и люпилата от наземни хищници, замърсяване на почвите и водите.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видът е </w:t>
      </w:r>
      <w:r w:rsidRPr="00A8783E">
        <w:rPr>
          <w:rFonts w:ascii="Times New Roman" w:hAnsi="Times New Roman"/>
          <w:b/>
          <w:sz w:val="24"/>
          <w:szCs w:val="24"/>
          <w:lang w:eastAsia="bg-BG"/>
        </w:rPr>
        <w:t>м</w:t>
      </w:r>
      <w:r w:rsidRPr="00A8783E">
        <w:rPr>
          <w:rFonts w:ascii="Times New Roman" w:hAnsi="Times New Roman"/>
          <w:b/>
          <w:bCs/>
          <w:sz w:val="24"/>
          <w:szCs w:val="24"/>
          <w:lang w:eastAsia="bg-BG"/>
        </w:rPr>
        <w:t>игриращ</w:t>
      </w:r>
      <w:r w:rsidRPr="00A8783E">
        <w:rPr>
          <w:rFonts w:ascii="Times New Roman" w:hAnsi="Times New Roman"/>
          <w:sz w:val="24"/>
          <w:szCs w:val="24"/>
          <w:lang w:eastAsia="bg-BG"/>
        </w:rPr>
        <w:t xml:space="preserve"> с численост до </w:t>
      </w:r>
      <w:r w:rsidRPr="00A8783E">
        <w:rPr>
          <w:rFonts w:ascii="Times New Roman" w:hAnsi="Times New Roman"/>
          <w:b/>
          <w:bCs/>
          <w:sz w:val="24"/>
          <w:szCs w:val="24"/>
          <w:lang w:eastAsia="bg-BG"/>
        </w:rPr>
        <w:t>2 индивида</w:t>
      </w:r>
      <w:r w:rsidRPr="00A8783E">
        <w:rPr>
          <w:rFonts w:ascii="Times New Roman" w:hAnsi="Times New Roman"/>
          <w:sz w:val="24"/>
          <w:szCs w:val="24"/>
          <w:lang w:eastAsia="bg-BG"/>
        </w:rPr>
        <w:t xml:space="preserve">, което е </w:t>
      </w:r>
      <w:r w:rsidRPr="00A8783E">
        <w:rPr>
          <w:rFonts w:ascii="Times New Roman" w:hAnsi="Times New Roman"/>
          <w:bCs/>
          <w:color w:val="000000"/>
          <w:sz w:val="24"/>
          <w:szCs w:val="24"/>
          <w:lang w:eastAsia="bg-BG"/>
        </w:rPr>
        <w:t>0,05-0,1 %</w:t>
      </w:r>
      <w:r w:rsidRPr="00A8783E">
        <w:rPr>
          <w:rFonts w:ascii="Times New Roman" w:hAnsi="Times New Roman"/>
          <w:sz w:val="24"/>
          <w:szCs w:val="24"/>
          <w:lang w:eastAsia="bg-BG"/>
        </w:rPr>
        <w:t xml:space="preserve"> от националната популация (оценка „C“). Опазването на </w:t>
      </w:r>
      <w:r w:rsidRPr="00A8783E">
        <w:rPr>
          <w:rFonts w:ascii="Times New Roman" w:hAnsi="Times New Roman"/>
          <w:sz w:val="24"/>
          <w:szCs w:val="24"/>
          <w:lang w:eastAsia="bg-BG"/>
        </w:rPr>
        <w:lastRenderedPageBreak/>
        <w:t>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4. Анализ на наличната информация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В Средна Дунавска равнина не е установен по време на миграция (Шурулинков и др., 2005). В Бургаските влажни зони е необичаен пролетен и доста чест есенен мигрант с максимална численост от 154 инд. през пролетта и 4374 инд. през есента (Dimitrov et al., 2005). Най-големи концентрации се наблюдават по Черноморското крайбрежие. По време на теренните проучвания в СЗЗ „Сребърна“ през 2021 г. видът не беше установен. Няма данни в ebird.org и observation.org видът да е бил регистриран в зоната.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За мигриращата популация са посочени следните заплахи: C03; F26. От тях няма потенциално валидни за СЗЗ „Сребърна”.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2"/>
        <w:gridCol w:w="1134"/>
        <w:gridCol w:w="1276"/>
        <w:gridCol w:w="2552"/>
        <w:gridCol w:w="2480"/>
      </w:tblGrid>
      <w:tr w:rsidR="00A8783E" w:rsidRPr="00A8783E" w:rsidTr="005B5318">
        <w:trPr>
          <w:tblHeader/>
          <w:jc w:val="center"/>
        </w:trPr>
        <w:tc>
          <w:tcPr>
            <w:tcW w:w="1772" w:type="dxa"/>
            <w:shd w:val="clear" w:color="auto" w:fill="DBE5F1"/>
            <w:vAlign w:val="center"/>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Мерна единица </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Целева стойност </w:t>
            </w:r>
          </w:p>
        </w:tc>
        <w:tc>
          <w:tcPr>
            <w:tcW w:w="2552" w:type="dxa"/>
            <w:shd w:val="clear" w:color="auto" w:fill="DBE5F1"/>
            <w:vAlign w:val="center"/>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Допълнителна информация </w:t>
            </w:r>
          </w:p>
        </w:tc>
        <w:tc>
          <w:tcPr>
            <w:tcW w:w="2480" w:type="dxa"/>
            <w:shd w:val="clear" w:color="auto" w:fill="DBE5F1"/>
            <w:vAlign w:val="center"/>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Специфични за зоната цели за опазване </w:t>
            </w:r>
          </w:p>
        </w:tc>
      </w:tr>
      <w:tr w:rsidR="00A8783E" w:rsidRPr="00A8783E" w:rsidTr="005B5318">
        <w:trPr>
          <w:trHeight w:val="606"/>
          <w:jc w:val="center"/>
        </w:trPr>
        <w:tc>
          <w:tcPr>
            <w:tcW w:w="177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b/>
                <w:bCs/>
                <w:lang w:eastAsia="bg-BG"/>
              </w:rPr>
              <w:t>Популация</w:t>
            </w:r>
            <w:r w:rsidRPr="00A8783E">
              <w:rPr>
                <w:rFonts w:ascii="Times New Roman" w:hAnsi="Times New Roman"/>
                <w:lang w:eastAsia="bg-BG"/>
              </w:rPr>
              <w:t>: Размер на мигриращата популация</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Брой индивиди</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до 2 инд.</w:t>
            </w:r>
          </w:p>
        </w:tc>
        <w:tc>
          <w:tcPr>
            <w:tcW w:w="255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Целевата стойност е определена от СФ. Тези данни се нуждаят от потвърждение/актуализация в резултата на адекватен мониторинг в периода октомври – март месец.</w:t>
            </w:r>
          </w:p>
        </w:tc>
        <w:tc>
          <w:tcPr>
            <w:tcW w:w="248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Междинна цел до 2025 г: провеждане на проучване за установяване на текущата миграционна численост на вида в зоната в подходящите местообитания </w:t>
            </w:r>
            <w:r w:rsidRPr="00A8783E">
              <w:rPr>
                <w:rFonts w:ascii="Times New Roman" w:hAnsi="Times New Roman"/>
              </w:rPr>
              <w:t>като се следват одобрените от ИАОС методики.</w:t>
            </w:r>
          </w:p>
        </w:tc>
      </w:tr>
      <w:tr w:rsidR="00A8783E" w:rsidRPr="00A8783E" w:rsidTr="005B5318">
        <w:trPr>
          <w:trHeight w:val="606"/>
          <w:jc w:val="center"/>
        </w:trPr>
        <w:tc>
          <w:tcPr>
            <w:tcW w:w="1772" w:type="dxa"/>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 xml:space="preserve">Местообитание на вида: </w:t>
            </w:r>
            <w:r w:rsidRPr="00A8783E">
              <w:rPr>
                <w:rFonts w:ascii="Times New Roman" w:hAnsi="Times New Roman"/>
                <w:lang w:eastAsia="bg-BG"/>
              </w:rPr>
              <w:t xml:space="preserve">Площ на подходящите хранителни местообитания </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ha</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840</w:t>
            </w:r>
            <w:r w:rsidRPr="00A8783E">
              <w:rPr>
                <w:rFonts w:ascii="Times New Roman" w:hAnsi="Times New Roman"/>
                <w:lang w:val="en-US"/>
              </w:rPr>
              <w:t xml:space="preserve"> </w:t>
            </w:r>
          </w:p>
        </w:tc>
        <w:tc>
          <w:tcPr>
            <w:tcW w:w="255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Изчислена на база % участие на местообитания </w:t>
            </w:r>
            <w:r w:rsidRPr="00A8783E">
              <w:rPr>
                <w:rFonts w:ascii="Times New Roman" w:hAnsi="Times New Roman"/>
                <w:lang w:val="en-US"/>
              </w:rPr>
              <w:t>N</w:t>
            </w:r>
            <w:r w:rsidRPr="00A8783E">
              <w:rPr>
                <w:rFonts w:ascii="Times New Roman" w:hAnsi="Times New Roman"/>
                <w:lang w:val="ru-RU"/>
              </w:rPr>
              <w:t>06-</w:t>
            </w:r>
            <w:r w:rsidRPr="00A8783E">
              <w:rPr>
                <w:rFonts w:ascii="Times New Roman" w:hAnsi="Times New Roman"/>
              </w:rPr>
              <w:t>вътрешни водни тела</w:t>
            </w:r>
            <w:r w:rsidRPr="00A8783E">
              <w:rPr>
                <w:rFonts w:ascii="Times New Roman" w:hAnsi="Times New Roman"/>
                <w:lang w:val="ru-RU"/>
              </w:rPr>
              <w:t xml:space="preserve"> </w:t>
            </w:r>
            <w:r w:rsidRPr="00A8783E">
              <w:rPr>
                <w:rFonts w:ascii="Times New Roman" w:hAnsi="Times New Roman"/>
              </w:rPr>
              <w:t xml:space="preserve">и </w:t>
            </w:r>
            <w:r w:rsidRPr="00A8783E">
              <w:rPr>
                <w:rFonts w:ascii="Times New Roman" w:hAnsi="Times New Roman"/>
                <w:lang w:val="en-US"/>
              </w:rPr>
              <w:t>N</w:t>
            </w:r>
            <w:r w:rsidRPr="00A8783E">
              <w:rPr>
                <w:rFonts w:ascii="Times New Roman" w:hAnsi="Times New Roman"/>
                <w:lang w:val="ru-RU"/>
              </w:rPr>
              <w:t>07</w:t>
            </w:r>
            <w:r w:rsidRPr="00A8783E">
              <w:rPr>
                <w:rFonts w:ascii="Times New Roman" w:hAnsi="Times New Roman"/>
              </w:rPr>
              <w:t>-мочурища и блата в СФ на зоната.</w:t>
            </w:r>
          </w:p>
        </w:tc>
        <w:tc>
          <w:tcPr>
            <w:tcW w:w="248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подходящите местообитания за хранене на вида в зоната чрез поддържане на водното ниво в езерото.</w:t>
            </w:r>
          </w:p>
        </w:tc>
      </w:tr>
      <w:tr w:rsidR="00A8783E" w:rsidRPr="00A8783E" w:rsidTr="005B5318">
        <w:trPr>
          <w:trHeight w:val="333"/>
          <w:jc w:val="center"/>
        </w:trPr>
        <w:tc>
          <w:tcPr>
            <w:tcW w:w="1772"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Местообитание на вида: Екологично състояние на водните тела с хранителни местообитания на вида - по биологичен елемент риби (JDS4-Fish)</w:t>
            </w:r>
          </w:p>
        </w:tc>
        <w:tc>
          <w:tcPr>
            <w:tcW w:w="1134"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5 степенна скала за екологично състояние, съгласно РДВ </w:t>
            </w:r>
          </w:p>
        </w:tc>
        <w:tc>
          <w:tcPr>
            <w:tcW w:w="1276"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По-висока или равна на 2 – Добро състояние</w:t>
            </w:r>
          </w:p>
        </w:tc>
        <w:tc>
          <w:tcPr>
            <w:tcW w:w="2552" w:type="dxa"/>
          </w:tcPr>
          <w:tbl>
            <w:tblPr>
              <w:tblW w:w="2997" w:type="dxa"/>
              <w:tblInd w:w="3" w:type="dxa"/>
              <w:tblLayout w:type="fixed"/>
              <w:tblCellMar>
                <w:left w:w="70" w:type="dxa"/>
                <w:right w:w="70" w:type="dxa"/>
              </w:tblCellMar>
              <w:tblLook w:val="00A0" w:firstRow="1" w:lastRow="0" w:firstColumn="1" w:lastColumn="0" w:noHBand="0" w:noVBand="0"/>
            </w:tblPr>
            <w:tblGrid>
              <w:gridCol w:w="2997"/>
            </w:tblGrid>
            <w:tr w:rsidR="00A8783E" w:rsidRPr="00A8783E" w:rsidTr="005B5318">
              <w:trPr>
                <w:trHeight w:val="273"/>
              </w:trPr>
              <w:tc>
                <w:tcPr>
                  <w:tcW w:w="2997"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jc w:val="both"/>
                    <w:rPr>
                      <w:rFonts w:ascii="Times New Roman" w:hAnsi="Times New Roman"/>
                      <w:b/>
                      <w:bCs/>
                      <w:lang w:eastAsia="bg-BG"/>
                    </w:rPr>
                  </w:pPr>
                  <w:r w:rsidRPr="00A8783E">
                    <w:rPr>
                      <w:rFonts w:ascii="Times New Roman" w:hAnsi="Times New Roman"/>
                      <w:b/>
                      <w:bCs/>
                      <w:lang w:eastAsia="bg-BG"/>
                    </w:rPr>
                    <w:t>Екологично състояние</w:t>
                  </w:r>
                </w:p>
              </w:tc>
            </w:tr>
            <w:tr w:rsidR="00A8783E" w:rsidRPr="00A8783E" w:rsidTr="005B5318">
              <w:trPr>
                <w:trHeight w:val="273"/>
              </w:trPr>
              <w:tc>
                <w:tcPr>
                  <w:tcW w:w="2997"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1-Отлично</w:t>
                  </w:r>
                </w:p>
              </w:tc>
            </w:tr>
            <w:tr w:rsidR="00A8783E" w:rsidRPr="00A8783E" w:rsidTr="005B5318">
              <w:trPr>
                <w:trHeight w:val="273"/>
              </w:trPr>
              <w:tc>
                <w:tcPr>
                  <w:tcW w:w="2997"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2-Добро</w:t>
                  </w:r>
                </w:p>
              </w:tc>
            </w:tr>
            <w:tr w:rsidR="00A8783E" w:rsidRPr="00A8783E" w:rsidTr="005B5318">
              <w:trPr>
                <w:trHeight w:val="273"/>
              </w:trPr>
              <w:tc>
                <w:tcPr>
                  <w:tcW w:w="2997"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3-Умерено</w:t>
                  </w:r>
                </w:p>
              </w:tc>
            </w:tr>
            <w:tr w:rsidR="00A8783E" w:rsidRPr="00A8783E" w:rsidTr="005B5318">
              <w:trPr>
                <w:trHeight w:val="273"/>
              </w:trPr>
              <w:tc>
                <w:tcPr>
                  <w:tcW w:w="2997"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4-Лошо</w:t>
                  </w:r>
                </w:p>
              </w:tc>
            </w:tr>
            <w:tr w:rsidR="00A8783E" w:rsidRPr="00A8783E" w:rsidTr="005B5318">
              <w:trPr>
                <w:trHeight w:val="273"/>
              </w:trPr>
              <w:tc>
                <w:tcPr>
                  <w:tcW w:w="299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5-Много лошо</w:t>
                  </w:r>
                </w:p>
              </w:tc>
            </w:tr>
          </w:tbl>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t xml:space="preserve">Екологичното състояние на водите на р. Дунав в пункт „Силистра“ е оценено на </w:t>
            </w:r>
            <w:r w:rsidRPr="00A8783E">
              <w:rPr>
                <w:rFonts w:ascii="Times New Roman" w:hAnsi="Times New Roman"/>
                <w:b/>
                <w:bCs/>
                <w:lang w:eastAsia="bg-BG"/>
              </w:rPr>
              <w:t>умерено</w:t>
            </w:r>
            <w:r w:rsidRPr="00A8783E">
              <w:rPr>
                <w:rFonts w:ascii="Times New Roman" w:hAnsi="Times New Roman"/>
                <w:lang w:eastAsia="bg-BG"/>
              </w:rPr>
              <w:t xml:space="preserve"> (</w:t>
            </w:r>
            <w:r w:rsidRPr="00A8783E">
              <w:rPr>
                <w:rFonts w:ascii="Times New Roman" w:hAnsi="Times New Roman"/>
                <w:b/>
                <w:bCs/>
                <w:lang w:eastAsia="bg-BG"/>
              </w:rPr>
              <w:t>3</w:t>
            </w:r>
            <w:r w:rsidRPr="00A8783E">
              <w:rPr>
                <w:rFonts w:ascii="Times New Roman" w:hAnsi="Times New Roman"/>
                <w:lang w:eastAsia="bg-BG"/>
              </w:rPr>
              <w:t xml:space="preserve">) според доклада на JDS4 (2019-2020, табл. 5, стр. 51). Екологичното състояние на езерото </w:t>
            </w:r>
            <w:r w:rsidRPr="00A8783E">
              <w:rPr>
                <w:rFonts w:ascii="Times New Roman" w:hAnsi="Times New Roman"/>
                <w:lang w:eastAsia="bg-BG"/>
              </w:rPr>
              <w:lastRenderedPageBreak/>
              <w:t>Сребърна по БЕК Риби е оценено като „</w:t>
            </w:r>
            <w:r w:rsidRPr="00A8783E">
              <w:rPr>
                <w:rFonts w:ascii="Times New Roman" w:hAnsi="Times New Roman"/>
                <w:b/>
                <w:bCs/>
                <w:lang w:eastAsia="bg-BG"/>
              </w:rPr>
              <w:t>умерено</w:t>
            </w:r>
            <w:r w:rsidRPr="00A8783E">
              <w:rPr>
                <w:rFonts w:ascii="Times New Roman" w:hAnsi="Times New Roman"/>
                <w:lang w:eastAsia="bg-BG"/>
              </w:rPr>
              <w:t xml:space="preserve">“. </w:t>
            </w:r>
          </w:p>
        </w:tc>
        <w:tc>
          <w:tcPr>
            <w:tcW w:w="2480" w:type="dxa"/>
          </w:tcPr>
          <w:p w:rsidR="00A8783E" w:rsidRPr="00A8783E" w:rsidRDefault="00A8783E" w:rsidP="00A8783E">
            <w:pPr>
              <w:spacing w:after="0" w:line="240" w:lineRule="auto"/>
              <w:jc w:val="both"/>
              <w:rPr>
                <w:rFonts w:ascii="Times New Roman" w:hAnsi="Times New Roman"/>
                <w:lang w:eastAsia="bg-BG"/>
              </w:rPr>
            </w:pPr>
            <w:r w:rsidRPr="00A8783E">
              <w:rPr>
                <w:rFonts w:ascii="Times New Roman" w:hAnsi="Times New Roman"/>
                <w:lang w:eastAsia="bg-BG"/>
              </w:rPr>
              <w:lastRenderedPageBreak/>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A8783E" w:rsidRPr="00A8783E" w:rsidRDefault="00A8783E" w:rsidP="00A8783E">
      <w:pPr>
        <w:spacing w:after="160" w:line="259" w:lineRule="auto"/>
        <w:rPr>
          <w:rFonts w:ascii="Times New Roman" w:hAnsi="Times New Roman"/>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val="ru-RU"/>
        </w:rPr>
      </w:pPr>
      <w:bookmarkStart w:id="384" w:name="_Toc88865723"/>
      <w:bookmarkStart w:id="385" w:name="_Toc89106130"/>
      <w:bookmarkStart w:id="386" w:name="_Toc98741969"/>
      <w:bookmarkStart w:id="387" w:name="_Toc98838644"/>
      <w:r w:rsidRPr="00A8783E">
        <w:rPr>
          <w:rFonts w:ascii="Times New Roman" w:hAnsi="Times New Roman"/>
          <w:color w:val="1F497D"/>
          <w:sz w:val="28"/>
          <w:szCs w:val="28"/>
        </w:rPr>
        <w:t>Специфични цели за</w:t>
      </w:r>
      <w:r w:rsidRPr="00A8783E">
        <w:rPr>
          <w:rFonts w:ascii="Times New Roman" w:hAnsi="Times New Roman"/>
          <w:color w:val="1F497D"/>
          <w:sz w:val="28"/>
          <w:szCs w:val="28"/>
          <w:lang w:val="ru-RU"/>
        </w:rPr>
        <w:t xml:space="preserve"> А177 </w:t>
      </w:r>
      <w:r w:rsidRPr="00A8783E">
        <w:rPr>
          <w:rFonts w:ascii="Times New Roman" w:hAnsi="Times New Roman"/>
          <w:i/>
          <w:iCs/>
          <w:color w:val="1F497D"/>
          <w:sz w:val="28"/>
          <w:szCs w:val="28"/>
          <w:lang w:val="en-US"/>
        </w:rPr>
        <w:t>Larus</w:t>
      </w:r>
      <w:r w:rsidRPr="00A8783E">
        <w:rPr>
          <w:rFonts w:ascii="Times New Roman" w:hAnsi="Times New Roman"/>
          <w:i/>
          <w:iCs/>
          <w:color w:val="1F497D"/>
          <w:sz w:val="28"/>
          <w:szCs w:val="28"/>
          <w:lang w:val="ru-RU"/>
        </w:rPr>
        <w:t xml:space="preserve"> </w:t>
      </w:r>
      <w:r w:rsidRPr="00A8783E">
        <w:rPr>
          <w:rFonts w:ascii="Times New Roman" w:hAnsi="Times New Roman"/>
          <w:i/>
          <w:iCs/>
          <w:color w:val="1F497D"/>
          <w:sz w:val="28"/>
          <w:szCs w:val="28"/>
          <w:lang w:val="en-US"/>
        </w:rPr>
        <w:t>minutus</w:t>
      </w:r>
      <w:r w:rsidRPr="00A8783E">
        <w:rPr>
          <w:rFonts w:ascii="Times New Roman" w:hAnsi="Times New Roman"/>
          <w:color w:val="1F497D"/>
          <w:sz w:val="28"/>
          <w:szCs w:val="28"/>
          <w:lang w:val="ru-RU"/>
        </w:rPr>
        <w:t xml:space="preserve"> (малка чайка)</w:t>
      </w:r>
      <w:bookmarkEnd w:id="384"/>
      <w:bookmarkEnd w:id="385"/>
      <w:bookmarkEnd w:id="386"/>
      <w:bookmarkEnd w:id="387"/>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25-27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75-80 </w:t>
      </w:r>
      <w:r w:rsidRPr="00A8783E">
        <w:rPr>
          <w:rFonts w:ascii="Times New Roman" w:hAnsi="Times New Roman"/>
          <w:sz w:val="24"/>
          <w:szCs w:val="24"/>
          <w:lang w:val="en-US"/>
        </w:rPr>
        <w:t>cm</w:t>
      </w:r>
      <w:r w:rsidRPr="00A8783E">
        <w:rPr>
          <w:rFonts w:ascii="Times New Roman" w:hAnsi="Times New Roman"/>
          <w:sz w:val="24"/>
          <w:szCs w:val="24"/>
        </w:rPr>
        <w:t>. Дребна чайка с относително къси и широки крила. Има сезонен и възрастов диморфизъм. Възрастните през зимата са сиво-бели с по-тъмни петна на главата; крилата отдолу са черни. През лятото главата е черна. Младите отгоре са сиво кафяви с черно теме и черна ивица по крилата и опашката. Среща се предимно на групи, рядко поединично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Преминаващ, зимуващ и скитащ вид. Пролетната миграция е през март-април, а есенната – юни-август. Среща се предимно на малки групи, рядко поединично. Среща се предимно по Черноморското крайбрежие, където може да се наблюдава целогодишно, но най-вече по време на миграция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През размножителния период обитава езера и блата с растителност по периферията на водоеми, в частност – рибарници. През останалите сезони се среща по морски крайбрежия, в лагуни, стоящи пресни води и стоящи бракични води, както и навътре в сушата по язовири, долини на реки и техните разливи (Нанкинов и др., 1997; Янков, ред., 2007). Подходящи местообитания вероятно са 3130 и 3150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Храни се с </w:t>
      </w:r>
      <w:r w:rsidRPr="00A8783E">
        <w:rPr>
          <w:rFonts w:ascii="Times New Roman" w:hAnsi="Times New Roman"/>
          <w:i/>
          <w:iCs/>
          <w:sz w:val="24"/>
          <w:szCs w:val="24"/>
        </w:rPr>
        <w:t>Trichoptera, Arachnidae, Mollusca, Leander sp., Gryllotalpa gryllotalpa</w:t>
      </w:r>
      <w:r w:rsidRPr="00A8783E">
        <w:rPr>
          <w:rFonts w:ascii="Times New Roman" w:hAnsi="Times New Roman"/>
          <w:sz w:val="24"/>
          <w:szCs w:val="24"/>
        </w:rPr>
        <w:t xml:space="preserve"> и дребни риби.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Наблюдаван през гнездовия период по Черноморското крайбрежие и поречието на р. Марица. По време на миграция е регистриран при яз. Пясъчник, около София, по долината на р. Струма и Дунавското крайбрежие (Янков, ред., 2007; Нанкинов и др., 1997).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Защитен вид по ЗБР (Приложения 2 и 3). Включен в Приложение 1 на Директивата за птиците. Не е включен в Червената книга. Според IUCN – LC (Least Concern), за територията на континентална Европа – NT (Near Threatened). Включен в SPEC 3 </w:t>
      </w:r>
      <w:r w:rsidRPr="00A8783E">
        <w:rPr>
          <w:rFonts w:ascii="Times New Roman" w:hAnsi="Times New Roman"/>
          <w:sz w:val="24"/>
          <w:szCs w:val="24"/>
          <w:lang w:val="ru-RU"/>
        </w:rPr>
        <w:t>(</w:t>
      </w:r>
      <w:r w:rsidRPr="00A8783E">
        <w:rPr>
          <w:rFonts w:ascii="Times New Roman" w:hAnsi="Times New Roman"/>
          <w:sz w:val="24"/>
          <w:szCs w:val="24"/>
          <w:lang w:val="en-US"/>
        </w:rPr>
        <w:t>BirdLife</w:t>
      </w:r>
      <w:r w:rsidRPr="00A8783E">
        <w:rPr>
          <w:rFonts w:ascii="Times New Roman" w:hAnsi="Times New Roman"/>
          <w:sz w:val="24"/>
          <w:szCs w:val="24"/>
          <w:lang w:val="ru-RU"/>
        </w:rPr>
        <w:t xml:space="preserve"> </w:t>
      </w:r>
      <w:r w:rsidRPr="00A8783E">
        <w:rPr>
          <w:rFonts w:ascii="Times New Roman" w:hAnsi="Times New Roman"/>
          <w:sz w:val="24"/>
          <w:szCs w:val="24"/>
          <w:lang w:val="en-US"/>
        </w:rPr>
        <w:t>International</w:t>
      </w:r>
      <w:r w:rsidRPr="00A8783E">
        <w:rPr>
          <w:rFonts w:ascii="Times New Roman" w:hAnsi="Times New Roman"/>
          <w:sz w:val="24"/>
          <w:szCs w:val="24"/>
          <w:lang w:val="ru-RU"/>
        </w:rPr>
        <w:t>, 2015)</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2013-2019 г.), </w:t>
      </w:r>
      <w:r w:rsidRPr="00A8783E">
        <w:rPr>
          <w:rFonts w:ascii="Times New Roman" w:hAnsi="Times New Roman"/>
          <w:b/>
          <w:bCs/>
          <w:sz w:val="24"/>
          <w:szCs w:val="24"/>
        </w:rPr>
        <w:t>зимуващата</w:t>
      </w:r>
      <w:r w:rsidRPr="00A8783E">
        <w:rPr>
          <w:rFonts w:ascii="Times New Roman" w:hAnsi="Times New Roman"/>
          <w:sz w:val="24"/>
          <w:szCs w:val="24"/>
        </w:rPr>
        <w:t xml:space="preserve"> популация на вида се оценява на 10-250 индивида. Краткосрочната (2000-2018 г.) и  дългосрочната (1980-2018 г.) популационни тенденции са флуктуиращи. Посочени са следните заплахи и влияния: D02; C03.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lastRenderedPageBreak/>
        <w:t>Мигриращата</w:t>
      </w:r>
      <w:r w:rsidRPr="00A8783E">
        <w:rPr>
          <w:rFonts w:ascii="Times New Roman" w:hAnsi="Times New Roman"/>
          <w:sz w:val="24"/>
          <w:szCs w:val="24"/>
        </w:rPr>
        <w:t xml:space="preserve"> национална популация е оценена на 500-2400 индивида. Краткосрочната тенденция на популацията в рамките на Натура 2000 е флуктуираща. Посочени са следните заплахи и влияния: D02; F26.</w:t>
      </w:r>
    </w:p>
    <w:p w:rsidR="00A8783E" w:rsidRPr="00A8783E" w:rsidRDefault="00A8783E" w:rsidP="00A8783E">
      <w:pPr>
        <w:spacing w:after="160" w:line="259"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СФ </w:t>
      </w:r>
      <w:r w:rsidRPr="00A8783E">
        <w:rPr>
          <w:rFonts w:ascii="Times New Roman" w:hAnsi="Times New Roman"/>
          <w:b/>
          <w:bCs/>
          <w:sz w:val="24"/>
          <w:szCs w:val="24"/>
        </w:rPr>
        <w:t xml:space="preserve">мигриращата </w:t>
      </w:r>
      <w:r w:rsidRPr="00A8783E">
        <w:rPr>
          <w:rFonts w:ascii="Times New Roman" w:hAnsi="Times New Roman"/>
          <w:sz w:val="24"/>
          <w:szCs w:val="24"/>
        </w:rPr>
        <w:t xml:space="preserve">популация на вида се оценява на </w:t>
      </w:r>
      <w:r w:rsidRPr="00A8783E">
        <w:rPr>
          <w:rFonts w:ascii="Times New Roman" w:hAnsi="Times New Roman"/>
          <w:b/>
          <w:bCs/>
          <w:sz w:val="24"/>
          <w:szCs w:val="24"/>
        </w:rPr>
        <w:t xml:space="preserve">до </w:t>
      </w:r>
      <w:r w:rsidRPr="00A8783E">
        <w:rPr>
          <w:rFonts w:ascii="Times New Roman" w:hAnsi="Times New Roman"/>
          <w:b/>
          <w:bCs/>
          <w:sz w:val="24"/>
          <w:szCs w:val="24"/>
          <w:lang w:val="ru-RU"/>
        </w:rPr>
        <w:t>1</w:t>
      </w:r>
      <w:r w:rsidRPr="00A8783E">
        <w:rPr>
          <w:rFonts w:ascii="Times New Roman" w:hAnsi="Times New Roman"/>
          <w:b/>
          <w:bCs/>
          <w:sz w:val="24"/>
          <w:szCs w:val="24"/>
        </w:rPr>
        <w:t xml:space="preserve"> индивид</w:t>
      </w:r>
      <w:r w:rsidRPr="00A8783E">
        <w:rPr>
          <w:rFonts w:ascii="Times New Roman" w:hAnsi="Times New Roman"/>
          <w:sz w:val="24"/>
          <w:szCs w:val="24"/>
        </w:rPr>
        <w:t xml:space="preserve">, което е </w:t>
      </w:r>
      <w:r w:rsidRPr="00A8783E">
        <w:rPr>
          <w:rFonts w:ascii="Times New Roman" w:hAnsi="Times New Roman"/>
          <w:sz w:val="24"/>
          <w:szCs w:val="24"/>
          <w:lang w:val="ru-RU"/>
        </w:rPr>
        <w:t>0.04</w:t>
      </w:r>
      <w:r w:rsidRPr="00A8783E">
        <w:rPr>
          <w:rFonts w:ascii="Times New Roman" w:hAnsi="Times New Roman"/>
          <w:sz w:val="24"/>
          <w:szCs w:val="24"/>
        </w:rPr>
        <w:t xml:space="preserve"> % от националната мигрираща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 xml:space="preserve">Липсват текущи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Вида е съобщен за Сребърна за пръв път от </w:t>
      </w:r>
      <w:r w:rsidRPr="00A8783E">
        <w:rPr>
          <w:rFonts w:ascii="Times New Roman" w:hAnsi="Times New Roman"/>
          <w:sz w:val="24"/>
          <w:szCs w:val="24"/>
          <w:lang w:val="en-US"/>
        </w:rPr>
        <w:t>Yankov</w:t>
      </w:r>
      <w:r w:rsidRPr="00A8783E">
        <w:rPr>
          <w:rFonts w:ascii="Times New Roman" w:hAnsi="Times New Roman"/>
          <w:sz w:val="24"/>
          <w:szCs w:val="24"/>
          <w:lang w:val="ru-RU"/>
        </w:rPr>
        <w:t xml:space="preserve"> (1996). </w:t>
      </w:r>
      <w:r w:rsidRPr="00A8783E">
        <w:rPr>
          <w:rFonts w:ascii="Times New Roman" w:hAnsi="Times New Roman"/>
          <w:sz w:val="24"/>
          <w:szCs w:val="24"/>
        </w:rPr>
        <w:t xml:space="preserve">В ОВМ Сребърна малката чайка също е дадена с численост 0-1 инд.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2007</w:t>
      </w:r>
      <w:r w:rsidRPr="00A8783E">
        <w:rPr>
          <w:rFonts w:ascii="Times New Roman" w:hAnsi="Times New Roman"/>
          <w:sz w:val="24"/>
          <w:szCs w:val="24"/>
          <w:lang w:val="ru-RU"/>
        </w:rPr>
        <w:t xml:space="preserve">). </w:t>
      </w:r>
      <w:r w:rsidRPr="00A8783E">
        <w:rPr>
          <w:rFonts w:ascii="Times New Roman" w:hAnsi="Times New Roman"/>
          <w:sz w:val="24"/>
          <w:szCs w:val="24"/>
        </w:rPr>
        <w:t xml:space="preserve">Данните от </w:t>
      </w:r>
      <w:r w:rsidRPr="00A8783E">
        <w:rPr>
          <w:rFonts w:ascii="Times New Roman" w:hAnsi="Times New Roman"/>
          <w:sz w:val="24"/>
          <w:szCs w:val="24"/>
          <w:lang w:val="en-US"/>
        </w:rPr>
        <w:t>eBird</w:t>
      </w:r>
      <w:r w:rsidRPr="00A8783E">
        <w:rPr>
          <w:rFonts w:ascii="Times New Roman" w:hAnsi="Times New Roman"/>
          <w:sz w:val="24"/>
          <w:szCs w:val="24"/>
          <w:lang w:val="ru-RU"/>
        </w:rPr>
        <w:t xml:space="preserve"> </w:t>
      </w:r>
      <w:r w:rsidRPr="00A8783E">
        <w:rPr>
          <w:rFonts w:ascii="Times New Roman" w:hAnsi="Times New Roman"/>
          <w:sz w:val="24"/>
          <w:szCs w:val="24"/>
        </w:rPr>
        <w:t xml:space="preserve">показват, че вида е бил наблюдаван в зоната и на 02.06.2001 г. – това явно е скитаща или млада птица. Няма други наблюдения на вида в Сребърна. Вида е многочислен по време на миграция в Бургаските влажни зони </w:t>
      </w:r>
      <w:r w:rsidRPr="00A8783E">
        <w:rPr>
          <w:rFonts w:ascii="Times New Roman" w:hAnsi="Times New Roman"/>
          <w:sz w:val="24"/>
          <w:szCs w:val="24"/>
          <w:lang w:val="ru-RU"/>
        </w:rPr>
        <w:t>(</w:t>
      </w:r>
      <w:r w:rsidRPr="00A8783E">
        <w:rPr>
          <w:rFonts w:ascii="Times New Roman" w:hAnsi="Times New Roman"/>
          <w:sz w:val="24"/>
          <w:szCs w:val="24"/>
          <w:lang w:val="en-US"/>
        </w:rPr>
        <w:t>Dimitrov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2005).</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Посочените заплахи за мигриращата популация на вида - D02; C03 от Докладването по чл. 12 нямат отношение към зоната.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139"/>
        <w:gridCol w:w="1275"/>
        <w:gridCol w:w="2834"/>
        <w:gridCol w:w="2548"/>
      </w:tblGrid>
      <w:tr w:rsidR="00A8783E" w:rsidRPr="00A8783E" w:rsidTr="005B5318">
        <w:trPr>
          <w:tblHeader/>
          <w:jc w:val="center"/>
        </w:trPr>
        <w:tc>
          <w:tcPr>
            <w:tcW w:w="155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139"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7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8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54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55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Популация</w:t>
            </w:r>
            <w:r w:rsidRPr="00A8783E">
              <w:rPr>
                <w:rFonts w:ascii="Times New Roman" w:hAnsi="Times New Roman"/>
              </w:rPr>
              <w:t>: Размер на мигриращата популация</w:t>
            </w:r>
          </w:p>
        </w:tc>
        <w:tc>
          <w:tcPr>
            <w:tcW w:w="113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0-1 инд.</w:t>
            </w:r>
          </w:p>
        </w:tc>
        <w:tc>
          <w:tcPr>
            <w:tcW w:w="28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на база СФ. Тези данни се нуждаят от потвърждение/актуализация в резултата на адекватен мониторинг в периода октомври – март месец.</w:t>
            </w:r>
          </w:p>
        </w:tc>
        <w:tc>
          <w:tcPr>
            <w:tcW w:w="254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до 2025 г.: провеждане на проучване за установяване на текущата миграционна численост на вида в зоната като се следват одобрените от ИАОС методики.</w:t>
            </w:r>
          </w:p>
        </w:tc>
      </w:tr>
      <w:tr w:rsidR="00A8783E" w:rsidRPr="00A8783E" w:rsidTr="005B5318">
        <w:trPr>
          <w:trHeight w:val="606"/>
          <w:jc w:val="center"/>
        </w:trPr>
        <w:tc>
          <w:tcPr>
            <w:tcW w:w="1555"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хранителни местообитания на вида</w:t>
            </w:r>
            <w:r w:rsidRPr="00A8783E">
              <w:rPr>
                <w:rFonts w:ascii="Times New Roman" w:hAnsi="Times New Roman"/>
                <w:b/>
                <w:bCs/>
              </w:rPr>
              <w:t xml:space="preserve"> </w:t>
            </w:r>
          </w:p>
        </w:tc>
        <w:tc>
          <w:tcPr>
            <w:tcW w:w="113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ha</w:t>
            </w:r>
          </w:p>
          <w:p w:rsidR="00A8783E" w:rsidRPr="00A8783E" w:rsidRDefault="00A8783E" w:rsidP="00A8783E">
            <w:pPr>
              <w:spacing w:after="0" w:line="240" w:lineRule="auto"/>
              <w:jc w:val="both"/>
              <w:rPr>
                <w:rFonts w:ascii="Times New Roman" w:hAnsi="Times New Roman"/>
              </w:rPr>
            </w:pP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840</w:t>
            </w:r>
            <w:r w:rsidRPr="00A8783E">
              <w:rPr>
                <w:rFonts w:ascii="Times New Roman" w:hAnsi="Times New Roman"/>
                <w:lang w:val="en-US"/>
              </w:rPr>
              <w:t xml:space="preserve"> </w:t>
            </w:r>
          </w:p>
        </w:tc>
        <w:tc>
          <w:tcPr>
            <w:tcW w:w="28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Изчислена на база % участие на местообитания </w:t>
            </w:r>
            <w:r w:rsidRPr="00A8783E">
              <w:rPr>
                <w:rFonts w:ascii="Times New Roman" w:hAnsi="Times New Roman"/>
                <w:lang w:val="en-US"/>
              </w:rPr>
              <w:t>N</w:t>
            </w:r>
            <w:r w:rsidRPr="00A8783E">
              <w:rPr>
                <w:rFonts w:ascii="Times New Roman" w:hAnsi="Times New Roman"/>
                <w:lang w:val="ru-RU"/>
              </w:rPr>
              <w:t>06-</w:t>
            </w:r>
            <w:r w:rsidRPr="00A8783E">
              <w:rPr>
                <w:rFonts w:ascii="Times New Roman" w:hAnsi="Times New Roman"/>
              </w:rPr>
              <w:t>вътрешни водни тела</w:t>
            </w:r>
            <w:r w:rsidRPr="00A8783E">
              <w:rPr>
                <w:rFonts w:ascii="Times New Roman" w:hAnsi="Times New Roman"/>
                <w:lang w:val="ru-RU"/>
              </w:rPr>
              <w:t xml:space="preserve"> </w:t>
            </w:r>
            <w:r w:rsidRPr="00A8783E">
              <w:rPr>
                <w:rFonts w:ascii="Times New Roman" w:hAnsi="Times New Roman"/>
              </w:rPr>
              <w:t xml:space="preserve">и </w:t>
            </w:r>
            <w:r w:rsidRPr="00A8783E">
              <w:rPr>
                <w:rFonts w:ascii="Times New Roman" w:hAnsi="Times New Roman"/>
                <w:lang w:val="en-US"/>
              </w:rPr>
              <w:t>N</w:t>
            </w:r>
            <w:r w:rsidRPr="00A8783E">
              <w:rPr>
                <w:rFonts w:ascii="Times New Roman" w:hAnsi="Times New Roman"/>
                <w:lang w:val="ru-RU"/>
              </w:rPr>
              <w:t>07</w:t>
            </w:r>
            <w:r w:rsidRPr="00A8783E">
              <w:rPr>
                <w:rFonts w:ascii="Times New Roman" w:hAnsi="Times New Roman"/>
              </w:rPr>
              <w:t>-мочурища и блата в СФ на зоната.</w:t>
            </w:r>
          </w:p>
        </w:tc>
        <w:tc>
          <w:tcPr>
            <w:tcW w:w="254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подходящите местообитания за хранене на вида в зоната чрез поддържане на водното ниво в езерото. Местообитание </w:t>
            </w:r>
            <w:r w:rsidRPr="00A8783E">
              <w:rPr>
                <w:rFonts w:ascii="Times New Roman" w:hAnsi="Times New Roman"/>
                <w:lang w:val="en-US"/>
              </w:rPr>
              <w:t xml:space="preserve">N06 </w:t>
            </w:r>
            <w:r w:rsidRPr="00A8783E">
              <w:rPr>
                <w:rFonts w:ascii="Times New Roman" w:hAnsi="Times New Roman"/>
              </w:rPr>
              <w:t>няма как да се поддържа.</w:t>
            </w:r>
          </w:p>
        </w:tc>
      </w:tr>
      <w:tr w:rsidR="00A8783E" w:rsidRPr="00A8783E" w:rsidTr="005B5318">
        <w:trPr>
          <w:trHeight w:val="748"/>
          <w:jc w:val="center"/>
        </w:trPr>
        <w:tc>
          <w:tcPr>
            <w:tcW w:w="155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Местообитание на вида</w:t>
            </w:r>
            <w:r w:rsidRPr="00A8783E">
              <w:rPr>
                <w:rFonts w:ascii="Times New Roman" w:hAnsi="Times New Roman"/>
              </w:rPr>
              <w:t>: Екологично състояние на водните тела с хранителни местообитани</w:t>
            </w:r>
            <w:r w:rsidRPr="00A8783E">
              <w:rPr>
                <w:rFonts w:ascii="Times New Roman" w:hAnsi="Times New Roman"/>
              </w:rPr>
              <w:lastRenderedPageBreak/>
              <w:t>я на вида, по биологични елементи за качество (БЕК  Риби и Макрозообентос)</w:t>
            </w:r>
          </w:p>
        </w:tc>
        <w:tc>
          <w:tcPr>
            <w:tcW w:w="113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5 степенна скала за екологично състояние, </w:t>
            </w:r>
            <w:r w:rsidRPr="00A8783E">
              <w:rPr>
                <w:rFonts w:ascii="Times New Roman" w:hAnsi="Times New Roman"/>
              </w:rPr>
              <w:lastRenderedPageBreak/>
              <w:t xml:space="preserve">съгласно РДВ </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По-висока или равна на 2 – Добро състояние</w:t>
            </w:r>
          </w:p>
        </w:tc>
        <w:tc>
          <w:tcPr>
            <w:tcW w:w="2834" w:type="dxa"/>
          </w:tcPr>
          <w:tbl>
            <w:tblPr>
              <w:tblW w:w="3411" w:type="dxa"/>
              <w:tblInd w:w="3" w:type="dxa"/>
              <w:tblLayout w:type="fixed"/>
              <w:tblCellMar>
                <w:left w:w="70" w:type="dxa"/>
                <w:right w:w="70" w:type="dxa"/>
              </w:tblCellMar>
              <w:tblLook w:val="00A0" w:firstRow="1" w:lastRow="0" w:firstColumn="1" w:lastColumn="0" w:noHBand="0" w:noVBand="0"/>
            </w:tblPr>
            <w:tblGrid>
              <w:gridCol w:w="3411"/>
            </w:tblGrid>
            <w:tr w:rsidR="00A8783E" w:rsidRPr="00A8783E" w:rsidTr="005B5318">
              <w:trPr>
                <w:trHeight w:val="288"/>
              </w:trPr>
              <w:tc>
                <w:tcPr>
                  <w:tcW w:w="3411"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88"/>
              </w:trPr>
              <w:tc>
                <w:tcPr>
                  <w:tcW w:w="3411"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w:t>
                  </w:r>
                </w:p>
              </w:tc>
            </w:tr>
            <w:tr w:rsidR="00A8783E" w:rsidRPr="00A8783E" w:rsidTr="005B5318">
              <w:trPr>
                <w:trHeight w:val="288"/>
              </w:trPr>
              <w:tc>
                <w:tcPr>
                  <w:tcW w:w="3411"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2-Добро</w:t>
                  </w:r>
                </w:p>
              </w:tc>
            </w:tr>
            <w:tr w:rsidR="00A8783E" w:rsidRPr="00A8783E" w:rsidTr="005B5318">
              <w:trPr>
                <w:trHeight w:val="288"/>
              </w:trPr>
              <w:tc>
                <w:tcPr>
                  <w:tcW w:w="3411"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3-Умерено</w:t>
                  </w:r>
                </w:p>
              </w:tc>
            </w:tr>
            <w:tr w:rsidR="00A8783E" w:rsidRPr="00A8783E" w:rsidTr="005B5318">
              <w:trPr>
                <w:trHeight w:val="288"/>
              </w:trPr>
              <w:tc>
                <w:tcPr>
                  <w:tcW w:w="3411"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4-Лошо</w:t>
                  </w:r>
                </w:p>
              </w:tc>
            </w:tr>
            <w:tr w:rsidR="00A8783E" w:rsidRPr="00A8783E" w:rsidTr="005B5318">
              <w:trPr>
                <w:trHeight w:val="288"/>
              </w:trPr>
              <w:tc>
                <w:tcPr>
                  <w:tcW w:w="3411"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5-Много лошо</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Екологичното състояние на водите на р. Дунав по показател Риби в пункт Силистра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rPr>
              <w:t>3</w:t>
            </w:r>
            <w:r w:rsidRPr="00A8783E">
              <w:rPr>
                <w:rFonts w:ascii="Times New Roman" w:hAnsi="Times New Roman"/>
              </w:rPr>
              <w:t xml:space="preserve">), по показател Макрозообентос при пункт Силистра е оценено също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lang w:val="ru-RU"/>
              </w:rPr>
              <w:t>(</w:t>
            </w:r>
            <w:r w:rsidRPr="00A8783E">
              <w:rPr>
                <w:rFonts w:ascii="Times New Roman" w:hAnsi="Times New Roman"/>
                <w:b/>
                <w:bCs/>
              </w:rPr>
              <w:t>3</w:t>
            </w:r>
            <w:r w:rsidRPr="00A8783E">
              <w:rPr>
                <w:rFonts w:ascii="Times New Roman" w:hAnsi="Times New Roman"/>
                <w:lang w:val="ru-RU"/>
              </w:rPr>
              <w:t>)</w:t>
            </w:r>
            <w:r w:rsidRPr="00A8783E">
              <w:rPr>
                <w:rFonts w:ascii="Times New Roman" w:hAnsi="Times New Roman"/>
              </w:rPr>
              <w:t xml:space="preserve"> според доклада на </w:t>
            </w:r>
            <w:r w:rsidRPr="00A8783E">
              <w:rPr>
                <w:rFonts w:ascii="Times New Roman" w:hAnsi="Times New Roman"/>
                <w:lang w:val="en-GB"/>
              </w:rPr>
              <w:t>JDS</w:t>
            </w:r>
            <w:r w:rsidRPr="00A8783E">
              <w:rPr>
                <w:rFonts w:ascii="Times New Roman" w:hAnsi="Times New Roman"/>
                <w:lang w:val="ru-RU"/>
              </w:rPr>
              <w:t>4 (2019-2020).</w:t>
            </w:r>
            <w:r w:rsidRPr="00A8783E">
              <w:rPr>
                <w:rFonts w:ascii="Times New Roman" w:hAnsi="Times New Roman"/>
              </w:rPr>
              <w:t xml:space="preserve"> Според данните от биологичния мониторинг на повърхностните води през 2020 г. ЕС на ез. Сребърна е определено като </w:t>
            </w:r>
            <w:r w:rsidRPr="00A8783E">
              <w:rPr>
                <w:rFonts w:ascii="Times New Roman" w:hAnsi="Times New Roman"/>
                <w:b/>
              </w:rPr>
              <w:t>Отлично</w:t>
            </w:r>
            <w:r w:rsidRPr="00A8783E">
              <w:rPr>
                <w:rFonts w:ascii="Times New Roman" w:hAnsi="Times New Roman"/>
              </w:rPr>
              <w:t xml:space="preserve"> по БЕК Макрозообентос, </w:t>
            </w:r>
            <w:r w:rsidRPr="00A8783E">
              <w:rPr>
                <w:rFonts w:ascii="Times New Roman" w:hAnsi="Times New Roman"/>
                <w:b/>
              </w:rPr>
              <w:t>Умерено</w:t>
            </w:r>
            <w:r w:rsidRPr="00A8783E">
              <w:rPr>
                <w:rFonts w:ascii="Times New Roman" w:hAnsi="Times New Roman"/>
              </w:rPr>
              <w:t xml:space="preserve"> по БЕК Риби.</w:t>
            </w:r>
          </w:p>
        </w:tc>
        <w:tc>
          <w:tcPr>
            <w:tcW w:w="254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Подобряване на екологичното състояние на водните тела с подходящи хранителни местообитания на вида, до постигане на стойност по-висока или </w:t>
            </w:r>
            <w:r w:rsidRPr="00A8783E">
              <w:rPr>
                <w:rFonts w:ascii="Times New Roman" w:hAnsi="Times New Roman"/>
              </w:rPr>
              <w:lastRenderedPageBreak/>
              <w:t>равна на 2 – Добро състояние.</w:t>
            </w:r>
          </w:p>
        </w:tc>
      </w:tr>
    </w:tbl>
    <w:p w:rsidR="00A8783E" w:rsidRPr="00A8783E" w:rsidRDefault="00A8783E" w:rsidP="00A8783E">
      <w:pPr>
        <w:spacing w:before="120" w:after="120" w:line="259" w:lineRule="auto"/>
        <w:jc w:val="both"/>
        <w:rPr>
          <w:rFonts w:ascii="Times New Roman" w:hAnsi="Times New Roman"/>
          <w:bCs/>
          <w:sz w:val="24"/>
          <w:szCs w:val="24"/>
        </w:rPr>
      </w:pPr>
      <w:r w:rsidRPr="00A8783E">
        <w:rPr>
          <w:rFonts w:ascii="Times New Roman" w:hAnsi="Times New Roman"/>
          <w:bCs/>
          <w:sz w:val="24"/>
          <w:szCs w:val="24"/>
        </w:rPr>
        <w:lastRenderedPageBreak/>
        <w:t>Не са необходими промени в СФ.</w:t>
      </w:r>
    </w:p>
    <w:p w:rsidR="00A8783E" w:rsidRPr="00A8783E" w:rsidRDefault="00A8783E" w:rsidP="00A8783E">
      <w:pPr>
        <w:spacing w:before="120" w:after="120" w:line="259" w:lineRule="auto"/>
        <w:jc w:val="both"/>
        <w:rPr>
          <w:rFonts w:ascii="Times New Roman" w:hAnsi="Times New Roman"/>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88" w:name="_Toc86409802"/>
      <w:bookmarkStart w:id="389" w:name="_Toc86775629"/>
      <w:bookmarkStart w:id="390" w:name="_Toc87467264"/>
      <w:bookmarkStart w:id="391" w:name="_Toc87692181"/>
      <w:bookmarkStart w:id="392" w:name="_Toc88865724"/>
      <w:bookmarkStart w:id="393" w:name="_Toc89106131"/>
      <w:bookmarkStart w:id="394" w:name="_Toc98741970"/>
      <w:bookmarkStart w:id="395" w:name="_Toc98838645"/>
      <w:r w:rsidRPr="00A8783E">
        <w:rPr>
          <w:rFonts w:ascii="Times New Roman" w:hAnsi="Times New Roman"/>
          <w:color w:val="1F497D"/>
          <w:sz w:val="28"/>
          <w:szCs w:val="28"/>
        </w:rPr>
        <w:t xml:space="preserve">Специфични цели за А179 </w:t>
      </w:r>
      <w:r w:rsidRPr="00A8783E">
        <w:rPr>
          <w:rFonts w:ascii="Times New Roman" w:hAnsi="Times New Roman"/>
          <w:i/>
          <w:iCs/>
          <w:color w:val="1F497D"/>
          <w:sz w:val="28"/>
          <w:szCs w:val="28"/>
          <w:lang w:val="en-US"/>
        </w:rPr>
        <w:t>Larus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ridibundus</w:t>
      </w:r>
      <w:r w:rsidRPr="00A8783E">
        <w:rPr>
          <w:rFonts w:ascii="Times New Roman" w:hAnsi="Times New Roman"/>
          <w:color w:val="1F497D"/>
          <w:sz w:val="28"/>
          <w:szCs w:val="28"/>
        </w:rPr>
        <w:t xml:space="preserve"> (речна чайка)</w:t>
      </w:r>
      <w:bookmarkEnd w:id="388"/>
      <w:bookmarkEnd w:id="389"/>
      <w:bookmarkEnd w:id="390"/>
      <w:bookmarkEnd w:id="391"/>
      <w:bookmarkEnd w:id="392"/>
      <w:bookmarkEnd w:id="393"/>
      <w:bookmarkEnd w:id="394"/>
      <w:bookmarkEnd w:id="395"/>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34-37 </w:t>
      </w:r>
      <w:r w:rsidRPr="00A8783E">
        <w:rPr>
          <w:rFonts w:ascii="Times New Roman" w:hAnsi="Times New Roman"/>
          <w:sz w:val="24"/>
          <w:szCs w:val="24"/>
          <w:lang w:val="en-US"/>
        </w:rPr>
        <w:t>cm</w:t>
      </w:r>
      <w:r w:rsidRPr="00A8783E">
        <w:rPr>
          <w:rFonts w:ascii="Times New Roman" w:hAnsi="Times New Roman"/>
          <w:sz w:val="24"/>
          <w:szCs w:val="24"/>
        </w:rPr>
        <w:t>. Размах на крилата: 100-110 cm. Има сезонен и възрастов диморфизъм. Възрастните през размножителния период наподобяват тези на малката черноглава чайка, но темето е бяло и първостепенните махови пера отдолу са черни. Клюнът и краката червени. Възрастните през есенно-зимния период имат изцяло бяла глава с малко тъмно петно зад окото. Клюнът с черен или с кафяв връх. Краката забележимо по-светли. Младите имат пъстро кафяво</w:t>
      </w:r>
      <w:r w:rsidRPr="00A8783E">
        <w:rPr>
          <w:rFonts w:ascii="Times New Roman" w:hAnsi="Times New Roman"/>
          <w:sz w:val="24"/>
          <w:szCs w:val="24"/>
          <w:lang w:val="ru-RU"/>
        </w:rPr>
        <w:t>-</w:t>
      </w:r>
      <w:r w:rsidRPr="00A8783E">
        <w:rPr>
          <w:rFonts w:ascii="Times New Roman" w:hAnsi="Times New Roman"/>
          <w:sz w:val="24"/>
          <w:szCs w:val="24"/>
        </w:rPr>
        <w:t>сиво оперение, отдолу бели. Клюнът жълтеникав или оранжево</w:t>
      </w:r>
      <w:r w:rsidRPr="00A8783E">
        <w:rPr>
          <w:rFonts w:ascii="Times New Roman" w:hAnsi="Times New Roman"/>
          <w:sz w:val="24"/>
          <w:szCs w:val="24"/>
          <w:lang w:val="ru-RU"/>
        </w:rPr>
        <w:t>-</w:t>
      </w:r>
      <w:r w:rsidRPr="00A8783E">
        <w:rPr>
          <w:rFonts w:ascii="Times New Roman" w:hAnsi="Times New Roman"/>
          <w:sz w:val="24"/>
          <w:szCs w:val="24"/>
        </w:rPr>
        <w:t>жълт с черен връх. Краката жълтеникави или охристи. Опашката бяла с тясна черна ивица на върха.</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Постоянен, преминаващ и зимуващ вид. Гнезди в самостоятелни или смесени колонии. Малките се излюпват в края на май и началото на юни. След края на гнездовия период младите и възрастните птици скитат на големи ята.</w:t>
      </w:r>
      <w:r w:rsidRPr="00A8783E">
        <w:rPr>
          <w:rFonts w:ascii="Times New Roman" w:hAnsi="Times New Roman"/>
          <w:sz w:val="24"/>
          <w:szCs w:val="24"/>
          <w:lang w:val="ru-RU"/>
        </w:rPr>
        <w:t xml:space="preserve"> </w:t>
      </w:r>
      <w:r w:rsidRPr="00A8783E">
        <w:rPr>
          <w:rFonts w:ascii="Times New Roman" w:hAnsi="Times New Roman"/>
          <w:sz w:val="24"/>
          <w:szCs w:val="24"/>
        </w:rPr>
        <w:t>По време на миграции и зимуване е една от най-често срещаните и многобройни видове чайки в ниските части на страната (Янков, ред., 2007;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През размножителния период обитава предимно сладководни езера и блата, обрасли с тръстика и папур, но и с наличие на открита водна площ, покрита с плаваща растителност; разливи на реки. По време на миграция и зимуване се среща в разнообразни влажни зони както по морски крайбрежия, така и навътре в сушата. Разстоянието между гнездата е най-малко 1-1,5 </w:t>
      </w:r>
      <w:r w:rsidRPr="00A8783E">
        <w:rPr>
          <w:rFonts w:ascii="Times New Roman" w:hAnsi="Times New Roman"/>
          <w:sz w:val="24"/>
          <w:szCs w:val="24"/>
          <w:lang w:val="en-US"/>
        </w:rPr>
        <w:t>m</w:t>
      </w:r>
      <w:r w:rsidRPr="00A8783E">
        <w:rPr>
          <w:rFonts w:ascii="Times New Roman" w:hAnsi="Times New Roman"/>
          <w:sz w:val="24"/>
          <w:szCs w:val="24"/>
        </w:rPr>
        <w:t>. Гнездата са разположени върху плаващи коренища на тръстика, листа от водна лилия (ез. Сребърна, Гарванското блато) и стърчащи от водата пънове (ПП „Персина“) (Нанкинов и др., 1997; Янков, ред., 2007). Подходящи местообитания вероятно са 3150 и 3130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lastRenderedPageBreak/>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Храни се с риба, скариди, насекоми (</w:t>
      </w:r>
      <w:r w:rsidRPr="00A8783E">
        <w:rPr>
          <w:rFonts w:ascii="Times New Roman" w:hAnsi="Times New Roman"/>
          <w:i/>
          <w:iCs/>
          <w:sz w:val="24"/>
          <w:szCs w:val="24"/>
        </w:rPr>
        <w:t xml:space="preserve">Carabidae, Staphylinidae, Tenebrionidae, Orthoptera </w:t>
      </w:r>
      <w:r w:rsidRPr="00A8783E">
        <w:rPr>
          <w:rFonts w:ascii="Times New Roman" w:hAnsi="Times New Roman"/>
          <w:iCs/>
          <w:sz w:val="24"/>
          <w:szCs w:val="24"/>
        </w:rPr>
        <w:t>(</w:t>
      </w:r>
      <w:r w:rsidRPr="00A8783E">
        <w:rPr>
          <w:rFonts w:ascii="Times New Roman" w:hAnsi="Times New Roman"/>
          <w:i/>
          <w:iCs/>
          <w:sz w:val="24"/>
          <w:szCs w:val="24"/>
        </w:rPr>
        <w:t>Gryllus sp</w:t>
      </w:r>
      <w:r w:rsidRPr="00A8783E">
        <w:rPr>
          <w:rFonts w:ascii="Times New Roman" w:hAnsi="Times New Roman"/>
          <w:iCs/>
          <w:sz w:val="24"/>
          <w:szCs w:val="24"/>
        </w:rPr>
        <w:t>.)</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Относително постоянни гнездови находища има само по Дунавското крайбрежие – о. Белене, блатото при с. Гарван, Русенско и резервата „Сребърна“. Епизодични гнездови находища е имало в Атанасовското езеро и при с. Черноморец, Бургаско.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Защитен вид на територията на цялата страна (ЗБР, Приложение 3). Включен е в Червената книга на Р България (2015) в категория застрашен (EN).  Според IUCN – LC (Least Concern), за територията на континентална Европа – LC (Least Concern). Включен в Приложение 2Б на Директивата за птиците.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2005-2018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оценява на 180-300 двойки. Краткосрочната популационна тенденция (2001-2018 г.) е флуктуираща, а дългосрочната (1980-2018 г.) е намаляваща. Посочени са следните заплахи и влияния: J02.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Мигриращата</w:t>
      </w:r>
      <w:r w:rsidRPr="00A8783E">
        <w:rPr>
          <w:rFonts w:ascii="Times New Roman" w:hAnsi="Times New Roman"/>
          <w:sz w:val="24"/>
          <w:szCs w:val="24"/>
        </w:rPr>
        <w:t xml:space="preserve"> национална популация (за периода 2013 – 2018 г.) е оценена на 1000-2000 индивида. Краткосрочната тенденция на популацията в рамките на Натура 2000 е нарастваща. Посочени са следните заплахи и влияния: C03; F26.</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Зимуващата</w:t>
      </w:r>
      <w:r w:rsidRPr="00A8783E">
        <w:rPr>
          <w:rFonts w:ascii="Times New Roman" w:hAnsi="Times New Roman"/>
          <w:sz w:val="24"/>
          <w:szCs w:val="24"/>
        </w:rPr>
        <w:t xml:space="preserve"> популация е оценена на 2000-6500 индивида. Краткосрочната популационна тенденция (2000-2018 г.) е нарастваща, а дългосрочната (1980-2018 г.) е флуктуираща.  Посочени са следните заплахи и влияния: C03; D02.</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Червената книга като вероятни заплахи са посочени промени на естествения воден режим в традиционни гнездови находища (ПП „Персина“, Гарванското блато, ез. Сребърна).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СФ </w:t>
      </w:r>
      <w:r w:rsidRPr="00A8783E">
        <w:rPr>
          <w:rFonts w:ascii="Times New Roman" w:hAnsi="Times New Roman"/>
          <w:b/>
          <w:bCs/>
          <w:sz w:val="24"/>
          <w:szCs w:val="24"/>
        </w:rPr>
        <w:t xml:space="preserve">гнездящата </w:t>
      </w:r>
      <w:r w:rsidRPr="00A8783E">
        <w:rPr>
          <w:rFonts w:ascii="Times New Roman" w:hAnsi="Times New Roman"/>
          <w:sz w:val="24"/>
          <w:szCs w:val="24"/>
        </w:rPr>
        <w:t xml:space="preserve">популация на вида се оценява на </w:t>
      </w:r>
      <w:r w:rsidRPr="00A8783E">
        <w:rPr>
          <w:rFonts w:ascii="Times New Roman" w:hAnsi="Times New Roman"/>
          <w:b/>
          <w:bCs/>
          <w:sz w:val="24"/>
          <w:szCs w:val="24"/>
        </w:rPr>
        <w:t>5-29 двойки</w:t>
      </w:r>
      <w:r w:rsidRPr="00A8783E">
        <w:rPr>
          <w:rFonts w:ascii="Times New Roman" w:hAnsi="Times New Roman"/>
          <w:sz w:val="24"/>
          <w:szCs w:val="24"/>
        </w:rPr>
        <w:t>, което е 3</w:t>
      </w:r>
      <w:r w:rsidRPr="00A8783E">
        <w:rPr>
          <w:rFonts w:ascii="Times New Roman" w:hAnsi="Times New Roman"/>
          <w:sz w:val="24"/>
          <w:szCs w:val="24"/>
          <w:lang w:val="ru-RU"/>
        </w:rPr>
        <w:t>-</w:t>
      </w:r>
      <w:r w:rsidRPr="00A8783E">
        <w:rPr>
          <w:rFonts w:ascii="Times New Roman" w:hAnsi="Times New Roman"/>
          <w:sz w:val="24"/>
          <w:szCs w:val="24"/>
        </w:rPr>
        <w:t>10 % от националната гнездяща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Речната чайка </w:t>
      </w:r>
      <w:r w:rsidRPr="00A8783E">
        <w:rPr>
          <w:rFonts w:ascii="Times New Roman" w:hAnsi="Times New Roman"/>
          <w:b/>
          <w:bCs/>
          <w:sz w:val="24"/>
          <w:szCs w:val="24"/>
        </w:rPr>
        <w:t>гнезди</w:t>
      </w:r>
      <w:r w:rsidRPr="00A8783E">
        <w:rPr>
          <w:rFonts w:ascii="Times New Roman" w:hAnsi="Times New Roman"/>
          <w:sz w:val="24"/>
          <w:szCs w:val="24"/>
        </w:rPr>
        <w:t xml:space="preserve"> редовно по поречието на Дунав единствено в Сребърна. Броят на двойките е различен всяка година и много зависи дали са налични подходящи места за гнездене. През 2006 г. са гнездили 90 дв., през 2010 – 20 дв., през 2011 – 5 дв., през 2012 – 16 дв., през 2013 – 29 дв. </w:t>
      </w:r>
      <w:r w:rsidRPr="00A8783E">
        <w:rPr>
          <w:rFonts w:ascii="Times New Roman" w:hAnsi="Times New Roman"/>
          <w:sz w:val="24"/>
          <w:szCs w:val="24"/>
          <w:lang w:val="ru-RU"/>
        </w:rPr>
        <w:t>(</w:t>
      </w:r>
      <w:r w:rsidRPr="00A8783E">
        <w:rPr>
          <w:rFonts w:ascii="Times New Roman" w:hAnsi="Times New Roman"/>
          <w:sz w:val="24"/>
          <w:szCs w:val="24"/>
          <w:lang w:val="en-US"/>
        </w:rPr>
        <w:t>Shurulinkov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xml:space="preserve">., 2019). </w:t>
      </w:r>
      <w:r w:rsidRPr="00A8783E">
        <w:rPr>
          <w:rFonts w:ascii="Times New Roman" w:hAnsi="Times New Roman"/>
          <w:sz w:val="24"/>
          <w:szCs w:val="24"/>
        </w:rPr>
        <w:t>Броят на двойките през периода 2001-200</w:t>
      </w:r>
      <w:r w:rsidRPr="00A8783E">
        <w:rPr>
          <w:rFonts w:ascii="Times New Roman" w:hAnsi="Times New Roman"/>
          <w:sz w:val="24"/>
          <w:szCs w:val="24"/>
          <w:lang w:val="ru-RU"/>
        </w:rPr>
        <w:t>3</w:t>
      </w:r>
      <w:r w:rsidRPr="00A8783E">
        <w:rPr>
          <w:rFonts w:ascii="Times New Roman" w:hAnsi="Times New Roman"/>
          <w:sz w:val="24"/>
          <w:szCs w:val="24"/>
        </w:rPr>
        <w:t xml:space="preserve"> е между 5 и 40 </w:t>
      </w:r>
      <w:r w:rsidRPr="00A8783E">
        <w:rPr>
          <w:rFonts w:ascii="Times New Roman" w:hAnsi="Times New Roman"/>
          <w:sz w:val="24"/>
          <w:szCs w:val="24"/>
          <w:lang w:val="ru-RU"/>
        </w:rPr>
        <w:t>(</w:t>
      </w:r>
      <w:r w:rsidRPr="00A8783E">
        <w:rPr>
          <w:rFonts w:ascii="Times New Roman" w:hAnsi="Times New Roman"/>
          <w:sz w:val="24"/>
          <w:szCs w:val="24"/>
          <w:lang w:val="en-US"/>
        </w:rPr>
        <w:t>Kambourova</w:t>
      </w:r>
      <w:r w:rsidRPr="00A8783E">
        <w:rPr>
          <w:rFonts w:ascii="Times New Roman" w:hAnsi="Times New Roman"/>
          <w:sz w:val="24"/>
          <w:szCs w:val="24"/>
          <w:lang w:val="ru-RU"/>
        </w:rPr>
        <w:t>, 2012)</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 xml:space="preserve">През 2014 г. са отчетени 20-30 дв. </w:t>
      </w:r>
      <w:r w:rsidRPr="00A8783E">
        <w:rPr>
          <w:rFonts w:ascii="Times New Roman" w:hAnsi="Times New Roman"/>
          <w:sz w:val="24"/>
          <w:szCs w:val="24"/>
          <w:lang w:val="ru-RU"/>
        </w:rPr>
        <w:t>(</w:t>
      </w:r>
      <w:r w:rsidRPr="00A8783E">
        <w:rPr>
          <w:rFonts w:ascii="Times New Roman" w:hAnsi="Times New Roman"/>
          <w:sz w:val="24"/>
          <w:szCs w:val="24"/>
        </w:rPr>
        <w:t>Актуализиран План за управление на ПР Сребърна, 2015</w:t>
      </w:r>
      <w:r w:rsidRPr="00A8783E">
        <w:rPr>
          <w:rFonts w:ascii="Times New Roman" w:hAnsi="Times New Roman"/>
          <w:sz w:val="24"/>
          <w:szCs w:val="24"/>
          <w:lang w:val="ru-RU"/>
        </w:rPr>
        <w:t>)</w:t>
      </w:r>
      <w:r w:rsidRPr="00A8783E">
        <w:rPr>
          <w:rFonts w:ascii="Times New Roman" w:hAnsi="Times New Roman"/>
          <w:sz w:val="24"/>
          <w:szCs w:val="24"/>
        </w:rPr>
        <w:t xml:space="preserve">. Подходящите местообитания за вида в зоната са естествени водни площи с вкоренена тръстика в плитки части </w:t>
      </w:r>
      <w:r w:rsidRPr="00A8783E">
        <w:rPr>
          <w:rFonts w:ascii="Times New Roman" w:hAnsi="Times New Roman"/>
          <w:sz w:val="24"/>
          <w:szCs w:val="24"/>
          <w:lang w:val="ru-RU"/>
        </w:rPr>
        <w:t xml:space="preserve">(3211, 3212, 3213, 5122, 5125).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sz w:val="24"/>
          <w:szCs w:val="24"/>
        </w:rPr>
        <w:t xml:space="preserve">При докладването по чл. 12 за гнездящата популация е посочена само една заплаха </w:t>
      </w:r>
      <w:r w:rsidRPr="00A8783E">
        <w:rPr>
          <w:rFonts w:ascii="Times New Roman" w:hAnsi="Times New Roman"/>
          <w:sz w:val="24"/>
          <w:szCs w:val="24"/>
          <w:lang w:val="en-US"/>
        </w:rPr>
        <w:t>J</w:t>
      </w:r>
      <w:r w:rsidRPr="00A8783E">
        <w:rPr>
          <w:rFonts w:ascii="Times New Roman" w:hAnsi="Times New Roman"/>
          <w:sz w:val="24"/>
          <w:szCs w:val="24"/>
          <w:lang w:val="ru-RU"/>
        </w:rPr>
        <w:t>02-</w:t>
      </w:r>
      <w:r w:rsidRPr="00A8783E">
        <w:rPr>
          <w:rFonts w:ascii="Times New Roman" w:hAnsi="Times New Roman"/>
          <w:sz w:val="24"/>
          <w:szCs w:val="24"/>
        </w:rPr>
        <w:t xml:space="preserve"> Замърсяване на морски води от смесени източници, което няма отношение към зоната. Заплахата за вида в зоната е промяната на естествения воден режим </w:t>
      </w:r>
      <w:r w:rsidRPr="00A8783E">
        <w:rPr>
          <w:rFonts w:ascii="Times New Roman" w:hAnsi="Times New Roman"/>
          <w:sz w:val="24"/>
          <w:szCs w:val="24"/>
          <w:lang w:val="ru-RU"/>
        </w:rPr>
        <w:t>(</w:t>
      </w:r>
      <w:r w:rsidRPr="00A8783E">
        <w:rPr>
          <w:rFonts w:ascii="Times New Roman" w:hAnsi="Times New Roman"/>
          <w:sz w:val="24"/>
          <w:szCs w:val="24"/>
          <w:lang w:val="en-US"/>
        </w:rPr>
        <w:t>K</w:t>
      </w:r>
      <w:r w:rsidRPr="00A8783E">
        <w:rPr>
          <w:rFonts w:ascii="Times New Roman" w:hAnsi="Times New Roman"/>
          <w:sz w:val="24"/>
          <w:szCs w:val="24"/>
          <w:lang w:val="ru-RU"/>
        </w:rPr>
        <w:t>04)</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lastRenderedPageBreak/>
        <w:t>5. Параметри за определяне на специфичните природозащитни цели за вида в зоната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4"/>
        <w:gridCol w:w="1417"/>
        <w:gridCol w:w="1276"/>
        <w:gridCol w:w="2835"/>
        <w:gridCol w:w="2267"/>
      </w:tblGrid>
      <w:tr w:rsidR="00A8783E" w:rsidRPr="00A8783E" w:rsidTr="005B5318">
        <w:trPr>
          <w:tblHeader/>
          <w:jc w:val="center"/>
        </w:trPr>
        <w:tc>
          <w:tcPr>
            <w:tcW w:w="184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417"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83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267"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84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Популация</w:t>
            </w:r>
            <w:r w:rsidRPr="00A8783E">
              <w:rPr>
                <w:rFonts w:ascii="Times New Roman" w:hAnsi="Times New Roman"/>
              </w:rPr>
              <w:t>: Размер на гнездящата популация</w:t>
            </w:r>
          </w:p>
        </w:tc>
        <w:tc>
          <w:tcPr>
            <w:tcW w:w="141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двойки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5 дв.</w:t>
            </w:r>
          </w:p>
        </w:tc>
        <w:tc>
          <w:tcPr>
            <w:tcW w:w="283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от СФ и други публикувани източници за гнездовата численост на вида през различните години в зоната.</w:t>
            </w:r>
          </w:p>
        </w:tc>
        <w:tc>
          <w:tcPr>
            <w:tcW w:w="2267" w:type="dxa"/>
          </w:tcPr>
          <w:p w:rsidR="00A8783E" w:rsidRPr="00A8783E" w:rsidRDefault="00A8783E" w:rsidP="00A8783E">
            <w:pPr>
              <w:spacing w:after="0" w:line="240" w:lineRule="auto"/>
              <w:jc w:val="both"/>
              <w:rPr>
                <w:rFonts w:ascii="Times New Roman" w:hAnsi="Times New Roman"/>
                <w:color w:val="0070C0"/>
              </w:rPr>
            </w:pPr>
            <w:r w:rsidRPr="00A8783E">
              <w:rPr>
                <w:rFonts w:ascii="Times New Roman" w:hAnsi="Times New Roman"/>
              </w:rPr>
              <w:t>Поддържане на популацията на вида в зоната в размер от най-малко 5 гнездящи двойки. Необходимо е да се провежда мониторинг всяка година за установяване на числеността.</w:t>
            </w:r>
          </w:p>
        </w:tc>
      </w:tr>
      <w:tr w:rsidR="00A8783E" w:rsidRPr="00A8783E" w:rsidTr="005B5318">
        <w:trPr>
          <w:trHeight w:val="606"/>
          <w:jc w:val="center"/>
        </w:trPr>
        <w:tc>
          <w:tcPr>
            <w:tcW w:w="1844"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хранителните и гнездови местообитания на вида</w:t>
            </w:r>
            <w:r w:rsidRPr="00A8783E">
              <w:rPr>
                <w:rFonts w:ascii="Times New Roman" w:hAnsi="Times New Roman"/>
                <w:b/>
                <w:bCs/>
              </w:rPr>
              <w:t xml:space="preserve"> </w:t>
            </w:r>
          </w:p>
        </w:tc>
        <w:tc>
          <w:tcPr>
            <w:tcW w:w="141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ha</w:t>
            </w:r>
          </w:p>
          <w:p w:rsidR="00A8783E" w:rsidRPr="00A8783E" w:rsidRDefault="00A8783E" w:rsidP="00A8783E">
            <w:pPr>
              <w:spacing w:after="0" w:line="240" w:lineRule="auto"/>
              <w:jc w:val="both"/>
              <w:rPr>
                <w:rFonts w:ascii="Times New Roman" w:hAnsi="Times New Roman"/>
              </w:rPr>
            </w:pP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840</w:t>
            </w:r>
            <w:r w:rsidRPr="00A8783E">
              <w:rPr>
                <w:rFonts w:ascii="Times New Roman" w:hAnsi="Times New Roman"/>
                <w:lang w:val="en-US"/>
              </w:rPr>
              <w:t xml:space="preserve"> </w:t>
            </w:r>
          </w:p>
        </w:tc>
        <w:tc>
          <w:tcPr>
            <w:tcW w:w="283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Изчислена на база % участие на местообитания </w:t>
            </w:r>
            <w:r w:rsidRPr="00A8783E">
              <w:rPr>
                <w:rFonts w:ascii="Times New Roman" w:hAnsi="Times New Roman"/>
                <w:lang w:val="en-US"/>
              </w:rPr>
              <w:t>N</w:t>
            </w:r>
            <w:r w:rsidRPr="00A8783E">
              <w:rPr>
                <w:rFonts w:ascii="Times New Roman" w:hAnsi="Times New Roman"/>
                <w:lang w:val="ru-RU"/>
              </w:rPr>
              <w:t>06-</w:t>
            </w:r>
            <w:r w:rsidRPr="00A8783E">
              <w:rPr>
                <w:rFonts w:ascii="Times New Roman" w:hAnsi="Times New Roman"/>
              </w:rPr>
              <w:t>вътрешни водни тела</w:t>
            </w:r>
            <w:r w:rsidRPr="00A8783E">
              <w:rPr>
                <w:rFonts w:ascii="Times New Roman" w:hAnsi="Times New Roman"/>
                <w:lang w:val="ru-RU"/>
              </w:rPr>
              <w:t xml:space="preserve"> </w:t>
            </w:r>
            <w:r w:rsidRPr="00A8783E">
              <w:rPr>
                <w:rFonts w:ascii="Times New Roman" w:hAnsi="Times New Roman"/>
              </w:rPr>
              <w:t xml:space="preserve">и </w:t>
            </w:r>
            <w:r w:rsidRPr="00A8783E">
              <w:rPr>
                <w:rFonts w:ascii="Times New Roman" w:hAnsi="Times New Roman"/>
                <w:lang w:val="en-US"/>
              </w:rPr>
              <w:t>N</w:t>
            </w:r>
            <w:r w:rsidRPr="00A8783E">
              <w:rPr>
                <w:rFonts w:ascii="Times New Roman" w:hAnsi="Times New Roman"/>
                <w:lang w:val="ru-RU"/>
              </w:rPr>
              <w:t>07</w:t>
            </w:r>
            <w:r w:rsidRPr="00A8783E">
              <w:rPr>
                <w:rFonts w:ascii="Times New Roman" w:hAnsi="Times New Roman"/>
              </w:rPr>
              <w:t>-мочурища и блата в СФ на зоната.</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Гнездовите и хранителните местообитания съвпадат.</w:t>
            </w:r>
          </w:p>
        </w:tc>
        <w:tc>
          <w:tcPr>
            <w:tcW w:w="226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подходящите местообитания за хранене на вида в зоната в размер най-малко от 840 </w:t>
            </w:r>
            <w:r w:rsidRPr="00A8783E">
              <w:rPr>
                <w:rFonts w:ascii="Times New Roman" w:hAnsi="Times New Roman"/>
                <w:lang w:val="en-US"/>
              </w:rPr>
              <w:t>ha</w:t>
            </w:r>
            <w:r w:rsidRPr="00A8783E">
              <w:rPr>
                <w:rFonts w:ascii="Times New Roman" w:hAnsi="Times New Roman"/>
              </w:rPr>
              <w:t xml:space="preserve"> чрез поддържане на водното ниво в езерото.</w:t>
            </w:r>
          </w:p>
        </w:tc>
      </w:tr>
      <w:tr w:rsidR="00A8783E" w:rsidRPr="00A8783E" w:rsidTr="005B5318">
        <w:trPr>
          <w:trHeight w:val="748"/>
          <w:jc w:val="center"/>
        </w:trPr>
        <w:tc>
          <w:tcPr>
            <w:tcW w:w="184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Местообитание на вида:</w:t>
            </w:r>
            <w:r w:rsidRPr="00A8783E">
              <w:rPr>
                <w:rFonts w:ascii="Times New Roman" w:hAnsi="Times New Roman"/>
              </w:rPr>
              <w:t xml:space="preserve"> Екологично състояние на водните тела с хранителни местообитания на вида, по биологични елементи за качество (БЕК  Риби и Макрозообентос)</w:t>
            </w:r>
          </w:p>
        </w:tc>
        <w:tc>
          <w:tcPr>
            <w:tcW w:w="141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5 степенна скала за екологично състояние, съгласно РДВ </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По-висока или равна на 2 – Добро състояние</w:t>
            </w:r>
          </w:p>
        </w:tc>
        <w:tc>
          <w:tcPr>
            <w:tcW w:w="2835" w:type="dxa"/>
          </w:tcPr>
          <w:tbl>
            <w:tblPr>
              <w:tblW w:w="3404" w:type="dxa"/>
              <w:tblInd w:w="3" w:type="dxa"/>
              <w:tblLayout w:type="fixed"/>
              <w:tblCellMar>
                <w:left w:w="70" w:type="dxa"/>
                <w:right w:w="70" w:type="dxa"/>
              </w:tblCellMar>
              <w:tblLook w:val="00A0" w:firstRow="1" w:lastRow="0" w:firstColumn="1" w:lastColumn="0" w:noHBand="0" w:noVBand="0"/>
            </w:tblPr>
            <w:tblGrid>
              <w:gridCol w:w="3404"/>
            </w:tblGrid>
            <w:tr w:rsidR="00A8783E" w:rsidRPr="00A8783E" w:rsidTr="005B5318">
              <w:trPr>
                <w:trHeight w:val="270"/>
              </w:trPr>
              <w:tc>
                <w:tcPr>
                  <w:tcW w:w="3404"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70"/>
              </w:trPr>
              <w:tc>
                <w:tcPr>
                  <w:tcW w:w="3404"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w:t>
                  </w:r>
                </w:p>
              </w:tc>
            </w:tr>
            <w:tr w:rsidR="00A8783E" w:rsidRPr="00A8783E" w:rsidTr="005B5318">
              <w:trPr>
                <w:trHeight w:val="270"/>
              </w:trPr>
              <w:tc>
                <w:tcPr>
                  <w:tcW w:w="340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2-Добро</w:t>
                  </w:r>
                </w:p>
              </w:tc>
            </w:tr>
            <w:tr w:rsidR="00A8783E" w:rsidRPr="00A8783E" w:rsidTr="005B5318">
              <w:trPr>
                <w:trHeight w:val="270"/>
              </w:trPr>
              <w:tc>
                <w:tcPr>
                  <w:tcW w:w="340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3-Умерено</w:t>
                  </w:r>
                </w:p>
              </w:tc>
            </w:tr>
            <w:tr w:rsidR="00A8783E" w:rsidRPr="00A8783E" w:rsidTr="005B5318">
              <w:trPr>
                <w:trHeight w:val="270"/>
              </w:trPr>
              <w:tc>
                <w:tcPr>
                  <w:tcW w:w="3404"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4-Лошо</w:t>
                  </w:r>
                </w:p>
              </w:tc>
            </w:tr>
            <w:tr w:rsidR="00A8783E" w:rsidRPr="00A8783E" w:rsidTr="005B5318">
              <w:trPr>
                <w:trHeight w:val="270"/>
              </w:trPr>
              <w:tc>
                <w:tcPr>
                  <w:tcW w:w="3404"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5-Много лошо</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на р. Дунав по показател Риби в пункт Силистра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rPr>
              <w:t>3</w:t>
            </w:r>
            <w:r w:rsidRPr="00A8783E">
              <w:rPr>
                <w:rFonts w:ascii="Times New Roman" w:hAnsi="Times New Roman"/>
              </w:rPr>
              <w:t xml:space="preserve">), по показател Макрозообентос при пункт Силистра е оценено също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lang w:val="ru-RU"/>
              </w:rPr>
              <w:t>(</w:t>
            </w:r>
            <w:r w:rsidRPr="00A8783E">
              <w:rPr>
                <w:rFonts w:ascii="Times New Roman" w:hAnsi="Times New Roman"/>
                <w:b/>
                <w:bCs/>
              </w:rPr>
              <w:t>3</w:t>
            </w:r>
            <w:r w:rsidRPr="00A8783E">
              <w:rPr>
                <w:rFonts w:ascii="Times New Roman" w:hAnsi="Times New Roman"/>
                <w:lang w:val="ru-RU"/>
              </w:rPr>
              <w:t>)</w:t>
            </w:r>
            <w:r w:rsidRPr="00A8783E">
              <w:rPr>
                <w:rFonts w:ascii="Times New Roman" w:hAnsi="Times New Roman"/>
              </w:rPr>
              <w:t xml:space="preserve"> според доклада на </w:t>
            </w:r>
            <w:r w:rsidRPr="00A8783E">
              <w:rPr>
                <w:rFonts w:ascii="Times New Roman" w:hAnsi="Times New Roman"/>
                <w:lang w:val="en-GB"/>
              </w:rPr>
              <w:t>JDS</w:t>
            </w:r>
            <w:r w:rsidRPr="00A8783E">
              <w:rPr>
                <w:rFonts w:ascii="Times New Roman" w:hAnsi="Times New Roman"/>
                <w:lang w:val="ru-RU"/>
              </w:rPr>
              <w:t>4 (2019-2020).</w:t>
            </w:r>
            <w:r w:rsidRPr="00A8783E">
              <w:rPr>
                <w:rFonts w:ascii="Times New Roman" w:hAnsi="Times New Roman"/>
              </w:rPr>
              <w:t xml:space="preserve"> Според данните от биологичния мониторинг на повърхностните води през 2020 г. ЕС на ез. Сребърна е определено като </w:t>
            </w:r>
            <w:r w:rsidRPr="00A8783E">
              <w:rPr>
                <w:rFonts w:ascii="Times New Roman" w:hAnsi="Times New Roman"/>
                <w:b/>
              </w:rPr>
              <w:t>Отлично</w:t>
            </w:r>
            <w:r w:rsidRPr="00A8783E">
              <w:rPr>
                <w:rFonts w:ascii="Times New Roman" w:hAnsi="Times New Roman"/>
              </w:rPr>
              <w:t xml:space="preserve"> по БЕК Макрозообентос, </w:t>
            </w:r>
            <w:r w:rsidRPr="00A8783E">
              <w:rPr>
                <w:rFonts w:ascii="Times New Roman" w:hAnsi="Times New Roman"/>
                <w:b/>
              </w:rPr>
              <w:t>Умерено</w:t>
            </w:r>
            <w:r w:rsidRPr="00A8783E">
              <w:rPr>
                <w:rFonts w:ascii="Times New Roman" w:hAnsi="Times New Roman"/>
              </w:rPr>
              <w:t xml:space="preserve"> по БЕК Риби.</w:t>
            </w:r>
          </w:p>
        </w:tc>
        <w:tc>
          <w:tcPr>
            <w:tcW w:w="226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A8783E" w:rsidRPr="00A8783E" w:rsidRDefault="00A8783E" w:rsidP="00A8783E">
      <w:pPr>
        <w:spacing w:before="120" w:after="120" w:line="259" w:lineRule="auto"/>
        <w:jc w:val="both"/>
        <w:rPr>
          <w:rFonts w:ascii="Times New Roman" w:hAnsi="Times New Roman"/>
          <w:b/>
          <w:bCs/>
          <w:color w:val="000000"/>
          <w:sz w:val="24"/>
          <w:szCs w:val="24"/>
        </w:rPr>
      </w:pPr>
    </w:p>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t xml:space="preserve">6. Необходимост от промени в СФ за (СЗЗ) </w:t>
      </w:r>
      <w:r w:rsidRPr="00A8783E">
        <w:rPr>
          <w:rFonts w:ascii="Times New Roman" w:hAnsi="Times New Roman"/>
          <w:b/>
          <w:bCs/>
          <w:sz w:val="24"/>
          <w:szCs w:val="24"/>
        </w:rPr>
        <w:t>BG0000241 „Сребърна“</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lastRenderedPageBreak/>
        <w:t xml:space="preserve">По отношение на гнездящата популация предлагаме промяна в </w:t>
      </w:r>
      <w:r w:rsidRPr="00A8783E">
        <w:rPr>
          <w:rFonts w:ascii="Times New Roman" w:hAnsi="Times New Roman"/>
          <w:b/>
          <w:sz w:val="24"/>
          <w:szCs w:val="24"/>
        </w:rPr>
        <w:t>максималната</w:t>
      </w:r>
      <w:r w:rsidRPr="00A8783E">
        <w:rPr>
          <w:rFonts w:ascii="Times New Roman" w:hAnsi="Times New Roman"/>
          <w:sz w:val="24"/>
          <w:szCs w:val="24"/>
        </w:rPr>
        <w:t xml:space="preserve"> численост на вида в зоната от 40 на 90 инд., тъй като през 2006 г. в зоната са отчетени 90 гнездящи двойки.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0" w:type="auto"/>
            <w:gridSpan w:val="5"/>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Species</w:t>
            </w:r>
          </w:p>
        </w:tc>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G</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Code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Scientific Name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NP</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T</w:t>
            </w:r>
          </w:p>
        </w:tc>
        <w:tc>
          <w:tcPr>
            <w:tcW w:w="0" w:type="auto"/>
            <w:gridSpan w:val="2"/>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D.qual.</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Iso.</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Glo.</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jc w:val="center"/>
              <w:rPr>
                <w:rFonts w:ascii="Times New Roman" w:hAnsi="Times New Roman"/>
                <w:sz w:val="20"/>
                <w:szCs w:val="20"/>
              </w:rPr>
            </w:pPr>
            <w:r w:rsidRPr="00A8783E">
              <w:rPr>
                <w:rFonts w:ascii="Times New Roman" w:hAnsi="Times New Roman"/>
                <w:sz w:val="20"/>
                <w:szCs w:val="20"/>
              </w:rPr>
              <w:t>В</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US"/>
              </w:rPr>
            </w:pPr>
            <w:r w:rsidRPr="00A8783E">
              <w:rPr>
                <w:rFonts w:ascii="Times New Roman" w:hAnsi="Times New Roman"/>
                <w:sz w:val="20"/>
                <w:szCs w:val="20"/>
              </w:rPr>
              <w:t>A17</w:t>
            </w:r>
            <w:r w:rsidRPr="00A8783E">
              <w:rPr>
                <w:rFonts w:ascii="Times New Roman" w:hAnsi="Times New Roman"/>
                <w:sz w:val="20"/>
                <w:szCs w:val="20"/>
                <w:lang w:val="en-US"/>
              </w:rPr>
              <w:t>9</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US"/>
              </w:rPr>
            </w:pPr>
            <w:r w:rsidRPr="00A8783E">
              <w:rPr>
                <w:rFonts w:ascii="Times New Roman" w:hAnsi="Times New Roman"/>
                <w:i/>
                <w:iCs/>
                <w:sz w:val="20"/>
                <w:szCs w:val="20"/>
                <w:lang w:val="en-US"/>
              </w:rPr>
              <w:t>Larus ridibundus</w:t>
            </w:r>
          </w:p>
        </w:tc>
        <w:tc>
          <w:tcPr>
            <w:tcW w:w="0" w:type="auto"/>
            <w:vAlign w:val="center"/>
          </w:tcPr>
          <w:p w:rsidR="00A8783E" w:rsidRPr="00A8783E" w:rsidRDefault="00A8783E" w:rsidP="00A8783E">
            <w:pPr>
              <w:spacing w:after="0" w:line="240" w:lineRule="auto"/>
              <w:jc w:val="center"/>
              <w:rPr>
                <w:rFonts w:ascii="Times New Roman" w:hAnsi="Times New Roman"/>
                <w:b/>
                <w:bCs/>
                <w:sz w:val="20"/>
                <w:szCs w:val="20"/>
              </w:rPr>
            </w:pPr>
          </w:p>
        </w:tc>
        <w:tc>
          <w:tcPr>
            <w:tcW w:w="0" w:type="auto"/>
            <w:vAlign w:val="center"/>
          </w:tcPr>
          <w:p w:rsidR="00A8783E" w:rsidRPr="00A8783E" w:rsidRDefault="00A8783E" w:rsidP="00A8783E">
            <w:pPr>
              <w:spacing w:after="0" w:line="240" w:lineRule="auto"/>
              <w:jc w:val="center"/>
              <w:rPr>
                <w:rFonts w:ascii="Times New Roman" w:hAnsi="Times New Roman"/>
                <w:b/>
                <w:bCs/>
                <w:sz w:val="20"/>
                <w:szCs w:val="20"/>
              </w:rPr>
            </w:pP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US"/>
              </w:rPr>
            </w:pPr>
            <w:r w:rsidRPr="00A8783E">
              <w:rPr>
                <w:rFonts w:ascii="Times New Roman" w:hAnsi="Times New Roman"/>
                <w:sz w:val="20"/>
                <w:szCs w:val="20"/>
                <w:lang w:val="en-US"/>
              </w:rPr>
              <w:t>r</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US"/>
              </w:rPr>
            </w:pPr>
            <w:r w:rsidRPr="00A8783E">
              <w:rPr>
                <w:rFonts w:ascii="Times New Roman" w:hAnsi="Times New Roman"/>
                <w:sz w:val="20"/>
                <w:szCs w:val="20"/>
                <w:lang w:val="en-US"/>
              </w:rPr>
              <w:t>5</w:t>
            </w:r>
          </w:p>
        </w:tc>
        <w:tc>
          <w:tcPr>
            <w:tcW w:w="0" w:type="auto"/>
            <w:vAlign w:val="center"/>
          </w:tcPr>
          <w:p w:rsidR="00A8783E" w:rsidRPr="00A8783E" w:rsidRDefault="00A8783E" w:rsidP="00A8783E">
            <w:pPr>
              <w:spacing w:after="0" w:line="240" w:lineRule="auto"/>
              <w:jc w:val="center"/>
              <w:rPr>
                <w:rFonts w:ascii="Times New Roman" w:hAnsi="Times New Roman"/>
                <w:b/>
                <w:bCs/>
                <w:sz w:val="20"/>
                <w:szCs w:val="20"/>
                <w:lang w:val="en-US"/>
              </w:rPr>
            </w:pPr>
            <w:r w:rsidRPr="00A8783E">
              <w:rPr>
                <w:rFonts w:ascii="Times New Roman" w:hAnsi="Times New Roman"/>
                <w:b/>
                <w:bCs/>
                <w:color w:val="FF0000"/>
                <w:sz w:val="20"/>
                <w:szCs w:val="20"/>
                <w:lang w:val="en-US"/>
              </w:rPr>
              <w:t>90</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US"/>
              </w:rPr>
            </w:pPr>
            <w:r w:rsidRPr="00A8783E">
              <w:rPr>
                <w:rFonts w:ascii="Times New Roman" w:hAnsi="Times New Roman"/>
                <w:sz w:val="20"/>
                <w:szCs w:val="20"/>
                <w:lang w:val="en-US"/>
              </w:rPr>
              <w:t>p</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rPr>
            </w:pPr>
          </w:p>
        </w:tc>
        <w:tc>
          <w:tcPr>
            <w:tcW w:w="0" w:type="auto"/>
            <w:vAlign w:val="center"/>
          </w:tcPr>
          <w:p w:rsidR="00A8783E" w:rsidRPr="00A8783E" w:rsidRDefault="00A8783E" w:rsidP="00A8783E">
            <w:pPr>
              <w:spacing w:after="0" w:line="240" w:lineRule="auto"/>
              <w:jc w:val="center"/>
              <w:rPr>
                <w:rFonts w:ascii="Times New Roman" w:hAnsi="Times New Roman"/>
                <w:sz w:val="20"/>
                <w:szCs w:val="20"/>
              </w:rPr>
            </w:pPr>
            <w:r w:rsidRPr="00A8783E">
              <w:rPr>
                <w:rFonts w:ascii="Times New Roman" w:hAnsi="Times New Roman"/>
                <w:sz w:val="20"/>
                <w:szCs w:val="20"/>
              </w:rPr>
              <w:t>G</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rPr>
            </w:pPr>
            <w:r w:rsidRPr="00A8783E">
              <w:rPr>
                <w:rFonts w:ascii="Times New Roman" w:hAnsi="Times New Roman"/>
                <w:sz w:val="20"/>
                <w:szCs w:val="20"/>
              </w:rPr>
              <w:t>А</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US"/>
              </w:rPr>
            </w:pPr>
            <w:r w:rsidRPr="00A8783E">
              <w:rPr>
                <w:rFonts w:ascii="Times New Roman" w:hAnsi="Times New Roman"/>
                <w:sz w:val="20"/>
                <w:szCs w:val="20"/>
                <w:lang w:val="en-US"/>
              </w:rPr>
              <w:t>A</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rPr>
            </w:pPr>
            <w:r w:rsidRPr="00A8783E">
              <w:rPr>
                <w:rFonts w:ascii="Times New Roman" w:hAnsi="Times New Roman"/>
                <w:sz w:val="20"/>
                <w:szCs w:val="20"/>
              </w:rPr>
              <w:t>C</w:t>
            </w:r>
          </w:p>
        </w:tc>
        <w:tc>
          <w:tcPr>
            <w:tcW w:w="0" w:type="auto"/>
            <w:vAlign w:val="center"/>
          </w:tcPr>
          <w:p w:rsidR="00A8783E" w:rsidRPr="00A8783E" w:rsidRDefault="00A8783E" w:rsidP="00A8783E">
            <w:pPr>
              <w:spacing w:after="0" w:line="240" w:lineRule="auto"/>
              <w:jc w:val="center"/>
              <w:rPr>
                <w:rFonts w:ascii="Times New Roman" w:hAnsi="Times New Roman"/>
                <w:sz w:val="20"/>
                <w:szCs w:val="20"/>
                <w:lang w:val="en-US"/>
              </w:rPr>
            </w:pPr>
            <w:r w:rsidRPr="00A8783E">
              <w:rPr>
                <w:rFonts w:ascii="Times New Roman" w:hAnsi="Times New Roman"/>
                <w:sz w:val="20"/>
                <w:szCs w:val="20"/>
                <w:lang w:val="en-US"/>
              </w:rPr>
              <w:t>A</w:t>
            </w:r>
          </w:p>
        </w:tc>
      </w:tr>
    </w:tbl>
    <w:p w:rsidR="00A8783E" w:rsidRPr="00A8783E" w:rsidRDefault="00A8783E" w:rsidP="00A8783E">
      <w:pPr>
        <w:spacing w:before="120" w:after="120" w:line="259" w:lineRule="auto"/>
        <w:jc w:val="both"/>
        <w:rPr>
          <w:rFonts w:ascii="Times New Roman" w:hAnsi="Times New Roman"/>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396" w:name="_Toc87467265"/>
      <w:bookmarkStart w:id="397" w:name="_Toc87692182"/>
      <w:bookmarkStart w:id="398" w:name="_Toc88865725"/>
      <w:bookmarkStart w:id="399" w:name="_Toc89106132"/>
      <w:bookmarkStart w:id="400" w:name="_Toc98741971"/>
      <w:bookmarkStart w:id="401" w:name="_Toc98838646"/>
      <w:r w:rsidRPr="00A8783E">
        <w:rPr>
          <w:rFonts w:ascii="Times New Roman" w:hAnsi="Times New Roman"/>
          <w:color w:val="1F497D"/>
          <w:sz w:val="28"/>
          <w:szCs w:val="28"/>
        </w:rPr>
        <w:t xml:space="preserve">Специфични цели за А182 </w:t>
      </w:r>
      <w:r w:rsidRPr="00A8783E">
        <w:rPr>
          <w:rFonts w:ascii="Times New Roman" w:hAnsi="Times New Roman"/>
          <w:i/>
          <w:iCs/>
          <w:color w:val="1F497D"/>
          <w:sz w:val="28"/>
          <w:szCs w:val="28"/>
        </w:rPr>
        <w:t>Larus canus</w:t>
      </w:r>
      <w:r w:rsidRPr="00A8783E">
        <w:rPr>
          <w:rFonts w:ascii="Times New Roman" w:hAnsi="Times New Roman"/>
          <w:color w:val="1F497D"/>
          <w:sz w:val="28"/>
          <w:szCs w:val="28"/>
        </w:rPr>
        <w:t xml:space="preserve"> (чайка буревестница)</w:t>
      </w:r>
      <w:bookmarkEnd w:id="396"/>
      <w:bookmarkEnd w:id="397"/>
      <w:bookmarkEnd w:id="398"/>
      <w:bookmarkEnd w:id="399"/>
      <w:bookmarkEnd w:id="400"/>
      <w:bookmarkEnd w:id="401"/>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40-42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110-130 </w:t>
      </w:r>
      <w:r w:rsidRPr="00A8783E">
        <w:rPr>
          <w:rFonts w:ascii="Times New Roman" w:hAnsi="Times New Roman"/>
          <w:sz w:val="24"/>
          <w:szCs w:val="24"/>
          <w:lang w:val="en-US"/>
        </w:rPr>
        <w:t>cm</w:t>
      </w:r>
      <w:r w:rsidRPr="00A8783E">
        <w:rPr>
          <w:rFonts w:ascii="Times New Roman" w:hAnsi="Times New Roman"/>
          <w:sz w:val="24"/>
          <w:szCs w:val="24"/>
        </w:rPr>
        <w:t>. Средно голяма чайка, забележимо по-дребна от сребристата</w:t>
      </w:r>
      <w:r w:rsidRPr="00A8783E">
        <w:rPr>
          <w:rFonts w:ascii="Times New Roman" w:hAnsi="Times New Roman"/>
          <w:sz w:val="24"/>
          <w:szCs w:val="24"/>
          <w:lang w:val="ru-RU"/>
        </w:rPr>
        <w:t xml:space="preserve"> </w:t>
      </w:r>
      <w:r w:rsidRPr="00A8783E">
        <w:rPr>
          <w:rFonts w:ascii="Times New Roman" w:hAnsi="Times New Roman"/>
          <w:sz w:val="24"/>
          <w:szCs w:val="24"/>
        </w:rPr>
        <w:t>чайка, с по-къс и тънък клюн, по-къси крила и крака.</w:t>
      </w:r>
      <w:r w:rsidRPr="00A8783E">
        <w:rPr>
          <w:rFonts w:ascii="Times New Roman" w:hAnsi="Times New Roman"/>
          <w:sz w:val="24"/>
          <w:szCs w:val="24"/>
          <w:lang w:val="ru-RU"/>
        </w:rPr>
        <w:t xml:space="preserve"> </w:t>
      </w:r>
      <w:r w:rsidRPr="00A8783E">
        <w:rPr>
          <w:rFonts w:ascii="Times New Roman" w:hAnsi="Times New Roman"/>
          <w:sz w:val="24"/>
          <w:szCs w:val="24"/>
        </w:rPr>
        <w:t>Има възрастов диморфизъм и малки сезонни различия. Възрастните през есенно-зимния период са със сиви гръб и крила и черни ръбове на първостепенните махови пера с бели петна по върховете; темето и тилът са на петна, а през лятото цялата глава е бяла. Младите са пъстро-кафяви, като опашката е бяла с широка черна ивица накрая. От сребристата чайка се отличава по големина и по зеленикавите крака и едноцветния клюн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Преминаващ и зимуващ вид. В Дунавската равнина се появява най-рано в началото на ноември и остава до март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 време на размножителния период обитава реки и гористи брегове и блата във вътрешността на сушата. По време на миграции и зимата се среща предимно по морски крайбрежия и прилежащи водоеми (Нанкинов и др, 1997). Подходящи местообитания вероятно са 3130 и 3270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Храни се с риби, ракообразни, мекотели и насекоми.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Установени само по време на миграции и през зимата, предимно по Дунавското и Черноморското крайбрежие  (Нанкинов и др., 1997).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Защитен вид на територията на цялата страна (ЗБР, Приложение 3). Не е включен в Червената книга. Включен в Приложение 2Б на Директивата за птиците.  Според IUCN – LC (Least Concern), за територията на континентална Европа – LC (Least Concern).</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2013-2018 г.), </w:t>
      </w:r>
      <w:r w:rsidRPr="00A8783E">
        <w:rPr>
          <w:rFonts w:ascii="Times New Roman" w:hAnsi="Times New Roman"/>
          <w:b/>
          <w:bCs/>
          <w:sz w:val="24"/>
          <w:szCs w:val="24"/>
        </w:rPr>
        <w:t>мигриращата</w:t>
      </w:r>
      <w:r w:rsidRPr="00A8783E">
        <w:rPr>
          <w:rFonts w:ascii="Times New Roman" w:hAnsi="Times New Roman"/>
          <w:sz w:val="24"/>
          <w:szCs w:val="24"/>
        </w:rPr>
        <w:t xml:space="preserve"> национална популация се оценява на </w:t>
      </w:r>
      <w:r w:rsidRPr="00A8783E">
        <w:rPr>
          <w:rFonts w:ascii="Times New Roman" w:hAnsi="Times New Roman"/>
          <w:bCs/>
          <w:sz w:val="24"/>
          <w:szCs w:val="24"/>
        </w:rPr>
        <w:t>50-600</w:t>
      </w:r>
      <w:r w:rsidRPr="00A8783E">
        <w:rPr>
          <w:rFonts w:ascii="Times New Roman" w:hAnsi="Times New Roman"/>
          <w:sz w:val="24"/>
          <w:szCs w:val="24"/>
        </w:rPr>
        <w:t xml:space="preserve"> индивида. Краткосрочната тенденция на популацията в рамките на Натура 2000 е флуктуираща. Посочени са следните заплахи и влияния: C03; J02.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Зимуващата</w:t>
      </w:r>
      <w:r w:rsidRPr="00A8783E">
        <w:rPr>
          <w:rFonts w:ascii="Times New Roman" w:hAnsi="Times New Roman"/>
          <w:sz w:val="24"/>
          <w:szCs w:val="24"/>
        </w:rPr>
        <w:t xml:space="preserve"> популация се оценява на </w:t>
      </w:r>
      <w:r w:rsidRPr="00A8783E">
        <w:rPr>
          <w:rFonts w:ascii="Times New Roman" w:hAnsi="Times New Roman"/>
          <w:bCs/>
          <w:sz w:val="24"/>
          <w:szCs w:val="24"/>
        </w:rPr>
        <w:t>70-1400</w:t>
      </w:r>
      <w:r w:rsidRPr="00A8783E">
        <w:rPr>
          <w:rFonts w:ascii="Times New Roman" w:hAnsi="Times New Roman"/>
          <w:sz w:val="24"/>
          <w:szCs w:val="24"/>
        </w:rPr>
        <w:t xml:space="preserve"> индивида. Краткосрочната (2000-2018 г.) и дългосрочната (1980-2018 г.)  популационни тенденции са флуктуиращи. Посочени са следните заплахи и влияния: C03; D02.</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lastRenderedPageBreak/>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СФ </w:t>
      </w:r>
      <w:r w:rsidRPr="00A8783E">
        <w:rPr>
          <w:rFonts w:ascii="Times New Roman" w:hAnsi="Times New Roman"/>
          <w:b/>
          <w:bCs/>
          <w:sz w:val="24"/>
          <w:szCs w:val="24"/>
        </w:rPr>
        <w:t>зимуващата</w:t>
      </w:r>
      <w:r w:rsidRPr="00A8783E">
        <w:rPr>
          <w:rFonts w:ascii="Times New Roman" w:hAnsi="Times New Roman"/>
          <w:sz w:val="24"/>
          <w:szCs w:val="24"/>
        </w:rPr>
        <w:t xml:space="preserve"> популация на вида се оценява на до </w:t>
      </w:r>
      <w:r w:rsidRPr="00A8783E">
        <w:rPr>
          <w:rFonts w:ascii="Times New Roman" w:hAnsi="Times New Roman"/>
          <w:b/>
          <w:bCs/>
          <w:sz w:val="24"/>
          <w:szCs w:val="24"/>
          <w:lang w:val="ru-RU"/>
        </w:rPr>
        <w:t>10</w:t>
      </w:r>
      <w:r w:rsidRPr="00A8783E">
        <w:rPr>
          <w:rFonts w:ascii="Times New Roman" w:hAnsi="Times New Roman"/>
          <w:b/>
          <w:bCs/>
          <w:sz w:val="24"/>
          <w:szCs w:val="24"/>
        </w:rPr>
        <w:t xml:space="preserve"> индивида</w:t>
      </w:r>
      <w:r w:rsidRPr="00A8783E">
        <w:rPr>
          <w:rFonts w:ascii="Times New Roman" w:hAnsi="Times New Roman"/>
          <w:sz w:val="24"/>
          <w:szCs w:val="24"/>
        </w:rPr>
        <w:t xml:space="preserve">, което е </w:t>
      </w:r>
      <w:r w:rsidRPr="00A8783E">
        <w:rPr>
          <w:rFonts w:ascii="Times New Roman" w:hAnsi="Times New Roman"/>
          <w:sz w:val="24"/>
          <w:szCs w:val="24"/>
          <w:lang w:val="ru-RU"/>
        </w:rPr>
        <w:t>0.7</w:t>
      </w:r>
      <w:r w:rsidRPr="00A8783E">
        <w:rPr>
          <w:rFonts w:ascii="Times New Roman" w:hAnsi="Times New Roman"/>
          <w:sz w:val="24"/>
          <w:szCs w:val="24"/>
        </w:rPr>
        <w:t xml:space="preserve"> % 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Зимуващата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време на Средно-зимното преброяване през 2019 г. видът не е наблюдаван в близост до ЗЗ Сребърна. През 2020 г. видът отново не е отчетен при зоната. Данните на </w:t>
      </w:r>
      <w:r w:rsidRPr="00A8783E">
        <w:rPr>
          <w:rFonts w:ascii="Times New Roman" w:hAnsi="Times New Roman"/>
          <w:sz w:val="24"/>
          <w:szCs w:val="24"/>
          <w:lang w:val="en-US"/>
        </w:rPr>
        <w:t>Michev</w:t>
      </w:r>
      <w:r w:rsidRPr="00A8783E">
        <w:rPr>
          <w:rFonts w:ascii="Times New Roman" w:hAnsi="Times New Roman"/>
          <w:sz w:val="24"/>
          <w:szCs w:val="24"/>
          <w:lang w:val="ru-RU"/>
        </w:rPr>
        <w:t xml:space="preserve"> </w:t>
      </w:r>
      <w:r w:rsidRPr="00A8783E">
        <w:rPr>
          <w:rFonts w:ascii="Times New Roman" w:hAnsi="Times New Roman"/>
          <w:sz w:val="24"/>
          <w:szCs w:val="24"/>
          <w:lang w:val="en-US"/>
        </w:rPr>
        <w:t>and</w:t>
      </w:r>
      <w:r w:rsidRPr="00A8783E">
        <w:rPr>
          <w:rFonts w:ascii="Times New Roman" w:hAnsi="Times New Roman"/>
          <w:sz w:val="24"/>
          <w:szCs w:val="24"/>
          <w:lang w:val="ru-RU"/>
        </w:rPr>
        <w:t xml:space="preserve"> </w:t>
      </w:r>
      <w:r w:rsidRPr="00A8783E">
        <w:rPr>
          <w:rFonts w:ascii="Times New Roman" w:hAnsi="Times New Roman"/>
          <w:sz w:val="24"/>
          <w:szCs w:val="24"/>
          <w:lang w:val="en-US"/>
        </w:rPr>
        <w:t>Profirov</w:t>
      </w:r>
      <w:r w:rsidRPr="00A8783E">
        <w:rPr>
          <w:rFonts w:ascii="Times New Roman" w:hAnsi="Times New Roman"/>
          <w:sz w:val="24"/>
          <w:szCs w:val="24"/>
          <w:lang w:val="ru-RU"/>
        </w:rPr>
        <w:t xml:space="preserve"> (2003)</w:t>
      </w:r>
      <w:r w:rsidRPr="00A8783E">
        <w:rPr>
          <w:rFonts w:ascii="Times New Roman" w:hAnsi="Times New Roman"/>
          <w:sz w:val="24"/>
          <w:szCs w:val="24"/>
        </w:rPr>
        <w:t xml:space="preserve"> показват, че чайката буревестница зимува основно по северното Черноморско крайбрежие </w:t>
      </w:r>
      <w:r w:rsidRPr="00A8783E">
        <w:rPr>
          <w:rFonts w:ascii="Times New Roman" w:hAnsi="Times New Roman"/>
          <w:sz w:val="24"/>
          <w:szCs w:val="24"/>
          <w:lang w:val="ru-RU"/>
        </w:rPr>
        <w:t>(</w:t>
      </w:r>
      <w:r w:rsidRPr="00A8783E">
        <w:rPr>
          <w:rFonts w:ascii="Times New Roman" w:hAnsi="Times New Roman"/>
          <w:sz w:val="24"/>
          <w:szCs w:val="24"/>
        </w:rPr>
        <w:t>Дуранкулак, Каварна-Кранево</w:t>
      </w:r>
      <w:r w:rsidRPr="00A8783E">
        <w:rPr>
          <w:rFonts w:ascii="Times New Roman" w:hAnsi="Times New Roman"/>
          <w:sz w:val="24"/>
          <w:szCs w:val="24"/>
          <w:lang w:val="ru-RU"/>
        </w:rPr>
        <w:t>)</w:t>
      </w:r>
      <w:r w:rsidRPr="00A8783E">
        <w:rPr>
          <w:rFonts w:ascii="Times New Roman" w:hAnsi="Times New Roman"/>
          <w:sz w:val="24"/>
          <w:szCs w:val="24"/>
        </w:rPr>
        <w:t xml:space="preserve"> със средни числености от 931 инд. В зоната видът е отчетен само два пъти за целия изследван период </w:t>
      </w:r>
      <w:r w:rsidRPr="00A8783E">
        <w:rPr>
          <w:rFonts w:ascii="Times New Roman" w:hAnsi="Times New Roman"/>
          <w:sz w:val="24"/>
          <w:szCs w:val="24"/>
          <w:lang w:val="ru-RU"/>
        </w:rPr>
        <w:t>(1977-2001)</w:t>
      </w:r>
      <w:r w:rsidRPr="00A8783E">
        <w:rPr>
          <w:rFonts w:ascii="Times New Roman" w:hAnsi="Times New Roman"/>
          <w:sz w:val="24"/>
          <w:szCs w:val="24"/>
        </w:rPr>
        <w:t xml:space="preserve">: през 1989 г. – 112 инд. и през 1998 г. – 5 инд. По поречието на р. Дунав е редовно зимуващ вид, като числеността му е по-висока при по-студени зими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Данните на </w:t>
      </w:r>
      <w:r w:rsidRPr="00A8783E">
        <w:rPr>
          <w:rFonts w:ascii="Times New Roman" w:hAnsi="Times New Roman"/>
          <w:sz w:val="24"/>
          <w:szCs w:val="24"/>
          <w:lang w:val="en-US"/>
        </w:rPr>
        <w:t>eBird</w:t>
      </w:r>
      <w:r w:rsidRPr="00A8783E">
        <w:rPr>
          <w:rFonts w:ascii="Times New Roman" w:hAnsi="Times New Roman"/>
          <w:sz w:val="24"/>
          <w:szCs w:val="24"/>
          <w:lang w:val="ru-RU"/>
        </w:rPr>
        <w:t xml:space="preserve"> </w:t>
      </w:r>
      <w:r w:rsidRPr="00A8783E">
        <w:rPr>
          <w:rFonts w:ascii="Times New Roman" w:hAnsi="Times New Roman"/>
          <w:sz w:val="24"/>
          <w:szCs w:val="24"/>
        </w:rPr>
        <w:t>показват, че вида е бил наблюдаван в зоната на 03.01.1992 г.</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Посочените заплахи </w:t>
      </w:r>
      <w:r w:rsidRPr="00A8783E">
        <w:rPr>
          <w:rFonts w:ascii="Times New Roman" w:hAnsi="Times New Roman"/>
          <w:sz w:val="24"/>
          <w:szCs w:val="24"/>
          <w:lang w:val="en-US"/>
        </w:rPr>
        <w:t>C</w:t>
      </w:r>
      <w:r w:rsidRPr="00A8783E">
        <w:rPr>
          <w:rFonts w:ascii="Times New Roman" w:hAnsi="Times New Roman"/>
          <w:sz w:val="24"/>
          <w:szCs w:val="24"/>
          <w:lang w:val="ru-RU"/>
        </w:rPr>
        <w:t xml:space="preserve">03 </w:t>
      </w:r>
      <w:r w:rsidRPr="00A8783E">
        <w:rPr>
          <w:rFonts w:ascii="Times New Roman" w:hAnsi="Times New Roman"/>
          <w:sz w:val="24"/>
          <w:szCs w:val="24"/>
        </w:rPr>
        <w:t xml:space="preserve">и </w:t>
      </w:r>
      <w:r w:rsidRPr="00A8783E">
        <w:rPr>
          <w:rFonts w:ascii="Times New Roman" w:hAnsi="Times New Roman"/>
          <w:sz w:val="24"/>
          <w:szCs w:val="24"/>
          <w:lang w:val="en-US"/>
        </w:rPr>
        <w:t>D</w:t>
      </w:r>
      <w:r w:rsidRPr="00A8783E">
        <w:rPr>
          <w:rFonts w:ascii="Times New Roman" w:hAnsi="Times New Roman"/>
          <w:sz w:val="24"/>
          <w:szCs w:val="24"/>
          <w:lang w:val="ru-RU"/>
        </w:rPr>
        <w:t>02</w:t>
      </w:r>
      <w:r w:rsidRPr="00A8783E">
        <w:rPr>
          <w:rFonts w:ascii="Times New Roman" w:hAnsi="Times New Roman"/>
          <w:sz w:val="24"/>
          <w:szCs w:val="24"/>
        </w:rPr>
        <w:t xml:space="preserve"> в докладването по чл. 12 нямат отношение към зоната. Смятаме, че по време на зимуване в зоната видът не е подложен на заплахи.</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7"/>
        <w:gridCol w:w="1276"/>
        <w:gridCol w:w="1134"/>
        <w:gridCol w:w="2763"/>
        <w:gridCol w:w="2273"/>
      </w:tblGrid>
      <w:tr w:rsidR="00A8783E" w:rsidRPr="00A8783E" w:rsidTr="005B5318">
        <w:trPr>
          <w:tblHeader/>
          <w:jc w:val="center"/>
        </w:trPr>
        <w:tc>
          <w:tcPr>
            <w:tcW w:w="1777"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Параметър</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Мерна единица </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Целева стойност </w:t>
            </w:r>
          </w:p>
        </w:tc>
        <w:tc>
          <w:tcPr>
            <w:tcW w:w="2763"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Допълнителна информация </w:t>
            </w:r>
          </w:p>
        </w:tc>
        <w:tc>
          <w:tcPr>
            <w:tcW w:w="2273"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Специфични за зоната цели за опазване </w:t>
            </w:r>
          </w:p>
        </w:tc>
      </w:tr>
      <w:tr w:rsidR="00A8783E" w:rsidRPr="00A8783E" w:rsidTr="005B5318">
        <w:trPr>
          <w:trHeight w:val="606"/>
          <w:jc w:val="center"/>
        </w:trPr>
        <w:tc>
          <w:tcPr>
            <w:tcW w:w="177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Популация:</w:t>
            </w:r>
            <w:r w:rsidRPr="00A8783E">
              <w:rPr>
                <w:rFonts w:ascii="Times New Roman" w:hAnsi="Times New Roman"/>
              </w:rPr>
              <w:t xml:space="preserve"> Размер зимуващата популация</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0-10 инд.</w:t>
            </w:r>
          </w:p>
        </w:tc>
        <w:tc>
          <w:tcPr>
            <w:tcW w:w="2763" w:type="dxa"/>
          </w:tcPr>
          <w:p w:rsidR="00A8783E" w:rsidRPr="00A8783E" w:rsidRDefault="00A8783E" w:rsidP="00A8783E">
            <w:pPr>
              <w:spacing w:after="0" w:line="240" w:lineRule="auto"/>
              <w:jc w:val="both"/>
              <w:rPr>
                <w:rFonts w:ascii="Times New Roman" w:hAnsi="Times New Roman"/>
                <w:color w:val="0070C0"/>
              </w:rPr>
            </w:pPr>
            <w:r w:rsidRPr="00A8783E">
              <w:rPr>
                <w:rFonts w:ascii="Times New Roman" w:hAnsi="Times New Roman"/>
              </w:rPr>
              <w:t>Целевата стойност е определена от СФ</w:t>
            </w:r>
            <w:r w:rsidRPr="00A8783E">
              <w:rPr>
                <w:rFonts w:ascii="Times New Roman" w:hAnsi="Times New Roman"/>
                <w:lang w:val="ru-RU"/>
              </w:rPr>
              <w:t xml:space="preserve"> и </w:t>
            </w:r>
            <w:r w:rsidRPr="00A8783E">
              <w:rPr>
                <w:rFonts w:ascii="Times New Roman" w:hAnsi="Times New Roman"/>
              </w:rPr>
              <w:t>данните от СЗП 2019 и 2020 г. Тези данни се нуждаят от потвърждение в резултата на адекватен мониторинг в периода октомври – февруари месец.</w:t>
            </w:r>
          </w:p>
        </w:tc>
        <w:tc>
          <w:tcPr>
            <w:tcW w:w="227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Да се извърши целенасочен мониторинг за установяване на размера на зимуващата популация до 2025 г. Най-вероятно броят на зимуващите индивиди ще зависи от средните температури през зимата в района.</w:t>
            </w:r>
          </w:p>
        </w:tc>
      </w:tr>
      <w:tr w:rsidR="00A8783E" w:rsidRPr="00A8783E" w:rsidTr="005B5318">
        <w:trPr>
          <w:trHeight w:val="606"/>
          <w:jc w:val="center"/>
        </w:trPr>
        <w:tc>
          <w:tcPr>
            <w:tcW w:w="1777"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хранителни местообитания на вида</w:t>
            </w:r>
            <w:r w:rsidRPr="00A8783E">
              <w:rPr>
                <w:rFonts w:ascii="Times New Roman" w:hAnsi="Times New Roman"/>
                <w:b/>
                <w:bCs/>
              </w:rPr>
              <w:t xml:space="preserve"> </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ha</w:t>
            </w:r>
          </w:p>
          <w:p w:rsidR="00A8783E" w:rsidRPr="00A8783E" w:rsidRDefault="00A8783E" w:rsidP="00A8783E">
            <w:pPr>
              <w:spacing w:after="0" w:line="240" w:lineRule="auto"/>
              <w:jc w:val="both"/>
              <w:rPr>
                <w:rFonts w:ascii="Times New Roman" w:hAnsi="Times New Roman"/>
                <w:color w:val="0070C0"/>
              </w:rPr>
            </w:pP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76-275</w:t>
            </w:r>
          </w:p>
        </w:tc>
        <w:tc>
          <w:tcPr>
            <w:tcW w:w="276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Изчислена на база % участие на местообитания </w:t>
            </w:r>
            <w:r w:rsidRPr="00A8783E">
              <w:rPr>
                <w:rFonts w:ascii="Times New Roman" w:hAnsi="Times New Roman"/>
                <w:lang w:val="en-US"/>
              </w:rPr>
              <w:t>N</w:t>
            </w:r>
            <w:r w:rsidRPr="00A8783E">
              <w:rPr>
                <w:rFonts w:ascii="Times New Roman" w:hAnsi="Times New Roman"/>
                <w:lang w:val="ru-RU"/>
              </w:rPr>
              <w:t>06-</w:t>
            </w:r>
            <w:r w:rsidRPr="00A8783E">
              <w:rPr>
                <w:rFonts w:ascii="Times New Roman" w:hAnsi="Times New Roman"/>
              </w:rPr>
              <w:t>вътрешни водни тела</w:t>
            </w:r>
            <w:r w:rsidRPr="00A8783E">
              <w:rPr>
                <w:rFonts w:ascii="Times New Roman" w:hAnsi="Times New Roman"/>
                <w:lang w:val="ru-RU"/>
              </w:rPr>
              <w:t xml:space="preserve"> </w:t>
            </w:r>
            <w:r w:rsidRPr="00A8783E">
              <w:rPr>
                <w:rFonts w:ascii="Times New Roman" w:hAnsi="Times New Roman"/>
              </w:rPr>
              <w:t xml:space="preserve">–275 </w:t>
            </w:r>
            <w:r w:rsidRPr="00A8783E">
              <w:rPr>
                <w:rFonts w:ascii="Times New Roman" w:hAnsi="Times New Roman"/>
                <w:lang w:val="en-US"/>
              </w:rPr>
              <w:t>ha</w:t>
            </w:r>
            <w:r w:rsidRPr="00A8783E">
              <w:rPr>
                <w:rFonts w:ascii="Times New Roman" w:hAnsi="Times New Roman"/>
                <w:lang w:val="ru-RU"/>
              </w:rPr>
              <w:t xml:space="preserve"> </w:t>
            </w:r>
            <w:r w:rsidRPr="00A8783E">
              <w:rPr>
                <w:rFonts w:ascii="Times New Roman" w:hAnsi="Times New Roman"/>
              </w:rPr>
              <w:t>в СФ на зоната.</w:t>
            </w:r>
            <w:r w:rsidRPr="00A8783E">
              <w:rPr>
                <w:rFonts w:ascii="Times New Roman" w:hAnsi="Times New Roman"/>
                <w:lang w:val="ru-RU"/>
              </w:rPr>
              <w:t xml:space="preserve"> </w:t>
            </w:r>
            <w:r w:rsidRPr="00A8783E">
              <w:rPr>
                <w:rFonts w:ascii="Times New Roman" w:hAnsi="Times New Roman"/>
              </w:rPr>
              <w:t xml:space="preserve">През зимните месеци, когато езерото замръзва видът се храни основно в речното течение </w:t>
            </w:r>
            <w:r w:rsidRPr="00A8783E">
              <w:rPr>
                <w:rFonts w:ascii="Times New Roman" w:hAnsi="Times New Roman"/>
                <w:lang w:val="ru-RU"/>
              </w:rPr>
              <w:t xml:space="preserve">(около 76 </w:t>
            </w:r>
            <w:r w:rsidRPr="00A8783E">
              <w:rPr>
                <w:rFonts w:ascii="Times New Roman" w:hAnsi="Times New Roman"/>
                <w:lang w:val="en-US"/>
              </w:rPr>
              <w:t>ha</w:t>
            </w:r>
            <w:r w:rsidRPr="00A8783E">
              <w:rPr>
                <w:rFonts w:ascii="Times New Roman" w:hAnsi="Times New Roman"/>
                <w:lang w:val="ru-RU"/>
              </w:rPr>
              <w:t>)</w:t>
            </w:r>
            <w:r w:rsidRPr="00A8783E">
              <w:rPr>
                <w:rFonts w:ascii="Times New Roman" w:hAnsi="Times New Roman"/>
              </w:rPr>
              <w:t>.</w:t>
            </w:r>
          </w:p>
        </w:tc>
        <w:tc>
          <w:tcPr>
            <w:tcW w:w="227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Местообитание </w:t>
            </w:r>
            <w:r w:rsidRPr="00A8783E">
              <w:rPr>
                <w:rFonts w:ascii="Times New Roman" w:hAnsi="Times New Roman"/>
                <w:lang w:val="en-US"/>
              </w:rPr>
              <w:t>N</w:t>
            </w:r>
            <w:r w:rsidRPr="00A8783E">
              <w:rPr>
                <w:rFonts w:ascii="Times New Roman" w:hAnsi="Times New Roman"/>
              </w:rPr>
              <w:t xml:space="preserve">06 няма как да се поддържа, може само да се мониторира. </w:t>
            </w:r>
          </w:p>
        </w:tc>
      </w:tr>
      <w:tr w:rsidR="00A8783E" w:rsidRPr="00A8783E" w:rsidTr="005B5318">
        <w:trPr>
          <w:trHeight w:val="748"/>
          <w:jc w:val="center"/>
        </w:trPr>
        <w:tc>
          <w:tcPr>
            <w:tcW w:w="177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Местообитание</w:t>
            </w:r>
            <w:r w:rsidRPr="00A8783E">
              <w:rPr>
                <w:rFonts w:ascii="Times New Roman" w:hAnsi="Times New Roman"/>
              </w:rPr>
              <w:t xml:space="preserve"> </w:t>
            </w:r>
            <w:r w:rsidRPr="00A8783E">
              <w:rPr>
                <w:rFonts w:ascii="Times New Roman" w:hAnsi="Times New Roman"/>
                <w:b/>
                <w:bCs/>
              </w:rPr>
              <w:t>на вида</w:t>
            </w:r>
            <w:r w:rsidRPr="00A8783E">
              <w:rPr>
                <w:rFonts w:ascii="Times New Roman" w:hAnsi="Times New Roman"/>
              </w:rPr>
              <w:t xml:space="preserve">: Екологично състояние на водните тела с </w:t>
            </w:r>
            <w:r w:rsidRPr="00A8783E">
              <w:rPr>
                <w:rFonts w:ascii="Times New Roman" w:hAnsi="Times New Roman"/>
              </w:rPr>
              <w:lastRenderedPageBreak/>
              <w:t>хранителни местообитания на вида, по биологични елементи за качество (БЕК  Риби</w:t>
            </w:r>
            <w:r w:rsidRPr="00A8783E">
              <w:rPr>
                <w:rFonts w:ascii="Times New Roman" w:hAnsi="Times New Roman"/>
                <w:lang w:val="ru-RU"/>
              </w:rPr>
              <w:t>)</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5 степенна скала за екологично състояние, </w:t>
            </w:r>
            <w:r w:rsidRPr="00A8783E">
              <w:rPr>
                <w:rFonts w:ascii="Times New Roman" w:hAnsi="Times New Roman"/>
              </w:rPr>
              <w:lastRenderedPageBreak/>
              <w:t xml:space="preserve">съгласно РДВ </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По-висока или равна на 2 – </w:t>
            </w:r>
            <w:r w:rsidRPr="00A8783E">
              <w:rPr>
                <w:rFonts w:ascii="Times New Roman" w:hAnsi="Times New Roman"/>
              </w:rPr>
              <w:lastRenderedPageBreak/>
              <w:t>Добро състояние</w:t>
            </w:r>
          </w:p>
        </w:tc>
        <w:tc>
          <w:tcPr>
            <w:tcW w:w="2763" w:type="dxa"/>
          </w:tcPr>
          <w:tbl>
            <w:tblPr>
              <w:tblW w:w="3234" w:type="dxa"/>
              <w:jc w:val="center"/>
              <w:tblLayout w:type="fixed"/>
              <w:tblCellMar>
                <w:left w:w="70" w:type="dxa"/>
                <w:right w:w="70" w:type="dxa"/>
              </w:tblCellMar>
              <w:tblLook w:val="00A0" w:firstRow="1" w:lastRow="0" w:firstColumn="1" w:lastColumn="0" w:noHBand="0" w:noVBand="0"/>
            </w:tblPr>
            <w:tblGrid>
              <w:gridCol w:w="3234"/>
            </w:tblGrid>
            <w:tr w:rsidR="00A8783E" w:rsidRPr="00A8783E" w:rsidTr="005B5318">
              <w:trPr>
                <w:trHeight w:val="286"/>
                <w:jc w:val="center"/>
              </w:trPr>
              <w:tc>
                <w:tcPr>
                  <w:tcW w:w="3234"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279"/>
                    <w:jc w:val="both"/>
                    <w:rPr>
                      <w:rFonts w:ascii="Times New Roman" w:hAnsi="Times New Roman"/>
                      <w:b/>
                      <w:bCs/>
                    </w:rPr>
                  </w:pPr>
                  <w:r w:rsidRPr="00A8783E">
                    <w:rPr>
                      <w:rFonts w:ascii="Times New Roman" w:hAnsi="Times New Roman"/>
                      <w:b/>
                      <w:bCs/>
                    </w:rPr>
                    <w:lastRenderedPageBreak/>
                    <w:t>Екологично състояние</w:t>
                  </w:r>
                </w:p>
              </w:tc>
            </w:tr>
            <w:tr w:rsidR="00A8783E" w:rsidRPr="00A8783E" w:rsidTr="005B5318">
              <w:trPr>
                <w:trHeight w:val="286"/>
                <w:jc w:val="center"/>
              </w:trPr>
              <w:tc>
                <w:tcPr>
                  <w:tcW w:w="3234"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279"/>
                    <w:jc w:val="both"/>
                    <w:rPr>
                      <w:rFonts w:ascii="Times New Roman" w:hAnsi="Times New Roman"/>
                    </w:rPr>
                  </w:pPr>
                  <w:r w:rsidRPr="00A8783E">
                    <w:rPr>
                      <w:rFonts w:ascii="Times New Roman" w:hAnsi="Times New Roman"/>
                    </w:rPr>
                    <w:t>1-Отлично</w:t>
                  </w:r>
                </w:p>
              </w:tc>
            </w:tr>
            <w:tr w:rsidR="00A8783E" w:rsidRPr="00A8783E" w:rsidTr="005B5318">
              <w:trPr>
                <w:trHeight w:val="286"/>
                <w:jc w:val="center"/>
              </w:trPr>
              <w:tc>
                <w:tcPr>
                  <w:tcW w:w="323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279"/>
                    <w:jc w:val="both"/>
                    <w:rPr>
                      <w:rFonts w:ascii="Times New Roman" w:hAnsi="Times New Roman"/>
                    </w:rPr>
                  </w:pPr>
                  <w:r w:rsidRPr="00A8783E">
                    <w:rPr>
                      <w:rFonts w:ascii="Times New Roman" w:hAnsi="Times New Roman"/>
                    </w:rPr>
                    <w:t>2-Добро</w:t>
                  </w:r>
                </w:p>
              </w:tc>
            </w:tr>
            <w:tr w:rsidR="00A8783E" w:rsidRPr="00A8783E" w:rsidTr="005B5318">
              <w:trPr>
                <w:trHeight w:val="286"/>
                <w:jc w:val="center"/>
              </w:trPr>
              <w:tc>
                <w:tcPr>
                  <w:tcW w:w="323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279"/>
                    <w:jc w:val="both"/>
                    <w:rPr>
                      <w:rFonts w:ascii="Times New Roman" w:hAnsi="Times New Roman"/>
                    </w:rPr>
                  </w:pPr>
                  <w:r w:rsidRPr="00A8783E">
                    <w:rPr>
                      <w:rFonts w:ascii="Times New Roman" w:hAnsi="Times New Roman"/>
                    </w:rPr>
                    <w:t>3-Умерено</w:t>
                  </w:r>
                </w:p>
              </w:tc>
            </w:tr>
            <w:tr w:rsidR="00A8783E" w:rsidRPr="00A8783E" w:rsidTr="005B5318">
              <w:trPr>
                <w:trHeight w:val="286"/>
                <w:jc w:val="center"/>
              </w:trPr>
              <w:tc>
                <w:tcPr>
                  <w:tcW w:w="3234"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279"/>
                    <w:jc w:val="both"/>
                    <w:rPr>
                      <w:rFonts w:ascii="Times New Roman" w:hAnsi="Times New Roman"/>
                    </w:rPr>
                  </w:pPr>
                  <w:r w:rsidRPr="00A8783E">
                    <w:rPr>
                      <w:rFonts w:ascii="Times New Roman" w:hAnsi="Times New Roman"/>
                    </w:rPr>
                    <w:lastRenderedPageBreak/>
                    <w:t>4-Лошо</w:t>
                  </w:r>
                </w:p>
              </w:tc>
            </w:tr>
            <w:tr w:rsidR="00A8783E" w:rsidRPr="00A8783E" w:rsidTr="005B5318">
              <w:trPr>
                <w:trHeight w:val="286"/>
                <w:jc w:val="center"/>
              </w:trPr>
              <w:tc>
                <w:tcPr>
                  <w:tcW w:w="3234"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5-Много лошо</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на р. Дунав по показател Риби в пункт Силистра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rPr>
              <w:t>3</w:t>
            </w:r>
            <w:r w:rsidRPr="00A8783E">
              <w:rPr>
                <w:rFonts w:ascii="Times New Roman" w:hAnsi="Times New Roman"/>
              </w:rPr>
              <w:t xml:space="preserve">), по показател Макрозообентос при пункт Силистра е оценено също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lang w:val="ru-RU"/>
              </w:rPr>
              <w:t>(</w:t>
            </w:r>
            <w:r w:rsidRPr="00A8783E">
              <w:rPr>
                <w:rFonts w:ascii="Times New Roman" w:hAnsi="Times New Roman"/>
                <w:b/>
                <w:bCs/>
              </w:rPr>
              <w:t>3</w:t>
            </w:r>
            <w:r w:rsidRPr="00A8783E">
              <w:rPr>
                <w:rFonts w:ascii="Times New Roman" w:hAnsi="Times New Roman"/>
                <w:lang w:val="ru-RU"/>
              </w:rPr>
              <w:t>)</w:t>
            </w:r>
            <w:r w:rsidRPr="00A8783E">
              <w:rPr>
                <w:rFonts w:ascii="Times New Roman" w:hAnsi="Times New Roman"/>
              </w:rPr>
              <w:t xml:space="preserve"> според доклада на </w:t>
            </w:r>
            <w:r w:rsidRPr="00A8783E">
              <w:rPr>
                <w:rFonts w:ascii="Times New Roman" w:hAnsi="Times New Roman"/>
                <w:lang w:val="en-GB"/>
              </w:rPr>
              <w:t>JDS</w:t>
            </w:r>
            <w:r w:rsidRPr="00A8783E">
              <w:rPr>
                <w:rFonts w:ascii="Times New Roman" w:hAnsi="Times New Roman"/>
                <w:lang w:val="ru-RU"/>
              </w:rPr>
              <w:t>4 (2019-2020).</w:t>
            </w:r>
            <w:r w:rsidRPr="00A8783E">
              <w:rPr>
                <w:rFonts w:ascii="Times New Roman" w:hAnsi="Times New Roman"/>
              </w:rPr>
              <w:t xml:space="preserve"> Екологичното състояние на водите на ез. Сребърна по показател Риби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lang w:val="ru-RU"/>
              </w:rPr>
              <w:t>(</w:t>
            </w:r>
            <w:r w:rsidRPr="00A8783E">
              <w:rPr>
                <w:rFonts w:ascii="Times New Roman" w:hAnsi="Times New Roman"/>
                <w:b/>
                <w:bCs/>
              </w:rPr>
              <w:t>3</w:t>
            </w:r>
            <w:r w:rsidRPr="00A8783E">
              <w:rPr>
                <w:rFonts w:ascii="Times New Roman" w:hAnsi="Times New Roman"/>
                <w:lang w:val="ru-RU"/>
              </w:rPr>
              <w:t>)</w:t>
            </w:r>
            <w:r w:rsidRPr="00A8783E">
              <w:rPr>
                <w:rFonts w:ascii="Times New Roman" w:hAnsi="Times New Roman"/>
              </w:rPr>
              <w:t xml:space="preserve"> според Протокол за пробонабиране на риби в езера </w:t>
            </w:r>
            <w:r w:rsidRPr="00A8783E">
              <w:rPr>
                <w:rFonts w:ascii="Times New Roman" w:hAnsi="Times New Roman"/>
                <w:lang w:val="ru-RU"/>
              </w:rPr>
              <w:t>(</w:t>
            </w:r>
            <w:r w:rsidRPr="00A8783E">
              <w:rPr>
                <w:rFonts w:ascii="Times New Roman" w:hAnsi="Times New Roman"/>
              </w:rPr>
              <w:t>2020</w:t>
            </w:r>
            <w:r w:rsidRPr="00A8783E">
              <w:rPr>
                <w:rFonts w:ascii="Times New Roman" w:hAnsi="Times New Roman"/>
                <w:lang w:val="ru-RU"/>
              </w:rPr>
              <w:t>).</w:t>
            </w:r>
          </w:p>
        </w:tc>
        <w:tc>
          <w:tcPr>
            <w:tcW w:w="227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Подобряване на екологичното състояние на водните тела с подходящи хранителни </w:t>
            </w:r>
            <w:r w:rsidRPr="00A8783E">
              <w:rPr>
                <w:rFonts w:ascii="Times New Roman" w:hAnsi="Times New Roman"/>
              </w:rPr>
              <w:lastRenderedPageBreak/>
              <w:t>местообитания на вида, до постигане на стойност по-висока или равна на 2 – Добро състояние.</w:t>
            </w:r>
          </w:p>
        </w:tc>
      </w:tr>
    </w:tbl>
    <w:p w:rsidR="00A8783E" w:rsidRPr="00A8783E" w:rsidRDefault="00A8783E" w:rsidP="00A8783E">
      <w:pPr>
        <w:spacing w:after="160" w:line="259" w:lineRule="auto"/>
        <w:rPr>
          <w:rFonts w:ascii="Times New Roman" w:hAnsi="Times New Roman"/>
          <w:sz w:val="24"/>
          <w:szCs w:val="24"/>
          <w:lang w:val="ru-RU"/>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val="ru-RU"/>
        </w:rPr>
      </w:pPr>
      <w:bookmarkStart w:id="402" w:name="_Toc86409805"/>
      <w:bookmarkStart w:id="403" w:name="_Toc87467266"/>
      <w:bookmarkStart w:id="404" w:name="_Toc87692183"/>
      <w:bookmarkStart w:id="405" w:name="_Toc88865726"/>
      <w:bookmarkStart w:id="406" w:name="_Toc89106133"/>
      <w:bookmarkStart w:id="407" w:name="_Toc98741972"/>
      <w:bookmarkStart w:id="408" w:name="_Toc98838647"/>
      <w:r w:rsidRPr="00A8783E">
        <w:rPr>
          <w:rFonts w:ascii="Times New Roman" w:hAnsi="Times New Roman"/>
          <w:color w:val="1F497D"/>
          <w:sz w:val="28"/>
          <w:szCs w:val="28"/>
        </w:rPr>
        <w:t>Специфични цели за А190</w:t>
      </w:r>
      <w:r w:rsidRPr="00A8783E">
        <w:rPr>
          <w:rFonts w:ascii="Times New Roman" w:hAnsi="Times New Roman"/>
          <w:color w:val="1F497D"/>
          <w:sz w:val="28"/>
          <w:szCs w:val="28"/>
          <w:lang w:val="ru-RU"/>
        </w:rPr>
        <w:t>/</w:t>
      </w:r>
      <w:r w:rsidRPr="00A8783E">
        <w:rPr>
          <w:rFonts w:ascii="Times New Roman" w:hAnsi="Times New Roman"/>
          <w:color w:val="1F497D"/>
          <w:sz w:val="28"/>
          <w:szCs w:val="28"/>
          <w:lang w:val="en-US"/>
        </w:rPr>
        <w:t>A</w:t>
      </w:r>
      <w:r w:rsidRPr="00A8783E">
        <w:rPr>
          <w:rFonts w:ascii="Times New Roman" w:hAnsi="Times New Roman"/>
          <w:color w:val="1F497D"/>
          <w:sz w:val="28"/>
          <w:szCs w:val="28"/>
          <w:lang w:val="ru-RU"/>
        </w:rPr>
        <w:t>894</w:t>
      </w:r>
      <w:r w:rsidRPr="00A8783E">
        <w:rPr>
          <w:rFonts w:ascii="Times New Roman" w:hAnsi="Times New Roman"/>
          <w:color w:val="1F497D"/>
          <w:sz w:val="28"/>
          <w:szCs w:val="28"/>
        </w:rPr>
        <w:t xml:space="preserve"> </w:t>
      </w:r>
      <w:r w:rsidRPr="00A8783E">
        <w:rPr>
          <w:rFonts w:ascii="Times New Roman" w:hAnsi="Times New Roman"/>
          <w:i/>
          <w:iCs/>
          <w:color w:val="1F497D"/>
          <w:sz w:val="28"/>
          <w:szCs w:val="28"/>
        </w:rPr>
        <w:t>Sterna caspia</w:t>
      </w:r>
      <w:r w:rsidRPr="00A8783E">
        <w:rPr>
          <w:rFonts w:ascii="Times New Roman" w:hAnsi="Times New Roman"/>
          <w:i/>
          <w:iCs/>
          <w:color w:val="1F497D"/>
          <w:sz w:val="28"/>
          <w:szCs w:val="28"/>
          <w:lang w:val="ru-RU"/>
        </w:rPr>
        <w:t>/</w:t>
      </w:r>
      <w:r w:rsidRPr="00A8783E">
        <w:rPr>
          <w:rFonts w:cs="Calibri"/>
        </w:rPr>
        <w:t xml:space="preserve"> </w:t>
      </w:r>
      <w:r w:rsidRPr="00A8783E">
        <w:rPr>
          <w:rFonts w:ascii="Times New Roman" w:hAnsi="Times New Roman"/>
          <w:i/>
          <w:iCs/>
          <w:color w:val="1F497D"/>
          <w:sz w:val="28"/>
          <w:szCs w:val="28"/>
          <w:lang w:val="ru-RU"/>
        </w:rPr>
        <w:t>Hydroprogne caspia</w:t>
      </w:r>
      <w:r w:rsidRPr="00A8783E">
        <w:rPr>
          <w:rFonts w:ascii="Times New Roman" w:hAnsi="Times New Roman"/>
          <w:color w:val="1F497D"/>
          <w:sz w:val="28"/>
          <w:szCs w:val="28"/>
        </w:rPr>
        <w:t xml:space="preserve"> (каспийска рибарка</w:t>
      </w:r>
      <w:r w:rsidRPr="00A8783E">
        <w:rPr>
          <w:rFonts w:ascii="Times New Roman" w:hAnsi="Times New Roman"/>
          <w:color w:val="1F497D"/>
          <w:sz w:val="28"/>
          <w:szCs w:val="28"/>
          <w:lang w:val="ru-RU"/>
        </w:rPr>
        <w:t>)</w:t>
      </w:r>
      <w:bookmarkEnd w:id="402"/>
      <w:bookmarkEnd w:id="403"/>
      <w:bookmarkEnd w:id="404"/>
      <w:bookmarkEnd w:id="405"/>
      <w:bookmarkEnd w:id="406"/>
      <w:bookmarkEnd w:id="407"/>
      <w:bookmarkEnd w:id="408"/>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47-54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130-145 </w:t>
      </w:r>
      <w:r w:rsidRPr="00A8783E">
        <w:rPr>
          <w:rFonts w:ascii="Times New Roman" w:hAnsi="Times New Roman"/>
          <w:sz w:val="24"/>
          <w:szCs w:val="24"/>
          <w:lang w:val="en-US"/>
        </w:rPr>
        <w:t>cm</w:t>
      </w:r>
      <w:r w:rsidRPr="00A8783E">
        <w:rPr>
          <w:rFonts w:ascii="Times New Roman" w:hAnsi="Times New Roman"/>
          <w:sz w:val="24"/>
          <w:szCs w:val="24"/>
        </w:rPr>
        <w:t>. Има възрастов диморфизъм и малки сезонни различия. Възрастните през лятото отгоре са сиви, а отдолу - бели; горната част на главата е черна; клюнът е масивен, червен с черен връх. През зимата главата отгоре е изпъстрена с бели перца. Младите наподобяват възрастните в есенно-зимно оперение. От другите видове рибарки на Балканския полуостров се отличава по значително по-едрото тяло и масивния клюн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Преминаващ и скитащ вид. Гнезди в самостоятелни и смесени колонии с белочела рибарка. Есенната миграция протича от началото на август до ноември. Сроковете на пролетната миграция не са уточнени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Среща се в разнообразни влажни зони както по Черноморското крайбрежие, така и във вътрешността на страната; от морското ниво до около 800 </w:t>
      </w:r>
      <w:r w:rsidRPr="00A8783E">
        <w:rPr>
          <w:rFonts w:ascii="Times New Roman" w:hAnsi="Times New Roman"/>
          <w:sz w:val="24"/>
          <w:szCs w:val="24"/>
          <w:lang w:val="en-US"/>
        </w:rPr>
        <w:t>m</w:t>
      </w:r>
      <w:r w:rsidRPr="00A8783E">
        <w:rPr>
          <w:rFonts w:ascii="Times New Roman" w:hAnsi="Times New Roman"/>
          <w:sz w:val="24"/>
          <w:szCs w:val="24"/>
        </w:rPr>
        <w:t xml:space="preserve"> надморска височина. Подходящи местообитания вероятно са 1150, 3270 и 3130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Храни се с дребни риби, водни безгръбначни и насекоми.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Наблюденията на вида в различни части на страната във всички случаи се отнасят за предимно есенни мигранти и скитащи полово незрели индивиди през размножителния период. По време на миграция се среща по разнообразни влажни зони в равнинните части на страната (Нанкинов и др., 1997).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Защитен вид по ЗБР (Приложения 2 и 3). Включен в Приложение 1 на Директивата за птиците. Според IUCN – LC (Least Concern), за територията на континентална Европа – LC (Least Concern). Не е включен в Червената книга.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2013-2018 г.), </w:t>
      </w:r>
      <w:r w:rsidRPr="00A8783E">
        <w:rPr>
          <w:rFonts w:ascii="Times New Roman" w:hAnsi="Times New Roman"/>
          <w:b/>
          <w:bCs/>
          <w:sz w:val="24"/>
          <w:szCs w:val="24"/>
        </w:rPr>
        <w:t>мигриращата</w:t>
      </w:r>
      <w:r w:rsidRPr="00A8783E">
        <w:rPr>
          <w:rFonts w:ascii="Times New Roman" w:hAnsi="Times New Roman"/>
          <w:sz w:val="24"/>
          <w:szCs w:val="24"/>
        </w:rPr>
        <w:t xml:space="preserve"> национална популация се оценява на  20-80 индивида. Не са посочени краткосрочни и дългосрочни тенденции в числеността на преминаващите индивиди. Посочени са следните заплахи и влияния: K04; J02.</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Според СФ </w:t>
      </w:r>
      <w:r w:rsidRPr="00A8783E">
        <w:rPr>
          <w:rFonts w:ascii="Times New Roman" w:hAnsi="Times New Roman"/>
          <w:b/>
          <w:bCs/>
          <w:color w:val="000000"/>
          <w:sz w:val="24"/>
          <w:szCs w:val="24"/>
        </w:rPr>
        <w:t>мигриращата</w:t>
      </w:r>
      <w:r w:rsidRPr="00A8783E">
        <w:rPr>
          <w:rFonts w:ascii="Times New Roman" w:hAnsi="Times New Roman"/>
          <w:color w:val="000000"/>
          <w:sz w:val="24"/>
          <w:szCs w:val="24"/>
        </w:rPr>
        <w:t xml:space="preserve"> популация на вида се оценява на </w:t>
      </w:r>
      <w:r w:rsidRPr="00A8783E">
        <w:rPr>
          <w:rFonts w:ascii="Times New Roman" w:hAnsi="Times New Roman"/>
          <w:b/>
          <w:bCs/>
          <w:color w:val="000000"/>
          <w:sz w:val="24"/>
          <w:szCs w:val="24"/>
          <w:lang w:val="ru-RU"/>
        </w:rPr>
        <w:t>3</w:t>
      </w:r>
      <w:r w:rsidRPr="00A8783E">
        <w:rPr>
          <w:rFonts w:ascii="Times New Roman" w:hAnsi="Times New Roman"/>
          <w:b/>
          <w:bCs/>
          <w:color w:val="000000"/>
          <w:sz w:val="24"/>
          <w:szCs w:val="24"/>
        </w:rPr>
        <w:t xml:space="preserve"> индивида</w:t>
      </w:r>
      <w:r w:rsidRPr="00A8783E">
        <w:rPr>
          <w:rFonts w:ascii="Times New Roman" w:hAnsi="Times New Roman"/>
          <w:color w:val="000000"/>
          <w:sz w:val="24"/>
          <w:szCs w:val="24"/>
        </w:rPr>
        <w:t xml:space="preserve">, което е </w:t>
      </w:r>
      <w:r w:rsidRPr="00A8783E">
        <w:rPr>
          <w:rFonts w:ascii="Times New Roman" w:hAnsi="Times New Roman"/>
          <w:color w:val="000000"/>
          <w:sz w:val="24"/>
          <w:szCs w:val="24"/>
          <w:lang w:val="ru-RU"/>
        </w:rPr>
        <w:t>3.7-15</w:t>
      </w:r>
      <w:r w:rsidRPr="00A8783E">
        <w:rPr>
          <w:rFonts w:ascii="Times New Roman" w:hAnsi="Times New Roman"/>
          <w:color w:val="000000"/>
          <w:sz w:val="24"/>
          <w:szCs w:val="24"/>
        </w:rPr>
        <w:t xml:space="preserve"> % от националната мигрираща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color w:val="000000"/>
          <w:sz w:val="24"/>
          <w:szCs w:val="24"/>
          <w:lang w:val="ru-RU"/>
        </w:rPr>
      </w:pPr>
      <w:r w:rsidRPr="00A8783E">
        <w:rPr>
          <w:rFonts w:ascii="Times New Roman" w:hAnsi="Times New Roman"/>
          <w:color w:val="000000"/>
          <w:sz w:val="24"/>
          <w:szCs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В Дунавската равнина каспийската рибарка не е отчетена по време на миграция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Шурулинков и др., 2005</w:t>
      </w:r>
      <w:r w:rsidRPr="00A8783E">
        <w:rPr>
          <w:rFonts w:ascii="Times New Roman" w:hAnsi="Times New Roman"/>
          <w:color w:val="000000"/>
          <w:sz w:val="24"/>
          <w:szCs w:val="24"/>
          <w:lang w:val="ru-RU"/>
        </w:rPr>
        <w:t>)</w:t>
      </w:r>
      <w:r w:rsidRPr="00A8783E">
        <w:rPr>
          <w:rFonts w:ascii="Times New Roman" w:hAnsi="Times New Roman"/>
          <w:color w:val="000000"/>
          <w:sz w:val="24"/>
          <w:szCs w:val="24"/>
        </w:rPr>
        <w:t>.</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В Бургаските влажни зони видът е рядък мигрант с максимална численост 10-23 инд. </w:t>
      </w:r>
      <w:r w:rsidRPr="00A8783E">
        <w:rPr>
          <w:rFonts w:ascii="Times New Roman" w:hAnsi="Times New Roman"/>
          <w:color w:val="000000"/>
          <w:sz w:val="24"/>
          <w:szCs w:val="24"/>
          <w:lang w:val="ru-RU"/>
        </w:rPr>
        <w:t>(</w:t>
      </w:r>
      <w:r w:rsidRPr="00A8783E">
        <w:rPr>
          <w:rFonts w:ascii="Times New Roman" w:hAnsi="Times New Roman"/>
          <w:color w:val="000000"/>
          <w:sz w:val="24"/>
          <w:szCs w:val="24"/>
          <w:lang w:val="en-US"/>
        </w:rPr>
        <w:t>Dimitrov</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US"/>
        </w:rPr>
        <w:t>et</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US"/>
        </w:rPr>
        <w:t>al</w:t>
      </w:r>
      <w:r w:rsidRPr="00A8783E">
        <w:rPr>
          <w:rFonts w:ascii="Times New Roman" w:hAnsi="Times New Roman"/>
          <w:color w:val="000000"/>
          <w:sz w:val="24"/>
          <w:szCs w:val="24"/>
          <w:lang w:val="ru-RU"/>
        </w:rPr>
        <w:t>., 2005).</w:t>
      </w:r>
      <w:r w:rsidRPr="00A8783E">
        <w:rPr>
          <w:rFonts w:ascii="Times New Roman" w:hAnsi="Times New Roman"/>
          <w:color w:val="000000"/>
          <w:sz w:val="24"/>
          <w:szCs w:val="24"/>
        </w:rPr>
        <w:t xml:space="preserve"> В ЗЗ Сребърна каспийската рибарка е рядък преминаващ и зимуващ вид.</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Данните от </w:t>
      </w:r>
      <w:r w:rsidRPr="00A8783E">
        <w:rPr>
          <w:rFonts w:ascii="Times New Roman" w:hAnsi="Times New Roman"/>
          <w:color w:val="000000"/>
          <w:sz w:val="24"/>
          <w:szCs w:val="24"/>
          <w:lang w:val="en-US"/>
        </w:rPr>
        <w:t>eBird</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показват, че вида е бил наблюдаван на 09.09.2019 г. в зоната с численост 1 инд.</w:t>
      </w:r>
    </w:p>
    <w:p w:rsidR="00A8783E" w:rsidRPr="00A8783E" w:rsidRDefault="00A8783E" w:rsidP="00A8783E">
      <w:pPr>
        <w:spacing w:before="120" w:after="120" w:line="240" w:lineRule="auto"/>
        <w:jc w:val="both"/>
        <w:rPr>
          <w:rFonts w:ascii="Times New Roman" w:hAnsi="Times New Roman"/>
          <w:color w:val="000000"/>
          <w:sz w:val="24"/>
          <w:szCs w:val="24"/>
          <w:lang w:val="ru-RU"/>
        </w:rPr>
      </w:pPr>
      <w:r w:rsidRPr="00A8783E">
        <w:rPr>
          <w:rFonts w:ascii="Times New Roman" w:hAnsi="Times New Roman"/>
          <w:color w:val="000000"/>
          <w:sz w:val="24"/>
          <w:szCs w:val="24"/>
        </w:rPr>
        <w:t xml:space="preserve">Посочените заплахи за мигриращата популация - </w:t>
      </w:r>
      <w:r w:rsidRPr="00A8783E">
        <w:rPr>
          <w:rFonts w:ascii="Times New Roman" w:hAnsi="Times New Roman"/>
          <w:color w:val="000000"/>
          <w:sz w:val="24"/>
          <w:szCs w:val="24"/>
          <w:lang w:val="en-US"/>
        </w:rPr>
        <w:t>K</w:t>
      </w:r>
      <w:r w:rsidRPr="00A8783E">
        <w:rPr>
          <w:rFonts w:ascii="Times New Roman" w:hAnsi="Times New Roman"/>
          <w:color w:val="000000"/>
          <w:sz w:val="24"/>
          <w:szCs w:val="24"/>
          <w:lang w:val="ru-RU"/>
        </w:rPr>
        <w:t xml:space="preserve">04 </w:t>
      </w:r>
      <w:r w:rsidRPr="00A8783E">
        <w:rPr>
          <w:rFonts w:ascii="Times New Roman" w:hAnsi="Times New Roman"/>
          <w:color w:val="000000"/>
          <w:sz w:val="24"/>
          <w:szCs w:val="24"/>
        </w:rPr>
        <w:t xml:space="preserve">и </w:t>
      </w:r>
      <w:r w:rsidRPr="00A8783E">
        <w:rPr>
          <w:rFonts w:ascii="Times New Roman" w:hAnsi="Times New Roman"/>
          <w:color w:val="000000"/>
          <w:sz w:val="24"/>
          <w:szCs w:val="24"/>
          <w:lang w:val="en-US"/>
        </w:rPr>
        <w:t>J</w:t>
      </w:r>
      <w:r w:rsidRPr="00A8783E">
        <w:rPr>
          <w:rFonts w:ascii="Times New Roman" w:hAnsi="Times New Roman"/>
          <w:color w:val="000000"/>
          <w:sz w:val="24"/>
          <w:szCs w:val="24"/>
          <w:lang w:val="ru-RU"/>
        </w:rPr>
        <w:t>02</w:t>
      </w:r>
      <w:r w:rsidRPr="00A8783E">
        <w:rPr>
          <w:rFonts w:ascii="Times New Roman" w:hAnsi="Times New Roman"/>
          <w:color w:val="000000"/>
          <w:sz w:val="24"/>
          <w:szCs w:val="24"/>
        </w:rPr>
        <w:t xml:space="preserve"> в докладването по чл. 12 нямат отношение към зоната и вида. Смятаме, че по време на зимуване в зоната видът не е подложен на заплахи и влияния.</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134"/>
        <w:gridCol w:w="1276"/>
        <w:gridCol w:w="3123"/>
        <w:gridCol w:w="2273"/>
      </w:tblGrid>
      <w:tr w:rsidR="00A8783E" w:rsidRPr="00A8783E" w:rsidTr="005B5318">
        <w:trPr>
          <w:tblHeader/>
          <w:jc w:val="center"/>
        </w:trPr>
        <w:tc>
          <w:tcPr>
            <w:tcW w:w="169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3123"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273"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69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Популация</w:t>
            </w:r>
            <w:r w:rsidRPr="00A8783E">
              <w:rPr>
                <w:rFonts w:ascii="Times New Roman" w:hAnsi="Times New Roman"/>
              </w:rPr>
              <w:t>: Размер мигриращата популация</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0-3 инд.</w:t>
            </w:r>
          </w:p>
        </w:tc>
        <w:tc>
          <w:tcPr>
            <w:tcW w:w="312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на база СФ. Тези данни се нуждаят от потвърждение/актуализация в резултата на адекватен мониторинг в периода октомври – март месец.</w:t>
            </w:r>
          </w:p>
        </w:tc>
        <w:tc>
          <w:tcPr>
            <w:tcW w:w="227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до 2025 г.: провеждане на проучване за установяване на текущата миграционна численост на вида в зоната като се следват одобрените от ИАОС методики.</w:t>
            </w:r>
          </w:p>
        </w:tc>
      </w:tr>
      <w:tr w:rsidR="00A8783E" w:rsidRPr="00A8783E" w:rsidTr="005B5318">
        <w:trPr>
          <w:trHeight w:val="606"/>
          <w:jc w:val="center"/>
        </w:trPr>
        <w:tc>
          <w:tcPr>
            <w:tcW w:w="169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Местообитание на вида</w:t>
            </w:r>
            <w:r w:rsidRPr="00A8783E">
              <w:rPr>
                <w:rFonts w:ascii="Times New Roman" w:hAnsi="Times New Roman"/>
              </w:rPr>
              <w:t xml:space="preserve">: Площ на подходящите хранителни местообитания </w:t>
            </w:r>
            <w:r w:rsidRPr="00A8783E">
              <w:rPr>
                <w:rFonts w:ascii="Times New Roman" w:hAnsi="Times New Roman"/>
              </w:rPr>
              <w:lastRenderedPageBreak/>
              <w:t xml:space="preserve">на вида </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lastRenderedPageBreak/>
              <w:t>ha</w:t>
            </w:r>
          </w:p>
          <w:p w:rsidR="00A8783E" w:rsidRPr="00A8783E" w:rsidRDefault="00A8783E" w:rsidP="00A8783E">
            <w:pPr>
              <w:spacing w:after="0" w:line="240" w:lineRule="auto"/>
              <w:jc w:val="both"/>
              <w:rPr>
                <w:rFonts w:ascii="Times New Roman" w:hAnsi="Times New Roman"/>
              </w:rPr>
            </w:pP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275</w:t>
            </w:r>
          </w:p>
        </w:tc>
        <w:tc>
          <w:tcPr>
            <w:tcW w:w="312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Изчислена на база % участие на местообитания </w:t>
            </w:r>
            <w:r w:rsidRPr="00A8783E">
              <w:rPr>
                <w:rFonts w:ascii="Times New Roman" w:hAnsi="Times New Roman"/>
                <w:lang w:val="en-US"/>
              </w:rPr>
              <w:t>N</w:t>
            </w:r>
            <w:r w:rsidRPr="00A8783E">
              <w:rPr>
                <w:rFonts w:ascii="Times New Roman" w:hAnsi="Times New Roman"/>
                <w:lang w:val="ru-RU"/>
              </w:rPr>
              <w:t>06-</w:t>
            </w:r>
            <w:r w:rsidRPr="00A8783E">
              <w:rPr>
                <w:rFonts w:ascii="Times New Roman" w:hAnsi="Times New Roman"/>
              </w:rPr>
              <w:t>вътрешни водни тела</w:t>
            </w:r>
            <w:r w:rsidRPr="00A8783E">
              <w:rPr>
                <w:rFonts w:ascii="Times New Roman" w:hAnsi="Times New Roman"/>
                <w:lang w:val="ru-RU"/>
              </w:rPr>
              <w:t xml:space="preserve"> </w:t>
            </w:r>
            <w:r w:rsidRPr="00A8783E">
              <w:rPr>
                <w:rFonts w:ascii="Times New Roman" w:hAnsi="Times New Roman"/>
              </w:rPr>
              <w:t xml:space="preserve">– 275 </w:t>
            </w:r>
            <w:r w:rsidRPr="00A8783E">
              <w:rPr>
                <w:rFonts w:ascii="Times New Roman" w:hAnsi="Times New Roman"/>
                <w:lang w:val="en-US"/>
              </w:rPr>
              <w:t>ha</w:t>
            </w:r>
            <w:r w:rsidRPr="00A8783E">
              <w:rPr>
                <w:rFonts w:ascii="Times New Roman" w:hAnsi="Times New Roman"/>
                <w:lang w:val="ru-RU"/>
              </w:rPr>
              <w:t xml:space="preserve"> </w:t>
            </w:r>
            <w:r w:rsidRPr="00A8783E">
              <w:rPr>
                <w:rFonts w:ascii="Times New Roman" w:hAnsi="Times New Roman"/>
              </w:rPr>
              <w:t>в СФ на зоната.</w:t>
            </w:r>
          </w:p>
        </w:tc>
        <w:tc>
          <w:tcPr>
            <w:tcW w:w="227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Местообитание </w:t>
            </w:r>
            <w:r w:rsidRPr="00A8783E">
              <w:rPr>
                <w:rFonts w:ascii="Times New Roman" w:hAnsi="Times New Roman"/>
                <w:lang w:val="en-US"/>
              </w:rPr>
              <w:t>N</w:t>
            </w:r>
            <w:r w:rsidRPr="00A8783E">
              <w:rPr>
                <w:rFonts w:ascii="Times New Roman" w:hAnsi="Times New Roman"/>
              </w:rPr>
              <w:t>06 няма как да се поддържа, може само да се мониторира.</w:t>
            </w:r>
          </w:p>
        </w:tc>
      </w:tr>
      <w:tr w:rsidR="00A8783E" w:rsidRPr="00A8783E" w:rsidTr="005B5318">
        <w:trPr>
          <w:trHeight w:val="748"/>
          <w:jc w:val="center"/>
        </w:trPr>
        <w:tc>
          <w:tcPr>
            <w:tcW w:w="169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Местообитание на вида: Екологично състояние на водните тела с хранителни местообитания на вида, по биологични елементи за качество (БЕК  Риби</w:t>
            </w:r>
            <w:r w:rsidRPr="00A8783E">
              <w:rPr>
                <w:rFonts w:ascii="Times New Roman" w:hAnsi="Times New Roman"/>
                <w:lang w:val="ru-RU"/>
              </w:rPr>
              <w:t>)</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5 степенна скала за екологично състояние, съгласно РДВ </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По-висока или равна на 2 – Добро състояние</w:t>
            </w:r>
          </w:p>
        </w:tc>
        <w:tc>
          <w:tcPr>
            <w:tcW w:w="3123" w:type="dxa"/>
          </w:tcPr>
          <w:tbl>
            <w:tblPr>
              <w:tblW w:w="3395" w:type="dxa"/>
              <w:jc w:val="center"/>
              <w:tblLayout w:type="fixed"/>
              <w:tblCellMar>
                <w:left w:w="70" w:type="dxa"/>
                <w:right w:w="70" w:type="dxa"/>
              </w:tblCellMar>
              <w:tblLook w:val="00A0" w:firstRow="1" w:lastRow="0" w:firstColumn="1" w:lastColumn="0" w:noHBand="0" w:noVBand="0"/>
            </w:tblPr>
            <w:tblGrid>
              <w:gridCol w:w="3395"/>
            </w:tblGrid>
            <w:tr w:rsidR="00A8783E" w:rsidRPr="00A8783E" w:rsidTr="005B5318">
              <w:trPr>
                <w:trHeight w:val="283"/>
                <w:jc w:val="center"/>
              </w:trPr>
              <w:tc>
                <w:tcPr>
                  <w:tcW w:w="3395"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292"/>
                    <w:jc w:val="both"/>
                    <w:rPr>
                      <w:rFonts w:ascii="Times New Roman" w:hAnsi="Times New Roman"/>
                    </w:rPr>
                  </w:pPr>
                  <w:r w:rsidRPr="00A8783E">
                    <w:rPr>
                      <w:rFonts w:ascii="Times New Roman" w:hAnsi="Times New Roman"/>
                    </w:rPr>
                    <w:t>Екологично състояние</w:t>
                  </w:r>
                </w:p>
              </w:tc>
            </w:tr>
            <w:tr w:rsidR="00A8783E" w:rsidRPr="00A8783E" w:rsidTr="005B5318">
              <w:trPr>
                <w:trHeight w:val="283"/>
                <w:jc w:val="center"/>
              </w:trPr>
              <w:tc>
                <w:tcPr>
                  <w:tcW w:w="3395"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292"/>
                    <w:jc w:val="both"/>
                    <w:rPr>
                      <w:rFonts w:ascii="Times New Roman" w:hAnsi="Times New Roman"/>
                    </w:rPr>
                  </w:pPr>
                  <w:r w:rsidRPr="00A8783E">
                    <w:rPr>
                      <w:rFonts w:ascii="Times New Roman" w:hAnsi="Times New Roman"/>
                    </w:rPr>
                    <w:t>1-Отлично</w:t>
                  </w:r>
                </w:p>
              </w:tc>
            </w:tr>
            <w:tr w:rsidR="00A8783E" w:rsidRPr="00A8783E" w:rsidTr="005B5318">
              <w:trPr>
                <w:trHeight w:val="283"/>
                <w:jc w:val="center"/>
              </w:trPr>
              <w:tc>
                <w:tcPr>
                  <w:tcW w:w="3395"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292"/>
                    <w:jc w:val="both"/>
                    <w:rPr>
                      <w:rFonts w:ascii="Times New Roman" w:hAnsi="Times New Roman"/>
                    </w:rPr>
                  </w:pPr>
                  <w:r w:rsidRPr="00A8783E">
                    <w:rPr>
                      <w:rFonts w:ascii="Times New Roman" w:hAnsi="Times New Roman"/>
                    </w:rPr>
                    <w:t>2-Добро</w:t>
                  </w:r>
                </w:p>
              </w:tc>
            </w:tr>
            <w:tr w:rsidR="00A8783E" w:rsidRPr="00A8783E" w:rsidTr="005B5318">
              <w:trPr>
                <w:trHeight w:val="283"/>
                <w:jc w:val="center"/>
              </w:trPr>
              <w:tc>
                <w:tcPr>
                  <w:tcW w:w="3395"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292"/>
                    <w:jc w:val="both"/>
                    <w:rPr>
                      <w:rFonts w:ascii="Times New Roman" w:hAnsi="Times New Roman"/>
                    </w:rPr>
                  </w:pPr>
                  <w:r w:rsidRPr="00A8783E">
                    <w:rPr>
                      <w:rFonts w:ascii="Times New Roman" w:hAnsi="Times New Roman"/>
                    </w:rPr>
                    <w:t>3-Умерено</w:t>
                  </w:r>
                </w:p>
              </w:tc>
            </w:tr>
            <w:tr w:rsidR="00A8783E" w:rsidRPr="00A8783E" w:rsidTr="005B5318">
              <w:trPr>
                <w:trHeight w:val="283"/>
                <w:jc w:val="center"/>
              </w:trPr>
              <w:tc>
                <w:tcPr>
                  <w:tcW w:w="3395"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292"/>
                    <w:jc w:val="both"/>
                    <w:rPr>
                      <w:rFonts w:ascii="Times New Roman" w:hAnsi="Times New Roman"/>
                    </w:rPr>
                  </w:pPr>
                  <w:r w:rsidRPr="00A8783E">
                    <w:rPr>
                      <w:rFonts w:ascii="Times New Roman" w:hAnsi="Times New Roman"/>
                    </w:rPr>
                    <w:t>4-Лошо</w:t>
                  </w:r>
                </w:p>
              </w:tc>
            </w:tr>
            <w:tr w:rsidR="00A8783E" w:rsidRPr="00A8783E" w:rsidTr="005B5318">
              <w:trPr>
                <w:trHeight w:val="283"/>
                <w:jc w:val="center"/>
              </w:trPr>
              <w:tc>
                <w:tcPr>
                  <w:tcW w:w="3395"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292"/>
                    <w:jc w:val="both"/>
                    <w:rPr>
                      <w:rFonts w:ascii="Times New Roman" w:hAnsi="Times New Roman"/>
                    </w:rPr>
                  </w:pPr>
                  <w:r w:rsidRPr="00A8783E">
                    <w:rPr>
                      <w:rFonts w:ascii="Times New Roman" w:hAnsi="Times New Roman"/>
                    </w:rPr>
                    <w:t>5-Много лошо</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на р. Дунав по показател Риби в пункт Силистра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rPr>
              <w:t>3</w:t>
            </w:r>
            <w:r w:rsidRPr="00A8783E">
              <w:rPr>
                <w:rFonts w:ascii="Times New Roman" w:hAnsi="Times New Roman"/>
              </w:rPr>
              <w:t xml:space="preserve">), по показател Макрозообентос при пункт Силистра е оценено също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lang w:val="ru-RU"/>
              </w:rPr>
              <w:t>(</w:t>
            </w:r>
            <w:r w:rsidRPr="00A8783E">
              <w:rPr>
                <w:rFonts w:ascii="Times New Roman" w:hAnsi="Times New Roman"/>
                <w:b/>
                <w:bCs/>
              </w:rPr>
              <w:t>3</w:t>
            </w:r>
            <w:r w:rsidRPr="00A8783E">
              <w:rPr>
                <w:rFonts w:ascii="Times New Roman" w:hAnsi="Times New Roman"/>
                <w:lang w:val="ru-RU"/>
              </w:rPr>
              <w:t>)</w:t>
            </w:r>
            <w:r w:rsidRPr="00A8783E">
              <w:rPr>
                <w:rFonts w:ascii="Times New Roman" w:hAnsi="Times New Roman"/>
              </w:rPr>
              <w:t xml:space="preserve"> според доклада на </w:t>
            </w:r>
            <w:r w:rsidRPr="00A8783E">
              <w:rPr>
                <w:rFonts w:ascii="Times New Roman" w:hAnsi="Times New Roman"/>
                <w:lang w:val="en-GB"/>
              </w:rPr>
              <w:t>JDS</w:t>
            </w:r>
            <w:r w:rsidRPr="00A8783E">
              <w:rPr>
                <w:rFonts w:ascii="Times New Roman" w:hAnsi="Times New Roman"/>
                <w:lang w:val="ru-RU"/>
              </w:rPr>
              <w:t>4 (2019-2020).</w:t>
            </w:r>
            <w:r w:rsidRPr="00A8783E">
              <w:rPr>
                <w:rFonts w:ascii="Times New Roman" w:hAnsi="Times New Roman"/>
              </w:rPr>
              <w:t xml:space="preserve"> Според данните от биологичния мониторинг на повърхностните води през 2020 г. ЕС на ез. Сребърна по БЕК Риби е определено на </w:t>
            </w:r>
            <w:r w:rsidRPr="00A8783E">
              <w:rPr>
                <w:rFonts w:ascii="Times New Roman" w:hAnsi="Times New Roman"/>
                <w:b/>
              </w:rPr>
              <w:t>Умерено</w:t>
            </w:r>
            <w:r w:rsidRPr="00A8783E">
              <w:rPr>
                <w:rFonts w:ascii="Times New Roman" w:hAnsi="Times New Roman"/>
              </w:rPr>
              <w:t xml:space="preserve">. </w:t>
            </w:r>
          </w:p>
        </w:tc>
        <w:tc>
          <w:tcPr>
            <w:tcW w:w="227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A8783E" w:rsidRPr="00A8783E" w:rsidRDefault="00A8783E" w:rsidP="00A8783E">
      <w:pPr>
        <w:spacing w:before="120" w:after="120" w:line="259" w:lineRule="auto"/>
        <w:jc w:val="both"/>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Относно зимуващата популация предлагаме промяна на минималната численост от 3 на 0 инд., тъй като видът е рядък мигрант за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0" w:type="auto"/>
            <w:gridSpan w:val="5"/>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Species</w:t>
            </w:r>
          </w:p>
        </w:tc>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G</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Code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Scientific Name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NP</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T</w:t>
            </w:r>
          </w:p>
        </w:tc>
        <w:tc>
          <w:tcPr>
            <w:tcW w:w="0" w:type="auto"/>
            <w:gridSpan w:val="2"/>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D.qual.</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Iso.</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Glo.</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В</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b/>
                <w:bCs/>
                <w:sz w:val="20"/>
                <w:szCs w:val="20"/>
              </w:rPr>
              <w:t>A</w:t>
            </w:r>
            <w:r w:rsidRPr="00A8783E">
              <w:rPr>
                <w:rFonts w:ascii="Times New Roman" w:hAnsi="Times New Roman"/>
                <w:b/>
                <w:bCs/>
                <w:sz w:val="20"/>
                <w:szCs w:val="20"/>
                <w:lang w:val="en-US"/>
              </w:rPr>
              <w:t>190</w:t>
            </w:r>
          </w:p>
        </w:tc>
        <w:tc>
          <w:tcPr>
            <w:tcW w:w="0" w:type="auto"/>
            <w:vAlign w:val="center"/>
          </w:tcPr>
          <w:p w:rsidR="00A8783E" w:rsidRPr="00A8783E" w:rsidRDefault="00A8783E" w:rsidP="00A8783E">
            <w:pPr>
              <w:spacing w:after="0" w:line="240" w:lineRule="auto"/>
              <w:rPr>
                <w:rFonts w:ascii="Times New Roman" w:hAnsi="Times New Roman"/>
                <w:i/>
                <w:iCs/>
                <w:sz w:val="20"/>
                <w:szCs w:val="20"/>
                <w:lang w:val="en-US"/>
              </w:rPr>
            </w:pPr>
            <w:r w:rsidRPr="00A8783E">
              <w:rPr>
                <w:rFonts w:ascii="Times New Roman" w:hAnsi="Times New Roman"/>
                <w:i/>
                <w:iCs/>
                <w:sz w:val="20"/>
                <w:szCs w:val="20"/>
                <w:lang w:val="en-US"/>
              </w:rPr>
              <w:t>Sterna caspia</w:t>
            </w:r>
          </w:p>
        </w:tc>
        <w:tc>
          <w:tcPr>
            <w:tcW w:w="0" w:type="auto"/>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c</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b/>
                <w:bCs/>
                <w:color w:val="FF0000"/>
                <w:sz w:val="20"/>
                <w:szCs w:val="20"/>
                <w:lang w:val="en-US"/>
              </w:rPr>
              <w:t>0</w:t>
            </w:r>
          </w:p>
        </w:tc>
        <w:tc>
          <w:tcPr>
            <w:tcW w:w="0" w:type="auto"/>
            <w:vAlign w:val="center"/>
          </w:tcPr>
          <w:p w:rsidR="00A8783E" w:rsidRPr="00A8783E" w:rsidRDefault="00A8783E" w:rsidP="00A8783E">
            <w:pPr>
              <w:spacing w:after="0" w:line="240" w:lineRule="auto"/>
              <w:rPr>
                <w:rFonts w:ascii="Times New Roman" w:hAnsi="Times New Roman"/>
                <w:color w:val="FF0000"/>
                <w:sz w:val="20"/>
                <w:szCs w:val="20"/>
                <w:lang w:val="en-US"/>
              </w:rPr>
            </w:pPr>
            <w:r w:rsidRPr="00A8783E">
              <w:rPr>
                <w:rFonts w:ascii="Times New Roman" w:hAnsi="Times New Roman"/>
                <w:color w:val="000000"/>
                <w:sz w:val="20"/>
                <w:szCs w:val="20"/>
                <w:lang w:val="en-US"/>
              </w:rPr>
              <w:t>3</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i</w:t>
            </w:r>
          </w:p>
        </w:tc>
        <w:tc>
          <w:tcPr>
            <w:tcW w:w="0" w:type="auto"/>
            <w:vAlign w:val="center"/>
          </w:tcPr>
          <w:p w:rsidR="00A8783E" w:rsidRPr="00A8783E" w:rsidRDefault="00A8783E" w:rsidP="00A8783E">
            <w:pPr>
              <w:spacing w:after="0" w:line="240" w:lineRule="auto"/>
              <w:rPr>
                <w:rFonts w:ascii="Times New Roman" w:hAnsi="Times New Roman"/>
                <w:sz w:val="20"/>
                <w:szCs w:val="20"/>
              </w:rPr>
            </w:pPr>
          </w:p>
        </w:tc>
        <w:tc>
          <w:tcPr>
            <w:tcW w:w="0" w:type="auto"/>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G</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B</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c>
          <w:tcPr>
            <w:tcW w:w="0" w:type="auto"/>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C</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B</w:t>
            </w:r>
          </w:p>
        </w:tc>
      </w:tr>
    </w:tbl>
    <w:p w:rsidR="00A8783E" w:rsidRPr="00A8783E" w:rsidRDefault="00A8783E" w:rsidP="00A8783E">
      <w:pPr>
        <w:spacing w:after="0" w:line="240" w:lineRule="auto"/>
      </w:pPr>
      <w:bookmarkStart w:id="409" w:name="_Toc86409806"/>
      <w:bookmarkStart w:id="410" w:name="_Toc87467267"/>
      <w:bookmarkStart w:id="411" w:name="_Toc87692184"/>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412" w:name="_Toc88865727"/>
      <w:bookmarkStart w:id="413" w:name="_Toc89106134"/>
      <w:bookmarkStart w:id="414" w:name="_Toc98741973"/>
      <w:bookmarkStart w:id="415" w:name="_Toc98838648"/>
      <w:r w:rsidRPr="00A8783E">
        <w:rPr>
          <w:rFonts w:ascii="Times New Roman" w:hAnsi="Times New Roman"/>
          <w:color w:val="1F497D"/>
          <w:sz w:val="28"/>
          <w:szCs w:val="28"/>
        </w:rPr>
        <w:t xml:space="preserve">Специфични цели за А193 </w:t>
      </w:r>
      <w:r w:rsidRPr="00A8783E">
        <w:rPr>
          <w:rFonts w:ascii="Times New Roman" w:hAnsi="Times New Roman"/>
          <w:i/>
          <w:iCs/>
          <w:color w:val="1F497D"/>
          <w:sz w:val="28"/>
          <w:szCs w:val="28"/>
        </w:rPr>
        <w:t>Sterna hirundo</w:t>
      </w:r>
      <w:r w:rsidRPr="00A8783E">
        <w:rPr>
          <w:rFonts w:ascii="Times New Roman" w:hAnsi="Times New Roman"/>
          <w:color w:val="1F497D"/>
          <w:sz w:val="28"/>
          <w:szCs w:val="28"/>
        </w:rPr>
        <w:t xml:space="preserve"> (речна рибарка)</w:t>
      </w:r>
      <w:bookmarkEnd w:id="409"/>
      <w:bookmarkEnd w:id="410"/>
      <w:bookmarkEnd w:id="411"/>
      <w:bookmarkEnd w:id="412"/>
      <w:bookmarkEnd w:id="413"/>
      <w:bookmarkEnd w:id="414"/>
      <w:bookmarkEnd w:id="415"/>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31-35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77-98 </w:t>
      </w:r>
      <w:r w:rsidRPr="00A8783E">
        <w:rPr>
          <w:rFonts w:ascii="Times New Roman" w:hAnsi="Times New Roman"/>
          <w:sz w:val="24"/>
          <w:szCs w:val="24"/>
          <w:lang w:val="en-US"/>
        </w:rPr>
        <w:t>cm</w:t>
      </w:r>
      <w:r w:rsidRPr="00A8783E">
        <w:rPr>
          <w:rFonts w:ascii="Times New Roman" w:hAnsi="Times New Roman"/>
          <w:sz w:val="24"/>
          <w:szCs w:val="24"/>
        </w:rPr>
        <w:t>. Дребна рибарка с дълги, тесни крила и дълбоко врязана</w:t>
      </w:r>
      <w:r w:rsidRPr="00A8783E">
        <w:rPr>
          <w:rFonts w:ascii="Times New Roman" w:hAnsi="Times New Roman"/>
          <w:sz w:val="24"/>
          <w:szCs w:val="24"/>
          <w:lang w:val="ru-RU"/>
        </w:rPr>
        <w:t xml:space="preserve"> </w:t>
      </w:r>
      <w:r w:rsidRPr="00A8783E">
        <w:rPr>
          <w:rFonts w:ascii="Times New Roman" w:hAnsi="Times New Roman"/>
          <w:sz w:val="24"/>
          <w:szCs w:val="24"/>
        </w:rPr>
        <w:t>опашка.</w:t>
      </w:r>
      <w:r w:rsidRPr="00A8783E">
        <w:rPr>
          <w:rFonts w:ascii="Times New Roman" w:hAnsi="Times New Roman"/>
          <w:sz w:val="24"/>
          <w:szCs w:val="24"/>
          <w:lang w:val="ru-RU"/>
        </w:rPr>
        <w:t xml:space="preserve"> </w:t>
      </w:r>
      <w:r w:rsidRPr="00A8783E">
        <w:rPr>
          <w:rFonts w:ascii="Times New Roman" w:hAnsi="Times New Roman"/>
          <w:sz w:val="24"/>
          <w:szCs w:val="24"/>
        </w:rPr>
        <w:t>Има възрастов диморфизъм и малки сезонни различия. Възрастните през лятото отгоре са сиви, а отдолу - бели; главата отгоре е черна; клюнът е яркочервен с черен връх; краката са яркочервени. През есенно-зимния период челото е белезникаво, а клюнът и краката - черни. Младите са с черни плещи. От полярната рибарка се отличава по черните външни махови пера и черния връх на клюна, а отблизо главата е по-слабо заоблена и коремът е по-светъл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Прелетен и преминаващ вид. Среща се на малки групи. Гнезди самостоятелно или в смесени колонии с малката белочела рибарка, белобузата и черната рибарка, с </w:t>
      </w:r>
      <w:r w:rsidRPr="00A8783E">
        <w:rPr>
          <w:rFonts w:ascii="Times New Roman" w:hAnsi="Times New Roman"/>
          <w:sz w:val="24"/>
          <w:szCs w:val="24"/>
        </w:rPr>
        <w:lastRenderedPageBreak/>
        <w:t>кафявокрилия огърличник, саблеклюна, речната чайка. Гнездата се разполагат по пясъчни коси, диги, плаващи островчета от тръстика и папур, както и на водната повърхност. Миграцията протича от средата на февруари до началото на май и от края на юли до началото на декември (Нанкинов и др., 1997).</w:t>
      </w:r>
      <w:r w:rsidRPr="00A8783E">
        <w:rPr>
          <w:rFonts w:ascii="Times New Roman" w:hAnsi="Times New Roman"/>
          <w:sz w:val="24"/>
          <w:szCs w:val="24"/>
          <w:lang w:val="ru-RU"/>
        </w:rPr>
        <w:t xml:space="preserve"> </w:t>
      </w:r>
      <w:r w:rsidRPr="00A8783E">
        <w:rPr>
          <w:rFonts w:ascii="Times New Roman" w:hAnsi="Times New Roman"/>
          <w:sz w:val="24"/>
          <w:szCs w:val="24"/>
        </w:rPr>
        <w:t>Понастоящем гнезди</w:t>
      </w:r>
      <w:r w:rsidRPr="00A8783E">
        <w:rPr>
          <w:rFonts w:ascii="Times New Roman" w:hAnsi="Times New Roman"/>
          <w:sz w:val="24"/>
          <w:szCs w:val="24"/>
          <w:lang w:val="ru-RU"/>
        </w:rPr>
        <w:t xml:space="preserve"> </w:t>
      </w:r>
      <w:r w:rsidRPr="00A8783E">
        <w:rPr>
          <w:rFonts w:ascii="Times New Roman" w:hAnsi="Times New Roman"/>
          <w:sz w:val="24"/>
          <w:szCs w:val="24"/>
        </w:rPr>
        <w:t>в 13 находища, по-важни от които са Атанасовско</w:t>
      </w:r>
      <w:r w:rsidRPr="00A8783E">
        <w:rPr>
          <w:rFonts w:ascii="Times New Roman" w:hAnsi="Times New Roman"/>
          <w:sz w:val="24"/>
          <w:szCs w:val="24"/>
          <w:lang w:val="ru-RU"/>
        </w:rPr>
        <w:t xml:space="preserve"> </w:t>
      </w:r>
      <w:r w:rsidRPr="00A8783E">
        <w:rPr>
          <w:rFonts w:ascii="Times New Roman" w:hAnsi="Times New Roman"/>
          <w:sz w:val="24"/>
          <w:szCs w:val="24"/>
        </w:rPr>
        <w:t>езеро, Поморийско езеро, ЗМ „Пода“, Змийския остров, устието на р. Ропотамо, острови и блата на р.</w:t>
      </w:r>
      <w:r w:rsidRPr="00A8783E">
        <w:rPr>
          <w:rFonts w:ascii="Times New Roman" w:hAnsi="Times New Roman"/>
          <w:sz w:val="24"/>
          <w:szCs w:val="24"/>
          <w:lang w:val="ru-RU"/>
        </w:rPr>
        <w:t xml:space="preserve"> </w:t>
      </w:r>
      <w:r w:rsidRPr="00A8783E">
        <w:rPr>
          <w:rFonts w:ascii="Times New Roman" w:hAnsi="Times New Roman"/>
          <w:sz w:val="24"/>
          <w:szCs w:val="24"/>
        </w:rPr>
        <w:t>Дунав и някои от по-големите вътрешни реки</w:t>
      </w:r>
      <w:r w:rsidRPr="00A8783E">
        <w:rPr>
          <w:rFonts w:ascii="Times New Roman" w:hAnsi="Times New Roman"/>
          <w:sz w:val="24"/>
          <w:szCs w:val="24"/>
          <w:lang w:val="ru-RU"/>
        </w:rPr>
        <w:t xml:space="preserve"> (</w:t>
      </w:r>
      <w:r w:rsidRPr="00A8783E">
        <w:rPr>
          <w:rFonts w:ascii="Times New Roman" w:hAnsi="Times New Roman"/>
          <w:sz w:val="24"/>
          <w:szCs w:val="24"/>
        </w:rPr>
        <w:t>Червена книга на Р България, 2015</w:t>
      </w:r>
      <w:r w:rsidRPr="00A8783E">
        <w:rPr>
          <w:rFonts w:ascii="Times New Roman" w:hAnsi="Times New Roman"/>
          <w:sz w:val="24"/>
          <w:szCs w:val="24"/>
          <w:lang w:val="ru-RU"/>
        </w:rPr>
        <w:t>)</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Гнезди в лагуни (по разделителни диги и изкуствени острови в солници), в растителност по периферията на водоеми, в стоящи пресни води, стоящи бракични води, по острови в течащи води. При устието на р. Ропотамо гнезди на малки скални острови в морето (Янков, ред., 2007). По течението на р. Дунав на пясъчни коси и малки острови. През годините, когато нивото на водата е високо и пясъчните коси и острови са новоднени, гнезди в ез. Сребърна и Персински блата (Shurulinkov et al., 2019). Средното разстояние между гнездата е 0,99 м. (Нанкинов и др., 1997). Подходящи местообитания вероятно са 1150 и 3150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Храни се с риби, скариди, насекоми (</w:t>
      </w:r>
      <w:r w:rsidRPr="00A8783E">
        <w:rPr>
          <w:rFonts w:ascii="Times New Roman" w:hAnsi="Times New Roman"/>
          <w:i/>
          <w:iCs/>
          <w:sz w:val="24"/>
          <w:szCs w:val="24"/>
        </w:rPr>
        <w:t>Odonata, Gerridae, Dytiscidae</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 С разпръснато разпространение, по-групирано на места по Черноморското крайбрежие (главно Бургаски влажни зони) и покрай р. Дунав (по</w:t>
      </w:r>
      <w:r w:rsidRPr="00A8783E">
        <w:rPr>
          <w:rFonts w:ascii="Times New Roman" w:hAnsi="Times New Roman"/>
          <w:sz w:val="24"/>
          <w:szCs w:val="24"/>
          <w:lang w:val="ru-RU"/>
        </w:rPr>
        <w:t xml:space="preserve"> </w:t>
      </w:r>
      <w:r w:rsidRPr="00A8783E">
        <w:rPr>
          <w:rFonts w:ascii="Times New Roman" w:hAnsi="Times New Roman"/>
          <w:sz w:val="24"/>
          <w:szCs w:val="24"/>
        </w:rPr>
        <w:t>крайбрежни блата и острови, особено около о. Белене). С отделни гнездовища и по някои по-големи вътрешни реки – Марица, Арда, Струма, Огоста и др. Колониите по р. Дунав променят местоположението си поради непостоянството на гнездовия субстрат – пясъчните коси (Янков,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Защитен вид по ЗБР (Приложения 2 и 3). Включен в Приложение 1 на Директивата за птиците. Включен в Червената книга на Р България (2015) в категория застрашен (EN).  Според IUCN – LC (Least Concern), за територията на континентална Европа – LC (Least Concern).</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2013-2018 г.), </w:t>
      </w:r>
      <w:r w:rsidRPr="00A8783E">
        <w:rPr>
          <w:rFonts w:ascii="Times New Roman" w:hAnsi="Times New Roman"/>
          <w:b/>
          <w:bCs/>
          <w:sz w:val="24"/>
          <w:szCs w:val="24"/>
        </w:rPr>
        <w:t>гнездящата</w:t>
      </w:r>
      <w:r w:rsidRPr="00A8783E">
        <w:rPr>
          <w:rFonts w:ascii="Times New Roman" w:hAnsi="Times New Roman"/>
          <w:sz w:val="24"/>
          <w:szCs w:val="24"/>
        </w:rPr>
        <w:t xml:space="preserve"> национална популация се оценява на 500-1500 двойки. Краткосрочната (2000-2018 г.) и дългосрочната (1980-2018 г.) популационни тенденции са флуктуиращи. Посочени са следните заплахи и влияния: H01; J02; K03.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Мигриращата</w:t>
      </w:r>
      <w:r w:rsidRPr="00A8783E">
        <w:rPr>
          <w:rFonts w:ascii="Times New Roman" w:hAnsi="Times New Roman"/>
          <w:sz w:val="24"/>
          <w:szCs w:val="24"/>
        </w:rPr>
        <w:t xml:space="preserve"> национална популация се оценява на 3000-10000 индивида. Не са посочени краткосрочни и дългосрочни тенденции в числеността на преминаващите индивиди. Посочени са следните заплахи и влияния: E01; H01.</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Червената книга (2015) като заплахи са посочени наводняване на гнездовите колонии, унищожаване на мътилата и люпилата от градушки и наземни хищници. Безпокойство, отстрел, разрушаване или прекомерно обрастване на гнездовите находища, замърсяване с нефтопродукти.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СФ </w:t>
      </w:r>
      <w:r w:rsidRPr="00A8783E">
        <w:rPr>
          <w:rFonts w:ascii="Times New Roman" w:hAnsi="Times New Roman"/>
          <w:b/>
          <w:bCs/>
          <w:sz w:val="24"/>
          <w:szCs w:val="24"/>
        </w:rPr>
        <w:t xml:space="preserve">гнездящата </w:t>
      </w:r>
      <w:r w:rsidRPr="00A8783E">
        <w:rPr>
          <w:rFonts w:ascii="Times New Roman" w:hAnsi="Times New Roman"/>
          <w:sz w:val="24"/>
          <w:szCs w:val="24"/>
        </w:rPr>
        <w:t xml:space="preserve">популация на вида се оценява на </w:t>
      </w:r>
      <w:r w:rsidRPr="00A8783E">
        <w:rPr>
          <w:rFonts w:ascii="Times New Roman" w:hAnsi="Times New Roman"/>
          <w:b/>
          <w:bCs/>
          <w:sz w:val="24"/>
          <w:szCs w:val="24"/>
        </w:rPr>
        <w:t>до 6 двойки</w:t>
      </w:r>
      <w:r w:rsidRPr="00A8783E">
        <w:rPr>
          <w:rFonts w:ascii="Times New Roman" w:hAnsi="Times New Roman"/>
          <w:sz w:val="24"/>
          <w:szCs w:val="24"/>
        </w:rPr>
        <w:t xml:space="preserve">, което е 0,4 % от националната гнездяща популация (оценка „В“). Опазването на вида е отлично (оценка </w:t>
      </w:r>
      <w:r w:rsidRPr="00A8783E">
        <w:rPr>
          <w:rFonts w:ascii="Times New Roman" w:hAnsi="Times New Roman"/>
          <w:sz w:val="24"/>
          <w:szCs w:val="24"/>
        </w:rPr>
        <w:lastRenderedPageBreak/>
        <w:t xml:space="preserve">„А“), популацията не е изолирана в рамките на разширен ареал (оценка „С“). Общата оценка на стойността на зоната за съхранение на вида е „А“ – отлична стойност.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Речната рибарка не гнезди всяка година в ЗЗ Сребърна. Нейната численост е доста непостоянна и зависи от това дали по речното течение на Дунав има пясъчни коси. Когато нивото на реката е високо тя гнезди в зоната, тъй като пясъчните коси са залети с вода. През 2005 г. вида е гнездил в зоната с численост 31 дв. </w:t>
      </w:r>
      <w:r w:rsidRPr="00A8783E">
        <w:rPr>
          <w:rFonts w:ascii="Times New Roman" w:hAnsi="Times New Roman"/>
          <w:sz w:val="24"/>
          <w:szCs w:val="24"/>
          <w:lang w:val="ru-RU"/>
        </w:rPr>
        <w:t>(</w:t>
      </w:r>
      <w:r w:rsidRPr="00A8783E">
        <w:rPr>
          <w:rFonts w:ascii="Times New Roman" w:hAnsi="Times New Roman"/>
          <w:sz w:val="24"/>
          <w:szCs w:val="24"/>
          <w:lang w:val="en-US"/>
        </w:rPr>
        <w:t>Kambourova</w:t>
      </w:r>
      <w:r w:rsidRPr="00A8783E">
        <w:rPr>
          <w:rFonts w:ascii="Times New Roman" w:hAnsi="Times New Roman"/>
          <w:sz w:val="24"/>
          <w:szCs w:val="24"/>
          <w:lang w:val="ru-RU"/>
        </w:rPr>
        <w:t>, 2012)</w:t>
      </w:r>
      <w:r w:rsidRPr="00A8783E">
        <w:rPr>
          <w:rFonts w:ascii="Times New Roman" w:hAnsi="Times New Roman"/>
          <w:sz w:val="24"/>
          <w:szCs w:val="24"/>
        </w:rPr>
        <w:t xml:space="preserve">. През 2006 г. в езерото гнездят 275 дв., а през 2007 г. – 40 дв., през 2012 г. и 2013 г.: 5-6 дв. </w:t>
      </w:r>
      <w:r w:rsidRPr="00A8783E">
        <w:rPr>
          <w:rFonts w:ascii="Times New Roman" w:hAnsi="Times New Roman"/>
          <w:sz w:val="24"/>
          <w:szCs w:val="24"/>
          <w:lang w:val="ru-RU"/>
        </w:rPr>
        <w:t>(</w:t>
      </w:r>
      <w:r w:rsidRPr="00A8783E">
        <w:rPr>
          <w:rFonts w:ascii="Times New Roman" w:hAnsi="Times New Roman"/>
          <w:sz w:val="24"/>
          <w:szCs w:val="24"/>
          <w:lang w:val="en-US"/>
        </w:rPr>
        <w:t>Shurulinkov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2019)</w:t>
      </w:r>
      <w:r w:rsidRPr="00A8783E">
        <w:rPr>
          <w:rFonts w:ascii="Times New Roman" w:hAnsi="Times New Roman"/>
          <w:sz w:val="24"/>
          <w:szCs w:val="24"/>
        </w:rPr>
        <w:t xml:space="preserve">. В ОВМ Сребърна е посочена численост 40 дв.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2007</w:t>
      </w:r>
      <w:r w:rsidRPr="00A8783E">
        <w:rPr>
          <w:rFonts w:ascii="Times New Roman" w:hAnsi="Times New Roman"/>
          <w:sz w:val="24"/>
          <w:szCs w:val="24"/>
          <w:lang w:val="ru-RU"/>
        </w:rPr>
        <w:t>)</w:t>
      </w:r>
      <w:r w:rsidRPr="00A8783E">
        <w:rPr>
          <w:rFonts w:ascii="Times New Roman" w:hAnsi="Times New Roman"/>
          <w:sz w:val="24"/>
          <w:szCs w:val="24"/>
        </w:rPr>
        <w:t xml:space="preserve">. През 2014 г. речната рибарка е гнездила в зоната с численост 2-4 дв. </w:t>
      </w:r>
      <w:r w:rsidRPr="00A8783E">
        <w:rPr>
          <w:rFonts w:ascii="Times New Roman" w:hAnsi="Times New Roman"/>
          <w:sz w:val="24"/>
          <w:szCs w:val="24"/>
          <w:lang w:val="ru-RU"/>
        </w:rPr>
        <w:t>(</w:t>
      </w:r>
      <w:r w:rsidRPr="00A8783E">
        <w:rPr>
          <w:rFonts w:ascii="Times New Roman" w:hAnsi="Times New Roman"/>
          <w:sz w:val="24"/>
          <w:szCs w:val="24"/>
        </w:rPr>
        <w:t>Актуализиран План за управление на ПР Сребърна, 2015</w:t>
      </w:r>
      <w:r w:rsidRPr="00A8783E">
        <w:rPr>
          <w:rFonts w:ascii="Times New Roman" w:hAnsi="Times New Roman"/>
          <w:sz w:val="24"/>
          <w:szCs w:val="24"/>
          <w:lang w:val="ru-RU"/>
        </w:rPr>
        <w:t>)</w:t>
      </w:r>
      <w:r w:rsidRPr="00A8783E">
        <w:rPr>
          <w:rFonts w:ascii="Times New Roman" w:hAnsi="Times New Roman"/>
          <w:sz w:val="24"/>
          <w:szCs w:val="24"/>
        </w:rPr>
        <w:t xml:space="preserve">. През гнездовия период на 2021 г. вида е наблюдаван в зоната с численост 2 инд. </w:t>
      </w:r>
      <w:r w:rsidRPr="00A8783E">
        <w:rPr>
          <w:rFonts w:ascii="Times New Roman" w:hAnsi="Times New Roman"/>
          <w:sz w:val="24"/>
          <w:szCs w:val="24"/>
          <w:lang w:val="ru-RU"/>
        </w:rPr>
        <w:t>(</w:t>
      </w:r>
      <w:r w:rsidRPr="00A8783E">
        <w:rPr>
          <w:rFonts w:ascii="Times New Roman" w:hAnsi="Times New Roman"/>
          <w:sz w:val="24"/>
          <w:szCs w:val="24"/>
        </w:rPr>
        <w:t>най-вероятно хранещи се индивиди в езерото</w:t>
      </w:r>
      <w:r w:rsidRPr="00A8783E">
        <w:rPr>
          <w:rFonts w:ascii="Times New Roman" w:hAnsi="Times New Roman"/>
          <w:sz w:val="24"/>
          <w:szCs w:val="24"/>
          <w:lang w:val="ru-RU"/>
        </w:rPr>
        <w:t>)</w:t>
      </w:r>
      <w:r w:rsidRPr="00A8783E">
        <w:rPr>
          <w:rFonts w:ascii="Times New Roman" w:hAnsi="Times New Roman"/>
          <w:sz w:val="24"/>
          <w:szCs w:val="24"/>
        </w:rPr>
        <w:t xml:space="preserve">, но според нас вида не гнезди през настоящата година в зоната. Данните от </w:t>
      </w:r>
      <w:r w:rsidRPr="00A8783E">
        <w:rPr>
          <w:rFonts w:ascii="Times New Roman" w:hAnsi="Times New Roman"/>
          <w:sz w:val="24"/>
          <w:szCs w:val="24"/>
          <w:lang w:val="en-US"/>
        </w:rPr>
        <w:t>eBird</w:t>
      </w:r>
      <w:r w:rsidRPr="00A8783E">
        <w:rPr>
          <w:rFonts w:ascii="Times New Roman" w:hAnsi="Times New Roman"/>
          <w:sz w:val="24"/>
          <w:szCs w:val="24"/>
          <w:lang w:val="ru-RU"/>
        </w:rPr>
        <w:t xml:space="preserve"> </w:t>
      </w:r>
      <w:r w:rsidRPr="00A8783E">
        <w:rPr>
          <w:rFonts w:ascii="Times New Roman" w:hAnsi="Times New Roman"/>
          <w:sz w:val="24"/>
          <w:szCs w:val="24"/>
        </w:rPr>
        <w:t xml:space="preserve">показват, че вида е наблюдаван в зоната на </w:t>
      </w:r>
      <w:r w:rsidRPr="00A8783E">
        <w:rPr>
          <w:rFonts w:ascii="Times New Roman" w:hAnsi="Times New Roman"/>
          <w:sz w:val="24"/>
          <w:szCs w:val="24"/>
          <w:lang w:val="ru-RU"/>
        </w:rPr>
        <w:t>04.</w:t>
      </w:r>
      <w:r w:rsidRPr="00A8783E">
        <w:rPr>
          <w:rFonts w:ascii="Times New Roman" w:hAnsi="Times New Roman"/>
          <w:sz w:val="24"/>
          <w:szCs w:val="24"/>
        </w:rPr>
        <w:t xml:space="preserve">09.2021 г. с численост 2 инд. </w:t>
      </w:r>
      <w:r w:rsidRPr="00A8783E">
        <w:rPr>
          <w:rFonts w:ascii="Times New Roman" w:hAnsi="Times New Roman"/>
          <w:sz w:val="24"/>
          <w:szCs w:val="24"/>
          <w:lang w:val="ru-RU"/>
        </w:rPr>
        <w:t>(</w:t>
      </w:r>
      <w:r w:rsidRPr="00A8783E">
        <w:rPr>
          <w:rFonts w:ascii="Times New Roman" w:hAnsi="Times New Roman"/>
          <w:sz w:val="24"/>
          <w:szCs w:val="24"/>
        </w:rPr>
        <w:t>най-вероятно това са скитащи или мигриращи птици</w:t>
      </w:r>
      <w:r w:rsidRPr="00A8783E">
        <w:rPr>
          <w:rFonts w:ascii="Times New Roman" w:hAnsi="Times New Roman"/>
          <w:sz w:val="24"/>
          <w:szCs w:val="24"/>
          <w:lang w:val="ru-RU"/>
        </w:rPr>
        <w:t>).</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sz w:val="24"/>
          <w:szCs w:val="24"/>
        </w:rPr>
        <w:t xml:space="preserve">Посочените заплахи H01, J02 и K03 в докладването по чл. 12 нямат отношение към зоната. Заплаха </w:t>
      </w:r>
      <w:r w:rsidRPr="00A8783E">
        <w:rPr>
          <w:rFonts w:ascii="Times New Roman" w:hAnsi="Times New Roman"/>
          <w:sz w:val="24"/>
          <w:szCs w:val="24"/>
          <w:lang w:val="en-US"/>
        </w:rPr>
        <w:t>K</w:t>
      </w:r>
      <w:r w:rsidRPr="00A8783E">
        <w:rPr>
          <w:rFonts w:ascii="Times New Roman" w:hAnsi="Times New Roman"/>
          <w:sz w:val="24"/>
          <w:szCs w:val="24"/>
          <w:lang w:val="ru-RU"/>
        </w:rPr>
        <w:t>04-</w:t>
      </w:r>
      <w:r w:rsidRPr="00A8783E">
        <w:rPr>
          <w:rFonts w:ascii="Times New Roman" w:hAnsi="Times New Roman"/>
          <w:sz w:val="24"/>
          <w:szCs w:val="24"/>
        </w:rPr>
        <w:t>Изменение на хидродинамичните характеристики може да има отношение към ЗЗ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139"/>
        <w:gridCol w:w="1276"/>
        <w:gridCol w:w="2976"/>
        <w:gridCol w:w="2410"/>
      </w:tblGrid>
      <w:tr w:rsidR="00A8783E" w:rsidRPr="00A8783E" w:rsidTr="005B5318">
        <w:trPr>
          <w:tblHeader/>
          <w:jc w:val="center"/>
        </w:trPr>
        <w:tc>
          <w:tcPr>
            <w:tcW w:w="169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139"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9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41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69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Популация</w:t>
            </w:r>
            <w:r w:rsidRPr="00A8783E">
              <w:rPr>
                <w:rFonts w:ascii="Times New Roman" w:hAnsi="Times New Roman"/>
              </w:rPr>
              <w:t>: Размер на гнездящата популация</w:t>
            </w:r>
          </w:p>
        </w:tc>
        <w:tc>
          <w:tcPr>
            <w:tcW w:w="113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двойки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0-40 дв.</w:t>
            </w:r>
          </w:p>
        </w:tc>
        <w:tc>
          <w:tcPr>
            <w:tcW w:w="29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от СФ и други публикувани източници за гнездовата численост на вида през различните години в зоната. Гнездовата численост е непостоянна и зависи от това дали в Дунав има пясъчни коси, върху които вида предпочита да гнезди.</w:t>
            </w:r>
          </w:p>
        </w:tc>
        <w:tc>
          <w:tcPr>
            <w:tcW w:w="2410" w:type="dxa"/>
          </w:tcPr>
          <w:p w:rsidR="00A8783E" w:rsidRPr="00A8783E" w:rsidRDefault="00A8783E" w:rsidP="00A8783E">
            <w:pPr>
              <w:spacing w:after="0" w:line="240" w:lineRule="auto"/>
              <w:jc w:val="both"/>
              <w:rPr>
                <w:rFonts w:ascii="Times New Roman" w:hAnsi="Times New Roman"/>
                <w:color w:val="0070C0"/>
              </w:rPr>
            </w:pPr>
            <w:r w:rsidRPr="00A8783E">
              <w:rPr>
                <w:rFonts w:ascii="Times New Roman" w:hAnsi="Times New Roman"/>
              </w:rPr>
              <w:t>Необходимо е да се провежда мониторинг всяка година за установяване на числеността на вида в зоната.</w:t>
            </w:r>
          </w:p>
        </w:tc>
      </w:tr>
      <w:tr w:rsidR="00A8783E" w:rsidRPr="00A8783E" w:rsidTr="005B5318">
        <w:trPr>
          <w:trHeight w:val="606"/>
          <w:jc w:val="center"/>
        </w:trPr>
        <w:tc>
          <w:tcPr>
            <w:tcW w:w="1696"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хранителните и гнездови местообитания на вида</w:t>
            </w:r>
            <w:r w:rsidRPr="00A8783E">
              <w:rPr>
                <w:rFonts w:ascii="Times New Roman" w:hAnsi="Times New Roman"/>
                <w:b/>
                <w:bCs/>
              </w:rPr>
              <w:t xml:space="preserve"> </w:t>
            </w:r>
          </w:p>
        </w:tc>
        <w:tc>
          <w:tcPr>
            <w:tcW w:w="113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ha</w:t>
            </w:r>
          </w:p>
          <w:p w:rsidR="00A8783E" w:rsidRPr="00A8783E" w:rsidRDefault="00A8783E" w:rsidP="00A8783E">
            <w:pPr>
              <w:spacing w:after="0" w:line="240" w:lineRule="auto"/>
              <w:jc w:val="both"/>
              <w:rPr>
                <w:rFonts w:ascii="Times New Roman" w:hAnsi="Times New Roman"/>
              </w:rPr>
            </w:pP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840</w:t>
            </w:r>
            <w:r w:rsidRPr="00A8783E">
              <w:rPr>
                <w:rFonts w:ascii="Times New Roman" w:hAnsi="Times New Roman"/>
                <w:lang w:val="en-US"/>
              </w:rPr>
              <w:t xml:space="preserve"> </w:t>
            </w:r>
          </w:p>
        </w:tc>
        <w:tc>
          <w:tcPr>
            <w:tcW w:w="29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Изчислена на база % участие на местообитания </w:t>
            </w:r>
            <w:r w:rsidRPr="00A8783E">
              <w:rPr>
                <w:rFonts w:ascii="Times New Roman" w:hAnsi="Times New Roman"/>
                <w:lang w:val="en-US"/>
              </w:rPr>
              <w:t>N</w:t>
            </w:r>
            <w:r w:rsidRPr="00A8783E">
              <w:rPr>
                <w:rFonts w:ascii="Times New Roman" w:hAnsi="Times New Roman"/>
                <w:lang w:val="ru-RU"/>
              </w:rPr>
              <w:t>06-</w:t>
            </w:r>
            <w:r w:rsidRPr="00A8783E">
              <w:rPr>
                <w:rFonts w:ascii="Times New Roman" w:hAnsi="Times New Roman"/>
              </w:rPr>
              <w:t>вътрешни водни тела</w:t>
            </w:r>
            <w:r w:rsidRPr="00A8783E">
              <w:rPr>
                <w:rFonts w:ascii="Times New Roman" w:hAnsi="Times New Roman"/>
                <w:lang w:val="ru-RU"/>
              </w:rPr>
              <w:t xml:space="preserve"> </w:t>
            </w:r>
            <w:r w:rsidRPr="00A8783E">
              <w:rPr>
                <w:rFonts w:ascii="Times New Roman" w:hAnsi="Times New Roman"/>
              </w:rPr>
              <w:t xml:space="preserve">и </w:t>
            </w:r>
            <w:r w:rsidRPr="00A8783E">
              <w:rPr>
                <w:rFonts w:ascii="Times New Roman" w:hAnsi="Times New Roman"/>
                <w:lang w:val="en-US"/>
              </w:rPr>
              <w:t>N</w:t>
            </w:r>
            <w:r w:rsidRPr="00A8783E">
              <w:rPr>
                <w:rFonts w:ascii="Times New Roman" w:hAnsi="Times New Roman"/>
                <w:lang w:val="ru-RU"/>
              </w:rPr>
              <w:t>07</w:t>
            </w:r>
            <w:r w:rsidRPr="00A8783E">
              <w:rPr>
                <w:rFonts w:ascii="Times New Roman" w:hAnsi="Times New Roman"/>
              </w:rPr>
              <w:t>-мочурища и блата в СФ на зоната.</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Гнездовите и хранителните местообитания съвпадат.</w:t>
            </w:r>
          </w:p>
        </w:tc>
        <w:tc>
          <w:tcPr>
            <w:tcW w:w="24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подходящите местообитания за гнездене и хранене на вида в зоната чрез поддържане на водното ниво в езерото.</w:t>
            </w:r>
          </w:p>
        </w:tc>
      </w:tr>
      <w:tr w:rsidR="00A8783E" w:rsidRPr="00A8783E" w:rsidTr="005B5318">
        <w:trPr>
          <w:trHeight w:val="748"/>
          <w:jc w:val="center"/>
        </w:trPr>
        <w:tc>
          <w:tcPr>
            <w:tcW w:w="169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Местообитание</w:t>
            </w:r>
            <w:r w:rsidRPr="00A8783E">
              <w:rPr>
                <w:rFonts w:ascii="Times New Roman" w:hAnsi="Times New Roman"/>
              </w:rPr>
              <w:t xml:space="preserve"> </w:t>
            </w:r>
            <w:r w:rsidRPr="00A8783E">
              <w:rPr>
                <w:rFonts w:ascii="Times New Roman" w:hAnsi="Times New Roman"/>
                <w:b/>
                <w:bCs/>
              </w:rPr>
              <w:t>на вида</w:t>
            </w:r>
            <w:r w:rsidRPr="00A8783E">
              <w:rPr>
                <w:rFonts w:ascii="Times New Roman" w:hAnsi="Times New Roman"/>
              </w:rPr>
              <w:t xml:space="preserve">: Екологично състояние на водните тела с хранителни местообитания на вида, по </w:t>
            </w:r>
            <w:r w:rsidRPr="00A8783E">
              <w:rPr>
                <w:rFonts w:ascii="Times New Roman" w:hAnsi="Times New Roman"/>
              </w:rPr>
              <w:lastRenderedPageBreak/>
              <w:t>биологични елементи за качество (БЕК  Риби</w:t>
            </w:r>
            <w:r w:rsidRPr="00A8783E">
              <w:rPr>
                <w:rFonts w:ascii="Times New Roman" w:hAnsi="Times New Roman"/>
                <w:lang w:val="ru-RU"/>
              </w:rPr>
              <w:t>)</w:t>
            </w:r>
          </w:p>
        </w:tc>
        <w:tc>
          <w:tcPr>
            <w:tcW w:w="113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5 степенна скала за екологично състояние, съгласно </w:t>
            </w:r>
            <w:r w:rsidRPr="00A8783E">
              <w:rPr>
                <w:rFonts w:ascii="Times New Roman" w:hAnsi="Times New Roman"/>
              </w:rPr>
              <w:lastRenderedPageBreak/>
              <w:t xml:space="preserve">РДВ </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По-висока или равна на 2 – Добро състояние</w:t>
            </w:r>
          </w:p>
        </w:tc>
        <w:tc>
          <w:tcPr>
            <w:tcW w:w="2976" w:type="dxa"/>
          </w:tcPr>
          <w:tbl>
            <w:tblPr>
              <w:tblW w:w="3426" w:type="dxa"/>
              <w:jc w:val="center"/>
              <w:tblLayout w:type="fixed"/>
              <w:tblCellMar>
                <w:left w:w="70" w:type="dxa"/>
                <w:right w:w="70" w:type="dxa"/>
              </w:tblCellMar>
              <w:tblLook w:val="00A0" w:firstRow="1" w:lastRow="0" w:firstColumn="1" w:lastColumn="0" w:noHBand="0" w:noVBand="0"/>
            </w:tblPr>
            <w:tblGrid>
              <w:gridCol w:w="3426"/>
            </w:tblGrid>
            <w:tr w:rsidR="00A8783E" w:rsidRPr="00A8783E" w:rsidTr="005B5318">
              <w:trPr>
                <w:trHeight w:val="288"/>
                <w:jc w:val="center"/>
              </w:trPr>
              <w:tc>
                <w:tcPr>
                  <w:tcW w:w="3426"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ind w:left="278"/>
                    <w:jc w:val="both"/>
                    <w:rPr>
                      <w:rFonts w:ascii="Times New Roman" w:hAnsi="Times New Roman"/>
                    </w:rPr>
                  </w:pPr>
                  <w:r w:rsidRPr="00A8783E">
                    <w:rPr>
                      <w:rFonts w:ascii="Times New Roman" w:hAnsi="Times New Roman"/>
                    </w:rPr>
                    <w:t>Екологично състояние</w:t>
                  </w:r>
                </w:p>
              </w:tc>
            </w:tr>
            <w:tr w:rsidR="00A8783E" w:rsidRPr="00A8783E" w:rsidTr="005B5318">
              <w:trPr>
                <w:trHeight w:val="288"/>
                <w:jc w:val="center"/>
              </w:trPr>
              <w:tc>
                <w:tcPr>
                  <w:tcW w:w="3426"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ind w:left="278"/>
                    <w:jc w:val="both"/>
                    <w:rPr>
                      <w:rFonts w:ascii="Times New Roman" w:hAnsi="Times New Roman"/>
                    </w:rPr>
                  </w:pPr>
                  <w:r w:rsidRPr="00A8783E">
                    <w:rPr>
                      <w:rFonts w:ascii="Times New Roman" w:hAnsi="Times New Roman"/>
                    </w:rPr>
                    <w:t>1-Отлично</w:t>
                  </w:r>
                </w:p>
              </w:tc>
            </w:tr>
            <w:tr w:rsidR="00A8783E" w:rsidRPr="00A8783E" w:rsidTr="005B5318">
              <w:trPr>
                <w:trHeight w:val="288"/>
                <w:jc w:val="center"/>
              </w:trPr>
              <w:tc>
                <w:tcPr>
                  <w:tcW w:w="3426"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ind w:left="278"/>
                    <w:jc w:val="both"/>
                    <w:rPr>
                      <w:rFonts w:ascii="Times New Roman" w:hAnsi="Times New Roman"/>
                    </w:rPr>
                  </w:pPr>
                  <w:r w:rsidRPr="00A8783E">
                    <w:rPr>
                      <w:rFonts w:ascii="Times New Roman" w:hAnsi="Times New Roman"/>
                    </w:rPr>
                    <w:t>2-Добро</w:t>
                  </w:r>
                </w:p>
              </w:tc>
            </w:tr>
            <w:tr w:rsidR="00A8783E" w:rsidRPr="00A8783E" w:rsidTr="005B5318">
              <w:trPr>
                <w:trHeight w:val="288"/>
                <w:jc w:val="center"/>
              </w:trPr>
              <w:tc>
                <w:tcPr>
                  <w:tcW w:w="3426"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ind w:left="278"/>
                    <w:jc w:val="both"/>
                    <w:rPr>
                      <w:rFonts w:ascii="Times New Roman" w:hAnsi="Times New Roman"/>
                    </w:rPr>
                  </w:pPr>
                  <w:r w:rsidRPr="00A8783E">
                    <w:rPr>
                      <w:rFonts w:ascii="Times New Roman" w:hAnsi="Times New Roman"/>
                    </w:rPr>
                    <w:t>3-Умерено</w:t>
                  </w:r>
                </w:p>
              </w:tc>
            </w:tr>
            <w:tr w:rsidR="00A8783E" w:rsidRPr="00A8783E" w:rsidTr="005B5318">
              <w:trPr>
                <w:trHeight w:val="288"/>
                <w:jc w:val="center"/>
              </w:trPr>
              <w:tc>
                <w:tcPr>
                  <w:tcW w:w="3426"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ind w:left="278"/>
                    <w:jc w:val="both"/>
                    <w:rPr>
                      <w:rFonts w:ascii="Times New Roman" w:hAnsi="Times New Roman"/>
                    </w:rPr>
                  </w:pPr>
                  <w:r w:rsidRPr="00A8783E">
                    <w:rPr>
                      <w:rFonts w:ascii="Times New Roman" w:hAnsi="Times New Roman"/>
                    </w:rPr>
                    <w:t>4-Лошо</w:t>
                  </w:r>
                </w:p>
              </w:tc>
            </w:tr>
            <w:tr w:rsidR="00A8783E" w:rsidRPr="00A8783E" w:rsidTr="005B5318">
              <w:trPr>
                <w:trHeight w:val="288"/>
                <w:jc w:val="center"/>
              </w:trPr>
              <w:tc>
                <w:tcPr>
                  <w:tcW w:w="3426"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ind w:left="278"/>
                    <w:jc w:val="both"/>
                    <w:rPr>
                      <w:rFonts w:ascii="Times New Roman" w:hAnsi="Times New Roman"/>
                    </w:rPr>
                  </w:pPr>
                  <w:r w:rsidRPr="00A8783E">
                    <w:rPr>
                      <w:rFonts w:ascii="Times New Roman" w:hAnsi="Times New Roman"/>
                    </w:rPr>
                    <w:t>5-Много лошо</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w:t>
            </w:r>
            <w:r w:rsidRPr="00A8783E">
              <w:rPr>
                <w:rFonts w:ascii="Times New Roman" w:hAnsi="Times New Roman"/>
              </w:rPr>
              <w:lastRenderedPageBreak/>
              <w:t xml:space="preserve">водите на р. Дунав по показател Риби в пункт Силистра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rPr>
              <w:t>3</w:t>
            </w:r>
            <w:r w:rsidRPr="00A8783E">
              <w:rPr>
                <w:rFonts w:ascii="Times New Roman" w:hAnsi="Times New Roman"/>
              </w:rPr>
              <w:t xml:space="preserve">), по показател Макрозообентос при пункт Силистра е оценено също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lang w:val="ru-RU"/>
              </w:rPr>
              <w:t>(</w:t>
            </w:r>
            <w:r w:rsidRPr="00A8783E">
              <w:rPr>
                <w:rFonts w:ascii="Times New Roman" w:hAnsi="Times New Roman"/>
                <w:b/>
                <w:bCs/>
              </w:rPr>
              <w:t>3</w:t>
            </w:r>
            <w:r w:rsidRPr="00A8783E">
              <w:rPr>
                <w:rFonts w:ascii="Times New Roman" w:hAnsi="Times New Roman"/>
                <w:lang w:val="ru-RU"/>
              </w:rPr>
              <w:t>)</w:t>
            </w:r>
            <w:r w:rsidRPr="00A8783E">
              <w:rPr>
                <w:rFonts w:ascii="Times New Roman" w:hAnsi="Times New Roman"/>
              </w:rPr>
              <w:t xml:space="preserve"> според доклада на </w:t>
            </w:r>
            <w:r w:rsidRPr="00A8783E">
              <w:rPr>
                <w:rFonts w:ascii="Times New Roman" w:hAnsi="Times New Roman"/>
                <w:lang w:val="en-GB"/>
              </w:rPr>
              <w:t>JDS</w:t>
            </w:r>
            <w:r w:rsidRPr="00A8783E">
              <w:rPr>
                <w:rFonts w:ascii="Times New Roman" w:hAnsi="Times New Roman"/>
                <w:lang w:val="ru-RU"/>
              </w:rPr>
              <w:t>4 (2019-2020).</w:t>
            </w:r>
            <w:r w:rsidRPr="00A8783E">
              <w:rPr>
                <w:rFonts w:ascii="Times New Roman" w:hAnsi="Times New Roman"/>
              </w:rPr>
              <w:t xml:space="preserve"> Екологичното състояние на водите на ез. Сребърна по показател Риби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lang w:val="ru-RU"/>
              </w:rPr>
              <w:t>(</w:t>
            </w:r>
            <w:r w:rsidRPr="00A8783E">
              <w:rPr>
                <w:rFonts w:ascii="Times New Roman" w:hAnsi="Times New Roman"/>
                <w:b/>
                <w:bCs/>
              </w:rPr>
              <w:t>3</w:t>
            </w:r>
            <w:r w:rsidRPr="00A8783E">
              <w:rPr>
                <w:rFonts w:ascii="Times New Roman" w:hAnsi="Times New Roman"/>
                <w:lang w:val="ru-RU"/>
              </w:rPr>
              <w:t>)</w:t>
            </w:r>
            <w:r w:rsidRPr="00A8783E">
              <w:rPr>
                <w:rFonts w:ascii="Times New Roman" w:hAnsi="Times New Roman"/>
              </w:rPr>
              <w:t>, според данните от биологичния мониторинг на повърхностните води през 2020 г.</w:t>
            </w:r>
          </w:p>
        </w:tc>
        <w:tc>
          <w:tcPr>
            <w:tcW w:w="24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Подобряване на екологичното състояние на водните тела с подходящи хранителни местообитания на вида, до постигане на стойност по-висока </w:t>
            </w:r>
            <w:r w:rsidRPr="00A8783E">
              <w:rPr>
                <w:rFonts w:ascii="Times New Roman" w:hAnsi="Times New Roman"/>
              </w:rPr>
              <w:lastRenderedPageBreak/>
              <w:t>или равна на 2 – Добро състояние.</w:t>
            </w:r>
          </w:p>
        </w:tc>
      </w:tr>
    </w:tbl>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lastRenderedPageBreak/>
        <w:t xml:space="preserve">6. Необходимост от промени в СФ за (СЗЗ) </w:t>
      </w:r>
      <w:r w:rsidRPr="00A8783E">
        <w:rPr>
          <w:rFonts w:ascii="Times New Roman" w:hAnsi="Times New Roman"/>
          <w:b/>
          <w:bCs/>
          <w:sz w:val="24"/>
          <w:szCs w:val="24"/>
        </w:rPr>
        <w:t>BG0000241 „Сребърна“</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 xml:space="preserve">Относно гнездящата популация предлагаме промяна в </w:t>
      </w:r>
      <w:r w:rsidRPr="00A8783E">
        <w:rPr>
          <w:rFonts w:ascii="Times New Roman" w:hAnsi="Times New Roman"/>
          <w:b/>
          <w:sz w:val="24"/>
          <w:szCs w:val="24"/>
        </w:rPr>
        <w:t>максималната</w:t>
      </w:r>
      <w:r w:rsidRPr="00A8783E">
        <w:rPr>
          <w:rFonts w:ascii="Times New Roman" w:hAnsi="Times New Roman"/>
          <w:sz w:val="24"/>
          <w:szCs w:val="24"/>
        </w:rPr>
        <w:t xml:space="preserve"> численост от 6 на 40 дв., тъй като проучванията показват, че в годините, когато речните пясъчни коси в Дунав са недостъпни за вида той гнезди в по-големи числености в зоната. Освен това е необходимо да се промени значението на популацията </w:t>
      </w:r>
      <w:r w:rsidRPr="00A8783E">
        <w:rPr>
          <w:rFonts w:ascii="Times New Roman" w:hAnsi="Times New Roman"/>
          <w:sz w:val="24"/>
          <w:szCs w:val="24"/>
          <w:lang w:val="ru-RU"/>
        </w:rPr>
        <w:t>(</w:t>
      </w:r>
      <w:r w:rsidRPr="00A8783E">
        <w:rPr>
          <w:rFonts w:ascii="Times New Roman" w:hAnsi="Times New Roman"/>
          <w:sz w:val="24"/>
          <w:szCs w:val="24"/>
          <w:lang w:val="en-US"/>
        </w:rPr>
        <w:t>Pop</w:t>
      </w:r>
      <w:r w:rsidRPr="00A8783E">
        <w:rPr>
          <w:rFonts w:ascii="Times New Roman" w:hAnsi="Times New Roman"/>
          <w:sz w:val="24"/>
          <w:szCs w:val="24"/>
          <w:lang w:val="ru-RU"/>
        </w:rPr>
        <w:t xml:space="preserve">.) </w:t>
      </w:r>
      <w:r w:rsidRPr="00A8783E">
        <w:rPr>
          <w:rFonts w:ascii="Times New Roman" w:hAnsi="Times New Roman"/>
          <w:sz w:val="24"/>
          <w:szCs w:val="24"/>
        </w:rPr>
        <w:t>от категория „В“ на „С“, тъй като 0-0.4% се отнася за „С“ категория.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0" w:type="auto"/>
            <w:gridSpan w:val="5"/>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Species</w:t>
            </w:r>
          </w:p>
        </w:tc>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G</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Code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Scientific Name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NP</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T</w:t>
            </w:r>
          </w:p>
        </w:tc>
        <w:tc>
          <w:tcPr>
            <w:tcW w:w="0" w:type="auto"/>
            <w:gridSpan w:val="2"/>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D.qual.</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Iso.</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sz w:val="20"/>
                <w:szCs w:val="20"/>
              </w:rPr>
            </w:pPr>
            <w:r w:rsidRPr="00A8783E">
              <w:rPr>
                <w:rFonts w:ascii="Times New Roman" w:hAnsi="Times New Roman"/>
                <w:b/>
                <w:bCs/>
                <w:sz w:val="20"/>
                <w:szCs w:val="20"/>
              </w:rPr>
              <w:t>Glo.</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В</w:t>
            </w:r>
          </w:p>
        </w:tc>
        <w:tc>
          <w:tcPr>
            <w:tcW w:w="0" w:type="auto"/>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A</w:t>
            </w:r>
            <w:r w:rsidRPr="00A8783E">
              <w:rPr>
                <w:rFonts w:ascii="Times New Roman" w:hAnsi="Times New Roman"/>
                <w:b/>
                <w:bCs/>
                <w:sz w:val="20"/>
                <w:szCs w:val="20"/>
                <w:lang w:val="en-US"/>
              </w:rPr>
              <w:t>19</w:t>
            </w:r>
            <w:r w:rsidRPr="00A8783E">
              <w:rPr>
                <w:rFonts w:ascii="Times New Roman" w:hAnsi="Times New Roman"/>
                <w:b/>
                <w:bCs/>
                <w:sz w:val="20"/>
                <w:szCs w:val="20"/>
              </w:rPr>
              <w:t>3</w:t>
            </w:r>
          </w:p>
        </w:tc>
        <w:tc>
          <w:tcPr>
            <w:tcW w:w="0" w:type="auto"/>
            <w:vAlign w:val="center"/>
          </w:tcPr>
          <w:p w:rsidR="00A8783E" w:rsidRPr="00A8783E" w:rsidRDefault="00A8783E" w:rsidP="00A8783E">
            <w:pPr>
              <w:spacing w:after="0" w:line="240" w:lineRule="auto"/>
              <w:rPr>
                <w:rFonts w:ascii="Times New Roman" w:hAnsi="Times New Roman"/>
                <w:i/>
                <w:iCs/>
                <w:sz w:val="20"/>
                <w:szCs w:val="20"/>
                <w:lang w:val="en-US"/>
              </w:rPr>
            </w:pPr>
            <w:r w:rsidRPr="00A8783E">
              <w:rPr>
                <w:rFonts w:ascii="Times New Roman" w:hAnsi="Times New Roman"/>
                <w:i/>
                <w:iCs/>
                <w:sz w:val="20"/>
                <w:szCs w:val="20"/>
              </w:rPr>
              <w:t>Sterna hirundo</w:t>
            </w:r>
          </w:p>
        </w:tc>
        <w:tc>
          <w:tcPr>
            <w:tcW w:w="0" w:type="auto"/>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r</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0</w:t>
            </w:r>
          </w:p>
        </w:tc>
        <w:tc>
          <w:tcPr>
            <w:tcW w:w="0" w:type="auto"/>
            <w:vAlign w:val="center"/>
          </w:tcPr>
          <w:p w:rsidR="00A8783E" w:rsidRPr="00A8783E" w:rsidRDefault="00A8783E" w:rsidP="00A8783E">
            <w:pPr>
              <w:spacing w:after="0" w:line="240"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40</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p</w:t>
            </w:r>
          </w:p>
        </w:tc>
        <w:tc>
          <w:tcPr>
            <w:tcW w:w="0" w:type="auto"/>
            <w:vAlign w:val="center"/>
          </w:tcPr>
          <w:p w:rsidR="00A8783E" w:rsidRPr="00A8783E" w:rsidRDefault="00A8783E" w:rsidP="00A8783E">
            <w:pPr>
              <w:spacing w:after="0" w:line="240" w:lineRule="auto"/>
              <w:rPr>
                <w:rFonts w:ascii="Times New Roman" w:hAnsi="Times New Roman"/>
                <w:sz w:val="20"/>
                <w:szCs w:val="20"/>
              </w:rPr>
            </w:pPr>
          </w:p>
        </w:tc>
        <w:tc>
          <w:tcPr>
            <w:tcW w:w="0" w:type="auto"/>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G</w:t>
            </w:r>
          </w:p>
        </w:tc>
        <w:tc>
          <w:tcPr>
            <w:tcW w:w="0" w:type="auto"/>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color w:val="FF0000"/>
                <w:sz w:val="20"/>
                <w:szCs w:val="20"/>
              </w:rPr>
              <w:t>С</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c>
          <w:tcPr>
            <w:tcW w:w="0" w:type="auto"/>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C</w:t>
            </w:r>
          </w:p>
        </w:tc>
        <w:tc>
          <w:tcPr>
            <w:tcW w:w="0" w:type="auto"/>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lang w:val="en-US"/>
              </w:rPr>
              <w:t>A</w:t>
            </w:r>
          </w:p>
        </w:tc>
      </w:tr>
    </w:tbl>
    <w:p w:rsidR="00A8783E" w:rsidRPr="00A8783E" w:rsidRDefault="00A8783E" w:rsidP="00A8783E">
      <w:pPr>
        <w:spacing w:before="120" w:after="120" w:line="259" w:lineRule="auto"/>
        <w:jc w:val="both"/>
        <w:rPr>
          <w:rFonts w:ascii="Times New Roman" w:hAnsi="Times New Roman"/>
          <w:b/>
          <w:bCs/>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416" w:name="_Toc86409807"/>
      <w:bookmarkStart w:id="417" w:name="_Toc87467269"/>
      <w:bookmarkStart w:id="418" w:name="_Toc87692186"/>
      <w:bookmarkStart w:id="419" w:name="_Toc88865728"/>
      <w:bookmarkStart w:id="420" w:name="_Toc89106135"/>
      <w:bookmarkStart w:id="421" w:name="_Toc98741974"/>
      <w:bookmarkStart w:id="422" w:name="_Toc98838649"/>
      <w:r w:rsidRPr="00A8783E">
        <w:rPr>
          <w:rFonts w:ascii="Times New Roman" w:hAnsi="Times New Roman"/>
          <w:color w:val="1F497D"/>
          <w:sz w:val="28"/>
          <w:szCs w:val="28"/>
        </w:rPr>
        <w:t xml:space="preserve">Специфични цели за А196 </w:t>
      </w:r>
      <w:r w:rsidRPr="00A8783E">
        <w:rPr>
          <w:rFonts w:ascii="Times New Roman" w:hAnsi="Times New Roman"/>
          <w:i/>
          <w:iCs/>
          <w:color w:val="1F497D"/>
          <w:sz w:val="28"/>
          <w:szCs w:val="28"/>
        </w:rPr>
        <w:t>Chlidonias hybridus</w:t>
      </w:r>
      <w:r w:rsidRPr="00A8783E">
        <w:rPr>
          <w:rFonts w:ascii="Times New Roman" w:hAnsi="Times New Roman"/>
          <w:color w:val="1F497D"/>
          <w:sz w:val="28"/>
          <w:szCs w:val="28"/>
        </w:rPr>
        <w:t xml:space="preserve"> (белобуза рибарка)</w:t>
      </w:r>
      <w:bookmarkEnd w:id="416"/>
      <w:bookmarkEnd w:id="417"/>
      <w:bookmarkEnd w:id="418"/>
      <w:bookmarkEnd w:id="419"/>
      <w:bookmarkEnd w:id="420"/>
      <w:bookmarkEnd w:id="421"/>
      <w:bookmarkEnd w:id="422"/>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23-25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74-78 </w:t>
      </w:r>
      <w:r w:rsidRPr="00A8783E">
        <w:rPr>
          <w:rFonts w:ascii="Times New Roman" w:hAnsi="Times New Roman"/>
          <w:sz w:val="24"/>
          <w:szCs w:val="24"/>
          <w:lang w:val="en-US"/>
        </w:rPr>
        <w:t>cm</w:t>
      </w:r>
      <w:r w:rsidRPr="00A8783E">
        <w:rPr>
          <w:rFonts w:ascii="Times New Roman" w:hAnsi="Times New Roman"/>
          <w:sz w:val="24"/>
          <w:szCs w:val="24"/>
        </w:rPr>
        <w:t>. Най-едрата рибарка от рода. Има възрастов и сезонен диморфизъм. Възрастните през лятото са сиви; челото, темето и тилът са черни, а крилата отдолу са бели; клюнът е тъмночервен. През другите сезони челото е бяло, темето - изпъстрено с черни ивици, а тилът е черен. Младите са с петна по гърба, а главата е като на възрастните в зимно оперение; може трудно да се отличат от младите на черната и белокрилата рибарка по окраската на гърба и главата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Гнездящо-прелетен и преминаващ вид. Гнезди на малки колонии. Има едно поколение годишно през периода май-юни (Нанкинов и др., 1997).</w:t>
      </w:r>
      <w:r w:rsidRPr="00A8783E">
        <w:rPr>
          <w:rFonts w:ascii="Times New Roman" w:hAnsi="Times New Roman"/>
          <w:sz w:val="24"/>
          <w:szCs w:val="24"/>
          <w:lang w:val="ru-RU"/>
        </w:rPr>
        <w:t xml:space="preserve"> </w:t>
      </w:r>
      <w:r w:rsidRPr="00A8783E">
        <w:rPr>
          <w:rFonts w:ascii="Times New Roman" w:hAnsi="Times New Roman"/>
          <w:sz w:val="24"/>
          <w:szCs w:val="24"/>
        </w:rPr>
        <w:t xml:space="preserve">Гнезди основно по Дунавското крайбрежие и нередовно в рибарници в Северна България. Белобузата рибарка е най-многобройната рибарка гнездяща по поречието на р. Дунав в страната. Установена е да гнезди поне в седем места по Дунавското крайбрежие като най-многочислена е на остров Персин и в езеро Малък Преславец </w:t>
      </w:r>
      <w:r w:rsidRPr="00A8783E">
        <w:rPr>
          <w:rFonts w:ascii="Times New Roman" w:hAnsi="Times New Roman"/>
          <w:sz w:val="24"/>
          <w:szCs w:val="24"/>
          <w:lang w:val="ru-RU"/>
        </w:rPr>
        <w:t>(</w:t>
      </w:r>
      <w:r w:rsidRPr="00A8783E">
        <w:rPr>
          <w:rFonts w:ascii="Times New Roman" w:hAnsi="Times New Roman"/>
          <w:sz w:val="24"/>
          <w:szCs w:val="24"/>
          <w:lang w:val="en-US"/>
        </w:rPr>
        <w:t>Shurulinkov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2019).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Блата, мочурища, постоянни сладководни езера, рибарници, гъсто обрасли с надводна и околоводна растителност. По време на миграция се среща и в соленоводни водоеми. Предпочита литоралната зона с дълбочина на водата от 1 до 2 m (Nesterenko, 2000). В резервата „Сребърна“ гнезди върху листа на водни лилии с плътност 25-40 двойки на около 40 m</w:t>
      </w:r>
      <w:r w:rsidRPr="00A8783E">
        <w:rPr>
          <w:rFonts w:ascii="Times New Roman" w:hAnsi="Times New Roman"/>
          <w:sz w:val="24"/>
          <w:szCs w:val="24"/>
          <w:vertAlign w:val="superscript"/>
        </w:rPr>
        <w:t>2</w:t>
      </w:r>
      <w:r w:rsidRPr="00A8783E">
        <w:rPr>
          <w:rFonts w:ascii="Times New Roman" w:hAnsi="Times New Roman"/>
          <w:sz w:val="24"/>
          <w:szCs w:val="24"/>
        </w:rPr>
        <w:t xml:space="preserve"> (Kambourova, 2005). Най-малкото разстояние между гнездата е около 1 </w:t>
      </w:r>
      <w:r w:rsidRPr="00A8783E">
        <w:rPr>
          <w:rFonts w:ascii="Times New Roman" w:hAnsi="Times New Roman"/>
          <w:sz w:val="24"/>
          <w:szCs w:val="24"/>
          <w:lang w:val="en-US"/>
        </w:rPr>
        <w:t>m</w:t>
      </w:r>
      <w:r w:rsidRPr="00A8783E">
        <w:rPr>
          <w:rFonts w:ascii="Times New Roman" w:hAnsi="Times New Roman"/>
          <w:sz w:val="24"/>
          <w:szCs w:val="24"/>
        </w:rPr>
        <w:t xml:space="preserve"> (Нанкинов и др., 1997). Подходящи местообитания вероятно са 3150 и 3130 според Директивата за хабитатите (Кавръкова и др., 2009).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Храни се с дребни рибки, жаби и голям брой насекоми, които лови предимно над водата и в полет (Нанкинов и др., 1997).</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миналото е гнездил в единични находища: Свищовско, Беленски острови, ез. Сребърна, възможно в Бургаските езера. Сега се среща предимно в големите крайдунавски водоеми. Количеството на размножаващите се птици силно варира през годините. По време на миграции се наблюдава в редица вътрешни водоеми и микроязовири, както и по Черноморското крайбрежие и край черноморските езера (Червена книга на Р България; Янков,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Защитен вид по ЗБР (Приложения 2 и 3). Включен в Червената книга на Р България (2015) в категория уязвим (VU). Според IUCN – LC (Least Concern), за територията на континентална Европа – LC (Least Concern). Включен в Директивата за птиците (Приложение 1). Включен в SPEC 3.</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2013-2018 г.), </w:t>
      </w:r>
      <w:r w:rsidRPr="00A8783E">
        <w:rPr>
          <w:rFonts w:ascii="Times New Roman" w:hAnsi="Times New Roman"/>
          <w:b/>
          <w:bCs/>
          <w:sz w:val="24"/>
          <w:szCs w:val="24"/>
        </w:rPr>
        <w:t>гнездящата</w:t>
      </w:r>
      <w:r w:rsidRPr="00A8783E">
        <w:rPr>
          <w:rFonts w:ascii="Times New Roman" w:hAnsi="Times New Roman"/>
          <w:sz w:val="24"/>
          <w:szCs w:val="24"/>
        </w:rPr>
        <w:t xml:space="preserve"> национална популация се оценява на </w:t>
      </w:r>
      <w:r w:rsidRPr="00A8783E">
        <w:rPr>
          <w:rFonts w:ascii="Times New Roman" w:hAnsi="Times New Roman"/>
          <w:bCs/>
          <w:sz w:val="24"/>
          <w:szCs w:val="24"/>
        </w:rPr>
        <w:t>320-1680</w:t>
      </w:r>
      <w:r w:rsidRPr="00A8783E">
        <w:rPr>
          <w:rFonts w:ascii="Times New Roman" w:hAnsi="Times New Roman"/>
          <w:sz w:val="24"/>
          <w:szCs w:val="24"/>
        </w:rPr>
        <w:t xml:space="preserve"> двойки. Краткосрочната (2000-2018 г.) и дългосрочната (1980-2018 г.) популационни тенденции са флуктуиращи. Посочени са следните заплахи и влияния: H01; A09; F02; J02.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Мигриращата</w:t>
      </w:r>
      <w:r w:rsidRPr="00A8783E">
        <w:rPr>
          <w:rFonts w:ascii="Times New Roman" w:hAnsi="Times New Roman"/>
          <w:sz w:val="24"/>
          <w:szCs w:val="24"/>
        </w:rPr>
        <w:t xml:space="preserve"> национална популация се оценява на </w:t>
      </w:r>
      <w:r w:rsidRPr="00A8783E">
        <w:rPr>
          <w:rFonts w:ascii="Times New Roman" w:hAnsi="Times New Roman"/>
          <w:bCs/>
          <w:sz w:val="24"/>
          <w:szCs w:val="24"/>
        </w:rPr>
        <w:t>5000-10000</w:t>
      </w:r>
      <w:r w:rsidRPr="00A8783E">
        <w:rPr>
          <w:rFonts w:ascii="Times New Roman" w:hAnsi="Times New Roman"/>
          <w:sz w:val="24"/>
          <w:szCs w:val="24"/>
        </w:rPr>
        <w:t xml:space="preserve"> индивида. Не са посочени краткосрочни и дългосрочни тенденции в числеността на преминаващите индивиди. Посочени са следните заплахи и влияния: F01; F03; F26.</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Червената книга (2015) като заплахи са посочени интензификация на сладководното рибовъдство, случайна смъртност при риболов с мрежи, природни бедствия.</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гнездящ и мигриращ</w:t>
      </w:r>
      <w:r w:rsidRPr="00A8783E">
        <w:rPr>
          <w:rFonts w:ascii="Times New Roman" w:hAnsi="Times New Roman"/>
          <w:sz w:val="24"/>
          <w:szCs w:val="24"/>
        </w:rPr>
        <w:t xml:space="preserve">. </w:t>
      </w:r>
      <w:r w:rsidRPr="00A8783E">
        <w:rPr>
          <w:rFonts w:ascii="Times New Roman" w:hAnsi="Times New Roman"/>
          <w:b/>
          <w:bCs/>
          <w:sz w:val="24"/>
          <w:szCs w:val="24"/>
        </w:rPr>
        <w:t>Гнездящата</w:t>
      </w:r>
      <w:r w:rsidRPr="00A8783E">
        <w:rPr>
          <w:rFonts w:ascii="Times New Roman" w:hAnsi="Times New Roman"/>
          <w:sz w:val="24"/>
          <w:szCs w:val="24"/>
        </w:rPr>
        <w:t xml:space="preserve"> популация се оценява на </w:t>
      </w:r>
      <w:r w:rsidRPr="00A8783E">
        <w:rPr>
          <w:rFonts w:ascii="Times New Roman" w:hAnsi="Times New Roman"/>
          <w:b/>
          <w:bCs/>
          <w:sz w:val="24"/>
          <w:szCs w:val="24"/>
          <w:lang w:val="ru-RU"/>
        </w:rPr>
        <w:t>68</w:t>
      </w:r>
      <w:r w:rsidRPr="00A8783E">
        <w:rPr>
          <w:rFonts w:ascii="Times New Roman" w:hAnsi="Times New Roman"/>
          <w:b/>
          <w:bCs/>
          <w:sz w:val="24"/>
          <w:szCs w:val="24"/>
        </w:rPr>
        <w:t>-</w:t>
      </w:r>
      <w:r w:rsidRPr="00A8783E">
        <w:rPr>
          <w:rFonts w:ascii="Times New Roman" w:hAnsi="Times New Roman"/>
          <w:b/>
          <w:bCs/>
          <w:sz w:val="24"/>
          <w:szCs w:val="24"/>
          <w:lang w:val="ru-RU"/>
        </w:rPr>
        <w:t>160</w:t>
      </w:r>
      <w:r w:rsidRPr="00A8783E">
        <w:rPr>
          <w:rFonts w:ascii="Times New Roman" w:hAnsi="Times New Roman"/>
          <w:b/>
          <w:bCs/>
          <w:sz w:val="24"/>
          <w:szCs w:val="24"/>
        </w:rPr>
        <w:t xml:space="preserve"> двойки</w:t>
      </w:r>
      <w:r w:rsidRPr="00A8783E">
        <w:rPr>
          <w:rFonts w:ascii="Times New Roman" w:hAnsi="Times New Roman"/>
          <w:sz w:val="24"/>
          <w:szCs w:val="24"/>
        </w:rPr>
        <w:t>, което представлява 9,5-21 %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СФ </w:t>
      </w:r>
      <w:r w:rsidRPr="00A8783E">
        <w:rPr>
          <w:rFonts w:ascii="Times New Roman" w:hAnsi="Times New Roman"/>
          <w:b/>
          <w:bCs/>
          <w:sz w:val="24"/>
          <w:szCs w:val="24"/>
        </w:rPr>
        <w:t>мигриращата</w:t>
      </w:r>
      <w:r w:rsidRPr="00A8783E">
        <w:rPr>
          <w:rFonts w:ascii="Times New Roman" w:hAnsi="Times New Roman"/>
          <w:sz w:val="24"/>
          <w:szCs w:val="24"/>
        </w:rPr>
        <w:t xml:space="preserve"> популация се оценя на </w:t>
      </w:r>
      <w:r w:rsidRPr="00A8783E">
        <w:rPr>
          <w:rFonts w:ascii="Times New Roman" w:hAnsi="Times New Roman"/>
          <w:b/>
          <w:bCs/>
          <w:sz w:val="24"/>
          <w:szCs w:val="24"/>
        </w:rPr>
        <w:t>до 220 индивида</w:t>
      </w:r>
      <w:r w:rsidRPr="00A8783E">
        <w:rPr>
          <w:rFonts w:ascii="Times New Roman" w:hAnsi="Times New Roman"/>
          <w:sz w:val="24"/>
          <w:szCs w:val="24"/>
        </w:rPr>
        <w:t>, което е 2,2–4,4 % от националната популация (оценка „А“).</w:t>
      </w:r>
      <w:r w:rsidRPr="00A8783E">
        <w:rPr>
          <w:rFonts w:ascii="Times New Roman" w:hAnsi="Times New Roman"/>
          <w:color w:val="0070C0"/>
          <w:sz w:val="24"/>
          <w:szCs w:val="24"/>
        </w:rPr>
        <w:t xml:space="preserve"> </w:t>
      </w:r>
      <w:r w:rsidRPr="00A8783E">
        <w:rPr>
          <w:rFonts w:ascii="Times New Roman" w:hAnsi="Times New Roman"/>
          <w:sz w:val="24"/>
          <w:szCs w:val="24"/>
        </w:rPr>
        <w:t>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color w:val="0070C0"/>
          <w:sz w:val="24"/>
          <w:szCs w:val="24"/>
        </w:rPr>
      </w:pPr>
      <w:r w:rsidRPr="00A8783E">
        <w:rPr>
          <w:rFonts w:ascii="Times New Roman" w:hAnsi="Times New Roman"/>
          <w:i/>
          <w:iCs/>
          <w:sz w:val="24"/>
          <w:szCs w:val="24"/>
        </w:rPr>
        <w:t>Гнездяща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Гнездовите находища на белобузата рибарка по поречието на Дунав са непостоянни през годините и със силни вариации в броя на гнездящите птици. Броят им зависи от водното ниво във влажните зони по поречието на Дунав. В периода 2006-2013 г.г. вида гнезди в зоната с численост около 40-160 дв. </w:t>
      </w:r>
      <w:r w:rsidRPr="00A8783E">
        <w:rPr>
          <w:rFonts w:ascii="Times New Roman" w:hAnsi="Times New Roman"/>
          <w:sz w:val="24"/>
          <w:szCs w:val="24"/>
          <w:lang w:val="ru-RU"/>
        </w:rPr>
        <w:t>(</w:t>
      </w:r>
      <w:r w:rsidRPr="00A8783E">
        <w:rPr>
          <w:rFonts w:ascii="Times New Roman" w:hAnsi="Times New Roman"/>
          <w:sz w:val="24"/>
          <w:szCs w:val="24"/>
          <w:lang w:val="en-US"/>
        </w:rPr>
        <w:t>Shurulinkov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2019)</w:t>
      </w:r>
      <w:r w:rsidRPr="00A8783E">
        <w:rPr>
          <w:rFonts w:ascii="Times New Roman" w:hAnsi="Times New Roman"/>
          <w:sz w:val="24"/>
          <w:szCs w:val="24"/>
        </w:rPr>
        <w:t xml:space="preserve">. Видът е гнездил в зоната през 2012 г. с численост 160 дв. </w:t>
      </w:r>
      <w:r w:rsidRPr="00A8783E">
        <w:rPr>
          <w:rFonts w:ascii="Times New Roman" w:hAnsi="Times New Roman"/>
          <w:sz w:val="24"/>
          <w:szCs w:val="24"/>
          <w:lang w:val="ru-RU"/>
        </w:rPr>
        <w:t>(</w:t>
      </w:r>
      <w:r w:rsidRPr="00A8783E">
        <w:rPr>
          <w:rFonts w:ascii="Times New Roman" w:hAnsi="Times New Roman"/>
          <w:sz w:val="24"/>
          <w:szCs w:val="24"/>
        </w:rPr>
        <w:t>Матеева и др., 2013</w:t>
      </w:r>
      <w:r w:rsidRPr="00A8783E">
        <w:rPr>
          <w:rFonts w:ascii="Times New Roman" w:hAnsi="Times New Roman"/>
          <w:sz w:val="24"/>
          <w:szCs w:val="24"/>
          <w:lang w:val="ru-RU"/>
        </w:rPr>
        <w:t>)</w:t>
      </w:r>
      <w:r w:rsidRPr="00A8783E">
        <w:rPr>
          <w:rFonts w:ascii="Times New Roman" w:hAnsi="Times New Roman"/>
          <w:sz w:val="24"/>
          <w:szCs w:val="24"/>
        </w:rPr>
        <w:t xml:space="preserve">. В ОВМ „Сребърна“ са отчетени 150-500 дв.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отг. ред., 2007</w:t>
      </w:r>
      <w:r w:rsidRPr="00A8783E">
        <w:rPr>
          <w:rFonts w:ascii="Times New Roman" w:hAnsi="Times New Roman"/>
          <w:sz w:val="24"/>
          <w:szCs w:val="24"/>
          <w:lang w:val="ru-RU"/>
        </w:rPr>
        <w:t>)</w:t>
      </w:r>
      <w:r w:rsidRPr="00A8783E">
        <w:rPr>
          <w:rFonts w:ascii="Times New Roman" w:hAnsi="Times New Roman"/>
          <w:sz w:val="24"/>
          <w:szCs w:val="24"/>
        </w:rPr>
        <w:t xml:space="preserve">. През 2014 г. в зоната са отчетени между 90 и 110 дв. Колониите се разполагат върху листа на водна лилия </w:t>
      </w:r>
      <w:r w:rsidRPr="00A8783E">
        <w:rPr>
          <w:rFonts w:ascii="Times New Roman" w:hAnsi="Times New Roman"/>
          <w:sz w:val="24"/>
          <w:szCs w:val="24"/>
          <w:lang w:val="ru-RU"/>
        </w:rPr>
        <w:t>(</w:t>
      </w:r>
      <w:r w:rsidRPr="00A8783E">
        <w:rPr>
          <w:rFonts w:ascii="Times New Roman" w:hAnsi="Times New Roman"/>
          <w:sz w:val="24"/>
          <w:szCs w:val="24"/>
        </w:rPr>
        <w:t>Актуализиран План за управление на ПР Сребърна, 2015</w:t>
      </w:r>
      <w:r w:rsidRPr="00A8783E">
        <w:rPr>
          <w:rFonts w:ascii="Times New Roman" w:hAnsi="Times New Roman"/>
          <w:sz w:val="24"/>
          <w:szCs w:val="24"/>
          <w:lang w:val="ru-RU"/>
        </w:rPr>
        <w:t>)</w:t>
      </w:r>
      <w:r w:rsidRPr="00A8783E">
        <w:rPr>
          <w:rFonts w:ascii="Times New Roman" w:hAnsi="Times New Roman"/>
          <w:sz w:val="24"/>
          <w:szCs w:val="24"/>
        </w:rPr>
        <w:t>. През гнездовия период на 2021 г. в Сребърна беше отчетена една колония на вида с численост 35 дв., която се намира в западните части на резервата и е разположена изключително върху водни лилии.</w:t>
      </w:r>
      <w:r w:rsidRPr="00A8783E">
        <w:rPr>
          <w:lang w:val="ru-RU"/>
        </w:rPr>
        <w:t xml:space="preserve"> </w:t>
      </w:r>
      <w:r w:rsidRPr="00A8783E">
        <w:rPr>
          <w:rFonts w:ascii="Times New Roman" w:hAnsi="Times New Roman"/>
          <w:sz w:val="24"/>
          <w:szCs w:val="24"/>
        </w:rPr>
        <w:t>Поради редуциране на съобществата от водна лилия в резервата значително намалява числеността на колониите на вида. Причината за намаляването на съобществата от водна лилия се дължи на големите изменения във водното ниво на езерото през годините.</w:t>
      </w:r>
      <w:r w:rsidRPr="00A8783E">
        <w:rPr>
          <w:lang w:val="ru-RU"/>
        </w:rPr>
        <w:t xml:space="preserve"> </w:t>
      </w:r>
      <w:r w:rsidRPr="00A8783E">
        <w:rPr>
          <w:rFonts w:ascii="Times New Roman" w:hAnsi="Times New Roman"/>
          <w:sz w:val="24"/>
          <w:szCs w:val="24"/>
        </w:rPr>
        <w:t>Хранителната база на видовете е в самият резерват, р. Дунав с временните островни водоеми и разливи по ниските места на бреговете.</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A8783E">
        <w:rPr>
          <w:rFonts w:ascii="Times New Roman" w:hAnsi="Times New Roman"/>
          <w:sz w:val="24"/>
          <w:szCs w:val="24"/>
          <w:lang w:val="ru-RU"/>
        </w:rPr>
        <w:t xml:space="preserve"> </w:t>
      </w:r>
      <w:r w:rsidRPr="00A8783E">
        <w:rPr>
          <w:rFonts w:ascii="Times New Roman" w:hAnsi="Times New Roman"/>
          <w:sz w:val="24"/>
          <w:szCs w:val="24"/>
        </w:rPr>
        <w:t xml:space="preserve">В Дунавската равнина белобузата рибарка е рядък мигриращ вид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 xml:space="preserve">В Бургаските влажни зони видът е доста често срещан есенен мигрант с максимална численост 73 инд. през пролетта и 233 инд. през есента </w:t>
      </w:r>
      <w:r w:rsidRPr="00A8783E">
        <w:rPr>
          <w:rFonts w:ascii="Times New Roman" w:hAnsi="Times New Roman"/>
          <w:sz w:val="24"/>
          <w:szCs w:val="24"/>
          <w:lang w:val="ru-RU"/>
        </w:rPr>
        <w:t>(</w:t>
      </w:r>
      <w:r w:rsidRPr="00A8783E">
        <w:rPr>
          <w:rFonts w:ascii="Times New Roman" w:hAnsi="Times New Roman"/>
          <w:sz w:val="24"/>
          <w:szCs w:val="24"/>
          <w:lang w:val="en-US"/>
        </w:rPr>
        <w:t>Dimitrov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2005).</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 xml:space="preserve">От посочените заплахи H01, A09, F02 и J02 за гнездящата популация в докладването по чл. 12 нито една няма отношение към зоната. Заплаха </w:t>
      </w:r>
      <w:r w:rsidRPr="00A8783E">
        <w:rPr>
          <w:rFonts w:ascii="Times New Roman" w:hAnsi="Times New Roman"/>
          <w:sz w:val="24"/>
          <w:szCs w:val="24"/>
          <w:lang w:val="en-US"/>
        </w:rPr>
        <w:t>K</w:t>
      </w:r>
      <w:r w:rsidRPr="00A8783E">
        <w:rPr>
          <w:rFonts w:ascii="Times New Roman" w:hAnsi="Times New Roman"/>
          <w:sz w:val="24"/>
          <w:szCs w:val="24"/>
          <w:lang w:val="ru-RU"/>
        </w:rPr>
        <w:t>04-</w:t>
      </w:r>
      <w:r w:rsidRPr="00A8783E">
        <w:rPr>
          <w:rFonts w:ascii="Times New Roman" w:hAnsi="Times New Roman"/>
          <w:sz w:val="24"/>
          <w:szCs w:val="24"/>
        </w:rPr>
        <w:t>Изменение на хидродинамичните характеристики има отношение към ЗЗ Сребърна</w:t>
      </w:r>
      <w:r w:rsidRPr="00A8783E">
        <w:rPr>
          <w:rFonts w:ascii="Times New Roman" w:hAnsi="Times New Roman"/>
          <w:sz w:val="24"/>
          <w:szCs w:val="24"/>
          <w:lang w:val="ru-RU"/>
        </w:rPr>
        <w:t>)</w:t>
      </w:r>
      <w:r w:rsidRPr="00A8783E">
        <w:rPr>
          <w:rFonts w:ascii="Times New Roman" w:hAnsi="Times New Roman"/>
          <w:sz w:val="24"/>
          <w:szCs w:val="24"/>
        </w:rPr>
        <w:t xml:space="preserve">, а също и качеството на водите във влажната зона </w:t>
      </w:r>
      <w:r w:rsidRPr="00A8783E">
        <w:rPr>
          <w:rFonts w:ascii="Times New Roman" w:hAnsi="Times New Roman"/>
          <w:sz w:val="24"/>
          <w:szCs w:val="24"/>
          <w:lang w:val="ru-RU"/>
        </w:rPr>
        <w:t>(</w:t>
      </w:r>
      <w:r w:rsidRPr="00A8783E">
        <w:rPr>
          <w:rFonts w:ascii="Times New Roman" w:hAnsi="Times New Roman"/>
          <w:sz w:val="24"/>
          <w:szCs w:val="24"/>
          <w:lang w:val="en-US"/>
        </w:rPr>
        <w:t>F</w:t>
      </w:r>
      <w:r w:rsidRPr="00A8783E">
        <w:rPr>
          <w:rFonts w:ascii="Times New Roman" w:hAnsi="Times New Roman"/>
          <w:sz w:val="24"/>
          <w:szCs w:val="24"/>
          <w:lang w:val="ru-RU"/>
        </w:rPr>
        <w:t xml:space="preserve">11, </w:t>
      </w:r>
      <w:r w:rsidRPr="00A8783E">
        <w:rPr>
          <w:rFonts w:ascii="Times New Roman" w:hAnsi="Times New Roman"/>
          <w:sz w:val="24"/>
          <w:szCs w:val="24"/>
          <w:lang w:val="en-US"/>
        </w:rPr>
        <w:t>F</w:t>
      </w:r>
      <w:r w:rsidRPr="00A8783E">
        <w:rPr>
          <w:rFonts w:ascii="Times New Roman" w:hAnsi="Times New Roman"/>
          <w:sz w:val="24"/>
          <w:szCs w:val="24"/>
          <w:lang w:val="ru-RU"/>
        </w:rPr>
        <w:t xml:space="preserve">14, </w:t>
      </w:r>
      <w:r w:rsidRPr="00A8783E">
        <w:rPr>
          <w:rFonts w:ascii="Times New Roman" w:hAnsi="Times New Roman"/>
          <w:sz w:val="24"/>
          <w:szCs w:val="24"/>
          <w:lang w:val="en-US"/>
        </w:rPr>
        <w:t>A</w:t>
      </w:r>
      <w:r w:rsidRPr="00A8783E">
        <w:rPr>
          <w:rFonts w:ascii="Times New Roman" w:hAnsi="Times New Roman"/>
          <w:sz w:val="24"/>
          <w:szCs w:val="24"/>
          <w:lang w:val="ru-RU"/>
        </w:rPr>
        <w:t>26)</w:t>
      </w:r>
      <w:r w:rsidRPr="00A8783E">
        <w:rPr>
          <w:rFonts w:ascii="Times New Roman" w:hAnsi="Times New Roman"/>
          <w:sz w:val="24"/>
          <w:szCs w:val="24"/>
        </w:rPr>
        <w:t>. В резултат на това намаляват подходящите местообитания за гнездене на вида в зоната, а именно – съобществата от водна лилия. От посочените заплахи F01, F03 и F26 за мигриращата популация в докладването по чл. 12 нито една няма отношение към зоната. Смятаме, че по време на прелет вида не е застрашен в зоната.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275"/>
        <w:gridCol w:w="1418"/>
        <w:gridCol w:w="2767"/>
        <w:gridCol w:w="2194"/>
      </w:tblGrid>
      <w:tr w:rsidR="00A8783E" w:rsidRPr="00A8783E" w:rsidTr="005B5318">
        <w:trPr>
          <w:tblHeader/>
          <w:jc w:val="center"/>
        </w:trPr>
        <w:tc>
          <w:tcPr>
            <w:tcW w:w="155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27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41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767"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19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55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Популация</w:t>
            </w:r>
            <w:r w:rsidRPr="00A8783E">
              <w:rPr>
                <w:rFonts w:ascii="Times New Roman" w:hAnsi="Times New Roman"/>
              </w:rPr>
              <w:t>: Размер на гнездовата популация</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Брой двойки </w:t>
            </w:r>
          </w:p>
        </w:tc>
        <w:tc>
          <w:tcPr>
            <w:tcW w:w="1418" w:type="dxa"/>
          </w:tcPr>
          <w:p w:rsidR="00A8783E" w:rsidRPr="00A8783E" w:rsidRDefault="00A8783E" w:rsidP="00A8783E">
            <w:pPr>
              <w:spacing w:after="0" w:line="240" w:lineRule="auto"/>
              <w:rPr>
                <w:rFonts w:ascii="Times New Roman" w:hAnsi="Times New Roman"/>
                <w:color w:val="0070C0"/>
              </w:rPr>
            </w:pPr>
            <w:r w:rsidRPr="00A8783E">
              <w:rPr>
                <w:rFonts w:ascii="Times New Roman" w:hAnsi="Times New Roman"/>
              </w:rPr>
              <w:t>най-малко 35 дв.</w:t>
            </w:r>
          </w:p>
        </w:tc>
        <w:tc>
          <w:tcPr>
            <w:tcW w:w="276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от СФ и други публикувани източници за гнездовата численост на вида през различните години в зоната.</w:t>
            </w:r>
            <w:r w:rsidRPr="00A8783E">
              <w:rPr>
                <w:rFonts w:cs="Calibri"/>
              </w:rPr>
              <w:t xml:space="preserve"> </w:t>
            </w:r>
            <w:r w:rsidRPr="00A8783E">
              <w:rPr>
                <w:rFonts w:ascii="Times New Roman" w:hAnsi="Times New Roman"/>
              </w:rPr>
              <w:t>По отношение на гнездящата популация предлагаме актуализация на минималната численост от 68 на 35 дв. на база на данните през гнездовия период на 2021 г., когато в езерото са отчетени 35 дв.</w:t>
            </w:r>
          </w:p>
        </w:tc>
        <w:tc>
          <w:tcPr>
            <w:tcW w:w="2194" w:type="dxa"/>
          </w:tcPr>
          <w:p w:rsidR="00A8783E" w:rsidRPr="00A8783E" w:rsidRDefault="00A8783E" w:rsidP="00A8783E">
            <w:pPr>
              <w:spacing w:after="0" w:line="240" w:lineRule="auto"/>
              <w:jc w:val="both"/>
              <w:rPr>
                <w:rFonts w:ascii="Times New Roman" w:hAnsi="Times New Roman"/>
                <w:color w:val="0070C0"/>
              </w:rPr>
            </w:pPr>
            <w:r w:rsidRPr="00A8783E">
              <w:rPr>
                <w:rFonts w:ascii="Times New Roman" w:hAnsi="Times New Roman"/>
              </w:rPr>
              <w:t>Поддържане на популацията на вида в зоната в размер от най-малко 35 гнездящи двойки. Необходимо е да се провежда мониторинг всяка година за установяване на числеността.</w:t>
            </w:r>
          </w:p>
        </w:tc>
      </w:tr>
      <w:tr w:rsidR="00A8783E" w:rsidRPr="00A8783E" w:rsidTr="005B5318">
        <w:trPr>
          <w:trHeight w:val="606"/>
          <w:jc w:val="center"/>
        </w:trPr>
        <w:tc>
          <w:tcPr>
            <w:tcW w:w="155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lastRenderedPageBreak/>
              <w:t>Популация</w:t>
            </w:r>
            <w:r w:rsidRPr="00A8783E">
              <w:rPr>
                <w:rFonts w:ascii="Times New Roman" w:hAnsi="Times New Roman"/>
              </w:rPr>
              <w:t>: Размер мигриращата популация</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4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до 220 инд.</w:t>
            </w:r>
          </w:p>
        </w:tc>
        <w:tc>
          <w:tcPr>
            <w:tcW w:w="276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на база СФ. Тези данни се нуждаят от потвърждение/актуализация в резултата на адекватен мониторинг в периода октомври – март месец.</w:t>
            </w:r>
          </w:p>
        </w:tc>
        <w:tc>
          <w:tcPr>
            <w:tcW w:w="219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A8783E" w:rsidRPr="00A8783E" w:rsidTr="005B5318">
        <w:trPr>
          <w:trHeight w:val="748"/>
          <w:jc w:val="center"/>
        </w:trPr>
        <w:tc>
          <w:tcPr>
            <w:tcW w:w="1555"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гнездови местообитания на вида</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площ на плаваща водна растителност </w:t>
            </w:r>
            <w:r w:rsidRPr="00A8783E">
              <w:rPr>
                <w:rFonts w:ascii="Times New Roman" w:hAnsi="Times New Roman"/>
                <w:lang w:val="ru-RU"/>
              </w:rPr>
              <w:t>(</w:t>
            </w:r>
            <w:r w:rsidRPr="00A8783E">
              <w:rPr>
                <w:rFonts w:ascii="Times New Roman" w:hAnsi="Times New Roman"/>
              </w:rPr>
              <w:t>най-често водна лилия</w:t>
            </w:r>
            <w:r w:rsidRPr="00A8783E">
              <w:rPr>
                <w:rFonts w:ascii="Times New Roman" w:hAnsi="Times New Roman"/>
                <w:lang w:val="ru-RU"/>
              </w:rPr>
              <w:t>)</w:t>
            </w:r>
            <w:r w:rsidRPr="00A8783E">
              <w:rPr>
                <w:rFonts w:ascii="Times New Roman" w:hAnsi="Times New Roman"/>
              </w:rPr>
              <w:t xml:space="preserve"> </w:t>
            </w:r>
          </w:p>
        </w:tc>
        <w:tc>
          <w:tcPr>
            <w:tcW w:w="14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минимум 15-20 m</w:t>
            </w:r>
            <w:r w:rsidRPr="00A8783E">
              <w:rPr>
                <w:rFonts w:ascii="Times New Roman" w:hAnsi="Times New Roman"/>
                <w:vertAlign w:val="superscript"/>
              </w:rPr>
              <w:t>2</w:t>
            </w:r>
            <w:r w:rsidRPr="00A8783E">
              <w:rPr>
                <w:rFonts w:ascii="Times New Roman" w:hAnsi="Times New Roman"/>
              </w:rPr>
              <w:t xml:space="preserve"> за 10 дв., тъй като вида гнезди колониално</w:t>
            </w:r>
          </w:p>
        </w:tc>
        <w:tc>
          <w:tcPr>
            <w:tcW w:w="276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Предпочита да гнезди върху плаваща водна растителност </w:t>
            </w:r>
            <w:r w:rsidRPr="00A8783E">
              <w:rPr>
                <w:rFonts w:ascii="Times New Roman" w:hAnsi="Times New Roman"/>
                <w:lang w:val="ru-RU"/>
              </w:rPr>
              <w:t>(</w:t>
            </w:r>
            <w:r w:rsidRPr="00A8783E">
              <w:rPr>
                <w:rFonts w:ascii="Times New Roman" w:hAnsi="Times New Roman"/>
                <w:i/>
                <w:iCs/>
                <w:lang w:val="en-US"/>
              </w:rPr>
              <w:t>Nymphaea</w:t>
            </w:r>
            <w:r w:rsidRPr="00A8783E">
              <w:rPr>
                <w:rFonts w:ascii="Times New Roman" w:hAnsi="Times New Roman"/>
                <w:lang w:val="ru-RU"/>
              </w:rPr>
              <w:t xml:space="preserve"> </w:t>
            </w:r>
            <w:r w:rsidRPr="00A8783E">
              <w:rPr>
                <w:rFonts w:ascii="Times New Roman" w:hAnsi="Times New Roman"/>
                <w:lang w:val="en-US"/>
              </w:rPr>
              <w:t>sp</w:t>
            </w:r>
            <w:r w:rsidRPr="00A8783E">
              <w:rPr>
                <w:rFonts w:ascii="Times New Roman" w:hAnsi="Times New Roman"/>
                <w:lang w:val="ru-RU"/>
              </w:rPr>
              <w:t xml:space="preserve">., </w:t>
            </w:r>
            <w:r w:rsidRPr="00A8783E">
              <w:rPr>
                <w:rFonts w:ascii="Times New Roman" w:hAnsi="Times New Roman"/>
                <w:i/>
                <w:iCs/>
                <w:lang w:val="en-US"/>
              </w:rPr>
              <w:t>Nuphar</w:t>
            </w:r>
            <w:r w:rsidRPr="00A8783E">
              <w:rPr>
                <w:rFonts w:ascii="Times New Roman" w:hAnsi="Times New Roman"/>
                <w:lang w:val="ru-RU"/>
              </w:rPr>
              <w:t xml:space="preserve"> </w:t>
            </w:r>
            <w:r w:rsidRPr="00A8783E">
              <w:rPr>
                <w:rFonts w:ascii="Times New Roman" w:hAnsi="Times New Roman"/>
                <w:lang w:val="en-US"/>
              </w:rPr>
              <w:t>sp</w:t>
            </w:r>
            <w:r w:rsidRPr="00A8783E">
              <w:rPr>
                <w:rFonts w:ascii="Times New Roman" w:hAnsi="Times New Roman"/>
                <w:lang w:val="ru-RU"/>
              </w:rPr>
              <w:t xml:space="preserve">. </w:t>
            </w:r>
            <w:r w:rsidRPr="00A8783E">
              <w:rPr>
                <w:rFonts w:ascii="Times New Roman" w:hAnsi="Times New Roman"/>
              </w:rPr>
              <w:t>и др.</w:t>
            </w:r>
            <w:r w:rsidRPr="00A8783E">
              <w:rPr>
                <w:rFonts w:ascii="Times New Roman" w:hAnsi="Times New Roman"/>
                <w:lang w:val="ru-RU"/>
              </w:rPr>
              <w:t>)</w:t>
            </w:r>
            <w:r w:rsidRPr="00A8783E">
              <w:rPr>
                <w:rFonts w:ascii="Times New Roman" w:hAnsi="Times New Roman"/>
              </w:rPr>
              <w:t xml:space="preserve"> и коренища, намиращи се на водната повърхност. Най-малкото разстояние между гнездата е около 1 </w:t>
            </w:r>
            <w:r w:rsidRPr="00A8783E">
              <w:rPr>
                <w:rFonts w:ascii="Times New Roman" w:hAnsi="Times New Roman"/>
                <w:lang w:val="en-US"/>
              </w:rPr>
              <w:t>m</w:t>
            </w:r>
            <w:r w:rsidRPr="00A8783E">
              <w:rPr>
                <w:rFonts w:ascii="Times New Roman" w:hAnsi="Times New Roman"/>
              </w:rPr>
              <w:t>.</w:t>
            </w:r>
          </w:p>
          <w:p w:rsidR="00A8783E" w:rsidRPr="00A8783E" w:rsidRDefault="00A8783E" w:rsidP="00A8783E">
            <w:pPr>
              <w:spacing w:after="0" w:line="240" w:lineRule="auto"/>
              <w:jc w:val="both"/>
              <w:rPr>
                <w:rFonts w:ascii="Times New Roman" w:hAnsi="Times New Roman"/>
                <w:b/>
                <w:bCs/>
              </w:rPr>
            </w:pPr>
          </w:p>
        </w:tc>
        <w:tc>
          <w:tcPr>
            <w:tcW w:w="219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Да се осигури развитието на по-големи по площ съобщества от плаваща водна растителност – водни лилии подходящи за гнезденето на вида, с минимум площ от 15-20 </w:t>
            </w:r>
            <w:r w:rsidRPr="00A8783E">
              <w:rPr>
                <w:rFonts w:ascii="Times New Roman" w:hAnsi="Times New Roman"/>
                <w:lang w:val="en-US"/>
              </w:rPr>
              <w:t>m</w:t>
            </w:r>
            <w:r w:rsidRPr="00A8783E">
              <w:rPr>
                <w:rFonts w:ascii="Times New Roman" w:hAnsi="Times New Roman"/>
                <w:vertAlign w:val="superscript"/>
              </w:rPr>
              <w:t>2</w:t>
            </w:r>
            <w:r w:rsidRPr="00A8783E">
              <w:rPr>
                <w:rFonts w:ascii="Times New Roman" w:hAnsi="Times New Roman"/>
              </w:rPr>
              <w:t>. Това може да стане чрез осигуряване на по-постоянно водно ниво в езерото.</w:t>
            </w:r>
          </w:p>
        </w:tc>
      </w:tr>
      <w:tr w:rsidR="00A8783E" w:rsidRPr="00A8783E" w:rsidTr="005B5318">
        <w:trPr>
          <w:trHeight w:val="748"/>
          <w:jc w:val="center"/>
        </w:trPr>
        <w:tc>
          <w:tcPr>
            <w:tcW w:w="155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Местообитание на вида</w:t>
            </w:r>
            <w:r w:rsidRPr="00A8783E">
              <w:rPr>
                <w:rFonts w:ascii="Times New Roman" w:hAnsi="Times New Roman"/>
              </w:rPr>
              <w:t xml:space="preserve">: Площ на подходящите хранителни местообитания на вида </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ha</w:t>
            </w:r>
          </w:p>
          <w:p w:rsidR="00A8783E" w:rsidRPr="00A8783E" w:rsidRDefault="00A8783E" w:rsidP="00A8783E">
            <w:pPr>
              <w:spacing w:after="0" w:line="240" w:lineRule="auto"/>
              <w:jc w:val="both"/>
              <w:rPr>
                <w:rFonts w:ascii="Times New Roman" w:hAnsi="Times New Roman"/>
              </w:rPr>
            </w:pPr>
          </w:p>
        </w:tc>
        <w:tc>
          <w:tcPr>
            <w:tcW w:w="14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840 </w:t>
            </w:r>
          </w:p>
        </w:tc>
        <w:tc>
          <w:tcPr>
            <w:tcW w:w="276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Изчислена на база откритите водни площи в рамките на СЗЗ. Данните са взети от СФ като % на местообитание </w:t>
            </w:r>
            <w:r w:rsidRPr="00A8783E">
              <w:rPr>
                <w:rFonts w:ascii="Times New Roman" w:hAnsi="Times New Roman"/>
                <w:lang w:val="en-GB"/>
              </w:rPr>
              <w:t>N</w:t>
            </w:r>
            <w:r w:rsidRPr="00A8783E">
              <w:rPr>
                <w:rFonts w:ascii="Times New Roman" w:hAnsi="Times New Roman"/>
                <w:lang w:val="ru-RU"/>
              </w:rPr>
              <w:t>06</w:t>
            </w:r>
            <w:r w:rsidRPr="00A8783E">
              <w:rPr>
                <w:rFonts w:ascii="Times New Roman" w:hAnsi="Times New Roman"/>
              </w:rPr>
              <w:t xml:space="preserve">– вътрешни водни тела и </w:t>
            </w:r>
            <w:r w:rsidRPr="00A8783E">
              <w:rPr>
                <w:rFonts w:ascii="Times New Roman" w:hAnsi="Times New Roman"/>
                <w:lang w:val="en-US"/>
              </w:rPr>
              <w:t>N</w:t>
            </w:r>
            <w:r w:rsidRPr="00A8783E">
              <w:rPr>
                <w:rFonts w:ascii="Times New Roman" w:hAnsi="Times New Roman"/>
                <w:lang w:val="ru-RU"/>
              </w:rPr>
              <w:t>07</w:t>
            </w:r>
            <w:r w:rsidRPr="00A8783E">
              <w:rPr>
                <w:rFonts w:ascii="Times New Roman" w:hAnsi="Times New Roman"/>
              </w:rPr>
              <w:t>-мочурища и блата.</w:t>
            </w:r>
            <w:r w:rsidRPr="00A8783E">
              <w:rPr>
                <w:rFonts w:ascii="Times New Roman" w:hAnsi="Times New Roman"/>
                <w:lang w:val="ru-RU"/>
              </w:rPr>
              <w:t xml:space="preserve"> </w:t>
            </w:r>
            <w:r w:rsidRPr="00A8783E">
              <w:rPr>
                <w:rFonts w:ascii="Times New Roman" w:hAnsi="Times New Roman"/>
              </w:rPr>
              <w:t>В зоната вида се храни в откритите части на резервата, а също и в реката.</w:t>
            </w:r>
          </w:p>
        </w:tc>
        <w:tc>
          <w:tcPr>
            <w:tcW w:w="219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водното ниво в зоната, така че да се осигуряват достатъчни водни огледала. </w:t>
            </w:r>
          </w:p>
        </w:tc>
      </w:tr>
      <w:tr w:rsidR="00A8783E" w:rsidRPr="00A8783E" w:rsidTr="005B5318">
        <w:trPr>
          <w:trHeight w:val="748"/>
          <w:jc w:val="center"/>
        </w:trPr>
        <w:tc>
          <w:tcPr>
            <w:tcW w:w="1555" w:type="dxa"/>
          </w:tcPr>
          <w:p w:rsidR="00A8783E" w:rsidRPr="00A8783E" w:rsidRDefault="00A8783E" w:rsidP="00A8783E">
            <w:pPr>
              <w:spacing w:after="0" w:line="240" w:lineRule="auto"/>
              <w:jc w:val="both"/>
              <w:rPr>
                <w:rFonts w:ascii="Times New Roman" w:hAnsi="Times New Roman"/>
                <w:lang w:val="ru-RU"/>
              </w:rPr>
            </w:pPr>
            <w:r w:rsidRPr="00A8783E">
              <w:rPr>
                <w:rFonts w:ascii="Times New Roman" w:hAnsi="Times New Roman"/>
                <w:b/>
                <w:bCs/>
              </w:rPr>
              <w:t>Местообитание на вида</w:t>
            </w:r>
            <w:r w:rsidRPr="00A8783E">
              <w:rPr>
                <w:rFonts w:ascii="Times New Roman" w:hAnsi="Times New Roman"/>
              </w:rPr>
              <w:t>: Екологично състояние на водните тела с хранителни местообитания на вида, по биологични елементи за качество (БЕК  Риби</w:t>
            </w:r>
            <w:r w:rsidRPr="00A8783E">
              <w:rPr>
                <w:rFonts w:ascii="Times New Roman" w:hAnsi="Times New Roman"/>
                <w:lang w:val="ru-RU"/>
              </w:rPr>
              <w:t xml:space="preserve"> </w:t>
            </w:r>
            <w:r w:rsidRPr="00A8783E">
              <w:rPr>
                <w:rFonts w:ascii="Times New Roman" w:hAnsi="Times New Roman"/>
              </w:rPr>
              <w:t>и Макрозообентос</w:t>
            </w:r>
            <w:r w:rsidRPr="00A8783E">
              <w:rPr>
                <w:rFonts w:ascii="Times New Roman" w:hAnsi="Times New Roman"/>
                <w:lang w:val="ru-RU"/>
              </w:rPr>
              <w:t>)</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5 степенна скала за екологично състояние, съгласно РДВ </w:t>
            </w:r>
          </w:p>
        </w:tc>
        <w:tc>
          <w:tcPr>
            <w:tcW w:w="14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По-висока или равна на 2 – Добро състояние</w:t>
            </w:r>
          </w:p>
        </w:tc>
        <w:tc>
          <w:tcPr>
            <w:tcW w:w="2767" w:type="dxa"/>
          </w:tcPr>
          <w:tbl>
            <w:tblPr>
              <w:tblW w:w="3311" w:type="dxa"/>
              <w:tblInd w:w="3" w:type="dxa"/>
              <w:tblLayout w:type="fixed"/>
              <w:tblCellMar>
                <w:left w:w="70" w:type="dxa"/>
                <w:right w:w="70" w:type="dxa"/>
              </w:tblCellMar>
              <w:tblLook w:val="00A0" w:firstRow="1" w:lastRow="0" w:firstColumn="1" w:lastColumn="0" w:noHBand="0" w:noVBand="0"/>
            </w:tblPr>
            <w:tblGrid>
              <w:gridCol w:w="3311"/>
            </w:tblGrid>
            <w:tr w:rsidR="00A8783E" w:rsidRPr="00A8783E" w:rsidTr="005B5318">
              <w:trPr>
                <w:trHeight w:val="285"/>
              </w:trPr>
              <w:tc>
                <w:tcPr>
                  <w:tcW w:w="3311"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85"/>
              </w:trPr>
              <w:tc>
                <w:tcPr>
                  <w:tcW w:w="3311"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w:t>
                  </w:r>
                </w:p>
              </w:tc>
            </w:tr>
            <w:tr w:rsidR="00A8783E" w:rsidRPr="00A8783E" w:rsidTr="005B5318">
              <w:trPr>
                <w:trHeight w:val="285"/>
              </w:trPr>
              <w:tc>
                <w:tcPr>
                  <w:tcW w:w="3311"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2-Добро</w:t>
                  </w:r>
                </w:p>
              </w:tc>
            </w:tr>
            <w:tr w:rsidR="00A8783E" w:rsidRPr="00A8783E" w:rsidTr="005B5318">
              <w:trPr>
                <w:trHeight w:val="285"/>
              </w:trPr>
              <w:tc>
                <w:tcPr>
                  <w:tcW w:w="3311"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3-Умерено</w:t>
                  </w:r>
                </w:p>
              </w:tc>
            </w:tr>
            <w:tr w:rsidR="00A8783E" w:rsidRPr="00A8783E" w:rsidTr="005B5318">
              <w:trPr>
                <w:trHeight w:val="285"/>
              </w:trPr>
              <w:tc>
                <w:tcPr>
                  <w:tcW w:w="3311"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4-Лошо</w:t>
                  </w:r>
                </w:p>
              </w:tc>
            </w:tr>
            <w:tr w:rsidR="00A8783E" w:rsidRPr="00A8783E" w:rsidTr="005B5318">
              <w:trPr>
                <w:trHeight w:val="285"/>
              </w:trPr>
              <w:tc>
                <w:tcPr>
                  <w:tcW w:w="3311"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5-Много лошо</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на р. Дунав по показател Риби в пункт Силистра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rPr>
              <w:t>3</w:t>
            </w:r>
            <w:r w:rsidRPr="00A8783E">
              <w:rPr>
                <w:rFonts w:ascii="Times New Roman" w:hAnsi="Times New Roman"/>
              </w:rPr>
              <w:t xml:space="preserve">), по показател Макрозообентос при пункт Силистра е оценено също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lang w:val="ru-RU"/>
              </w:rPr>
              <w:t>(</w:t>
            </w:r>
            <w:r w:rsidRPr="00A8783E">
              <w:rPr>
                <w:rFonts w:ascii="Times New Roman" w:hAnsi="Times New Roman"/>
                <w:b/>
                <w:bCs/>
              </w:rPr>
              <w:t>3</w:t>
            </w:r>
            <w:r w:rsidRPr="00A8783E">
              <w:rPr>
                <w:rFonts w:ascii="Times New Roman" w:hAnsi="Times New Roman"/>
                <w:lang w:val="ru-RU"/>
              </w:rPr>
              <w:t>)</w:t>
            </w:r>
            <w:r w:rsidRPr="00A8783E">
              <w:rPr>
                <w:rFonts w:ascii="Times New Roman" w:hAnsi="Times New Roman"/>
              </w:rPr>
              <w:t xml:space="preserve"> според доклада на </w:t>
            </w:r>
            <w:r w:rsidRPr="00A8783E">
              <w:rPr>
                <w:rFonts w:ascii="Times New Roman" w:hAnsi="Times New Roman"/>
                <w:lang w:val="en-GB"/>
              </w:rPr>
              <w:t>JDS</w:t>
            </w:r>
            <w:r w:rsidRPr="00A8783E">
              <w:rPr>
                <w:rFonts w:ascii="Times New Roman" w:hAnsi="Times New Roman"/>
                <w:lang w:val="ru-RU"/>
              </w:rPr>
              <w:t xml:space="preserve">4 </w:t>
            </w:r>
            <w:r w:rsidRPr="00A8783E">
              <w:rPr>
                <w:rFonts w:ascii="Times New Roman" w:hAnsi="Times New Roman"/>
                <w:lang w:val="ru-RU"/>
              </w:rPr>
              <w:lastRenderedPageBreak/>
              <w:t>(2019-2020).</w:t>
            </w:r>
            <w:r w:rsidRPr="00A8783E">
              <w:rPr>
                <w:rFonts w:ascii="Times New Roman" w:hAnsi="Times New Roman"/>
              </w:rPr>
              <w:t xml:space="preserve"> Екологичното състояние на водите на ез. Сребърна по показател Риби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lang w:val="ru-RU"/>
              </w:rPr>
              <w:t>(</w:t>
            </w:r>
            <w:r w:rsidRPr="00A8783E">
              <w:rPr>
                <w:rFonts w:ascii="Times New Roman" w:hAnsi="Times New Roman"/>
                <w:b/>
                <w:bCs/>
              </w:rPr>
              <w:t>3</w:t>
            </w:r>
            <w:r w:rsidRPr="00A8783E">
              <w:rPr>
                <w:rFonts w:ascii="Times New Roman" w:hAnsi="Times New Roman"/>
                <w:lang w:val="ru-RU"/>
              </w:rPr>
              <w:t>)</w:t>
            </w:r>
            <w:r w:rsidRPr="00A8783E">
              <w:rPr>
                <w:rFonts w:ascii="Times New Roman" w:hAnsi="Times New Roman"/>
              </w:rPr>
              <w:t xml:space="preserve">, според Протокол за пробонабиране на риби в езера </w:t>
            </w:r>
            <w:r w:rsidRPr="00A8783E">
              <w:rPr>
                <w:rFonts w:ascii="Times New Roman" w:hAnsi="Times New Roman"/>
                <w:lang w:val="ru-RU"/>
              </w:rPr>
              <w:t>(</w:t>
            </w:r>
            <w:r w:rsidRPr="00A8783E">
              <w:rPr>
                <w:rFonts w:ascii="Times New Roman" w:hAnsi="Times New Roman"/>
              </w:rPr>
              <w:t>2020</w:t>
            </w:r>
            <w:r w:rsidRPr="00A8783E">
              <w:rPr>
                <w:rFonts w:ascii="Times New Roman" w:hAnsi="Times New Roman"/>
                <w:lang w:val="ru-RU"/>
              </w:rPr>
              <w:t>).</w:t>
            </w:r>
          </w:p>
        </w:tc>
        <w:tc>
          <w:tcPr>
            <w:tcW w:w="219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lastRenderedPageBreak/>
        <w:t xml:space="preserve">6. Необходимост от промени в СФ за (СЗЗ) </w:t>
      </w:r>
      <w:r w:rsidRPr="00A8783E">
        <w:rPr>
          <w:rFonts w:ascii="Times New Roman" w:hAnsi="Times New Roman"/>
          <w:b/>
          <w:bCs/>
          <w:sz w:val="24"/>
          <w:szCs w:val="24"/>
        </w:rPr>
        <w:t>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отношение на </w:t>
      </w:r>
      <w:r w:rsidRPr="00A8783E">
        <w:rPr>
          <w:rFonts w:ascii="Times New Roman" w:hAnsi="Times New Roman"/>
          <w:b/>
          <w:sz w:val="24"/>
          <w:szCs w:val="24"/>
        </w:rPr>
        <w:t>гнездящата</w:t>
      </w:r>
      <w:r w:rsidRPr="00A8783E">
        <w:rPr>
          <w:rFonts w:ascii="Times New Roman" w:hAnsi="Times New Roman"/>
          <w:sz w:val="24"/>
          <w:szCs w:val="24"/>
        </w:rPr>
        <w:t xml:space="preserve"> популация предлагаме актуализация на минималната численост от 68 на 35 дв. на база проучванията на гнездовата численост на вида в зоната гнездовия период на 2021 г. По отношение на </w:t>
      </w:r>
      <w:r w:rsidRPr="00A8783E">
        <w:rPr>
          <w:rFonts w:ascii="Times New Roman" w:hAnsi="Times New Roman"/>
          <w:b/>
          <w:sz w:val="24"/>
          <w:szCs w:val="24"/>
        </w:rPr>
        <w:t>мигриращата</w:t>
      </w:r>
      <w:r w:rsidRPr="00A8783E">
        <w:rPr>
          <w:rFonts w:ascii="Times New Roman" w:hAnsi="Times New Roman"/>
          <w:sz w:val="24"/>
          <w:szCs w:val="24"/>
        </w:rPr>
        <w:t xml:space="preserve"> популация предлагаме значението на популацията да се промени от „А“ на „В“, тъй като 2,2–4,4 % от националната популация е в категория „В“.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0" w:type="auto"/>
            <w:gridSpan w:val="5"/>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Species</w:t>
            </w:r>
          </w:p>
        </w:tc>
        <w:tc>
          <w:tcPr>
            <w:tcW w:w="0" w:type="auto"/>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Population in the site</w:t>
            </w:r>
          </w:p>
        </w:tc>
        <w:tc>
          <w:tcPr>
            <w:tcW w:w="0" w:type="auto"/>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G</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Code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Scientific Name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NP</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T</w:t>
            </w: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Size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Unit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Cat.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D.qual.</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A/B/C/D</w:t>
            </w:r>
          </w:p>
        </w:tc>
        <w:tc>
          <w:tcPr>
            <w:tcW w:w="0" w:type="auto"/>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Min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Max</w:t>
            </w: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Pop.</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Con.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Iso.</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Glo.</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rPr>
                <w:rFonts w:ascii="Times New Roman" w:hAnsi="Times New Roman"/>
                <w:bCs/>
                <w:sz w:val="20"/>
                <w:szCs w:val="20"/>
              </w:rPr>
            </w:pPr>
            <w:r w:rsidRPr="00A8783E">
              <w:rPr>
                <w:rFonts w:ascii="Times New Roman" w:hAnsi="Times New Roman"/>
                <w:bCs/>
                <w:sz w:val="20"/>
                <w:szCs w:val="20"/>
              </w:rPr>
              <w:t>В</w:t>
            </w:r>
          </w:p>
        </w:tc>
        <w:tc>
          <w:tcPr>
            <w:tcW w:w="0" w:type="auto"/>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A196</w:t>
            </w:r>
          </w:p>
        </w:tc>
        <w:tc>
          <w:tcPr>
            <w:tcW w:w="0" w:type="auto"/>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i/>
                <w:iCs/>
                <w:sz w:val="20"/>
                <w:szCs w:val="20"/>
              </w:rPr>
              <w:t>Chlidonias hybridus</w:t>
            </w:r>
          </w:p>
        </w:tc>
        <w:tc>
          <w:tcPr>
            <w:tcW w:w="0" w:type="auto"/>
            <w:vAlign w:val="center"/>
          </w:tcPr>
          <w:p w:rsidR="00A8783E" w:rsidRPr="00A8783E" w:rsidRDefault="00A8783E" w:rsidP="00A8783E">
            <w:pPr>
              <w:spacing w:after="0" w:line="240" w:lineRule="auto"/>
              <w:rPr>
                <w:rFonts w:ascii="Times New Roman" w:hAnsi="Times New Roman"/>
                <w:sz w:val="20"/>
                <w:szCs w:val="20"/>
              </w:rPr>
            </w:pPr>
          </w:p>
        </w:tc>
        <w:tc>
          <w:tcPr>
            <w:tcW w:w="0" w:type="auto"/>
            <w:vAlign w:val="center"/>
          </w:tcPr>
          <w:p w:rsidR="00A8783E" w:rsidRPr="00A8783E" w:rsidRDefault="00A8783E" w:rsidP="00A8783E">
            <w:pPr>
              <w:spacing w:after="0" w:line="240" w:lineRule="auto"/>
              <w:rPr>
                <w:rFonts w:ascii="Times New Roman" w:hAnsi="Times New Roman"/>
                <w:sz w:val="20"/>
                <w:szCs w:val="20"/>
              </w:rPr>
            </w:pPr>
          </w:p>
        </w:tc>
        <w:tc>
          <w:tcPr>
            <w:tcW w:w="0" w:type="auto"/>
            <w:vAlign w:val="center"/>
          </w:tcPr>
          <w:p w:rsidR="00A8783E" w:rsidRPr="00A8783E" w:rsidRDefault="00A8783E" w:rsidP="00A8783E">
            <w:pPr>
              <w:spacing w:after="0" w:line="240"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c</w:t>
            </w:r>
          </w:p>
        </w:tc>
        <w:tc>
          <w:tcPr>
            <w:tcW w:w="0" w:type="auto"/>
            <w:vAlign w:val="center"/>
          </w:tcPr>
          <w:p w:rsidR="00A8783E" w:rsidRPr="00A8783E" w:rsidRDefault="00A8783E" w:rsidP="00A8783E">
            <w:pPr>
              <w:spacing w:after="0" w:line="240" w:lineRule="auto"/>
              <w:rPr>
                <w:rFonts w:ascii="Times New Roman" w:hAnsi="Times New Roman"/>
                <w:bCs/>
                <w:color w:val="000000"/>
                <w:sz w:val="20"/>
                <w:szCs w:val="20"/>
              </w:rPr>
            </w:pPr>
            <w:r w:rsidRPr="00A8783E">
              <w:rPr>
                <w:rFonts w:ascii="Times New Roman" w:hAnsi="Times New Roman"/>
                <w:bCs/>
                <w:color w:val="000000"/>
                <w:sz w:val="20"/>
                <w:szCs w:val="20"/>
              </w:rPr>
              <w:t>220</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220</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p>
        </w:tc>
        <w:tc>
          <w:tcPr>
            <w:tcW w:w="0" w:type="auto"/>
            <w:vAlign w:val="center"/>
          </w:tcPr>
          <w:p w:rsidR="00A8783E" w:rsidRPr="00A8783E" w:rsidRDefault="00A8783E" w:rsidP="00A8783E">
            <w:pPr>
              <w:spacing w:after="0" w:line="240" w:lineRule="auto"/>
              <w:rPr>
                <w:rFonts w:ascii="Times New Roman" w:hAnsi="Times New Roman"/>
                <w:sz w:val="20"/>
                <w:szCs w:val="20"/>
              </w:rPr>
            </w:pP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G</w:t>
            </w:r>
          </w:p>
        </w:tc>
        <w:tc>
          <w:tcPr>
            <w:tcW w:w="0" w:type="auto"/>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color w:val="FF0000"/>
                <w:sz w:val="20"/>
                <w:szCs w:val="20"/>
              </w:rPr>
              <w:t>В</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C</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rPr>
                <w:rFonts w:ascii="Times New Roman" w:hAnsi="Times New Roman"/>
                <w:bCs/>
                <w:sz w:val="20"/>
                <w:szCs w:val="20"/>
              </w:rPr>
            </w:pPr>
            <w:r w:rsidRPr="00A8783E">
              <w:rPr>
                <w:rFonts w:ascii="Times New Roman" w:hAnsi="Times New Roman"/>
                <w:bCs/>
                <w:sz w:val="20"/>
                <w:szCs w:val="20"/>
              </w:rPr>
              <w:t>В</w:t>
            </w:r>
          </w:p>
        </w:tc>
        <w:tc>
          <w:tcPr>
            <w:tcW w:w="0" w:type="auto"/>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A196</w:t>
            </w:r>
          </w:p>
        </w:tc>
        <w:tc>
          <w:tcPr>
            <w:tcW w:w="0" w:type="auto"/>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i/>
                <w:iCs/>
                <w:sz w:val="20"/>
                <w:szCs w:val="20"/>
              </w:rPr>
              <w:t>Chlidonias hybridus</w:t>
            </w:r>
          </w:p>
        </w:tc>
        <w:tc>
          <w:tcPr>
            <w:tcW w:w="0" w:type="auto"/>
            <w:vAlign w:val="center"/>
          </w:tcPr>
          <w:p w:rsidR="00A8783E" w:rsidRPr="00A8783E" w:rsidRDefault="00A8783E" w:rsidP="00A8783E">
            <w:pPr>
              <w:spacing w:after="0" w:line="240" w:lineRule="auto"/>
              <w:rPr>
                <w:rFonts w:ascii="Times New Roman" w:hAnsi="Times New Roman"/>
                <w:sz w:val="20"/>
                <w:szCs w:val="20"/>
              </w:rPr>
            </w:pPr>
          </w:p>
        </w:tc>
        <w:tc>
          <w:tcPr>
            <w:tcW w:w="0" w:type="auto"/>
            <w:vAlign w:val="center"/>
          </w:tcPr>
          <w:p w:rsidR="00A8783E" w:rsidRPr="00A8783E" w:rsidRDefault="00A8783E" w:rsidP="00A8783E">
            <w:pPr>
              <w:spacing w:after="0" w:line="240" w:lineRule="auto"/>
              <w:rPr>
                <w:rFonts w:ascii="Times New Roman" w:hAnsi="Times New Roman"/>
                <w:sz w:val="20"/>
                <w:szCs w:val="20"/>
              </w:rPr>
            </w:pP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r</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b/>
                <w:bCs/>
                <w:color w:val="FF0000"/>
                <w:sz w:val="20"/>
                <w:szCs w:val="20"/>
                <w:lang w:val="en-US"/>
              </w:rPr>
              <w:t>30</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160</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p>
        </w:tc>
        <w:tc>
          <w:tcPr>
            <w:tcW w:w="0" w:type="auto"/>
            <w:vAlign w:val="center"/>
          </w:tcPr>
          <w:p w:rsidR="00A8783E" w:rsidRPr="00A8783E" w:rsidRDefault="00A8783E" w:rsidP="00A8783E">
            <w:pPr>
              <w:spacing w:after="0" w:line="240" w:lineRule="auto"/>
              <w:rPr>
                <w:rFonts w:ascii="Times New Roman" w:hAnsi="Times New Roman"/>
                <w:sz w:val="20"/>
                <w:szCs w:val="20"/>
              </w:rPr>
            </w:pP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G</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C</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r>
    </w:tbl>
    <w:p w:rsidR="00A8783E" w:rsidRPr="00A8783E" w:rsidRDefault="00A8783E" w:rsidP="00A8783E">
      <w:pPr>
        <w:spacing w:before="120" w:after="120" w:line="259" w:lineRule="auto"/>
        <w:jc w:val="both"/>
        <w:rPr>
          <w:rFonts w:ascii="Times New Roman" w:hAnsi="Times New Roman"/>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423" w:name="_Toc86409808"/>
      <w:bookmarkStart w:id="424" w:name="_Toc87467270"/>
      <w:bookmarkStart w:id="425" w:name="_Toc87692187"/>
      <w:bookmarkStart w:id="426" w:name="_Toc88865729"/>
      <w:bookmarkStart w:id="427" w:name="_Toc89106136"/>
      <w:bookmarkStart w:id="428" w:name="_Toc98741975"/>
      <w:bookmarkStart w:id="429" w:name="_Toc98838650"/>
      <w:r w:rsidRPr="00A8783E">
        <w:rPr>
          <w:rFonts w:ascii="Times New Roman" w:hAnsi="Times New Roman"/>
          <w:color w:val="1F497D"/>
          <w:sz w:val="28"/>
          <w:szCs w:val="28"/>
        </w:rPr>
        <w:t xml:space="preserve">Специфични цели за А197 </w:t>
      </w:r>
      <w:r w:rsidRPr="00A8783E">
        <w:rPr>
          <w:rFonts w:ascii="Times New Roman" w:hAnsi="Times New Roman"/>
          <w:i/>
          <w:iCs/>
          <w:color w:val="1F497D"/>
          <w:sz w:val="28"/>
          <w:szCs w:val="28"/>
        </w:rPr>
        <w:t>Chlidonias niger</w:t>
      </w:r>
      <w:r w:rsidRPr="00A8783E">
        <w:rPr>
          <w:rFonts w:ascii="Times New Roman" w:hAnsi="Times New Roman"/>
          <w:color w:val="1F497D"/>
          <w:sz w:val="28"/>
          <w:szCs w:val="28"/>
        </w:rPr>
        <w:t xml:space="preserve"> (черна рибарка)</w:t>
      </w:r>
      <w:bookmarkEnd w:id="423"/>
      <w:bookmarkEnd w:id="424"/>
      <w:bookmarkEnd w:id="425"/>
      <w:bookmarkEnd w:id="426"/>
      <w:bookmarkEnd w:id="427"/>
      <w:bookmarkEnd w:id="428"/>
      <w:bookmarkEnd w:id="429"/>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Дължина на тялото: 22-24</w:t>
      </w:r>
      <w:r w:rsidRPr="00A8783E">
        <w:rPr>
          <w:rFonts w:ascii="Times New Roman" w:hAnsi="Times New Roman"/>
          <w:sz w:val="24"/>
          <w:szCs w:val="24"/>
          <w:lang w:val="ru-RU"/>
        </w:rPr>
        <w:t xml:space="preserve">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64-68 </w:t>
      </w:r>
      <w:r w:rsidRPr="00A8783E">
        <w:rPr>
          <w:rFonts w:ascii="Times New Roman" w:hAnsi="Times New Roman"/>
          <w:sz w:val="24"/>
          <w:szCs w:val="24"/>
          <w:lang w:val="en-US"/>
        </w:rPr>
        <w:t>cm</w:t>
      </w:r>
      <w:r w:rsidRPr="00A8783E">
        <w:rPr>
          <w:rFonts w:ascii="Times New Roman" w:hAnsi="Times New Roman"/>
          <w:sz w:val="24"/>
          <w:szCs w:val="24"/>
        </w:rPr>
        <w:t>. Има възрастов и сезонен диморфизъм. Възрастните през лятото са черни със сиви гръб и крила и бяла подопашка; клюнът е черен. През есенно-зимния период са като възрастните на белобузата рибарка, но отстрани на гърба имат характерни черни петна. Младите наподобяват тези на белобузата рибарка. Възрастните през лятото може да се отличат от тези на белокрилата рибарка по сивата долна страна на крилата и оцветяването на клюна. Движи се на малки групи</w:t>
      </w:r>
      <w:r w:rsidRPr="00A8783E">
        <w:rPr>
          <w:rFonts w:ascii="Times New Roman" w:hAnsi="Times New Roman"/>
          <w:sz w:val="24"/>
          <w:szCs w:val="24"/>
          <w:lang w:val="ru-RU"/>
        </w:rPr>
        <w:t xml:space="preserve"> </w:t>
      </w:r>
      <w:r w:rsidRPr="00A8783E">
        <w:rPr>
          <w:rFonts w:ascii="Times New Roman" w:hAnsi="Times New Roman"/>
          <w:sz w:val="24"/>
          <w:szCs w:val="24"/>
        </w:rPr>
        <w:t>(Нанкинов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Прелетен и преминаващ вид. Пролетната миграция е през април-май, а есенната от края на юли до септември. Гнезди на малки групи, често с белобузи и речни</w:t>
      </w:r>
      <w:r w:rsidRPr="00A8783E">
        <w:rPr>
          <w:rFonts w:ascii="Times New Roman" w:hAnsi="Times New Roman"/>
          <w:sz w:val="24"/>
          <w:szCs w:val="24"/>
          <w:lang w:val="ru-RU"/>
        </w:rPr>
        <w:t xml:space="preserve"> </w:t>
      </w:r>
      <w:r w:rsidRPr="00A8783E">
        <w:rPr>
          <w:rFonts w:ascii="Times New Roman" w:hAnsi="Times New Roman"/>
          <w:sz w:val="24"/>
          <w:szCs w:val="24"/>
        </w:rPr>
        <w:t>рибарки, рядко - единично. Гнездовите колонии са разположени по коренищата</w:t>
      </w:r>
      <w:r w:rsidRPr="00A8783E">
        <w:rPr>
          <w:rFonts w:ascii="Times New Roman" w:hAnsi="Times New Roman"/>
          <w:sz w:val="24"/>
          <w:szCs w:val="24"/>
          <w:lang w:val="ru-RU"/>
        </w:rPr>
        <w:t xml:space="preserve"> </w:t>
      </w:r>
      <w:r w:rsidRPr="00A8783E">
        <w:rPr>
          <w:rFonts w:ascii="Times New Roman" w:hAnsi="Times New Roman"/>
          <w:sz w:val="24"/>
          <w:szCs w:val="24"/>
        </w:rPr>
        <w:t>и листата на водната лилия, рядко - на плаващи туфи от тръстика и папур.</w:t>
      </w:r>
      <w:r w:rsidRPr="00A8783E">
        <w:rPr>
          <w:rFonts w:ascii="Times New Roman" w:hAnsi="Times New Roman"/>
          <w:sz w:val="24"/>
          <w:szCs w:val="24"/>
          <w:lang w:val="ru-RU"/>
        </w:rPr>
        <w:t xml:space="preserve"> </w:t>
      </w:r>
      <w:r w:rsidRPr="00A8783E">
        <w:rPr>
          <w:rFonts w:ascii="Times New Roman" w:hAnsi="Times New Roman"/>
          <w:sz w:val="24"/>
          <w:szCs w:val="24"/>
        </w:rPr>
        <w:t>Гнездото изградено от стъбла и листа на водни растения. Снасянето на яйцата е в края на май – до средата на юни.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Размножава се в блата и други водоеми със стоящи пресни води (рибарници, временни разливи и др.), като разполага гнездата си по плаваща водна растителност в откритите части на водоемите. През останалите сезони се среща по разнообразни водоеми в равнинни райони (Янков, ред., 2007). Минималното разстояние между отделните гнезда </w:t>
      </w:r>
      <w:r w:rsidRPr="00A8783E">
        <w:rPr>
          <w:rFonts w:ascii="Times New Roman" w:hAnsi="Times New Roman"/>
          <w:sz w:val="24"/>
          <w:szCs w:val="24"/>
        </w:rPr>
        <w:lastRenderedPageBreak/>
        <w:t xml:space="preserve">е 2,2 </w:t>
      </w:r>
      <w:r w:rsidRPr="00A8783E">
        <w:rPr>
          <w:rFonts w:ascii="Times New Roman" w:hAnsi="Times New Roman"/>
          <w:sz w:val="24"/>
          <w:szCs w:val="24"/>
          <w:lang w:val="en-US"/>
        </w:rPr>
        <w:t>m</w:t>
      </w:r>
      <w:r w:rsidRPr="00A8783E">
        <w:rPr>
          <w:rFonts w:ascii="Times New Roman" w:hAnsi="Times New Roman"/>
          <w:sz w:val="24"/>
          <w:szCs w:val="24"/>
        </w:rPr>
        <w:t xml:space="preserve"> (Нанкинов и др., 1997). Подходящи местообитания вероятно са 3150 и 3130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Храни се с насекоми (</w:t>
      </w:r>
      <w:r w:rsidRPr="00A8783E">
        <w:rPr>
          <w:rFonts w:ascii="Times New Roman" w:hAnsi="Times New Roman"/>
          <w:i/>
          <w:iCs/>
          <w:sz w:val="24"/>
          <w:szCs w:val="24"/>
        </w:rPr>
        <w:t>Gerridae, Odonata</w:t>
      </w:r>
      <w:r w:rsidRPr="00A8783E">
        <w:rPr>
          <w:rFonts w:ascii="Times New Roman" w:hAnsi="Times New Roman"/>
          <w:sz w:val="24"/>
          <w:szCs w:val="24"/>
        </w:rPr>
        <w:t>), ракообразни (</w:t>
      </w:r>
      <w:r w:rsidRPr="00A8783E">
        <w:rPr>
          <w:rFonts w:ascii="Times New Roman" w:hAnsi="Times New Roman"/>
          <w:i/>
          <w:iCs/>
          <w:sz w:val="24"/>
          <w:szCs w:val="24"/>
        </w:rPr>
        <w:t>Crustacea</w:t>
      </w:r>
      <w:r w:rsidRPr="00A8783E">
        <w:rPr>
          <w:rFonts w:ascii="Times New Roman" w:hAnsi="Times New Roman"/>
          <w:sz w:val="24"/>
          <w:szCs w:val="24"/>
        </w:rPr>
        <w:t xml:space="preserve">), дребни рибки и земноводни.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миналото е</w:t>
      </w:r>
      <w:r w:rsidRPr="00A8783E">
        <w:rPr>
          <w:rFonts w:ascii="Times New Roman" w:hAnsi="Times New Roman"/>
          <w:sz w:val="24"/>
          <w:szCs w:val="24"/>
          <w:lang w:val="ru-RU"/>
        </w:rPr>
        <w:t xml:space="preserve"> </w:t>
      </w:r>
      <w:r w:rsidRPr="00A8783E">
        <w:rPr>
          <w:rFonts w:ascii="Times New Roman" w:hAnsi="Times New Roman"/>
          <w:sz w:val="24"/>
          <w:szCs w:val="24"/>
        </w:rPr>
        <w:t>гнездила по блатата около Дунав и по Черноморското</w:t>
      </w:r>
      <w:r w:rsidRPr="00A8783E">
        <w:rPr>
          <w:rFonts w:ascii="Times New Roman" w:hAnsi="Times New Roman"/>
          <w:sz w:val="24"/>
          <w:szCs w:val="24"/>
          <w:lang w:val="ru-RU"/>
        </w:rPr>
        <w:t xml:space="preserve"> </w:t>
      </w:r>
      <w:r w:rsidRPr="00A8783E">
        <w:rPr>
          <w:rFonts w:ascii="Times New Roman" w:hAnsi="Times New Roman"/>
          <w:sz w:val="24"/>
          <w:szCs w:val="24"/>
        </w:rPr>
        <w:t>крайбрежие. Сега е с неясно разпространение</w:t>
      </w:r>
      <w:r w:rsidRPr="00A8783E">
        <w:rPr>
          <w:rFonts w:ascii="Times New Roman" w:hAnsi="Times New Roman"/>
          <w:sz w:val="24"/>
          <w:szCs w:val="24"/>
          <w:lang w:val="ru-RU"/>
        </w:rPr>
        <w:t xml:space="preserve"> </w:t>
      </w:r>
      <w:r w:rsidRPr="00A8783E">
        <w:rPr>
          <w:rFonts w:ascii="Times New Roman" w:hAnsi="Times New Roman"/>
          <w:sz w:val="24"/>
          <w:szCs w:val="24"/>
        </w:rPr>
        <w:t>и численост. Нередовно и в много малък брой гнезди в блатото при с. Малък Преславец и в резервата „Сребърна“. Потенциал за гнездене имат и</w:t>
      </w:r>
      <w:r w:rsidRPr="00A8783E">
        <w:rPr>
          <w:rFonts w:ascii="Times New Roman" w:hAnsi="Times New Roman"/>
          <w:sz w:val="24"/>
          <w:szCs w:val="24"/>
          <w:lang w:val="ru-RU"/>
        </w:rPr>
        <w:t xml:space="preserve"> </w:t>
      </w:r>
      <w:r w:rsidRPr="00A8783E">
        <w:rPr>
          <w:rFonts w:ascii="Times New Roman" w:hAnsi="Times New Roman"/>
          <w:sz w:val="24"/>
          <w:szCs w:val="24"/>
        </w:rPr>
        <w:t xml:space="preserve">някои рибарници във вътрешността. Видът мигрира до късно през май, като в средата на месеца все още се наблюдава интензивен прелет. Тогава се среща в много от езерата покрай Черноморското крайбрежие, но това не може да се приеме за гнездене. По време на миграцията се среща по водоемите в цялата страна, като ятата понякога наброяват стотици птици </w:t>
      </w:r>
      <w:r w:rsidRPr="00A8783E">
        <w:rPr>
          <w:rFonts w:ascii="Times New Roman" w:hAnsi="Times New Roman"/>
          <w:sz w:val="24"/>
          <w:szCs w:val="24"/>
          <w:lang w:val="ru-RU"/>
        </w:rPr>
        <w:t>(</w:t>
      </w:r>
      <w:r w:rsidRPr="00A8783E">
        <w:rPr>
          <w:rFonts w:ascii="Times New Roman" w:hAnsi="Times New Roman"/>
          <w:sz w:val="24"/>
          <w:szCs w:val="24"/>
        </w:rPr>
        <w:t>Иванов Б., 2015 в Червена книга на Р България</w:t>
      </w:r>
      <w:r w:rsidRPr="00A8783E">
        <w:rPr>
          <w:rFonts w:ascii="Times New Roman" w:hAnsi="Times New Roman"/>
          <w:sz w:val="24"/>
          <w:szCs w:val="24"/>
          <w:lang w:val="ru-RU"/>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Защитен вид по ЗБР (Приложения 2 и 3). Включен е в Червената книга на Р България (2015) в категория критично застрашен (CR). Според IUCN – LC (Least Concern), за територията на континентална Европа – LC (Least Concern). Включен в SPEC 3. Включен в Приложение 1 на Директивата за птиците.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2013-2018 г.), </w:t>
      </w:r>
      <w:r w:rsidRPr="00A8783E">
        <w:rPr>
          <w:rFonts w:ascii="Times New Roman" w:hAnsi="Times New Roman"/>
          <w:b/>
          <w:bCs/>
          <w:sz w:val="24"/>
          <w:szCs w:val="24"/>
        </w:rPr>
        <w:t>гнездящата</w:t>
      </w:r>
      <w:r w:rsidRPr="00A8783E">
        <w:rPr>
          <w:rFonts w:ascii="Times New Roman" w:hAnsi="Times New Roman"/>
          <w:sz w:val="24"/>
          <w:szCs w:val="24"/>
        </w:rPr>
        <w:t xml:space="preserve"> национална популация се оценява на 0-35 двойки. Краткосрочната популационна тенденция (2000-2018 г.) е флуктуираща, а дългосрочната (1980-2018 г.) е намаляваща. Посочени са следните заплахи и влияния: H01; J02; M08.</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Мигриращата</w:t>
      </w:r>
      <w:r w:rsidRPr="00A8783E">
        <w:rPr>
          <w:rFonts w:ascii="Times New Roman" w:hAnsi="Times New Roman"/>
          <w:sz w:val="24"/>
          <w:szCs w:val="24"/>
        </w:rPr>
        <w:t xml:space="preserve"> национална популация се оценява на 7000-11000 индивида. Не са посочени краткосрочни и дългосрочни тенденции в числеността на преминаващите индивиди. Посочени са следните заплахи и влияния: J02; F26.</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Червената книга (2015) като отрицателно действащи фактори са посочени непостоянният воден режим и качеството на водите във водоемите. Причини от вътрешновидов характер, свързани с общо намаляване на числеността на вида в Европа.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гнездящ и мигриращ. </w:t>
      </w:r>
      <w:r w:rsidRPr="00A8783E">
        <w:rPr>
          <w:rFonts w:ascii="Times New Roman" w:hAnsi="Times New Roman"/>
          <w:b/>
          <w:bCs/>
          <w:sz w:val="24"/>
          <w:szCs w:val="24"/>
        </w:rPr>
        <w:t>Гнездящата</w:t>
      </w:r>
      <w:r w:rsidRPr="00A8783E">
        <w:rPr>
          <w:rFonts w:ascii="Times New Roman" w:hAnsi="Times New Roman"/>
          <w:sz w:val="24"/>
          <w:szCs w:val="24"/>
        </w:rPr>
        <w:t xml:space="preserve"> популация се оценява на</w:t>
      </w:r>
      <w:r w:rsidRPr="00A8783E">
        <w:rPr>
          <w:rFonts w:ascii="Times New Roman" w:hAnsi="Times New Roman"/>
          <w:b/>
          <w:bCs/>
          <w:sz w:val="24"/>
          <w:szCs w:val="24"/>
        </w:rPr>
        <w:t xml:space="preserve"> до 9 двойки</w:t>
      </w:r>
      <w:r w:rsidRPr="00A8783E">
        <w:rPr>
          <w:rFonts w:ascii="Times New Roman" w:hAnsi="Times New Roman"/>
          <w:sz w:val="24"/>
          <w:szCs w:val="24"/>
        </w:rPr>
        <w:t xml:space="preserve">, което представлява </w:t>
      </w:r>
      <w:r w:rsidRPr="00A8783E">
        <w:rPr>
          <w:rFonts w:ascii="Times New Roman" w:hAnsi="Times New Roman"/>
          <w:sz w:val="24"/>
          <w:szCs w:val="24"/>
          <w:lang w:val="ru-RU"/>
        </w:rPr>
        <w:t>26</w:t>
      </w:r>
      <w:r w:rsidRPr="00A8783E">
        <w:rPr>
          <w:rFonts w:ascii="Times New Roman" w:hAnsi="Times New Roman"/>
          <w:sz w:val="24"/>
          <w:szCs w:val="24"/>
        </w:rPr>
        <w:t xml:space="preserve"> % от националната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СФ </w:t>
      </w:r>
      <w:r w:rsidRPr="00A8783E">
        <w:rPr>
          <w:rFonts w:ascii="Times New Roman" w:hAnsi="Times New Roman"/>
          <w:b/>
          <w:bCs/>
          <w:sz w:val="24"/>
          <w:szCs w:val="24"/>
        </w:rPr>
        <w:t>мигриращата</w:t>
      </w:r>
      <w:r w:rsidRPr="00A8783E">
        <w:rPr>
          <w:rFonts w:ascii="Times New Roman" w:hAnsi="Times New Roman"/>
          <w:sz w:val="24"/>
          <w:szCs w:val="24"/>
        </w:rPr>
        <w:t xml:space="preserve"> популация се оценя на </w:t>
      </w:r>
      <w:r w:rsidRPr="00A8783E">
        <w:rPr>
          <w:rFonts w:ascii="Times New Roman" w:hAnsi="Times New Roman"/>
          <w:b/>
          <w:bCs/>
          <w:sz w:val="24"/>
          <w:szCs w:val="24"/>
        </w:rPr>
        <w:t>1100 индивида</w:t>
      </w:r>
      <w:r w:rsidRPr="00A8783E">
        <w:rPr>
          <w:rFonts w:ascii="Times New Roman" w:hAnsi="Times New Roman"/>
          <w:sz w:val="24"/>
          <w:szCs w:val="24"/>
        </w:rPr>
        <w:t>, което е 10–16 % от националната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Гнездяща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ОВМ „Сребърна“ са описани </w:t>
      </w:r>
      <w:r w:rsidRPr="00A8783E">
        <w:rPr>
          <w:rFonts w:ascii="Times New Roman" w:hAnsi="Times New Roman"/>
          <w:sz w:val="24"/>
          <w:szCs w:val="24"/>
          <w:lang w:val="ru-RU"/>
        </w:rPr>
        <w:t>3-9</w:t>
      </w:r>
      <w:r w:rsidRPr="00A8783E">
        <w:rPr>
          <w:rFonts w:ascii="Times New Roman" w:hAnsi="Times New Roman"/>
          <w:sz w:val="24"/>
          <w:szCs w:val="24"/>
        </w:rPr>
        <w:t xml:space="preserve"> гнездящи дв.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отг. ред., 2007</w:t>
      </w:r>
      <w:r w:rsidRPr="00A8783E">
        <w:rPr>
          <w:rFonts w:ascii="Times New Roman" w:hAnsi="Times New Roman"/>
          <w:sz w:val="24"/>
          <w:szCs w:val="24"/>
          <w:lang w:val="ru-RU"/>
        </w:rPr>
        <w:t>)</w:t>
      </w:r>
      <w:r w:rsidRPr="00A8783E">
        <w:rPr>
          <w:rFonts w:ascii="Times New Roman" w:hAnsi="Times New Roman"/>
          <w:sz w:val="24"/>
          <w:szCs w:val="24"/>
        </w:rPr>
        <w:t>. През 2012 г. в зоната в колонията на белобузата рибарка е установена само 1 дв.</w:t>
      </w:r>
      <w:r w:rsidRPr="00A8783E">
        <w:rPr>
          <w:rFonts w:ascii="Times New Roman" w:hAnsi="Times New Roman"/>
          <w:sz w:val="24"/>
          <w:szCs w:val="24"/>
          <w:lang w:val="ru-RU"/>
        </w:rPr>
        <w:t xml:space="preserve"> </w:t>
      </w:r>
      <w:r w:rsidRPr="00A8783E">
        <w:rPr>
          <w:rFonts w:ascii="Times New Roman" w:hAnsi="Times New Roman"/>
          <w:sz w:val="24"/>
          <w:szCs w:val="24"/>
          <w:lang w:val="ru-RU"/>
        </w:rPr>
        <w:lastRenderedPageBreak/>
        <w:t>(</w:t>
      </w:r>
      <w:r w:rsidRPr="00A8783E">
        <w:rPr>
          <w:rFonts w:ascii="Times New Roman" w:hAnsi="Times New Roman"/>
          <w:sz w:val="24"/>
          <w:szCs w:val="24"/>
          <w:lang w:val="en-US"/>
        </w:rPr>
        <w:t>Shurulinkov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2019)</w:t>
      </w:r>
      <w:r w:rsidRPr="00A8783E">
        <w:rPr>
          <w:rFonts w:ascii="Times New Roman" w:hAnsi="Times New Roman"/>
          <w:sz w:val="24"/>
          <w:szCs w:val="24"/>
        </w:rPr>
        <w:t xml:space="preserve">. Видът не е гнездил в зоната през периода 2010-2012 г. според Матеева и др., </w:t>
      </w:r>
      <w:r w:rsidRPr="00A8783E">
        <w:rPr>
          <w:rFonts w:ascii="Times New Roman" w:hAnsi="Times New Roman"/>
          <w:sz w:val="24"/>
          <w:szCs w:val="24"/>
          <w:lang w:val="ru-RU"/>
        </w:rPr>
        <w:t>(</w:t>
      </w:r>
      <w:r w:rsidRPr="00A8783E">
        <w:rPr>
          <w:rFonts w:ascii="Times New Roman" w:hAnsi="Times New Roman"/>
          <w:sz w:val="24"/>
          <w:szCs w:val="24"/>
        </w:rPr>
        <w:t>2013</w:t>
      </w:r>
      <w:r w:rsidRPr="00A8783E">
        <w:rPr>
          <w:rFonts w:ascii="Times New Roman" w:hAnsi="Times New Roman"/>
          <w:sz w:val="24"/>
          <w:szCs w:val="24"/>
          <w:lang w:val="ru-RU"/>
        </w:rPr>
        <w:t>)</w:t>
      </w:r>
      <w:r w:rsidRPr="00A8783E">
        <w:rPr>
          <w:rFonts w:ascii="Times New Roman" w:hAnsi="Times New Roman"/>
          <w:sz w:val="24"/>
          <w:szCs w:val="24"/>
        </w:rPr>
        <w:t xml:space="preserve">. През 1999 г. в резервата са гнездили 10 дв. черни рибарки, а през 2014 г. е дадена численост 0-2 дв. </w:t>
      </w:r>
      <w:r w:rsidRPr="00A8783E">
        <w:rPr>
          <w:rFonts w:ascii="Times New Roman" w:hAnsi="Times New Roman"/>
          <w:sz w:val="24"/>
          <w:szCs w:val="24"/>
          <w:lang w:val="ru-RU"/>
        </w:rPr>
        <w:t>(</w:t>
      </w:r>
      <w:r w:rsidRPr="00A8783E">
        <w:rPr>
          <w:rFonts w:ascii="Times New Roman" w:hAnsi="Times New Roman"/>
          <w:sz w:val="24"/>
          <w:szCs w:val="24"/>
        </w:rPr>
        <w:t>Актуализиран план за управление на ПР Сребърна, 2015</w:t>
      </w:r>
      <w:r w:rsidRPr="00A8783E">
        <w:rPr>
          <w:rFonts w:ascii="Times New Roman" w:hAnsi="Times New Roman"/>
          <w:sz w:val="24"/>
          <w:szCs w:val="24"/>
          <w:lang w:val="ru-RU"/>
        </w:rPr>
        <w:t>)</w:t>
      </w:r>
      <w:r w:rsidRPr="00A8783E">
        <w:rPr>
          <w:rFonts w:ascii="Times New Roman" w:hAnsi="Times New Roman"/>
          <w:sz w:val="24"/>
          <w:szCs w:val="24"/>
        </w:rPr>
        <w:t xml:space="preserve">. Вида не беше отчетен при нашите теренни проучвания през гнездовия период на 2021 г. Данните от </w:t>
      </w:r>
      <w:r w:rsidRPr="00A8783E">
        <w:rPr>
          <w:rFonts w:ascii="Times New Roman" w:hAnsi="Times New Roman"/>
          <w:sz w:val="24"/>
          <w:szCs w:val="24"/>
          <w:lang w:val="en-US"/>
        </w:rPr>
        <w:t>eBird</w:t>
      </w:r>
      <w:r w:rsidRPr="00A8783E">
        <w:rPr>
          <w:rFonts w:ascii="Times New Roman" w:hAnsi="Times New Roman"/>
          <w:sz w:val="24"/>
          <w:szCs w:val="24"/>
          <w:lang w:val="ru-RU"/>
        </w:rPr>
        <w:t xml:space="preserve"> </w:t>
      </w:r>
      <w:r w:rsidRPr="00A8783E">
        <w:rPr>
          <w:rFonts w:ascii="Times New Roman" w:hAnsi="Times New Roman"/>
          <w:sz w:val="24"/>
          <w:szCs w:val="24"/>
        </w:rPr>
        <w:t>показват, че вида е наблюдаван в зоната на 04.07.2021 г. с численост 5 инд. Поради редуциране на съобществата от водна лилия в резервата значително намалява числеността на колониите на вида. Причината за намаляването на съобществата от водна лилия се дължи на големите изменения във водното ниво на езерото през годините.</w:t>
      </w:r>
      <w:r w:rsidRPr="00A8783E">
        <w:rPr>
          <w:rFonts w:ascii="Times New Roman" w:hAnsi="Times New Roman"/>
          <w:sz w:val="24"/>
          <w:szCs w:val="24"/>
          <w:lang w:val="ru-RU"/>
        </w:rPr>
        <w:t xml:space="preserve"> </w:t>
      </w:r>
      <w:r w:rsidRPr="00A8783E">
        <w:rPr>
          <w:rFonts w:ascii="Times New Roman" w:hAnsi="Times New Roman"/>
          <w:sz w:val="24"/>
          <w:szCs w:val="24"/>
        </w:rPr>
        <w:t>Хранителната база на видовете е в самият резерват, р. Дунав с временните островни водоеми и разливи по ниските места на бреговете.</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По време на миграцията се среща по водоемите в цялата страна, като ятата понякога наброяват стотици птици </w:t>
      </w:r>
      <w:r w:rsidRPr="00A8783E">
        <w:rPr>
          <w:rFonts w:ascii="Times New Roman" w:hAnsi="Times New Roman"/>
          <w:sz w:val="24"/>
          <w:szCs w:val="24"/>
          <w:lang w:val="ru-RU"/>
        </w:rPr>
        <w:t>(</w:t>
      </w:r>
      <w:r w:rsidRPr="00A8783E">
        <w:rPr>
          <w:rFonts w:ascii="Times New Roman" w:hAnsi="Times New Roman"/>
          <w:sz w:val="24"/>
          <w:szCs w:val="24"/>
        </w:rPr>
        <w:t>Иванов Б., 2015 в Червена книга на Р България</w:t>
      </w:r>
      <w:r w:rsidRPr="00A8783E">
        <w:rPr>
          <w:rFonts w:ascii="Times New Roman" w:hAnsi="Times New Roman"/>
          <w:sz w:val="24"/>
          <w:szCs w:val="24"/>
          <w:lang w:val="ru-RU"/>
        </w:rPr>
        <w:t>)</w:t>
      </w:r>
      <w:r w:rsidRPr="00A8783E">
        <w:rPr>
          <w:rFonts w:ascii="Times New Roman" w:hAnsi="Times New Roman"/>
          <w:sz w:val="24"/>
          <w:szCs w:val="24"/>
        </w:rPr>
        <w:t xml:space="preserve">. В Дунавската равнина черната рибарка се среща по време на пролетната миграция, понякога в големи ята. През пролетта се среща главно през месец май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w:t>
      </w:r>
      <w:r w:rsidRPr="00A8783E">
        <w:rPr>
          <w:rFonts w:ascii="Times New Roman" w:hAnsi="Times New Roman"/>
          <w:sz w:val="24"/>
          <w:szCs w:val="24"/>
          <w:lang w:val="ru-RU"/>
        </w:rPr>
        <w:t xml:space="preserve"> </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 xml:space="preserve">От посочените заплахи H01, J02, M08 в докладването по чл. 12 нито една няма отношение към зоната. Заплаха </w:t>
      </w:r>
      <w:r w:rsidRPr="00A8783E">
        <w:rPr>
          <w:rFonts w:ascii="Times New Roman" w:hAnsi="Times New Roman"/>
          <w:sz w:val="24"/>
          <w:szCs w:val="24"/>
          <w:lang w:val="en-US"/>
        </w:rPr>
        <w:t>K</w:t>
      </w:r>
      <w:r w:rsidRPr="00A8783E">
        <w:rPr>
          <w:rFonts w:ascii="Times New Roman" w:hAnsi="Times New Roman"/>
          <w:sz w:val="24"/>
          <w:szCs w:val="24"/>
          <w:lang w:val="ru-RU"/>
        </w:rPr>
        <w:t>04-</w:t>
      </w:r>
      <w:r w:rsidRPr="00A8783E">
        <w:rPr>
          <w:rFonts w:ascii="Times New Roman" w:hAnsi="Times New Roman"/>
          <w:sz w:val="24"/>
          <w:szCs w:val="24"/>
        </w:rPr>
        <w:t xml:space="preserve"> Изменение на хидродинамичните характеристики има отношение към ЗЗ Сребърна </w:t>
      </w:r>
      <w:r w:rsidRPr="00A8783E">
        <w:rPr>
          <w:rFonts w:ascii="Times New Roman" w:hAnsi="Times New Roman"/>
          <w:sz w:val="24"/>
          <w:szCs w:val="24"/>
          <w:lang w:val="ru-RU"/>
        </w:rPr>
        <w:t>(</w:t>
      </w:r>
      <w:r w:rsidRPr="00A8783E">
        <w:rPr>
          <w:rFonts w:ascii="Times New Roman" w:hAnsi="Times New Roman"/>
          <w:sz w:val="24"/>
          <w:szCs w:val="24"/>
        </w:rPr>
        <w:t>непостоянният воден режим</w:t>
      </w:r>
      <w:r w:rsidRPr="00A8783E">
        <w:rPr>
          <w:rFonts w:ascii="Times New Roman" w:hAnsi="Times New Roman"/>
          <w:sz w:val="24"/>
          <w:szCs w:val="24"/>
          <w:lang w:val="ru-RU"/>
        </w:rPr>
        <w:t>)</w:t>
      </w:r>
      <w:r w:rsidRPr="00A8783E">
        <w:rPr>
          <w:rFonts w:ascii="Times New Roman" w:hAnsi="Times New Roman"/>
          <w:sz w:val="24"/>
          <w:szCs w:val="24"/>
        </w:rPr>
        <w:t xml:space="preserve">, а също и качеството на водите във влажната зона </w:t>
      </w:r>
      <w:r w:rsidRPr="00A8783E">
        <w:rPr>
          <w:rFonts w:ascii="Times New Roman" w:hAnsi="Times New Roman"/>
          <w:sz w:val="24"/>
          <w:szCs w:val="24"/>
          <w:lang w:val="ru-RU"/>
        </w:rPr>
        <w:t>(</w:t>
      </w:r>
      <w:r w:rsidRPr="00A8783E">
        <w:rPr>
          <w:rFonts w:ascii="Times New Roman" w:hAnsi="Times New Roman"/>
          <w:sz w:val="24"/>
          <w:szCs w:val="24"/>
          <w:lang w:val="en-US"/>
        </w:rPr>
        <w:t>F</w:t>
      </w:r>
      <w:r w:rsidRPr="00A8783E">
        <w:rPr>
          <w:rFonts w:ascii="Times New Roman" w:hAnsi="Times New Roman"/>
          <w:sz w:val="24"/>
          <w:szCs w:val="24"/>
          <w:lang w:val="ru-RU"/>
        </w:rPr>
        <w:t xml:space="preserve">11, </w:t>
      </w:r>
      <w:r w:rsidRPr="00A8783E">
        <w:rPr>
          <w:rFonts w:ascii="Times New Roman" w:hAnsi="Times New Roman"/>
          <w:sz w:val="24"/>
          <w:szCs w:val="24"/>
          <w:lang w:val="en-US"/>
        </w:rPr>
        <w:t>F</w:t>
      </w:r>
      <w:r w:rsidRPr="00A8783E">
        <w:rPr>
          <w:rFonts w:ascii="Times New Roman" w:hAnsi="Times New Roman"/>
          <w:sz w:val="24"/>
          <w:szCs w:val="24"/>
          <w:lang w:val="ru-RU"/>
        </w:rPr>
        <w:t xml:space="preserve">14, </w:t>
      </w:r>
      <w:r w:rsidRPr="00A8783E">
        <w:rPr>
          <w:rFonts w:ascii="Times New Roman" w:hAnsi="Times New Roman"/>
          <w:sz w:val="24"/>
          <w:szCs w:val="24"/>
          <w:lang w:val="en-US"/>
        </w:rPr>
        <w:t>A</w:t>
      </w:r>
      <w:r w:rsidRPr="00A8783E">
        <w:rPr>
          <w:rFonts w:ascii="Times New Roman" w:hAnsi="Times New Roman"/>
          <w:sz w:val="24"/>
          <w:szCs w:val="24"/>
          <w:lang w:val="ru-RU"/>
        </w:rPr>
        <w:t>26)</w:t>
      </w:r>
      <w:r w:rsidRPr="00A8783E">
        <w:rPr>
          <w:rFonts w:ascii="Times New Roman" w:hAnsi="Times New Roman"/>
          <w:sz w:val="24"/>
          <w:szCs w:val="24"/>
        </w:rPr>
        <w:t>. От посочените заплахи J02, F26 за мигриращата популация в докладването по чл. 12 нито една няма отношение към зоната. Смятаме, че по време на прелет вида не е застрашен в зоната.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1416"/>
        <w:gridCol w:w="1418"/>
        <w:gridCol w:w="2410"/>
        <w:gridCol w:w="2548"/>
      </w:tblGrid>
      <w:tr w:rsidR="00A8783E" w:rsidRPr="00A8783E" w:rsidTr="005B5318">
        <w:trPr>
          <w:tblHeader/>
          <w:jc w:val="center"/>
        </w:trPr>
        <w:tc>
          <w:tcPr>
            <w:tcW w:w="1559"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41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41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41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54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Популация:</w:t>
            </w:r>
            <w:r w:rsidRPr="00A8783E">
              <w:rPr>
                <w:rFonts w:ascii="Times New Roman" w:hAnsi="Times New Roman"/>
              </w:rPr>
              <w:t xml:space="preserve"> Размер на гнездовата популация</w:t>
            </w:r>
          </w:p>
        </w:tc>
        <w:tc>
          <w:tcPr>
            <w:tcW w:w="141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Брой двойки </w:t>
            </w:r>
          </w:p>
        </w:tc>
        <w:tc>
          <w:tcPr>
            <w:tcW w:w="14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0 – 9 дв.</w:t>
            </w:r>
          </w:p>
        </w:tc>
        <w:tc>
          <w:tcPr>
            <w:tcW w:w="24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от СФ и други публикувани източници за гнездовата численост на вида през различните години в зоната. Необходимо е минималната стойност да е 0, тъй като не всяка година вида гнезди в зоната.</w:t>
            </w:r>
          </w:p>
        </w:tc>
        <w:tc>
          <w:tcPr>
            <w:tcW w:w="2548" w:type="dxa"/>
          </w:tcPr>
          <w:p w:rsidR="00A8783E" w:rsidRPr="00A8783E" w:rsidRDefault="00A8783E" w:rsidP="00A8783E">
            <w:pPr>
              <w:spacing w:after="0" w:line="240" w:lineRule="auto"/>
              <w:jc w:val="both"/>
              <w:rPr>
                <w:rFonts w:ascii="Times New Roman" w:hAnsi="Times New Roman"/>
                <w:color w:val="0070C0"/>
              </w:rPr>
            </w:pPr>
            <w:r w:rsidRPr="00A8783E">
              <w:rPr>
                <w:rFonts w:ascii="Times New Roman" w:hAnsi="Times New Roman"/>
              </w:rPr>
              <w:t>Поддържане на популацията на вида в зоната в размер от най-малко 1 гнездяща двойка. Необходимо е да се провежда мониторинг всяка година за установяване на числеността.</w:t>
            </w:r>
          </w:p>
        </w:tc>
      </w:tr>
      <w:tr w:rsidR="00A8783E" w:rsidRPr="00A8783E" w:rsidTr="005B5318">
        <w:trPr>
          <w:trHeight w:val="606"/>
          <w:jc w:val="center"/>
        </w:trPr>
        <w:tc>
          <w:tcPr>
            <w:tcW w:w="1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Популация</w:t>
            </w:r>
            <w:r w:rsidRPr="00A8783E">
              <w:rPr>
                <w:rFonts w:ascii="Times New Roman" w:hAnsi="Times New Roman"/>
              </w:rPr>
              <w:t>: Размер мигриращата популация</w:t>
            </w:r>
          </w:p>
        </w:tc>
        <w:tc>
          <w:tcPr>
            <w:tcW w:w="141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4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1100 инд.</w:t>
            </w:r>
          </w:p>
        </w:tc>
        <w:tc>
          <w:tcPr>
            <w:tcW w:w="24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на база СФ. Тези данни се нуждаят от потвърждение/актуализация в резултата на адекватен мониторинг в периода октомври – март месец.</w:t>
            </w:r>
          </w:p>
        </w:tc>
        <w:tc>
          <w:tcPr>
            <w:tcW w:w="254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A8783E" w:rsidRPr="00A8783E" w:rsidTr="005B5318">
        <w:trPr>
          <w:trHeight w:val="748"/>
          <w:jc w:val="center"/>
        </w:trPr>
        <w:tc>
          <w:tcPr>
            <w:tcW w:w="1559"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lastRenderedPageBreak/>
              <w:t xml:space="preserve">Местообитание на вида: </w:t>
            </w:r>
            <w:r w:rsidRPr="00A8783E">
              <w:rPr>
                <w:rFonts w:ascii="Times New Roman" w:hAnsi="Times New Roman"/>
              </w:rPr>
              <w:t>Площ на подходящите гнездови местообитания на вида</w:t>
            </w:r>
          </w:p>
        </w:tc>
        <w:tc>
          <w:tcPr>
            <w:tcW w:w="141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площ на плаваща водна растителност </w:t>
            </w:r>
            <w:r w:rsidRPr="00A8783E">
              <w:rPr>
                <w:rFonts w:ascii="Times New Roman" w:hAnsi="Times New Roman"/>
                <w:lang w:val="ru-RU"/>
              </w:rPr>
              <w:t>(</w:t>
            </w:r>
            <w:r w:rsidRPr="00A8783E">
              <w:rPr>
                <w:rFonts w:ascii="Times New Roman" w:hAnsi="Times New Roman"/>
              </w:rPr>
              <w:t>най-често водна лилия</w:t>
            </w:r>
            <w:r w:rsidRPr="00A8783E">
              <w:rPr>
                <w:rFonts w:ascii="Times New Roman" w:hAnsi="Times New Roman"/>
                <w:lang w:val="ru-RU"/>
              </w:rPr>
              <w:t>)</w:t>
            </w:r>
            <w:r w:rsidRPr="00A8783E">
              <w:rPr>
                <w:rFonts w:ascii="Times New Roman" w:hAnsi="Times New Roman"/>
              </w:rPr>
              <w:t xml:space="preserve"> </w:t>
            </w:r>
          </w:p>
        </w:tc>
        <w:tc>
          <w:tcPr>
            <w:tcW w:w="14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минимум 15-20 </w:t>
            </w:r>
            <w:r w:rsidRPr="00A8783E">
              <w:rPr>
                <w:rFonts w:ascii="Times New Roman" w:hAnsi="Times New Roman"/>
                <w:lang w:val="en-US"/>
              </w:rPr>
              <w:t>m</w:t>
            </w:r>
            <w:r w:rsidRPr="00A8783E">
              <w:rPr>
                <w:rFonts w:ascii="Times New Roman" w:hAnsi="Times New Roman"/>
                <w:vertAlign w:val="superscript"/>
              </w:rPr>
              <w:t>2</w:t>
            </w:r>
            <w:r w:rsidRPr="00A8783E">
              <w:rPr>
                <w:rFonts w:ascii="Times New Roman" w:hAnsi="Times New Roman"/>
              </w:rPr>
              <w:t xml:space="preserve"> за 10 дв., тъй като вида гнезди колониално</w:t>
            </w:r>
          </w:p>
        </w:tc>
        <w:tc>
          <w:tcPr>
            <w:tcW w:w="24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Предпочита да гнезди върху плаваща водна растителност </w:t>
            </w:r>
            <w:r w:rsidRPr="00A8783E">
              <w:rPr>
                <w:rFonts w:ascii="Times New Roman" w:hAnsi="Times New Roman"/>
                <w:lang w:val="ru-RU"/>
              </w:rPr>
              <w:t>(</w:t>
            </w:r>
            <w:r w:rsidRPr="00A8783E">
              <w:rPr>
                <w:rFonts w:ascii="Times New Roman" w:hAnsi="Times New Roman"/>
                <w:i/>
                <w:iCs/>
                <w:lang w:val="en-US"/>
              </w:rPr>
              <w:t>Nymphaea</w:t>
            </w:r>
            <w:r w:rsidRPr="00A8783E">
              <w:rPr>
                <w:rFonts w:ascii="Times New Roman" w:hAnsi="Times New Roman"/>
                <w:lang w:val="ru-RU"/>
              </w:rPr>
              <w:t xml:space="preserve"> </w:t>
            </w:r>
            <w:r w:rsidRPr="00A8783E">
              <w:rPr>
                <w:rFonts w:ascii="Times New Roman" w:hAnsi="Times New Roman"/>
                <w:lang w:val="en-US"/>
              </w:rPr>
              <w:t>sp</w:t>
            </w:r>
            <w:r w:rsidRPr="00A8783E">
              <w:rPr>
                <w:rFonts w:ascii="Times New Roman" w:hAnsi="Times New Roman"/>
                <w:lang w:val="ru-RU"/>
              </w:rPr>
              <w:t xml:space="preserve">., </w:t>
            </w:r>
            <w:r w:rsidRPr="00A8783E">
              <w:rPr>
                <w:rFonts w:ascii="Times New Roman" w:hAnsi="Times New Roman"/>
                <w:i/>
                <w:iCs/>
                <w:lang w:val="en-US"/>
              </w:rPr>
              <w:t>Nuphar</w:t>
            </w:r>
            <w:r w:rsidRPr="00A8783E">
              <w:rPr>
                <w:rFonts w:ascii="Times New Roman" w:hAnsi="Times New Roman"/>
                <w:lang w:val="ru-RU"/>
              </w:rPr>
              <w:t xml:space="preserve"> </w:t>
            </w:r>
            <w:r w:rsidRPr="00A8783E">
              <w:rPr>
                <w:rFonts w:ascii="Times New Roman" w:hAnsi="Times New Roman"/>
                <w:lang w:val="en-US"/>
              </w:rPr>
              <w:t>sp</w:t>
            </w:r>
            <w:r w:rsidRPr="00A8783E">
              <w:rPr>
                <w:rFonts w:ascii="Times New Roman" w:hAnsi="Times New Roman"/>
                <w:lang w:val="ru-RU"/>
              </w:rPr>
              <w:t xml:space="preserve">. </w:t>
            </w:r>
            <w:r w:rsidRPr="00A8783E">
              <w:rPr>
                <w:rFonts w:ascii="Times New Roman" w:hAnsi="Times New Roman"/>
              </w:rPr>
              <w:t>и др.</w:t>
            </w:r>
            <w:r w:rsidRPr="00A8783E">
              <w:rPr>
                <w:rFonts w:ascii="Times New Roman" w:hAnsi="Times New Roman"/>
                <w:lang w:val="ru-RU"/>
              </w:rPr>
              <w:t>)</w:t>
            </w:r>
            <w:r w:rsidRPr="00A8783E">
              <w:rPr>
                <w:rFonts w:ascii="Times New Roman" w:hAnsi="Times New Roman"/>
              </w:rPr>
              <w:t xml:space="preserve"> и коренища, намиращи се на водната повърхност. Най-малкото разстояние между гнездата е около 1 </w:t>
            </w:r>
            <w:r w:rsidRPr="00A8783E">
              <w:rPr>
                <w:rFonts w:ascii="Times New Roman" w:hAnsi="Times New Roman"/>
                <w:lang w:val="en-US"/>
              </w:rPr>
              <w:t>m</w:t>
            </w:r>
            <w:r w:rsidRPr="00A8783E">
              <w:rPr>
                <w:rFonts w:ascii="Times New Roman" w:hAnsi="Times New Roman"/>
              </w:rPr>
              <w:t>.</w:t>
            </w:r>
          </w:p>
          <w:p w:rsidR="00A8783E" w:rsidRPr="00A8783E" w:rsidRDefault="00A8783E" w:rsidP="00A8783E">
            <w:pPr>
              <w:spacing w:after="0" w:line="240" w:lineRule="auto"/>
              <w:jc w:val="both"/>
              <w:rPr>
                <w:rFonts w:ascii="Times New Roman" w:hAnsi="Times New Roman"/>
                <w:b/>
                <w:bCs/>
              </w:rPr>
            </w:pPr>
          </w:p>
        </w:tc>
        <w:tc>
          <w:tcPr>
            <w:tcW w:w="254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Да се осигури развитието на по-големи по площ съобщества от плаваща водна растителност – водни лилии подходящи за гнезденето на вида, с минимум площ от 15-20 m</w:t>
            </w:r>
            <w:r w:rsidRPr="00A8783E">
              <w:rPr>
                <w:rFonts w:ascii="Times New Roman" w:hAnsi="Times New Roman"/>
                <w:vertAlign w:val="superscript"/>
              </w:rPr>
              <w:t>2</w:t>
            </w:r>
            <w:r w:rsidRPr="00A8783E">
              <w:rPr>
                <w:rFonts w:ascii="Times New Roman" w:hAnsi="Times New Roman"/>
              </w:rPr>
              <w:t>.</w:t>
            </w:r>
            <w:r w:rsidRPr="00A8783E">
              <w:rPr>
                <w:rFonts w:cs="Calibri"/>
              </w:rPr>
              <w:t xml:space="preserve"> </w:t>
            </w:r>
            <w:r w:rsidRPr="00A8783E">
              <w:rPr>
                <w:rFonts w:ascii="Times New Roman" w:hAnsi="Times New Roman"/>
              </w:rPr>
              <w:t>Това може да стане чрез осигуряване на по-постоянно водно ниво в езерото.</w:t>
            </w:r>
          </w:p>
        </w:tc>
      </w:tr>
      <w:tr w:rsidR="00A8783E" w:rsidRPr="00A8783E" w:rsidTr="005B5318">
        <w:trPr>
          <w:trHeight w:val="748"/>
          <w:jc w:val="center"/>
        </w:trPr>
        <w:tc>
          <w:tcPr>
            <w:tcW w:w="1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Местообитание на вида</w:t>
            </w:r>
            <w:r w:rsidRPr="00A8783E">
              <w:rPr>
                <w:rFonts w:ascii="Times New Roman" w:hAnsi="Times New Roman"/>
              </w:rPr>
              <w:t xml:space="preserve">: Площ на подходящите хранителни местообитания на вида </w:t>
            </w:r>
          </w:p>
        </w:tc>
        <w:tc>
          <w:tcPr>
            <w:tcW w:w="141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ha</w:t>
            </w:r>
          </w:p>
          <w:p w:rsidR="00A8783E" w:rsidRPr="00A8783E" w:rsidRDefault="00A8783E" w:rsidP="00A8783E">
            <w:pPr>
              <w:spacing w:after="0" w:line="240" w:lineRule="auto"/>
              <w:jc w:val="both"/>
              <w:rPr>
                <w:rFonts w:ascii="Times New Roman" w:hAnsi="Times New Roman"/>
              </w:rPr>
            </w:pPr>
          </w:p>
        </w:tc>
        <w:tc>
          <w:tcPr>
            <w:tcW w:w="14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840 </w:t>
            </w:r>
          </w:p>
        </w:tc>
        <w:tc>
          <w:tcPr>
            <w:tcW w:w="24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Изчислена на база откритите водни площи в рамките на СЗЗ. Данните са взети от СФ като % на местообитание </w:t>
            </w:r>
            <w:r w:rsidRPr="00A8783E">
              <w:rPr>
                <w:rFonts w:ascii="Times New Roman" w:hAnsi="Times New Roman"/>
                <w:lang w:val="en-GB"/>
              </w:rPr>
              <w:t>N</w:t>
            </w:r>
            <w:r w:rsidRPr="00A8783E">
              <w:rPr>
                <w:rFonts w:ascii="Times New Roman" w:hAnsi="Times New Roman"/>
                <w:lang w:val="ru-RU"/>
              </w:rPr>
              <w:t>06</w:t>
            </w:r>
            <w:r w:rsidRPr="00A8783E">
              <w:rPr>
                <w:rFonts w:ascii="Times New Roman" w:hAnsi="Times New Roman"/>
              </w:rPr>
              <w:t xml:space="preserve">– вътрешни водни тела и </w:t>
            </w:r>
            <w:r w:rsidRPr="00A8783E">
              <w:rPr>
                <w:rFonts w:ascii="Times New Roman" w:hAnsi="Times New Roman"/>
                <w:lang w:val="en-US"/>
              </w:rPr>
              <w:t>N</w:t>
            </w:r>
            <w:r w:rsidRPr="00A8783E">
              <w:rPr>
                <w:rFonts w:ascii="Times New Roman" w:hAnsi="Times New Roman"/>
                <w:lang w:val="ru-RU"/>
              </w:rPr>
              <w:t>07</w:t>
            </w:r>
            <w:r w:rsidRPr="00A8783E">
              <w:rPr>
                <w:rFonts w:ascii="Times New Roman" w:hAnsi="Times New Roman"/>
              </w:rPr>
              <w:t>-мочурища и блата.</w:t>
            </w:r>
            <w:r w:rsidRPr="00A8783E">
              <w:rPr>
                <w:rFonts w:ascii="Times New Roman" w:hAnsi="Times New Roman"/>
                <w:lang w:val="ru-RU"/>
              </w:rPr>
              <w:t xml:space="preserve"> </w:t>
            </w:r>
            <w:r w:rsidRPr="00A8783E">
              <w:rPr>
                <w:rFonts w:ascii="Times New Roman" w:hAnsi="Times New Roman"/>
              </w:rPr>
              <w:t>В зоната вида се храни в откритите части на резервата, а също и в реката.</w:t>
            </w:r>
          </w:p>
        </w:tc>
        <w:tc>
          <w:tcPr>
            <w:tcW w:w="254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водното ниво в зоната, така че да се осигуряват достатъчни водни огледала. </w:t>
            </w:r>
          </w:p>
        </w:tc>
      </w:tr>
      <w:tr w:rsidR="00A8783E" w:rsidRPr="00A8783E" w:rsidTr="005B5318">
        <w:trPr>
          <w:trHeight w:val="748"/>
          <w:jc w:val="center"/>
        </w:trPr>
        <w:tc>
          <w:tcPr>
            <w:tcW w:w="1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Местообитание на вида</w:t>
            </w:r>
            <w:r w:rsidRPr="00A8783E">
              <w:rPr>
                <w:rFonts w:ascii="Times New Roman" w:hAnsi="Times New Roman"/>
              </w:rPr>
              <w:t>: Екологично състояние на водните тела с хранителни местообитания на вида, по биологични елементи за качество (БЕК  Риби и Макрозообентос)</w:t>
            </w:r>
          </w:p>
        </w:tc>
        <w:tc>
          <w:tcPr>
            <w:tcW w:w="141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5 степенна скала за екологично състояние, съгласно РДВ </w:t>
            </w:r>
          </w:p>
        </w:tc>
        <w:tc>
          <w:tcPr>
            <w:tcW w:w="14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По-висока или равна на 2 – Добро състояние</w:t>
            </w:r>
          </w:p>
        </w:tc>
        <w:tc>
          <w:tcPr>
            <w:tcW w:w="2410" w:type="dxa"/>
          </w:tcPr>
          <w:tbl>
            <w:tblPr>
              <w:tblW w:w="3066" w:type="dxa"/>
              <w:tblInd w:w="3" w:type="dxa"/>
              <w:tblLayout w:type="fixed"/>
              <w:tblCellMar>
                <w:left w:w="70" w:type="dxa"/>
                <w:right w:w="70" w:type="dxa"/>
              </w:tblCellMar>
              <w:tblLook w:val="00A0" w:firstRow="1" w:lastRow="0" w:firstColumn="1" w:lastColumn="0" w:noHBand="0" w:noVBand="0"/>
            </w:tblPr>
            <w:tblGrid>
              <w:gridCol w:w="3066"/>
            </w:tblGrid>
            <w:tr w:rsidR="00A8783E" w:rsidRPr="00A8783E" w:rsidTr="005B5318">
              <w:trPr>
                <w:trHeight w:val="292"/>
              </w:trPr>
              <w:tc>
                <w:tcPr>
                  <w:tcW w:w="3066"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Екологично състояние</w:t>
                  </w:r>
                </w:p>
              </w:tc>
            </w:tr>
            <w:tr w:rsidR="00A8783E" w:rsidRPr="00A8783E" w:rsidTr="005B5318">
              <w:trPr>
                <w:trHeight w:val="292"/>
              </w:trPr>
              <w:tc>
                <w:tcPr>
                  <w:tcW w:w="3066"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w:t>
                  </w:r>
                </w:p>
              </w:tc>
            </w:tr>
            <w:tr w:rsidR="00A8783E" w:rsidRPr="00A8783E" w:rsidTr="005B5318">
              <w:trPr>
                <w:trHeight w:val="292"/>
              </w:trPr>
              <w:tc>
                <w:tcPr>
                  <w:tcW w:w="3066"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2-Добро</w:t>
                  </w:r>
                </w:p>
              </w:tc>
            </w:tr>
            <w:tr w:rsidR="00A8783E" w:rsidRPr="00A8783E" w:rsidTr="005B5318">
              <w:trPr>
                <w:trHeight w:val="292"/>
              </w:trPr>
              <w:tc>
                <w:tcPr>
                  <w:tcW w:w="3066"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3-Умерено</w:t>
                  </w:r>
                </w:p>
              </w:tc>
            </w:tr>
            <w:tr w:rsidR="00A8783E" w:rsidRPr="00A8783E" w:rsidTr="005B5318">
              <w:trPr>
                <w:trHeight w:val="292"/>
              </w:trPr>
              <w:tc>
                <w:tcPr>
                  <w:tcW w:w="3066"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4-Лошо</w:t>
                  </w:r>
                </w:p>
              </w:tc>
            </w:tr>
            <w:tr w:rsidR="00A8783E" w:rsidRPr="00A8783E" w:rsidTr="005B5318">
              <w:trPr>
                <w:trHeight w:val="292"/>
              </w:trPr>
              <w:tc>
                <w:tcPr>
                  <w:tcW w:w="3066"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5-Много лошо</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на р. Дунав по показател Риби в пункт Силистра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rPr>
              <w:t>3</w:t>
            </w:r>
            <w:r w:rsidRPr="00A8783E">
              <w:rPr>
                <w:rFonts w:ascii="Times New Roman" w:hAnsi="Times New Roman"/>
              </w:rPr>
              <w:t xml:space="preserve">), по показател Макрозообентос при пункт Силистра е оценено също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lang w:val="ru-RU"/>
              </w:rPr>
              <w:t>(</w:t>
            </w:r>
            <w:r w:rsidRPr="00A8783E">
              <w:rPr>
                <w:rFonts w:ascii="Times New Roman" w:hAnsi="Times New Roman"/>
                <w:b/>
                <w:bCs/>
              </w:rPr>
              <w:t>3</w:t>
            </w:r>
            <w:r w:rsidRPr="00A8783E">
              <w:rPr>
                <w:rFonts w:ascii="Times New Roman" w:hAnsi="Times New Roman"/>
                <w:lang w:val="ru-RU"/>
              </w:rPr>
              <w:t>)</w:t>
            </w:r>
            <w:r w:rsidRPr="00A8783E">
              <w:rPr>
                <w:rFonts w:ascii="Times New Roman" w:hAnsi="Times New Roman"/>
              </w:rPr>
              <w:t xml:space="preserve"> според доклада на </w:t>
            </w:r>
            <w:r w:rsidRPr="00A8783E">
              <w:rPr>
                <w:rFonts w:ascii="Times New Roman" w:hAnsi="Times New Roman"/>
                <w:lang w:val="en-GB"/>
              </w:rPr>
              <w:t>JDS</w:t>
            </w:r>
            <w:r w:rsidRPr="00A8783E">
              <w:rPr>
                <w:rFonts w:ascii="Times New Roman" w:hAnsi="Times New Roman"/>
                <w:lang w:val="ru-RU"/>
              </w:rPr>
              <w:t>4 (2019-2020).</w:t>
            </w:r>
            <w:r w:rsidRPr="00A8783E">
              <w:rPr>
                <w:rFonts w:ascii="Times New Roman" w:hAnsi="Times New Roman"/>
              </w:rPr>
              <w:t xml:space="preserve"> Екологичното състояние на водите на ез. Сребърна по показател Риби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lang w:val="ru-RU"/>
              </w:rPr>
              <w:t>(</w:t>
            </w:r>
            <w:r w:rsidRPr="00A8783E">
              <w:rPr>
                <w:rFonts w:ascii="Times New Roman" w:hAnsi="Times New Roman"/>
                <w:b/>
                <w:bCs/>
              </w:rPr>
              <w:t>3</w:t>
            </w:r>
            <w:r w:rsidRPr="00A8783E">
              <w:rPr>
                <w:rFonts w:ascii="Times New Roman" w:hAnsi="Times New Roman"/>
                <w:lang w:val="ru-RU"/>
              </w:rPr>
              <w:t>)</w:t>
            </w:r>
            <w:r w:rsidRPr="00A8783E">
              <w:rPr>
                <w:rFonts w:ascii="Times New Roman" w:hAnsi="Times New Roman"/>
              </w:rPr>
              <w:t xml:space="preserve">, според Протокол за пробонабиране на риби в езера </w:t>
            </w:r>
            <w:r w:rsidRPr="00A8783E">
              <w:rPr>
                <w:rFonts w:ascii="Times New Roman" w:hAnsi="Times New Roman"/>
                <w:lang w:val="ru-RU"/>
              </w:rPr>
              <w:t>(</w:t>
            </w:r>
            <w:r w:rsidRPr="00A8783E">
              <w:rPr>
                <w:rFonts w:ascii="Times New Roman" w:hAnsi="Times New Roman"/>
              </w:rPr>
              <w:t>2020</w:t>
            </w:r>
            <w:r w:rsidRPr="00A8783E">
              <w:rPr>
                <w:rFonts w:ascii="Times New Roman" w:hAnsi="Times New Roman"/>
                <w:lang w:val="ru-RU"/>
              </w:rPr>
              <w:t>).</w:t>
            </w:r>
          </w:p>
        </w:tc>
        <w:tc>
          <w:tcPr>
            <w:tcW w:w="254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t xml:space="preserve">6. Необходимост от промени в СФ за (СЗЗ) </w:t>
      </w:r>
      <w:r w:rsidRPr="00A8783E">
        <w:rPr>
          <w:rFonts w:ascii="Times New Roman" w:hAnsi="Times New Roman"/>
          <w:b/>
          <w:bCs/>
          <w:sz w:val="24"/>
          <w:szCs w:val="24"/>
        </w:rPr>
        <w:t>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По отношение на гнездящата популация предлагаме да се актуализира значението на популацията </w:t>
      </w:r>
      <w:r w:rsidRPr="00A8783E">
        <w:rPr>
          <w:rFonts w:ascii="Times New Roman" w:hAnsi="Times New Roman"/>
          <w:sz w:val="24"/>
          <w:szCs w:val="24"/>
          <w:lang w:val="ru-RU"/>
        </w:rPr>
        <w:t>(</w:t>
      </w:r>
      <w:r w:rsidRPr="00A8783E">
        <w:rPr>
          <w:rFonts w:ascii="Times New Roman" w:hAnsi="Times New Roman"/>
          <w:sz w:val="24"/>
          <w:szCs w:val="24"/>
          <w:lang w:val="en-US"/>
        </w:rPr>
        <w:t>Pop</w:t>
      </w:r>
      <w:r w:rsidRPr="00A8783E">
        <w:rPr>
          <w:rFonts w:ascii="Times New Roman" w:hAnsi="Times New Roman"/>
          <w:sz w:val="24"/>
          <w:szCs w:val="24"/>
          <w:lang w:val="ru-RU"/>
        </w:rPr>
        <w:t xml:space="preserve">.) </w:t>
      </w:r>
      <w:r w:rsidRPr="00A8783E">
        <w:rPr>
          <w:rFonts w:ascii="Times New Roman" w:hAnsi="Times New Roman"/>
          <w:sz w:val="24"/>
          <w:szCs w:val="24"/>
        </w:rPr>
        <w:t>от категория „В“ на „А“, тъй като 0-26% влиза в категория „А“.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0" w:type="auto"/>
            <w:gridSpan w:val="5"/>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Species</w:t>
            </w:r>
          </w:p>
        </w:tc>
        <w:tc>
          <w:tcPr>
            <w:tcW w:w="0" w:type="auto"/>
            <w:gridSpan w:val="6"/>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Population in the site</w:t>
            </w:r>
          </w:p>
        </w:tc>
        <w:tc>
          <w:tcPr>
            <w:tcW w:w="0" w:type="auto"/>
            <w:gridSpan w:val="4"/>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G</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Code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Scientific Name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NP</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T</w:t>
            </w:r>
          </w:p>
        </w:tc>
        <w:tc>
          <w:tcPr>
            <w:tcW w:w="0" w:type="auto"/>
            <w:gridSpan w:val="2"/>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Size</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Unit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Cat.</w:t>
            </w:r>
          </w:p>
        </w:tc>
        <w:tc>
          <w:tcPr>
            <w:tcW w:w="0" w:type="auto"/>
            <w:vMerge w:val="restart"/>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D.qual.</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A/B/C/D</w:t>
            </w:r>
          </w:p>
        </w:tc>
        <w:tc>
          <w:tcPr>
            <w:tcW w:w="0" w:type="auto"/>
            <w:gridSpan w:val="3"/>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Min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Max</w:t>
            </w: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Pop.</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Con.</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Iso.</w:t>
            </w:r>
          </w:p>
        </w:tc>
        <w:tc>
          <w:tcPr>
            <w:tcW w:w="0" w:type="auto"/>
            <w:shd w:val="clear" w:color="auto" w:fill="D9D9D9"/>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Glo.</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В</w:t>
            </w:r>
          </w:p>
        </w:tc>
        <w:tc>
          <w:tcPr>
            <w:tcW w:w="0" w:type="auto"/>
            <w:vAlign w:val="center"/>
          </w:tcPr>
          <w:p w:rsidR="00A8783E" w:rsidRPr="00A8783E" w:rsidRDefault="00A8783E" w:rsidP="00A8783E">
            <w:pPr>
              <w:spacing w:after="0" w:line="240" w:lineRule="auto"/>
              <w:rPr>
                <w:rFonts w:ascii="Times New Roman" w:hAnsi="Times New Roman"/>
                <w:b/>
                <w:bCs/>
                <w:sz w:val="20"/>
                <w:szCs w:val="20"/>
              </w:rPr>
            </w:pPr>
            <w:r w:rsidRPr="00A8783E">
              <w:rPr>
                <w:rFonts w:ascii="Times New Roman" w:hAnsi="Times New Roman"/>
                <w:b/>
                <w:bCs/>
                <w:sz w:val="20"/>
                <w:szCs w:val="20"/>
              </w:rPr>
              <w:t>A197</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i/>
                <w:iCs/>
                <w:sz w:val="20"/>
                <w:szCs w:val="20"/>
              </w:rPr>
              <w:t xml:space="preserve">Chlidonias </w:t>
            </w:r>
            <w:r w:rsidRPr="00A8783E">
              <w:rPr>
                <w:rFonts w:ascii="Times New Roman" w:hAnsi="Times New Roman"/>
                <w:i/>
                <w:iCs/>
                <w:sz w:val="20"/>
                <w:szCs w:val="20"/>
                <w:lang w:val="en-US"/>
              </w:rPr>
              <w:t>niger</w:t>
            </w:r>
          </w:p>
        </w:tc>
        <w:tc>
          <w:tcPr>
            <w:tcW w:w="0" w:type="auto"/>
            <w:vAlign w:val="center"/>
          </w:tcPr>
          <w:p w:rsidR="00A8783E" w:rsidRPr="00A8783E" w:rsidRDefault="00A8783E" w:rsidP="00A8783E">
            <w:pPr>
              <w:spacing w:after="0" w:line="240" w:lineRule="auto"/>
              <w:rPr>
                <w:rFonts w:ascii="Times New Roman" w:hAnsi="Times New Roman"/>
                <w:sz w:val="20"/>
                <w:szCs w:val="20"/>
              </w:rPr>
            </w:pPr>
          </w:p>
        </w:tc>
        <w:tc>
          <w:tcPr>
            <w:tcW w:w="0" w:type="auto"/>
            <w:vAlign w:val="center"/>
          </w:tcPr>
          <w:p w:rsidR="00A8783E" w:rsidRPr="00A8783E" w:rsidRDefault="00A8783E" w:rsidP="00A8783E">
            <w:pPr>
              <w:spacing w:after="0" w:line="240" w:lineRule="auto"/>
              <w:rPr>
                <w:rFonts w:ascii="Times New Roman" w:hAnsi="Times New Roman"/>
                <w:sz w:val="20"/>
                <w:szCs w:val="20"/>
              </w:rPr>
            </w:pP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r</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0</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9</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p</w:t>
            </w:r>
          </w:p>
        </w:tc>
        <w:tc>
          <w:tcPr>
            <w:tcW w:w="0" w:type="auto"/>
            <w:vAlign w:val="center"/>
          </w:tcPr>
          <w:p w:rsidR="00A8783E" w:rsidRPr="00A8783E" w:rsidRDefault="00A8783E" w:rsidP="00A8783E">
            <w:pPr>
              <w:spacing w:after="0" w:line="240" w:lineRule="auto"/>
              <w:rPr>
                <w:rFonts w:ascii="Times New Roman" w:hAnsi="Times New Roman"/>
                <w:sz w:val="20"/>
                <w:szCs w:val="20"/>
              </w:rPr>
            </w:pP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G</w:t>
            </w:r>
          </w:p>
        </w:tc>
        <w:tc>
          <w:tcPr>
            <w:tcW w:w="0" w:type="auto"/>
            <w:vAlign w:val="center"/>
          </w:tcPr>
          <w:p w:rsidR="00A8783E" w:rsidRPr="00A8783E" w:rsidRDefault="00A8783E" w:rsidP="00A8783E">
            <w:pPr>
              <w:spacing w:after="0" w:line="240" w:lineRule="auto"/>
              <w:rPr>
                <w:rFonts w:ascii="Times New Roman" w:hAnsi="Times New Roman"/>
                <w:b/>
                <w:bCs/>
                <w:sz w:val="20"/>
                <w:szCs w:val="20"/>
                <w:lang w:val="en-US"/>
              </w:rPr>
            </w:pPr>
            <w:r w:rsidRPr="00A8783E">
              <w:rPr>
                <w:rFonts w:ascii="Times New Roman" w:hAnsi="Times New Roman"/>
                <w:b/>
                <w:bCs/>
                <w:color w:val="FF0000"/>
                <w:sz w:val="20"/>
                <w:szCs w:val="20"/>
                <w:lang w:val="en-US"/>
              </w:rPr>
              <w:t>A</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C</w:t>
            </w:r>
          </w:p>
        </w:tc>
        <w:tc>
          <w:tcPr>
            <w:tcW w:w="0" w:type="auto"/>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r>
    </w:tbl>
    <w:p w:rsidR="00A8783E" w:rsidRPr="00A8783E" w:rsidRDefault="00A8783E" w:rsidP="00A8783E">
      <w:pPr>
        <w:spacing w:after="160" w:line="259" w:lineRule="auto"/>
        <w:rPr>
          <w:rFonts w:ascii="Times New Roman" w:hAnsi="Times New Roman"/>
          <w:sz w:val="24"/>
          <w:szCs w:val="24"/>
          <w:lang w:val="en-US"/>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430" w:name="_Toc86409809"/>
      <w:bookmarkStart w:id="431" w:name="_Toc87467271"/>
      <w:bookmarkStart w:id="432" w:name="_Toc87692188"/>
      <w:bookmarkStart w:id="433" w:name="_Toc88865730"/>
      <w:bookmarkStart w:id="434" w:name="_Toc89106137"/>
      <w:bookmarkStart w:id="435" w:name="_Toc98741976"/>
      <w:bookmarkStart w:id="436" w:name="_Toc98838651"/>
      <w:r w:rsidRPr="00A8783E">
        <w:rPr>
          <w:rFonts w:ascii="Times New Roman" w:hAnsi="Times New Roman"/>
          <w:color w:val="1F497D"/>
          <w:sz w:val="28"/>
          <w:szCs w:val="28"/>
        </w:rPr>
        <w:t xml:space="preserve">Специфични цели за А198 </w:t>
      </w:r>
      <w:r w:rsidRPr="00A8783E">
        <w:rPr>
          <w:rFonts w:ascii="Times New Roman" w:hAnsi="Times New Roman"/>
          <w:i/>
          <w:iCs/>
          <w:color w:val="1F497D"/>
          <w:sz w:val="28"/>
          <w:szCs w:val="28"/>
        </w:rPr>
        <w:t>Chlidonias leucopterus</w:t>
      </w:r>
      <w:r w:rsidRPr="00A8783E">
        <w:rPr>
          <w:rFonts w:ascii="Times New Roman" w:hAnsi="Times New Roman"/>
          <w:color w:val="1F497D"/>
          <w:sz w:val="28"/>
          <w:szCs w:val="28"/>
        </w:rPr>
        <w:t xml:space="preserve"> (белокрила рибарка)</w:t>
      </w:r>
      <w:bookmarkEnd w:id="430"/>
      <w:bookmarkEnd w:id="431"/>
      <w:bookmarkEnd w:id="432"/>
      <w:bookmarkEnd w:id="433"/>
      <w:bookmarkEnd w:id="434"/>
      <w:bookmarkEnd w:id="435"/>
      <w:bookmarkEnd w:id="436"/>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20-23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63-67 </w:t>
      </w:r>
      <w:r w:rsidRPr="00A8783E">
        <w:rPr>
          <w:rFonts w:ascii="Times New Roman" w:hAnsi="Times New Roman"/>
          <w:sz w:val="24"/>
          <w:szCs w:val="24"/>
          <w:lang w:val="en-US"/>
        </w:rPr>
        <w:t>cm</w:t>
      </w:r>
      <w:r w:rsidRPr="00A8783E">
        <w:rPr>
          <w:rFonts w:ascii="Times New Roman" w:hAnsi="Times New Roman"/>
          <w:sz w:val="24"/>
          <w:szCs w:val="24"/>
        </w:rPr>
        <w:t>. Има възрастов и сезонен диморфизъм. Възрастните през лятото са с черно тяло и бяла опашка; крилата отгоре са сиви, а отдолу – черни със сиви махови пера; клюнът е тъмночервен. През другите сезони са с голямо черно петно зад окото. Младите са с кафяв гръб, изпъстрен с черни препаски и с малко петно зад окото</w:t>
      </w:r>
      <w:r w:rsidRPr="00A8783E">
        <w:rPr>
          <w:rFonts w:ascii="Times New Roman" w:hAnsi="Times New Roman"/>
          <w:sz w:val="24"/>
          <w:szCs w:val="24"/>
          <w:lang w:val="ru-RU"/>
        </w:rPr>
        <w:t xml:space="preserve"> </w:t>
      </w:r>
      <w:r w:rsidRPr="00A8783E">
        <w:rPr>
          <w:rFonts w:ascii="Times New Roman" w:hAnsi="Times New Roman"/>
          <w:sz w:val="24"/>
          <w:szCs w:val="24"/>
        </w:rPr>
        <w:t>(Нанкинов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Преминаващ и нередовно гнездящ вид за страната </w:t>
      </w:r>
      <w:r w:rsidRPr="00A8783E">
        <w:rPr>
          <w:rFonts w:ascii="Times New Roman" w:hAnsi="Times New Roman"/>
          <w:sz w:val="24"/>
          <w:szCs w:val="24"/>
          <w:lang w:val="ru-RU"/>
        </w:rPr>
        <w:t>(</w:t>
      </w:r>
      <w:r w:rsidRPr="00A8783E">
        <w:rPr>
          <w:rFonts w:ascii="Times New Roman" w:hAnsi="Times New Roman"/>
          <w:sz w:val="24"/>
          <w:szCs w:val="24"/>
        </w:rPr>
        <w:t>Куцаров в Янков, отг. ред., 2007</w:t>
      </w:r>
      <w:r w:rsidRPr="00A8783E">
        <w:rPr>
          <w:rFonts w:ascii="Times New Roman" w:hAnsi="Times New Roman"/>
          <w:sz w:val="24"/>
          <w:szCs w:val="24"/>
          <w:lang w:val="ru-RU"/>
        </w:rPr>
        <w:t>)</w:t>
      </w:r>
      <w:r w:rsidRPr="00A8783E">
        <w:rPr>
          <w:rFonts w:ascii="Times New Roman" w:hAnsi="Times New Roman"/>
          <w:sz w:val="24"/>
          <w:szCs w:val="24"/>
        </w:rPr>
        <w:t>. Пролетната миграция е между средата на април и началото на юни, а есенната – от август до средата на октомври. Лети на малки ята. Гнезди колониално. Има едно поколение годишно през периода април-юли.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През размножителния период се среща в блата и езера с богата растителност, делти на реки със заблатени участъци, рибарници. През останалите сезони скита по разнообразни влажни зони в равнинните части (Нанкинов и др., 1997).</w:t>
      </w:r>
      <w:r w:rsidRPr="00A8783E">
        <w:rPr>
          <w:rFonts w:ascii="Times New Roman" w:hAnsi="Times New Roman"/>
          <w:sz w:val="24"/>
          <w:szCs w:val="24"/>
          <w:lang w:val="ru-RU"/>
        </w:rPr>
        <w:t xml:space="preserve"> </w:t>
      </w:r>
      <w:r w:rsidRPr="00A8783E">
        <w:rPr>
          <w:rFonts w:ascii="Times New Roman" w:hAnsi="Times New Roman"/>
          <w:sz w:val="24"/>
          <w:szCs w:val="24"/>
        </w:rPr>
        <w:t xml:space="preserve">Гнезди във временни разливи в ливади и ниви, най-близки до крайречни и приизворни мочурища (Янков, ред., 2007). Разстоянието между гнездата е средно 31,6 </w:t>
      </w:r>
      <w:r w:rsidRPr="00A8783E">
        <w:rPr>
          <w:rFonts w:ascii="Times New Roman" w:hAnsi="Times New Roman"/>
          <w:sz w:val="24"/>
          <w:szCs w:val="24"/>
          <w:lang w:val="en-US"/>
        </w:rPr>
        <w:t>m</w:t>
      </w:r>
      <w:r w:rsidRPr="00A8783E">
        <w:rPr>
          <w:rFonts w:ascii="Times New Roman" w:hAnsi="Times New Roman"/>
          <w:sz w:val="24"/>
          <w:szCs w:val="24"/>
        </w:rPr>
        <w:t xml:space="preserve"> (Shurulinkov et al., 2010). Подходящи местообитания вероятно са 3150 и 3130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Храни се с ракообразни, дребни рибки и земноводни и насекоми (</w:t>
      </w:r>
      <w:r w:rsidRPr="00A8783E">
        <w:rPr>
          <w:rFonts w:ascii="Times New Roman" w:hAnsi="Times New Roman"/>
          <w:i/>
          <w:iCs/>
          <w:sz w:val="24"/>
          <w:szCs w:val="24"/>
        </w:rPr>
        <w:t>Gerridae, Dytiscidae</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Белокрилата рибарка до сега е установена да гнезди в 5 влажни зони по Дунавското крайбрежие и южна Добруджа: резервата „Сребърна“, рибарници Калимок, рибарници Хаджидимитрово, на остров Персина и блатото Чаиря </w:t>
      </w:r>
      <w:r w:rsidRPr="00A8783E">
        <w:rPr>
          <w:rFonts w:ascii="Times New Roman" w:hAnsi="Times New Roman"/>
          <w:sz w:val="24"/>
          <w:szCs w:val="24"/>
          <w:lang w:val="ru-RU"/>
        </w:rPr>
        <w:t>(</w:t>
      </w:r>
      <w:r w:rsidRPr="00A8783E">
        <w:rPr>
          <w:rFonts w:ascii="Times New Roman" w:hAnsi="Times New Roman"/>
          <w:sz w:val="24"/>
          <w:szCs w:val="24"/>
          <w:lang w:val="en-US"/>
        </w:rPr>
        <w:t>Shurulinkov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2019)</w:t>
      </w:r>
      <w:r w:rsidRPr="00A8783E">
        <w:rPr>
          <w:rFonts w:ascii="Times New Roman" w:hAnsi="Times New Roman"/>
          <w:sz w:val="24"/>
          <w:szCs w:val="24"/>
        </w:rPr>
        <w:t>. По време на миграция се среща както по Черноморското крайбрежие, така и във вътрешността на страната (Янков,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Незастрашен вид в България. Не е включен в Червената книга и Директивата за птиците. Според IUCN – LC (Least Concern), за територията на континентална Европа – LC (Least Concern).</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се оценява на 0-47 двойки. Краткосрочната популационна тенденция (2000-2018 г.) е флуктуираща, а дългосрочната (1980-2018 г.) е неизвестна. Не са посочени заплахи.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lastRenderedPageBreak/>
        <w:t xml:space="preserve">Мигриращата </w:t>
      </w:r>
      <w:r w:rsidRPr="00A8783E">
        <w:rPr>
          <w:rFonts w:ascii="Times New Roman" w:hAnsi="Times New Roman"/>
          <w:sz w:val="24"/>
          <w:szCs w:val="24"/>
        </w:rPr>
        <w:t>национална популация се оценява на 500-1000 индивида. Не са посочени краткосрочни и дългосрочни тенденции в числеността на преминаващите индивиди. Посочени са следните заплахи и влияния: F26; K04.</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мигриращ</w:t>
      </w:r>
      <w:r w:rsidRPr="00A8783E">
        <w:rPr>
          <w:rFonts w:ascii="Times New Roman" w:hAnsi="Times New Roman"/>
          <w:sz w:val="24"/>
          <w:szCs w:val="24"/>
        </w:rPr>
        <w:t xml:space="preserve">. Популацията се оценя на </w:t>
      </w:r>
      <w:r w:rsidRPr="00A8783E">
        <w:rPr>
          <w:rFonts w:ascii="Times New Roman" w:hAnsi="Times New Roman"/>
          <w:b/>
          <w:bCs/>
          <w:sz w:val="24"/>
          <w:szCs w:val="24"/>
        </w:rPr>
        <w:t>5-200 индивида</w:t>
      </w:r>
      <w:r w:rsidRPr="00A8783E">
        <w:rPr>
          <w:rFonts w:ascii="Times New Roman" w:hAnsi="Times New Roman"/>
          <w:sz w:val="24"/>
          <w:szCs w:val="24"/>
        </w:rPr>
        <w:t>, което е 1-20 %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По време на миграция се среща както по Черноморското крайбрежие, така и във вътрешността на страната (Янков, ред., 2007). В средна Дунавска равнина белокрилата рибарка се среща само по време на пролетната миграция, през месец май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w:t>
      </w:r>
      <w:r w:rsidRPr="00A8783E">
        <w:rPr>
          <w:rFonts w:ascii="Times New Roman" w:hAnsi="Times New Roman"/>
          <w:sz w:val="24"/>
          <w:szCs w:val="24"/>
          <w:lang w:val="ru-RU"/>
        </w:rPr>
        <w:t xml:space="preserve">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От посочените заплахи F26, K04</w:t>
      </w:r>
      <w:r w:rsidRPr="00A8783E">
        <w:rPr>
          <w:rFonts w:ascii="Times New Roman" w:hAnsi="Times New Roman"/>
          <w:sz w:val="24"/>
          <w:szCs w:val="24"/>
          <w:lang w:val="ru-RU"/>
        </w:rPr>
        <w:t xml:space="preserve"> </w:t>
      </w:r>
      <w:r w:rsidRPr="00A8783E">
        <w:rPr>
          <w:rFonts w:ascii="Times New Roman" w:hAnsi="Times New Roman"/>
          <w:sz w:val="24"/>
          <w:szCs w:val="24"/>
        </w:rPr>
        <w:t xml:space="preserve">за мигриращата популация в докладването по чл. 12, заплаха </w:t>
      </w:r>
      <w:r w:rsidRPr="00A8783E">
        <w:rPr>
          <w:rFonts w:ascii="Times New Roman" w:hAnsi="Times New Roman"/>
          <w:sz w:val="24"/>
          <w:szCs w:val="24"/>
          <w:lang w:val="en-US"/>
        </w:rPr>
        <w:t>K</w:t>
      </w:r>
      <w:r w:rsidRPr="00A8783E">
        <w:rPr>
          <w:rFonts w:ascii="Times New Roman" w:hAnsi="Times New Roman"/>
          <w:sz w:val="24"/>
          <w:szCs w:val="24"/>
          <w:lang w:val="ru-RU"/>
        </w:rPr>
        <w:t>04-</w:t>
      </w:r>
      <w:r w:rsidRPr="00A8783E">
        <w:rPr>
          <w:rFonts w:ascii="Times New Roman" w:hAnsi="Times New Roman"/>
          <w:sz w:val="24"/>
          <w:szCs w:val="24"/>
        </w:rPr>
        <w:t xml:space="preserve"> Изменение на хидродинамичните характеристики има отношение към ЗЗ Сребърна </w:t>
      </w:r>
      <w:r w:rsidRPr="00A8783E">
        <w:rPr>
          <w:rFonts w:ascii="Times New Roman" w:hAnsi="Times New Roman"/>
          <w:sz w:val="24"/>
          <w:szCs w:val="24"/>
          <w:lang w:val="ru-RU"/>
        </w:rPr>
        <w:t>(</w:t>
      </w:r>
      <w:r w:rsidRPr="00A8783E">
        <w:rPr>
          <w:rFonts w:ascii="Times New Roman" w:hAnsi="Times New Roman"/>
          <w:sz w:val="24"/>
          <w:szCs w:val="24"/>
        </w:rPr>
        <w:t>непостоянният воден режим</w:t>
      </w:r>
      <w:r w:rsidRPr="00A8783E">
        <w:rPr>
          <w:rFonts w:ascii="Times New Roman" w:hAnsi="Times New Roman"/>
          <w:sz w:val="24"/>
          <w:szCs w:val="24"/>
          <w:lang w:val="ru-RU"/>
        </w:rPr>
        <w:t>)</w:t>
      </w:r>
      <w:r w:rsidRPr="00A8783E">
        <w:rPr>
          <w:rFonts w:ascii="Times New Roman" w:hAnsi="Times New Roman"/>
          <w:sz w:val="24"/>
          <w:szCs w:val="24"/>
        </w:rPr>
        <w:t xml:space="preserve">, а също и качеството на водите във влажната зона </w:t>
      </w:r>
      <w:r w:rsidRPr="00A8783E">
        <w:rPr>
          <w:rFonts w:ascii="Times New Roman" w:hAnsi="Times New Roman"/>
          <w:sz w:val="24"/>
          <w:szCs w:val="24"/>
          <w:lang w:val="ru-RU"/>
        </w:rPr>
        <w:t>(</w:t>
      </w:r>
      <w:r w:rsidRPr="00A8783E">
        <w:rPr>
          <w:rFonts w:ascii="Times New Roman" w:hAnsi="Times New Roman"/>
          <w:sz w:val="24"/>
          <w:szCs w:val="24"/>
          <w:lang w:val="en-US"/>
        </w:rPr>
        <w:t>F</w:t>
      </w:r>
      <w:r w:rsidRPr="00A8783E">
        <w:rPr>
          <w:rFonts w:ascii="Times New Roman" w:hAnsi="Times New Roman"/>
          <w:sz w:val="24"/>
          <w:szCs w:val="24"/>
          <w:lang w:val="ru-RU"/>
        </w:rPr>
        <w:t xml:space="preserve">11, </w:t>
      </w:r>
      <w:r w:rsidRPr="00A8783E">
        <w:rPr>
          <w:rFonts w:ascii="Times New Roman" w:hAnsi="Times New Roman"/>
          <w:sz w:val="24"/>
          <w:szCs w:val="24"/>
          <w:lang w:val="en-US"/>
        </w:rPr>
        <w:t>F</w:t>
      </w:r>
      <w:r w:rsidRPr="00A8783E">
        <w:rPr>
          <w:rFonts w:ascii="Times New Roman" w:hAnsi="Times New Roman"/>
          <w:sz w:val="24"/>
          <w:szCs w:val="24"/>
          <w:lang w:val="ru-RU"/>
        </w:rPr>
        <w:t xml:space="preserve">14, </w:t>
      </w:r>
      <w:r w:rsidRPr="00A8783E">
        <w:rPr>
          <w:rFonts w:ascii="Times New Roman" w:hAnsi="Times New Roman"/>
          <w:sz w:val="24"/>
          <w:szCs w:val="24"/>
          <w:lang w:val="en-US"/>
        </w:rPr>
        <w:t>A</w:t>
      </w:r>
      <w:r w:rsidRPr="00A8783E">
        <w:rPr>
          <w:rFonts w:ascii="Times New Roman" w:hAnsi="Times New Roman"/>
          <w:sz w:val="24"/>
          <w:szCs w:val="24"/>
          <w:lang w:val="ru-RU"/>
        </w:rPr>
        <w:t>26)</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1130"/>
        <w:gridCol w:w="1280"/>
        <w:gridCol w:w="2834"/>
        <w:gridCol w:w="2407"/>
      </w:tblGrid>
      <w:tr w:rsidR="00A8783E" w:rsidRPr="00A8783E" w:rsidTr="005B5318">
        <w:trPr>
          <w:tblHeader/>
          <w:jc w:val="center"/>
        </w:trPr>
        <w:tc>
          <w:tcPr>
            <w:tcW w:w="170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13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8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8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407"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70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rPr>
              <w:t>Популация</w:t>
            </w:r>
            <w:r w:rsidRPr="00A8783E">
              <w:rPr>
                <w:rFonts w:ascii="Times New Roman" w:hAnsi="Times New Roman"/>
              </w:rPr>
              <w:t>: Размер мигриращата популация</w:t>
            </w:r>
          </w:p>
        </w:tc>
        <w:tc>
          <w:tcPr>
            <w:tcW w:w="113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28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5 инд.</w:t>
            </w:r>
          </w:p>
        </w:tc>
        <w:tc>
          <w:tcPr>
            <w:tcW w:w="28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от СФ. Тези данни се нуждаят от потвърждение/актуализация в резултата на адекватен мониторинг в периода октомври – март месец.</w:t>
            </w:r>
          </w:p>
        </w:tc>
        <w:tc>
          <w:tcPr>
            <w:tcW w:w="240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A8783E" w:rsidRPr="00A8783E" w:rsidTr="005B5318">
        <w:trPr>
          <w:trHeight w:val="748"/>
          <w:jc w:val="center"/>
        </w:trPr>
        <w:tc>
          <w:tcPr>
            <w:tcW w:w="170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Местообитание на вида</w:t>
            </w:r>
            <w:r w:rsidRPr="00A8783E">
              <w:rPr>
                <w:rFonts w:ascii="Times New Roman" w:hAnsi="Times New Roman"/>
              </w:rPr>
              <w:t xml:space="preserve">: Площ на подходящите хранителни местообитания на вида </w:t>
            </w:r>
          </w:p>
        </w:tc>
        <w:tc>
          <w:tcPr>
            <w:tcW w:w="113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ha</w:t>
            </w:r>
          </w:p>
          <w:p w:rsidR="00A8783E" w:rsidRPr="00A8783E" w:rsidRDefault="00A8783E" w:rsidP="00A8783E">
            <w:pPr>
              <w:spacing w:after="0" w:line="240" w:lineRule="auto"/>
              <w:jc w:val="both"/>
              <w:rPr>
                <w:rFonts w:ascii="Times New Roman" w:hAnsi="Times New Roman"/>
              </w:rPr>
            </w:pPr>
          </w:p>
        </w:tc>
        <w:tc>
          <w:tcPr>
            <w:tcW w:w="128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840 </w:t>
            </w:r>
          </w:p>
        </w:tc>
        <w:tc>
          <w:tcPr>
            <w:tcW w:w="28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Изчислена на база откритите водни площи в рамките на СЗЗ. Данните са взети от СФ като % на местообитание </w:t>
            </w:r>
            <w:r w:rsidRPr="00A8783E">
              <w:rPr>
                <w:rFonts w:ascii="Times New Roman" w:hAnsi="Times New Roman"/>
                <w:lang w:val="en-GB"/>
              </w:rPr>
              <w:t>N</w:t>
            </w:r>
            <w:r w:rsidRPr="00A8783E">
              <w:rPr>
                <w:rFonts w:ascii="Times New Roman" w:hAnsi="Times New Roman"/>
                <w:lang w:val="ru-RU"/>
              </w:rPr>
              <w:t>06</w:t>
            </w:r>
            <w:r w:rsidRPr="00A8783E">
              <w:rPr>
                <w:rFonts w:ascii="Times New Roman" w:hAnsi="Times New Roman"/>
              </w:rPr>
              <w:t xml:space="preserve">– вътрешни водни тела и </w:t>
            </w:r>
            <w:r w:rsidRPr="00A8783E">
              <w:rPr>
                <w:rFonts w:ascii="Times New Roman" w:hAnsi="Times New Roman"/>
                <w:lang w:val="en-US"/>
              </w:rPr>
              <w:t>N</w:t>
            </w:r>
            <w:r w:rsidRPr="00A8783E">
              <w:rPr>
                <w:rFonts w:ascii="Times New Roman" w:hAnsi="Times New Roman"/>
                <w:lang w:val="ru-RU"/>
              </w:rPr>
              <w:t>07</w:t>
            </w:r>
            <w:r w:rsidRPr="00A8783E">
              <w:rPr>
                <w:rFonts w:ascii="Times New Roman" w:hAnsi="Times New Roman"/>
              </w:rPr>
              <w:t>-мочурища и блата.</w:t>
            </w:r>
            <w:r w:rsidRPr="00A8783E">
              <w:rPr>
                <w:rFonts w:ascii="Times New Roman" w:hAnsi="Times New Roman"/>
                <w:lang w:val="ru-RU"/>
              </w:rPr>
              <w:t xml:space="preserve"> </w:t>
            </w:r>
            <w:r w:rsidRPr="00A8783E">
              <w:rPr>
                <w:rFonts w:ascii="Times New Roman" w:hAnsi="Times New Roman"/>
              </w:rPr>
              <w:t>В зоната вида се храни в откритите части на резервата, а също и в реката.</w:t>
            </w:r>
          </w:p>
        </w:tc>
        <w:tc>
          <w:tcPr>
            <w:tcW w:w="240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водното ниво в зоната, така че да се осигуряват достатъчни водни огледала. </w:t>
            </w:r>
          </w:p>
        </w:tc>
      </w:tr>
      <w:tr w:rsidR="00A8783E" w:rsidRPr="00A8783E" w:rsidTr="005B5318">
        <w:trPr>
          <w:trHeight w:val="748"/>
          <w:jc w:val="center"/>
        </w:trPr>
        <w:tc>
          <w:tcPr>
            <w:tcW w:w="170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Местообитание на вида: Екологично състояние на </w:t>
            </w:r>
            <w:r w:rsidRPr="00A8783E">
              <w:rPr>
                <w:rFonts w:ascii="Times New Roman" w:hAnsi="Times New Roman"/>
              </w:rPr>
              <w:lastRenderedPageBreak/>
              <w:t>водните тела с хранителни местообитания на вида, по биологични елементи за качество (БЕК  Риби и Макрозообентос)</w:t>
            </w:r>
          </w:p>
        </w:tc>
        <w:tc>
          <w:tcPr>
            <w:tcW w:w="113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5 степенна скала за екологич</w:t>
            </w:r>
            <w:r w:rsidRPr="00A8783E">
              <w:rPr>
                <w:rFonts w:ascii="Times New Roman" w:hAnsi="Times New Roman"/>
              </w:rPr>
              <w:lastRenderedPageBreak/>
              <w:t xml:space="preserve">но състояние, съгласно РДВ </w:t>
            </w:r>
          </w:p>
        </w:tc>
        <w:tc>
          <w:tcPr>
            <w:tcW w:w="128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По-висока или равна на 2 – Добро </w:t>
            </w:r>
            <w:r w:rsidRPr="00A8783E">
              <w:rPr>
                <w:rFonts w:ascii="Times New Roman" w:hAnsi="Times New Roman"/>
              </w:rPr>
              <w:lastRenderedPageBreak/>
              <w:t>състояние</w:t>
            </w:r>
          </w:p>
        </w:tc>
        <w:tc>
          <w:tcPr>
            <w:tcW w:w="2834" w:type="dxa"/>
          </w:tcPr>
          <w:tbl>
            <w:tblPr>
              <w:tblW w:w="2950" w:type="dxa"/>
              <w:tblInd w:w="3" w:type="dxa"/>
              <w:tblLayout w:type="fixed"/>
              <w:tblCellMar>
                <w:left w:w="70" w:type="dxa"/>
                <w:right w:w="70" w:type="dxa"/>
              </w:tblCellMar>
              <w:tblLook w:val="00A0" w:firstRow="1" w:lastRow="0" w:firstColumn="1" w:lastColumn="0" w:noHBand="0" w:noVBand="0"/>
            </w:tblPr>
            <w:tblGrid>
              <w:gridCol w:w="2950"/>
            </w:tblGrid>
            <w:tr w:rsidR="00A8783E" w:rsidRPr="00A8783E" w:rsidTr="005B5318">
              <w:trPr>
                <w:trHeight w:val="292"/>
              </w:trPr>
              <w:tc>
                <w:tcPr>
                  <w:tcW w:w="2950"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Екологично състояние</w:t>
                  </w:r>
                </w:p>
              </w:tc>
            </w:tr>
            <w:tr w:rsidR="00A8783E" w:rsidRPr="00A8783E" w:rsidTr="005B5318">
              <w:trPr>
                <w:trHeight w:val="292"/>
              </w:trPr>
              <w:tc>
                <w:tcPr>
                  <w:tcW w:w="2950"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w:t>
                  </w:r>
                </w:p>
              </w:tc>
            </w:tr>
            <w:tr w:rsidR="00A8783E" w:rsidRPr="00A8783E" w:rsidTr="005B5318">
              <w:trPr>
                <w:trHeight w:val="292"/>
              </w:trPr>
              <w:tc>
                <w:tcPr>
                  <w:tcW w:w="2950"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2-Добро</w:t>
                  </w:r>
                </w:p>
              </w:tc>
            </w:tr>
            <w:tr w:rsidR="00A8783E" w:rsidRPr="00A8783E" w:rsidTr="005B5318">
              <w:trPr>
                <w:trHeight w:val="292"/>
              </w:trPr>
              <w:tc>
                <w:tcPr>
                  <w:tcW w:w="295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3-Умерено</w:t>
                  </w:r>
                </w:p>
              </w:tc>
            </w:tr>
            <w:tr w:rsidR="00A8783E" w:rsidRPr="00A8783E" w:rsidTr="005B5318">
              <w:trPr>
                <w:trHeight w:val="292"/>
              </w:trPr>
              <w:tc>
                <w:tcPr>
                  <w:tcW w:w="295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4-Лошо</w:t>
                  </w:r>
                </w:p>
              </w:tc>
            </w:tr>
            <w:tr w:rsidR="00A8783E" w:rsidRPr="00A8783E" w:rsidTr="005B5318">
              <w:trPr>
                <w:trHeight w:val="292"/>
              </w:trPr>
              <w:tc>
                <w:tcPr>
                  <w:tcW w:w="2950"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5-Много лошо</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на р. Дунав по показател Риби в пункт Силистра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rPr>
              <w:t>3</w:t>
            </w:r>
            <w:r w:rsidRPr="00A8783E">
              <w:rPr>
                <w:rFonts w:ascii="Times New Roman" w:hAnsi="Times New Roman"/>
              </w:rPr>
              <w:t xml:space="preserve">), по показател Макрозообентос при пункт Силистра е оценено също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lang w:val="ru-RU"/>
              </w:rPr>
              <w:t>(</w:t>
            </w:r>
            <w:r w:rsidRPr="00A8783E">
              <w:rPr>
                <w:rFonts w:ascii="Times New Roman" w:hAnsi="Times New Roman"/>
                <w:b/>
                <w:bCs/>
              </w:rPr>
              <w:t>3</w:t>
            </w:r>
            <w:r w:rsidRPr="00A8783E">
              <w:rPr>
                <w:rFonts w:ascii="Times New Roman" w:hAnsi="Times New Roman"/>
                <w:lang w:val="ru-RU"/>
              </w:rPr>
              <w:t>)</w:t>
            </w:r>
            <w:r w:rsidRPr="00A8783E">
              <w:rPr>
                <w:rFonts w:ascii="Times New Roman" w:hAnsi="Times New Roman"/>
              </w:rPr>
              <w:t xml:space="preserve"> според доклада на </w:t>
            </w:r>
            <w:r w:rsidRPr="00A8783E">
              <w:rPr>
                <w:rFonts w:ascii="Times New Roman" w:hAnsi="Times New Roman"/>
                <w:lang w:val="en-GB"/>
              </w:rPr>
              <w:t>JDS</w:t>
            </w:r>
            <w:r w:rsidRPr="00A8783E">
              <w:rPr>
                <w:rFonts w:ascii="Times New Roman" w:hAnsi="Times New Roman"/>
                <w:lang w:val="ru-RU"/>
              </w:rPr>
              <w:t>4 (2019-2020).</w:t>
            </w:r>
            <w:r w:rsidRPr="00A8783E">
              <w:rPr>
                <w:rFonts w:ascii="Times New Roman" w:hAnsi="Times New Roman"/>
              </w:rPr>
              <w:t xml:space="preserve"> Екологичното състояние на водите на ез. Сребърна по показател Риби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lang w:val="ru-RU"/>
              </w:rPr>
              <w:t>(</w:t>
            </w:r>
            <w:r w:rsidRPr="00A8783E">
              <w:rPr>
                <w:rFonts w:ascii="Times New Roman" w:hAnsi="Times New Roman"/>
                <w:b/>
                <w:bCs/>
              </w:rPr>
              <w:t>3</w:t>
            </w:r>
            <w:r w:rsidRPr="00A8783E">
              <w:rPr>
                <w:rFonts w:ascii="Times New Roman" w:hAnsi="Times New Roman"/>
                <w:lang w:val="ru-RU"/>
              </w:rPr>
              <w:t>)</w:t>
            </w:r>
            <w:r w:rsidRPr="00A8783E">
              <w:rPr>
                <w:rFonts w:ascii="Times New Roman" w:hAnsi="Times New Roman"/>
              </w:rPr>
              <w:t xml:space="preserve">, според Протокол за пробонабиране на риби в езера </w:t>
            </w:r>
            <w:r w:rsidRPr="00A8783E">
              <w:rPr>
                <w:rFonts w:ascii="Times New Roman" w:hAnsi="Times New Roman"/>
                <w:lang w:val="ru-RU"/>
              </w:rPr>
              <w:t>(</w:t>
            </w:r>
            <w:r w:rsidRPr="00A8783E">
              <w:rPr>
                <w:rFonts w:ascii="Times New Roman" w:hAnsi="Times New Roman"/>
              </w:rPr>
              <w:t>2020</w:t>
            </w:r>
            <w:r w:rsidRPr="00A8783E">
              <w:rPr>
                <w:rFonts w:ascii="Times New Roman" w:hAnsi="Times New Roman"/>
                <w:lang w:val="ru-RU"/>
              </w:rPr>
              <w:t>).</w:t>
            </w:r>
          </w:p>
        </w:tc>
        <w:tc>
          <w:tcPr>
            <w:tcW w:w="240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Подобряване на екологичното състояние на водните тела с подходящи </w:t>
            </w:r>
            <w:r w:rsidRPr="00A8783E">
              <w:rPr>
                <w:rFonts w:ascii="Times New Roman" w:hAnsi="Times New Roman"/>
              </w:rPr>
              <w:lastRenderedPageBreak/>
              <w:t>хранителни местообитания на вида, до постигане на стойност по-висока или равна на 2 – Добро състояние.</w:t>
            </w:r>
          </w:p>
        </w:tc>
      </w:tr>
    </w:tbl>
    <w:p w:rsidR="00A8783E" w:rsidRPr="00A8783E" w:rsidRDefault="00A8783E" w:rsidP="00A8783E">
      <w:pPr>
        <w:spacing w:after="160" w:line="259" w:lineRule="auto"/>
        <w:rPr>
          <w:rFonts w:ascii="Times New Roman" w:hAnsi="Times New Roman"/>
          <w:sz w:val="24"/>
          <w:szCs w:val="24"/>
        </w:rPr>
      </w:pP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На този етап не са необходими промени в СФ.</w:t>
      </w: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437" w:name="_Toc87467272"/>
      <w:bookmarkStart w:id="438" w:name="_Toc87692189"/>
      <w:bookmarkStart w:id="439" w:name="_Toc88865731"/>
      <w:bookmarkStart w:id="440" w:name="_Toc89106138"/>
      <w:bookmarkStart w:id="441" w:name="_Toc98741977"/>
      <w:bookmarkStart w:id="442" w:name="_Toc98838652"/>
      <w:r w:rsidRPr="00A8783E">
        <w:rPr>
          <w:rFonts w:ascii="Times New Roman" w:hAnsi="Times New Roman"/>
          <w:color w:val="1F497D"/>
          <w:sz w:val="28"/>
          <w:szCs w:val="28"/>
        </w:rPr>
        <w:t xml:space="preserve">Специфични цели за А215 </w:t>
      </w:r>
      <w:r w:rsidRPr="00A8783E">
        <w:rPr>
          <w:rFonts w:ascii="Times New Roman" w:hAnsi="Times New Roman"/>
          <w:i/>
          <w:iCs/>
          <w:color w:val="1F497D"/>
          <w:sz w:val="28"/>
          <w:szCs w:val="28"/>
        </w:rPr>
        <w:t>Bubo bubo</w:t>
      </w:r>
      <w:r w:rsidRPr="00A8783E">
        <w:rPr>
          <w:rFonts w:ascii="Times New Roman" w:hAnsi="Times New Roman"/>
          <w:color w:val="1F497D"/>
          <w:sz w:val="28"/>
          <w:szCs w:val="28"/>
        </w:rPr>
        <w:t xml:space="preserve"> (бухал)</w:t>
      </w:r>
      <w:bookmarkEnd w:id="437"/>
      <w:bookmarkEnd w:id="438"/>
      <w:bookmarkEnd w:id="439"/>
      <w:bookmarkEnd w:id="440"/>
      <w:bookmarkEnd w:id="441"/>
      <w:bookmarkEnd w:id="442"/>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65-70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170-180 </w:t>
      </w:r>
      <w:r w:rsidRPr="00A8783E">
        <w:rPr>
          <w:rFonts w:ascii="Times New Roman" w:hAnsi="Times New Roman"/>
          <w:sz w:val="24"/>
          <w:szCs w:val="24"/>
          <w:lang w:val="en-US"/>
        </w:rPr>
        <w:t>cm</w:t>
      </w:r>
      <w:r w:rsidRPr="00A8783E">
        <w:rPr>
          <w:rFonts w:ascii="Times New Roman" w:hAnsi="Times New Roman"/>
          <w:sz w:val="24"/>
          <w:szCs w:val="24"/>
        </w:rPr>
        <w:t xml:space="preserve">. Има малки възрастови различия. Възрастните отгоре са ръждивокафяви с черни и сиви пъстрини; ушите са големи, черни с ръждивокафяви шарки; подбрадието и гърлото са бели, а останалата долна част на тялото е ръждивокафява с черни надлъжни ивици, които към корема образуват вълнообразни препаски. Младите са с по-светло и рехаво оперение </w:t>
      </w:r>
      <w:r w:rsidRPr="00A8783E">
        <w:rPr>
          <w:rFonts w:ascii="Times New Roman" w:hAnsi="Times New Roman"/>
          <w:sz w:val="24"/>
          <w:szCs w:val="24"/>
          <w:lang w:val="ru-RU"/>
        </w:rPr>
        <w:t>(</w:t>
      </w:r>
      <w:r w:rsidRPr="00A8783E">
        <w:rPr>
          <w:rFonts w:ascii="Times New Roman" w:hAnsi="Times New Roman"/>
          <w:sz w:val="24"/>
          <w:szCs w:val="24"/>
        </w:rPr>
        <w:t>Симеонов и др., 1990</w:t>
      </w:r>
      <w:r w:rsidRPr="00A8783E">
        <w:rPr>
          <w:rFonts w:ascii="Times New Roman" w:hAnsi="Times New Roman"/>
          <w:sz w:val="24"/>
          <w:szCs w:val="24"/>
          <w:lang w:val="ru-RU"/>
        </w:rPr>
        <w:t>)</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Постоянен вид. Среща се поединично или на двойки. Гнездовият сезон е от февруари до август.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Обитава слабо посещавани от човека труднодостъпни места, главно в скални масиви и сипеи, пещери, окрайнини на гори, разредени стари гори, често в речни долини, близо до река. Гнезди в долини и други скалисти райони близо до пасища, водоеми и населени места, най-често в скали и скални стени (във вътрешността на страната), вкл. до входове на пещери, по Черноморието – и по стръмни скалисти (морски) брегове. В някои райони (напр. Странджа) гнездата са в широколистни листопадни гори (Янков, ред., 2007). Разстоянието между гнездата на бухала е около 3,5 </w:t>
      </w:r>
      <w:r w:rsidRPr="00A8783E">
        <w:rPr>
          <w:rFonts w:ascii="Times New Roman" w:hAnsi="Times New Roman"/>
          <w:sz w:val="24"/>
          <w:szCs w:val="24"/>
          <w:lang w:val="en-US"/>
        </w:rPr>
        <w:t>km</w:t>
      </w:r>
      <w:r w:rsidRPr="00A8783E">
        <w:rPr>
          <w:rFonts w:ascii="Times New Roman" w:hAnsi="Times New Roman"/>
          <w:sz w:val="24"/>
          <w:szCs w:val="24"/>
        </w:rPr>
        <w:t>, а в райони с висока плътност на популацията – Странджа една двойка обитава средно около 128,6 km</w:t>
      </w:r>
      <w:r w:rsidRPr="00A8783E">
        <w:rPr>
          <w:rFonts w:ascii="Times New Roman" w:hAnsi="Times New Roman"/>
          <w:sz w:val="24"/>
          <w:szCs w:val="24"/>
          <w:vertAlign w:val="superscript"/>
        </w:rPr>
        <w:t>2</w:t>
      </w:r>
      <w:r w:rsidRPr="00A8783E">
        <w:rPr>
          <w:rFonts w:ascii="Times New Roman" w:hAnsi="Times New Roman"/>
          <w:sz w:val="24"/>
          <w:szCs w:val="24"/>
        </w:rPr>
        <w:t xml:space="preserve"> (12 860 </w:t>
      </w:r>
      <w:r w:rsidRPr="00A8783E">
        <w:rPr>
          <w:rFonts w:ascii="Times New Roman" w:hAnsi="Times New Roman"/>
          <w:sz w:val="24"/>
          <w:szCs w:val="24"/>
          <w:lang w:val="en-US"/>
        </w:rPr>
        <w:t>ha</w:t>
      </w:r>
      <w:r w:rsidRPr="00A8783E">
        <w:rPr>
          <w:rFonts w:ascii="Times New Roman" w:hAnsi="Times New Roman"/>
          <w:sz w:val="24"/>
          <w:szCs w:val="24"/>
        </w:rPr>
        <w:t>) (Симеонов и Милчев, 1994). Подходящо местообитание вероятно е 8210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Храни се предимно с дребни бозайници (лалугери, таралежи, зайци, скитащи домашни котки). Честа плячка са и птиците – домашни гълъби, гургулици, дроздове, сврачки, патици, полски яребици и др. </w:t>
      </w:r>
      <w:r w:rsidRPr="00A8783E">
        <w:rPr>
          <w:rFonts w:ascii="Times New Roman" w:hAnsi="Times New Roman"/>
          <w:sz w:val="24"/>
          <w:szCs w:val="24"/>
          <w:lang w:val="ru-RU"/>
        </w:rPr>
        <w:t>(</w:t>
      </w:r>
      <w:r w:rsidRPr="00A8783E">
        <w:rPr>
          <w:rFonts w:ascii="Times New Roman" w:hAnsi="Times New Roman"/>
          <w:sz w:val="24"/>
          <w:szCs w:val="24"/>
        </w:rPr>
        <w:t>Симеонов и др., 1990</w:t>
      </w:r>
      <w:r w:rsidRPr="00A8783E">
        <w:rPr>
          <w:rFonts w:ascii="Times New Roman" w:hAnsi="Times New Roman"/>
          <w:sz w:val="24"/>
          <w:szCs w:val="24"/>
          <w:lang w:val="ru-RU"/>
        </w:rPr>
        <w:t>)</w:t>
      </w:r>
      <w:r w:rsidRPr="00A8783E">
        <w:rPr>
          <w:rFonts w:ascii="Times New Roman" w:hAnsi="Times New Roman"/>
          <w:sz w:val="24"/>
          <w:szCs w:val="24"/>
        </w:rPr>
        <w:t>.</w:t>
      </w:r>
      <w:r w:rsidRPr="00A8783E">
        <w:rPr>
          <w:sz w:val="24"/>
          <w:szCs w:val="24"/>
        </w:rPr>
        <w:t xml:space="preserve"> </w:t>
      </w:r>
      <w:r w:rsidRPr="00A8783E">
        <w:rPr>
          <w:rFonts w:ascii="Times New Roman" w:hAnsi="Times New Roman"/>
          <w:sz w:val="24"/>
          <w:szCs w:val="24"/>
        </w:rPr>
        <w:t xml:space="preserve">Изследване на хранителния спектър на вида в района на Казанлъшката долина </w:t>
      </w:r>
      <w:r w:rsidRPr="00A8783E">
        <w:rPr>
          <w:rFonts w:ascii="Times New Roman" w:hAnsi="Times New Roman"/>
          <w:sz w:val="24"/>
          <w:szCs w:val="24"/>
          <w:lang w:val="ru-RU"/>
        </w:rPr>
        <w:t>(</w:t>
      </w:r>
      <w:r w:rsidRPr="00A8783E">
        <w:rPr>
          <w:rFonts w:ascii="Times New Roman" w:hAnsi="Times New Roman"/>
          <w:sz w:val="24"/>
          <w:szCs w:val="24"/>
          <w:lang w:val="en-US"/>
        </w:rPr>
        <w:t>Milchev</w:t>
      </w:r>
      <w:r w:rsidRPr="00A8783E">
        <w:rPr>
          <w:rFonts w:ascii="Times New Roman" w:hAnsi="Times New Roman"/>
          <w:sz w:val="24"/>
          <w:szCs w:val="24"/>
          <w:lang w:val="ru-RU"/>
        </w:rPr>
        <w:t xml:space="preserve"> </w:t>
      </w:r>
      <w:r w:rsidRPr="00A8783E">
        <w:rPr>
          <w:rFonts w:ascii="Times New Roman" w:hAnsi="Times New Roman"/>
          <w:sz w:val="24"/>
          <w:szCs w:val="24"/>
          <w:lang w:val="en-US"/>
        </w:rPr>
        <w:t>and</w:t>
      </w:r>
      <w:r w:rsidRPr="00A8783E">
        <w:rPr>
          <w:rFonts w:ascii="Times New Roman" w:hAnsi="Times New Roman"/>
          <w:sz w:val="24"/>
          <w:szCs w:val="24"/>
          <w:lang w:val="ru-RU"/>
        </w:rPr>
        <w:t xml:space="preserve"> </w:t>
      </w:r>
      <w:r w:rsidRPr="00A8783E">
        <w:rPr>
          <w:rFonts w:ascii="Times New Roman" w:hAnsi="Times New Roman"/>
          <w:sz w:val="24"/>
          <w:szCs w:val="24"/>
          <w:lang w:val="en-US"/>
        </w:rPr>
        <w:t>Gruychev</w:t>
      </w:r>
      <w:r w:rsidRPr="00A8783E">
        <w:rPr>
          <w:rFonts w:ascii="Times New Roman" w:hAnsi="Times New Roman"/>
          <w:sz w:val="24"/>
          <w:szCs w:val="24"/>
          <w:lang w:val="ru-RU"/>
        </w:rPr>
        <w:t xml:space="preserve">, 2015) </w:t>
      </w:r>
      <w:r w:rsidRPr="00A8783E">
        <w:rPr>
          <w:rFonts w:ascii="Times New Roman" w:hAnsi="Times New Roman"/>
          <w:sz w:val="24"/>
          <w:szCs w:val="24"/>
        </w:rPr>
        <w:t>разкрива, че основна плячка на бухала са птиците – 56,2% и бозайниците – 41,3%. Най-многочислената плячка от бозайниците са сивият плъх (</w:t>
      </w:r>
      <w:r w:rsidRPr="00A8783E">
        <w:rPr>
          <w:rFonts w:ascii="Times New Roman" w:hAnsi="Times New Roman"/>
          <w:i/>
          <w:iCs/>
          <w:sz w:val="24"/>
          <w:szCs w:val="24"/>
          <w:lang w:val="en-US"/>
        </w:rPr>
        <w:t>Rattus</w:t>
      </w:r>
      <w:r w:rsidRPr="00A8783E">
        <w:rPr>
          <w:rFonts w:ascii="Times New Roman" w:hAnsi="Times New Roman"/>
          <w:i/>
          <w:iCs/>
          <w:sz w:val="24"/>
          <w:szCs w:val="24"/>
        </w:rPr>
        <w:t xml:space="preserve"> </w:t>
      </w:r>
      <w:r w:rsidRPr="00A8783E">
        <w:rPr>
          <w:rFonts w:ascii="Times New Roman" w:hAnsi="Times New Roman"/>
          <w:i/>
          <w:iCs/>
          <w:sz w:val="24"/>
          <w:szCs w:val="24"/>
          <w:lang w:val="en-US"/>
        </w:rPr>
        <w:t>norvegicus</w:t>
      </w:r>
      <w:r w:rsidRPr="00A8783E">
        <w:rPr>
          <w:rFonts w:ascii="Times New Roman" w:hAnsi="Times New Roman"/>
          <w:sz w:val="24"/>
          <w:szCs w:val="24"/>
        </w:rPr>
        <w:t>), обикновената сива полевка (</w:t>
      </w:r>
      <w:r w:rsidRPr="00A8783E">
        <w:rPr>
          <w:rFonts w:ascii="Times New Roman" w:hAnsi="Times New Roman"/>
          <w:i/>
          <w:iCs/>
          <w:sz w:val="24"/>
          <w:szCs w:val="24"/>
        </w:rPr>
        <w:t>Microtus arvalis/levis</w:t>
      </w:r>
      <w:r w:rsidRPr="00A8783E">
        <w:rPr>
          <w:rFonts w:ascii="Times New Roman" w:hAnsi="Times New Roman"/>
          <w:sz w:val="24"/>
          <w:szCs w:val="24"/>
        </w:rPr>
        <w:t>) и таралежът (</w:t>
      </w:r>
      <w:r w:rsidRPr="00A8783E">
        <w:rPr>
          <w:rFonts w:ascii="Times New Roman" w:hAnsi="Times New Roman"/>
          <w:i/>
          <w:iCs/>
          <w:sz w:val="24"/>
          <w:szCs w:val="24"/>
          <w:lang w:val="en-US"/>
        </w:rPr>
        <w:t>Erinaceus</w:t>
      </w:r>
      <w:r w:rsidRPr="00A8783E">
        <w:rPr>
          <w:rFonts w:ascii="Times New Roman" w:hAnsi="Times New Roman"/>
          <w:i/>
          <w:iCs/>
          <w:sz w:val="24"/>
          <w:szCs w:val="24"/>
        </w:rPr>
        <w:t xml:space="preserve"> </w:t>
      </w:r>
      <w:r w:rsidRPr="00A8783E">
        <w:rPr>
          <w:rFonts w:ascii="Times New Roman" w:hAnsi="Times New Roman"/>
          <w:i/>
          <w:iCs/>
          <w:sz w:val="24"/>
          <w:szCs w:val="24"/>
          <w:lang w:val="en-US"/>
        </w:rPr>
        <w:t>roumanicus</w:t>
      </w:r>
      <w:r w:rsidRPr="00A8783E">
        <w:rPr>
          <w:rFonts w:ascii="Times New Roman" w:hAnsi="Times New Roman"/>
          <w:sz w:val="24"/>
          <w:szCs w:val="24"/>
        </w:rPr>
        <w:t>). От птиците най-многочислени в плячката са зеленоножката (</w:t>
      </w:r>
      <w:r w:rsidRPr="00A8783E">
        <w:rPr>
          <w:rFonts w:ascii="Times New Roman" w:hAnsi="Times New Roman"/>
          <w:i/>
          <w:iCs/>
          <w:sz w:val="24"/>
          <w:szCs w:val="24"/>
          <w:lang w:val="en-US"/>
        </w:rPr>
        <w:t>Gallinula</w:t>
      </w:r>
      <w:r w:rsidRPr="00A8783E">
        <w:rPr>
          <w:rFonts w:ascii="Times New Roman" w:hAnsi="Times New Roman"/>
          <w:i/>
          <w:iCs/>
          <w:sz w:val="24"/>
          <w:szCs w:val="24"/>
        </w:rPr>
        <w:t xml:space="preserve"> </w:t>
      </w:r>
      <w:r w:rsidRPr="00A8783E">
        <w:rPr>
          <w:rFonts w:ascii="Times New Roman" w:hAnsi="Times New Roman"/>
          <w:i/>
          <w:iCs/>
          <w:sz w:val="24"/>
          <w:szCs w:val="24"/>
          <w:lang w:val="en-US"/>
        </w:rPr>
        <w:t>chloropus</w:t>
      </w:r>
      <w:r w:rsidRPr="00A8783E">
        <w:rPr>
          <w:rFonts w:ascii="Times New Roman" w:hAnsi="Times New Roman"/>
          <w:sz w:val="24"/>
          <w:szCs w:val="24"/>
        </w:rPr>
        <w:t>), черният кос (</w:t>
      </w:r>
      <w:r w:rsidRPr="00A8783E">
        <w:rPr>
          <w:rFonts w:ascii="Times New Roman" w:hAnsi="Times New Roman"/>
          <w:i/>
          <w:iCs/>
          <w:sz w:val="24"/>
          <w:szCs w:val="24"/>
          <w:lang w:val="en-US"/>
        </w:rPr>
        <w:t>Turdus</w:t>
      </w:r>
      <w:r w:rsidRPr="00A8783E">
        <w:rPr>
          <w:rFonts w:ascii="Times New Roman" w:hAnsi="Times New Roman"/>
          <w:i/>
          <w:iCs/>
          <w:sz w:val="24"/>
          <w:szCs w:val="24"/>
        </w:rPr>
        <w:t xml:space="preserve"> </w:t>
      </w:r>
      <w:r w:rsidRPr="00A8783E">
        <w:rPr>
          <w:rFonts w:ascii="Times New Roman" w:hAnsi="Times New Roman"/>
          <w:i/>
          <w:iCs/>
          <w:sz w:val="24"/>
          <w:szCs w:val="24"/>
          <w:lang w:val="en-US"/>
        </w:rPr>
        <w:t>merula</w:t>
      </w:r>
      <w:r w:rsidRPr="00A8783E">
        <w:rPr>
          <w:rFonts w:ascii="Times New Roman" w:hAnsi="Times New Roman"/>
          <w:sz w:val="24"/>
          <w:szCs w:val="24"/>
        </w:rPr>
        <w:t>) и пойният дрозд (</w:t>
      </w:r>
      <w:r w:rsidRPr="00A8783E">
        <w:rPr>
          <w:rFonts w:ascii="Times New Roman" w:hAnsi="Times New Roman"/>
          <w:i/>
          <w:iCs/>
          <w:sz w:val="24"/>
          <w:szCs w:val="24"/>
          <w:lang w:val="en-US"/>
        </w:rPr>
        <w:t>Turdus</w:t>
      </w:r>
      <w:r w:rsidRPr="00A8783E">
        <w:rPr>
          <w:rFonts w:ascii="Times New Roman" w:hAnsi="Times New Roman"/>
          <w:i/>
          <w:iCs/>
          <w:sz w:val="24"/>
          <w:szCs w:val="24"/>
        </w:rPr>
        <w:t xml:space="preserve"> </w:t>
      </w:r>
      <w:r w:rsidRPr="00A8783E">
        <w:rPr>
          <w:rFonts w:ascii="Times New Roman" w:hAnsi="Times New Roman"/>
          <w:i/>
          <w:iCs/>
          <w:sz w:val="24"/>
          <w:szCs w:val="24"/>
          <w:lang w:val="en-US"/>
        </w:rPr>
        <w:t>philomelos</w:t>
      </w:r>
      <w:r w:rsidRPr="00A8783E">
        <w:rPr>
          <w:rFonts w:ascii="Times New Roman" w:hAnsi="Times New Roman"/>
          <w:sz w:val="24"/>
          <w:szCs w:val="24"/>
        </w:rPr>
        <w:t>). Това изследване разкрива, че важни за ловуването на бухала са не само откритите местообитания, но и влажните зони, в които се среща зеленоножката.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Разпространението е разпръснато до петнисто в цялата страна, по-плътно в Източните Родопи, Странджа, Източна Стара планина и около Ломовете, Западна Стара планина и др. Числеността е равномерно ниска, най-висока в Югоизточна България, по Северното Черноморие, Ломовете, Искърския пролом, Източни Родопи и др. (Янков,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Защитен вид по ЗБР (Приложения 2 и 3). Включен в Червената книга на Р България (2015) в категория застрашен (EN). Според IUCN – LC (Least Concern), за територията на континентална Европа – LC (Least Concern). Включен в SPEC 3. Включен в Приложение 1 на Директивата за птиците.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2005-2018 г.), националната </w:t>
      </w:r>
      <w:r w:rsidRPr="00A8783E">
        <w:rPr>
          <w:rFonts w:ascii="Times New Roman" w:hAnsi="Times New Roman"/>
          <w:b/>
          <w:bCs/>
          <w:sz w:val="24"/>
          <w:szCs w:val="24"/>
        </w:rPr>
        <w:t xml:space="preserve">гнездяща </w:t>
      </w:r>
      <w:r w:rsidRPr="00A8783E">
        <w:rPr>
          <w:rFonts w:ascii="Times New Roman" w:hAnsi="Times New Roman"/>
          <w:sz w:val="24"/>
          <w:szCs w:val="24"/>
        </w:rPr>
        <w:t>популация се оценява на 450-550 двойки. Краткосрочната (2000-2018 г.) и дългосрочната (1980-2018 г.) популационни тенденции са стабилни. Краткосрочната тенденция на гнездящата популация в рамките на Натура 2000 е стабилна. Посочени са следните заплахи и влияния: A02; A04; A07; C03; D01; E01; F03.</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Червената книга (2015) като заплахи са посочени бракониерски отстрел, унищожаване и промяна на местообитанията, безпокойство, отравяне с жертви (мишевидни гризачи), третирани с родентициди.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СФ на зоната вида е </w:t>
      </w:r>
      <w:r w:rsidRPr="00A8783E">
        <w:rPr>
          <w:rFonts w:ascii="Times New Roman" w:hAnsi="Times New Roman"/>
          <w:b/>
          <w:bCs/>
          <w:sz w:val="24"/>
          <w:szCs w:val="24"/>
        </w:rPr>
        <w:t xml:space="preserve">гнездящ </w:t>
      </w:r>
      <w:r w:rsidRPr="00A8783E">
        <w:rPr>
          <w:rFonts w:ascii="Times New Roman" w:hAnsi="Times New Roman"/>
          <w:b/>
          <w:bCs/>
          <w:sz w:val="24"/>
          <w:szCs w:val="24"/>
          <w:lang w:val="ru-RU"/>
        </w:rPr>
        <w:t>(</w:t>
      </w:r>
      <w:r w:rsidRPr="00A8783E">
        <w:rPr>
          <w:rFonts w:ascii="Times New Roman" w:hAnsi="Times New Roman"/>
          <w:b/>
          <w:bCs/>
          <w:sz w:val="24"/>
          <w:szCs w:val="24"/>
        </w:rPr>
        <w:t>постоянен</w:t>
      </w:r>
      <w:r w:rsidRPr="00A8783E">
        <w:rPr>
          <w:rFonts w:ascii="Times New Roman" w:hAnsi="Times New Roman"/>
          <w:b/>
          <w:bCs/>
          <w:sz w:val="24"/>
          <w:szCs w:val="24"/>
          <w:lang w:val="ru-RU"/>
        </w:rPr>
        <w:t>)</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rPr>
        <w:t>1 двойки</w:t>
      </w:r>
      <w:r w:rsidRPr="00A8783E">
        <w:rPr>
          <w:rFonts w:ascii="Times New Roman" w:hAnsi="Times New Roman"/>
          <w:sz w:val="24"/>
          <w:szCs w:val="24"/>
        </w:rPr>
        <w:t>, което представлява 0,2 % от националната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bCs/>
          <w:sz w:val="24"/>
          <w:szCs w:val="24"/>
        </w:rPr>
      </w:pPr>
      <w:r w:rsidRPr="00A8783E">
        <w:rPr>
          <w:rFonts w:ascii="Times New Roman" w:hAnsi="Times New Roman"/>
          <w:sz w:val="24"/>
          <w:szCs w:val="24"/>
        </w:rPr>
        <w:t xml:space="preserve">Видът е постоянен за страната. В средна Дунавска равнина вероятно гнезди в почти всички места, където има подходящи скални и земни откоси. Възможно е да гнезди и в някои гори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Вида не е посочен в ОВМ „Сребърна“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2007</w:t>
      </w:r>
      <w:r w:rsidRPr="00A8783E">
        <w:rPr>
          <w:rFonts w:ascii="Times New Roman" w:hAnsi="Times New Roman"/>
          <w:sz w:val="24"/>
          <w:szCs w:val="24"/>
          <w:lang w:val="ru-RU"/>
        </w:rPr>
        <w:t>)</w:t>
      </w:r>
      <w:r w:rsidRPr="00A8783E">
        <w:rPr>
          <w:rFonts w:ascii="Times New Roman" w:hAnsi="Times New Roman"/>
          <w:sz w:val="24"/>
          <w:szCs w:val="24"/>
        </w:rPr>
        <w:t xml:space="preserve">. Вида не беше отчетен при нашите теренни проучвания през гнездовия период на 2021 г. Вида е съобщен за орнитофауната на зоната от </w:t>
      </w:r>
      <w:r w:rsidRPr="00A8783E">
        <w:rPr>
          <w:rFonts w:ascii="Times New Roman" w:hAnsi="Times New Roman"/>
          <w:sz w:val="24"/>
          <w:szCs w:val="24"/>
          <w:lang w:val="en-US"/>
        </w:rPr>
        <w:t>Michev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xml:space="preserve">. (1998) в </w:t>
      </w:r>
      <w:r w:rsidRPr="00A8783E">
        <w:rPr>
          <w:rFonts w:ascii="Times New Roman" w:hAnsi="Times New Roman"/>
          <w:sz w:val="24"/>
          <w:szCs w:val="24"/>
        </w:rPr>
        <w:t>Чеклиста на орнитофауната в ПР Сребърна, но там не е посочен статуса на вида</w:t>
      </w:r>
      <w:r w:rsidRPr="00A8783E">
        <w:rPr>
          <w:rFonts w:ascii="Times New Roman" w:hAnsi="Times New Roman"/>
          <w:sz w:val="24"/>
          <w:szCs w:val="24"/>
          <w:lang w:val="ru-RU"/>
        </w:rPr>
        <w:t xml:space="preserve">. </w:t>
      </w:r>
      <w:r w:rsidRPr="00A8783E">
        <w:rPr>
          <w:rFonts w:ascii="Times New Roman" w:hAnsi="Times New Roman"/>
          <w:sz w:val="24"/>
          <w:szCs w:val="24"/>
        </w:rPr>
        <w:t xml:space="preserve">Няма други последващи наблюдения на вида в зоната. Най-вероятно през 70-те години на 20 в. земните откоси в околностите на езерото не са били обрасли с дървесна растителност и са предоставяли подходящи места за гнездене на </w:t>
      </w:r>
      <w:r w:rsidRPr="00A8783E">
        <w:rPr>
          <w:rFonts w:ascii="Times New Roman" w:hAnsi="Times New Roman"/>
          <w:sz w:val="24"/>
          <w:szCs w:val="24"/>
        </w:rPr>
        <w:lastRenderedPageBreak/>
        <w:t xml:space="preserve">бухала. От повече от 20 години бухалът не е гнездил в ЗЗ Сребърна. </w:t>
      </w:r>
      <w:r w:rsidRPr="00A8783E">
        <w:rPr>
          <w:rFonts w:ascii="Times New Roman" w:hAnsi="Times New Roman"/>
          <w:bCs/>
          <w:sz w:val="24"/>
          <w:szCs w:val="24"/>
        </w:rPr>
        <w:t xml:space="preserve">Смятаме, че понастоящем в зоната няма подходящи местообитания за вида. </w:t>
      </w:r>
    </w:p>
    <w:p w:rsidR="00A8783E" w:rsidRPr="00A8783E" w:rsidRDefault="00A8783E" w:rsidP="00A8783E">
      <w:pPr>
        <w:spacing w:before="120" w:after="120" w:line="240" w:lineRule="auto"/>
        <w:jc w:val="both"/>
        <w:rPr>
          <w:rFonts w:ascii="Times New Roman" w:hAnsi="Times New Roman" w:cs="Calibri"/>
          <w:b/>
          <w:sz w:val="24"/>
          <w:szCs w:val="24"/>
          <w:lang w:eastAsia="bg-BG"/>
        </w:rPr>
      </w:pPr>
      <w:r w:rsidRPr="00A8783E">
        <w:rPr>
          <w:rFonts w:ascii="Times New Roman" w:hAnsi="Times New Roman" w:cs="Calibri"/>
          <w:b/>
          <w:sz w:val="24"/>
          <w:szCs w:val="24"/>
          <w:lang w:eastAsia="bg-BG"/>
        </w:rPr>
        <w:t>5. Параметри за определяне на специфичните природозащитни цели за вида в зоната</w:t>
      </w:r>
    </w:p>
    <w:tbl>
      <w:tblPr>
        <w:tblW w:w="9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1134"/>
        <w:gridCol w:w="1306"/>
        <w:gridCol w:w="2977"/>
        <w:gridCol w:w="2342"/>
      </w:tblGrid>
      <w:tr w:rsidR="00A8783E" w:rsidRPr="00A8783E" w:rsidTr="005B5318">
        <w:trPr>
          <w:tblHeader/>
          <w:jc w:val="center"/>
        </w:trPr>
        <w:tc>
          <w:tcPr>
            <w:tcW w:w="1524" w:type="dxa"/>
            <w:shd w:val="clear" w:color="auto" w:fill="DBE5F1"/>
            <w:vAlign w:val="center"/>
          </w:tcPr>
          <w:p w:rsidR="00A8783E" w:rsidRPr="00A8783E" w:rsidRDefault="00A8783E" w:rsidP="00A8783E">
            <w:pPr>
              <w:spacing w:before="120" w:after="120" w:line="240" w:lineRule="auto"/>
              <w:jc w:val="both"/>
              <w:rPr>
                <w:rFonts w:ascii="Times New Roman" w:hAnsi="Times New Roman" w:cs="Calibri"/>
                <w:b/>
                <w:bCs/>
                <w:lang w:eastAsia="bg-BG"/>
              </w:rPr>
            </w:pPr>
            <w:r w:rsidRPr="00A8783E">
              <w:rPr>
                <w:rFonts w:ascii="Times New Roman" w:hAnsi="Times New Roman" w:cs="Calibri"/>
                <w:b/>
                <w:bCs/>
                <w:lang w:eastAsia="bg-BG"/>
              </w:rPr>
              <w:t>Параметър</w:t>
            </w:r>
          </w:p>
        </w:tc>
        <w:tc>
          <w:tcPr>
            <w:tcW w:w="1134" w:type="dxa"/>
            <w:shd w:val="clear" w:color="auto" w:fill="DBE5F1"/>
            <w:vAlign w:val="center"/>
          </w:tcPr>
          <w:p w:rsidR="00A8783E" w:rsidRPr="00A8783E" w:rsidRDefault="00A8783E" w:rsidP="00A8783E">
            <w:pPr>
              <w:spacing w:before="120" w:after="120" w:line="240" w:lineRule="auto"/>
              <w:jc w:val="both"/>
              <w:rPr>
                <w:rFonts w:ascii="Times New Roman" w:hAnsi="Times New Roman" w:cs="Calibri"/>
                <w:b/>
                <w:bCs/>
                <w:lang w:eastAsia="bg-BG"/>
              </w:rPr>
            </w:pPr>
            <w:r w:rsidRPr="00A8783E">
              <w:rPr>
                <w:rFonts w:ascii="Times New Roman" w:hAnsi="Times New Roman" w:cs="Calibri"/>
                <w:b/>
                <w:bCs/>
                <w:lang w:eastAsia="bg-BG"/>
              </w:rPr>
              <w:t xml:space="preserve">Мерна единица </w:t>
            </w:r>
          </w:p>
        </w:tc>
        <w:tc>
          <w:tcPr>
            <w:tcW w:w="1306" w:type="dxa"/>
            <w:shd w:val="clear" w:color="auto" w:fill="DBE5F1"/>
            <w:vAlign w:val="center"/>
          </w:tcPr>
          <w:p w:rsidR="00A8783E" w:rsidRPr="00A8783E" w:rsidRDefault="00A8783E" w:rsidP="00A8783E">
            <w:pPr>
              <w:spacing w:before="120" w:after="120" w:line="240" w:lineRule="auto"/>
              <w:jc w:val="both"/>
              <w:rPr>
                <w:rFonts w:ascii="Times New Roman" w:hAnsi="Times New Roman" w:cs="Calibri"/>
                <w:b/>
                <w:bCs/>
                <w:lang w:eastAsia="bg-BG"/>
              </w:rPr>
            </w:pPr>
            <w:r w:rsidRPr="00A8783E">
              <w:rPr>
                <w:rFonts w:ascii="Times New Roman" w:hAnsi="Times New Roman" w:cs="Calibri"/>
                <w:b/>
                <w:bCs/>
                <w:lang w:eastAsia="bg-BG"/>
              </w:rPr>
              <w:t xml:space="preserve">Целева стойност </w:t>
            </w:r>
          </w:p>
        </w:tc>
        <w:tc>
          <w:tcPr>
            <w:tcW w:w="2977" w:type="dxa"/>
            <w:shd w:val="clear" w:color="auto" w:fill="DBE5F1"/>
            <w:vAlign w:val="center"/>
          </w:tcPr>
          <w:p w:rsidR="00A8783E" w:rsidRPr="00A8783E" w:rsidRDefault="00A8783E" w:rsidP="00A8783E">
            <w:pPr>
              <w:spacing w:before="120" w:after="120" w:line="240" w:lineRule="auto"/>
              <w:jc w:val="both"/>
              <w:rPr>
                <w:rFonts w:ascii="Times New Roman" w:hAnsi="Times New Roman" w:cs="Calibri"/>
                <w:b/>
                <w:bCs/>
                <w:lang w:eastAsia="bg-BG"/>
              </w:rPr>
            </w:pPr>
            <w:r w:rsidRPr="00A8783E">
              <w:rPr>
                <w:rFonts w:ascii="Times New Roman" w:hAnsi="Times New Roman" w:cs="Calibri"/>
                <w:b/>
                <w:bCs/>
                <w:lang w:eastAsia="bg-BG"/>
              </w:rPr>
              <w:t xml:space="preserve">Допълнителна информация </w:t>
            </w:r>
          </w:p>
        </w:tc>
        <w:tc>
          <w:tcPr>
            <w:tcW w:w="2342" w:type="dxa"/>
            <w:shd w:val="clear" w:color="auto" w:fill="DBE5F1"/>
            <w:vAlign w:val="center"/>
          </w:tcPr>
          <w:p w:rsidR="00A8783E" w:rsidRPr="00A8783E" w:rsidRDefault="00A8783E" w:rsidP="00A8783E">
            <w:pPr>
              <w:spacing w:before="120" w:after="120" w:line="240" w:lineRule="auto"/>
              <w:jc w:val="both"/>
              <w:rPr>
                <w:rFonts w:ascii="Times New Roman" w:hAnsi="Times New Roman" w:cs="Calibri"/>
                <w:b/>
                <w:bCs/>
                <w:lang w:eastAsia="bg-BG"/>
              </w:rPr>
            </w:pPr>
            <w:r w:rsidRPr="00A8783E">
              <w:rPr>
                <w:rFonts w:ascii="Times New Roman" w:hAnsi="Times New Roman" w:cs="Calibri"/>
                <w:b/>
                <w:bCs/>
                <w:lang w:eastAsia="bg-BG"/>
              </w:rPr>
              <w:t xml:space="preserve">Специфични за зоната цели за опазване </w:t>
            </w:r>
          </w:p>
        </w:tc>
      </w:tr>
      <w:tr w:rsidR="00A8783E" w:rsidRPr="00A8783E" w:rsidTr="005B5318">
        <w:trPr>
          <w:jc w:val="center"/>
        </w:trPr>
        <w:tc>
          <w:tcPr>
            <w:tcW w:w="1524" w:type="dxa"/>
            <w:shd w:val="clear" w:color="auto" w:fill="auto"/>
          </w:tcPr>
          <w:p w:rsidR="00A8783E" w:rsidRPr="00A8783E" w:rsidRDefault="00A8783E" w:rsidP="00A8783E">
            <w:pPr>
              <w:spacing w:before="120" w:after="120" w:line="240" w:lineRule="auto"/>
              <w:jc w:val="both"/>
              <w:rPr>
                <w:rFonts w:ascii="Times New Roman" w:hAnsi="Times New Roman" w:cs="Calibri"/>
                <w:b/>
                <w:lang w:eastAsia="bg-BG"/>
              </w:rPr>
            </w:pPr>
            <w:r w:rsidRPr="00A8783E">
              <w:rPr>
                <w:rFonts w:ascii="Times New Roman" w:hAnsi="Times New Roman" w:cs="Calibri"/>
                <w:b/>
                <w:lang w:eastAsia="bg-BG"/>
              </w:rPr>
              <w:t xml:space="preserve">Популация: </w:t>
            </w:r>
            <w:r w:rsidRPr="00A8783E">
              <w:rPr>
                <w:rFonts w:ascii="Times New Roman" w:hAnsi="Times New Roman" w:cs="Calibri"/>
                <w:bCs/>
                <w:lang w:eastAsia="bg-BG"/>
              </w:rPr>
              <w:t>Размер на гнездящата популация</w:t>
            </w:r>
          </w:p>
        </w:tc>
        <w:tc>
          <w:tcPr>
            <w:tcW w:w="1134" w:type="dxa"/>
            <w:shd w:val="clear" w:color="auto" w:fill="auto"/>
          </w:tcPr>
          <w:p w:rsidR="00A8783E" w:rsidRPr="00A8783E" w:rsidRDefault="00A8783E" w:rsidP="00A8783E">
            <w:pPr>
              <w:spacing w:before="120" w:after="120" w:line="240" w:lineRule="auto"/>
              <w:jc w:val="both"/>
              <w:rPr>
                <w:rFonts w:ascii="Times New Roman" w:hAnsi="Times New Roman" w:cs="Calibri"/>
                <w:lang w:eastAsia="bg-BG"/>
              </w:rPr>
            </w:pPr>
            <w:r w:rsidRPr="00A8783E">
              <w:rPr>
                <w:rFonts w:ascii="Times New Roman" w:hAnsi="Times New Roman" w:cs="Calibri"/>
                <w:lang w:eastAsia="bg-BG"/>
              </w:rPr>
              <w:t>Брой гнездящи двойки</w:t>
            </w:r>
          </w:p>
        </w:tc>
        <w:tc>
          <w:tcPr>
            <w:tcW w:w="1306" w:type="dxa"/>
            <w:shd w:val="clear" w:color="auto" w:fill="auto"/>
          </w:tcPr>
          <w:p w:rsidR="00A8783E" w:rsidRPr="00A8783E" w:rsidRDefault="00A8783E" w:rsidP="00A8783E">
            <w:pPr>
              <w:spacing w:before="120" w:after="120" w:line="240" w:lineRule="auto"/>
              <w:jc w:val="both"/>
              <w:rPr>
                <w:rFonts w:ascii="Times New Roman" w:hAnsi="Times New Roman" w:cs="Calibri"/>
                <w:lang w:eastAsia="bg-BG"/>
              </w:rPr>
            </w:pPr>
            <w:r w:rsidRPr="00A8783E">
              <w:rPr>
                <w:rFonts w:ascii="Times New Roman" w:hAnsi="Times New Roman" w:cs="Calibri"/>
                <w:lang w:eastAsia="bg-BG"/>
              </w:rPr>
              <w:t xml:space="preserve">0 дв. </w:t>
            </w:r>
          </w:p>
        </w:tc>
        <w:tc>
          <w:tcPr>
            <w:tcW w:w="2977" w:type="dxa"/>
            <w:shd w:val="clear" w:color="auto" w:fill="auto"/>
          </w:tcPr>
          <w:p w:rsidR="00A8783E" w:rsidRPr="00A8783E" w:rsidRDefault="00A8783E" w:rsidP="00A8783E">
            <w:pPr>
              <w:spacing w:after="120" w:line="240" w:lineRule="auto"/>
              <w:jc w:val="both"/>
              <w:rPr>
                <w:rFonts w:ascii="Times New Roman" w:hAnsi="Times New Roman" w:cs="Calibri"/>
                <w:lang w:eastAsia="bg-BG"/>
              </w:rPr>
            </w:pPr>
            <w:r w:rsidRPr="00A8783E">
              <w:rPr>
                <w:rFonts w:ascii="Times New Roman" w:hAnsi="Times New Roman" w:cs="Calibri"/>
                <w:lang w:eastAsia="bg-BG"/>
              </w:rPr>
              <w:t>Вида не е посочен в ОВМ „Сребърна“ (Костадинова и Граматиков, 2007). Вида не беше отчетен при нашите теренни проучвания през гнездовия период на 2021 г. Вида е съобщен за орнитофауната на зоната от Michev et al. (1998). Няма други последващи наблюдения на вида в зоната.</w:t>
            </w:r>
            <w:r w:rsidRPr="00A8783E">
              <w:rPr>
                <w:rFonts w:cs="Calibri"/>
              </w:rPr>
              <w:t xml:space="preserve"> </w:t>
            </w:r>
            <w:r w:rsidRPr="00A8783E">
              <w:rPr>
                <w:rFonts w:ascii="Times New Roman" w:hAnsi="Times New Roman" w:cs="Calibri"/>
                <w:lang w:eastAsia="bg-BG"/>
              </w:rPr>
              <w:t>От повече от 20 години бухалът не е гнездил в ЗЗ Сребърна. Смятаме, че понастоящем в зоната няма подходящи местообитания за вида.</w:t>
            </w:r>
          </w:p>
        </w:tc>
        <w:tc>
          <w:tcPr>
            <w:tcW w:w="2342" w:type="dxa"/>
          </w:tcPr>
          <w:p w:rsidR="00A8783E" w:rsidRPr="00A8783E" w:rsidRDefault="00A8783E" w:rsidP="00A8783E">
            <w:pPr>
              <w:spacing w:before="120" w:after="120" w:line="240" w:lineRule="auto"/>
              <w:jc w:val="both"/>
              <w:rPr>
                <w:rFonts w:ascii="Times New Roman" w:hAnsi="Times New Roman" w:cs="Calibri"/>
                <w:lang w:eastAsia="bg-BG"/>
              </w:rPr>
            </w:pPr>
            <w:r w:rsidRPr="00A8783E">
              <w:rPr>
                <w:rFonts w:ascii="Times New Roman" w:hAnsi="Times New Roman" w:cs="Calibri"/>
                <w:lang w:eastAsia="bg-BG"/>
              </w:rPr>
              <w:t>Междинна цел: да се извършат целенасочени изследвания на вида в зоната за установяване на неговата текуща гнездяща популация.</w:t>
            </w:r>
          </w:p>
        </w:tc>
      </w:tr>
      <w:tr w:rsidR="00A8783E" w:rsidRPr="00A8783E" w:rsidTr="005B5318">
        <w:trPr>
          <w:jc w:val="center"/>
        </w:trPr>
        <w:tc>
          <w:tcPr>
            <w:tcW w:w="1524" w:type="dxa"/>
            <w:shd w:val="clear" w:color="auto" w:fill="auto"/>
          </w:tcPr>
          <w:p w:rsidR="00A8783E" w:rsidRPr="00A8783E" w:rsidRDefault="00A8783E" w:rsidP="00A8783E">
            <w:pPr>
              <w:spacing w:before="120" w:after="120" w:line="240" w:lineRule="auto"/>
              <w:jc w:val="both"/>
              <w:rPr>
                <w:rFonts w:ascii="Times New Roman" w:hAnsi="Times New Roman" w:cs="Calibri"/>
                <w:b/>
                <w:lang w:eastAsia="bg-BG"/>
              </w:rPr>
            </w:pPr>
            <w:r w:rsidRPr="00A8783E">
              <w:rPr>
                <w:rFonts w:ascii="Times New Roman" w:hAnsi="Times New Roman" w:cs="Calibri"/>
                <w:b/>
                <w:lang w:eastAsia="bg-BG"/>
              </w:rPr>
              <w:t>Местообитания на вида:</w:t>
            </w:r>
          </w:p>
          <w:p w:rsidR="00A8783E" w:rsidRPr="00A8783E" w:rsidRDefault="00A8783E" w:rsidP="00A8783E">
            <w:pPr>
              <w:spacing w:before="120" w:after="120" w:line="240" w:lineRule="auto"/>
              <w:jc w:val="both"/>
              <w:rPr>
                <w:rFonts w:ascii="Times New Roman" w:hAnsi="Times New Roman" w:cs="Calibri"/>
                <w:lang w:eastAsia="bg-BG"/>
              </w:rPr>
            </w:pPr>
            <w:r w:rsidRPr="00A8783E">
              <w:rPr>
                <w:rFonts w:ascii="Times New Roman" w:hAnsi="Times New Roman" w:cs="Calibri"/>
                <w:lang w:eastAsia="bg-BG"/>
              </w:rPr>
              <w:t>Площ на подходящите гнездови местообитания</w:t>
            </w:r>
          </w:p>
        </w:tc>
        <w:tc>
          <w:tcPr>
            <w:tcW w:w="1134" w:type="dxa"/>
            <w:shd w:val="clear" w:color="auto" w:fill="auto"/>
          </w:tcPr>
          <w:p w:rsidR="00A8783E" w:rsidRPr="00A8783E" w:rsidRDefault="00A8783E" w:rsidP="00A8783E">
            <w:pPr>
              <w:spacing w:before="120" w:after="120" w:line="240" w:lineRule="auto"/>
              <w:jc w:val="both"/>
              <w:rPr>
                <w:rFonts w:ascii="Times New Roman" w:hAnsi="Times New Roman" w:cs="Calibri"/>
                <w:lang w:eastAsia="bg-BG"/>
              </w:rPr>
            </w:pPr>
            <w:r w:rsidRPr="00A8783E">
              <w:rPr>
                <w:rFonts w:ascii="Times New Roman" w:hAnsi="Times New Roman" w:cs="Calibri"/>
                <w:lang w:val="en-US" w:eastAsia="bg-BG"/>
              </w:rPr>
              <w:t>ha</w:t>
            </w:r>
          </w:p>
        </w:tc>
        <w:tc>
          <w:tcPr>
            <w:tcW w:w="1306" w:type="dxa"/>
            <w:shd w:val="clear" w:color="auto" w:fill="auto"/>
          </w:tcPr>
          <w:p w:rsidR="00A8783E" w:rsidRPr="00A8783E" w:rsidRDefault="00A8783E" w:rsidP="00A8783E">
            <w:pPr>
              <w:spacing w:before="120" w:after="120" w:line="240" w:lineRule="auto"/>
              <w:jc w:val="both"/>
              <w:rPr>
                <w:rFonts w:ascii="Times New Roman" w:hAnsi="Times New Roman" w:cs="Calibri"/>
                <w:lang w:eastAsia="bg-BG"/>
              </w:rPr>
            </w:pPr>
            <w:r w:rsidRPr="00A8783E">
              <w:rPr>
                <w:rFonts w:ascii="Times New Roman" w:hAnsi="Times New Roman" w:cs="Calibri"/>
                <w:lang w:eastAsia="bg-BG"/>
              </w:rPr>
              <w:t>Неизвестна</w:t>
            </w:r>
          </w:p>
        </w:tc>
        <w:tc>
          <w:tcPr>
            <w:tcW w:w="2977" w:type="dxa"/>
            <w:shd w:val="clear" w:color="auto" w:fill="auto"/>
          </w:tcPr>
          <w:p w:rsidR="00A8783E" w:rsidRPr="00A8783E" w:rsidRDefault="00A8783E" w:rsidP="00A8783E">
            <w:pPr>
              <w:spacing w:after="120" w:line="240" w:lineRule="auto"/>
              <w:jc w:val="both"/>
              <w:rPr>
                <w:rFonts w:ascii="Times New Roman" w:hAnsi="Times New Roman" w:cs="Calibri"/>
                <w:lang w:eastAsia="bg-BG"/>
              </w:rPr>
            </w:pPr>
            <w:r w:rsidRPr="00A8783E">
              <w:rPr>
                <w:rFonts w:ascii="Times New Roman" w:hAnsi="Times New Roman" w:cs="Calibri"/>
                <w:lang w:eastAsia="bg-BG"/>
              </w:rPr>
              <w:t xml:space="preserve">Видът гнезди в скални ниши по високи и недостъпни скали. </w:t>
            </w:r>
            <w:r w:rsidRPr="00A8783E">
              <w:rPr>
                <w:rFonts w:ascii="Times New Roman" w:hAnsi="Times New Roman" w:cs="Calibri"/>
                <w:b/>
                <w:lang w:eastAsia="bg-BG"/>
              </w:rPr>
              <w:t>Такива местообитания не са налични в зоната</w:t>
            </w:r>
            <w:r w:rsidRPr="00A8783E">
              <w:rPr>
                <w:rFonts w:ascii="Times New Roman" w:hAnsi="Times New Roman" w:cs="Calibri"/>
                <w:lang w:eastAsia="bg-BG"/>
              </w:rPr>
              <w:t>. За това предполагаме, че вида идва в зоната за търсене на храна, а не гнезди в нея.</w:t>
            </w:r>
          </w:p>
        </w:tc>
        <w:tc>
          <w:tcPr>
            <w:tcW w:w="2342" w:type="dxa"/>
          </w:tcPr>
          <w:p w:rsidR="00A8783E" w:rsidRPr="00A8783E" w:rsidRDefault="00A8783E" w:rsidP="00A8783E">
            <w:pPr>
              <w:spacing w:before="120" w:after="120" w:line="240" w:lineRule="auto"/>
              <w:jc w:val="both"/>
              <w:rPr>
                <w:rFonts w:ascii="Times New Roman" w:hAnsi="Times New Roman" w:cs="Calibri"/>
                <w:lang w:eastAsia="bg-BG"/>
              </w:rPr>
            </w:pPr>
            <w:r w:rsidRPr="00A8783E">
              <w:rPr>
                <w:rFonts w:ascii="Times New Roman" w:hAnsi="Times New Roman" w:cs="Calibri"/>
                <w:lang w:eastAsia="bg-BG"/>
              </w:rPr>
              <w:t>Да се извърши мониторинг и да се установи дали в зоната има подходящи места за гнездене на бухала.</w:t>
            </w:r>
          </w:p>
        </w:tc>
      </w:tr>
      <w:tr w:rsidR="00A8783E" w:rsidRPr="00A8783E" w:rsidTr="005B5318">
        <w:trPr>
          <w:jc w:val="center"/>
        </w:trPr>
        <w:tc>
          <w:tcPr>
            <w:tcW w:w="1524" w:type="dxa"/>
            <w:shd w:val="clear" w:color="auto" w:fill="auto"/>
          </w:tcPr>
          <w:p w:rsidR="00A8783E" w:rsidRPr="00A8783E" w:rsidRDefault="00A8783E" w:rsidP="00A8783E">
            <w:pPr>
              <w:spacing w:after="0" w:line="240" w:lineRule="auto"/>
              <w:jc w:val="both"/>
              <w:rPr>
                <w:rFonts w:ascii="Times New Roman" w:hAnsi="Times New Roman" w:cs="Calibri"/>
                <w:lang w:eastAsia="bg-BG"/>
              </w:rPr>
            </w:pPr>
            <w:r w:rsidRPr="00A8783E">
              <w:rPr>
                <w:rFonts w:ascii="Times New Roman" w:hAnsi="Times New Roman" w:cs="Calibri"/>
                <w:b/>
                <w:lang w:eastAsia="bg-BG"/>
              </w:rPr>
              <w:t xml:space="preserve">Местообитание на вида: </w:t>
            </w:r>
            <w:r w:rsidRPr="00A8783E">
              <w:rPr>
                <w:rFonts w:ascii="Times New Roman" w:hAnsi="Times New Roman" w:cs="Calibri"/>
                <w:lang w:eastAsia="bg-BG"/>
              </w:rPr>
              <w:t xml:space="preserve">Площ на подходящите </w:t>
            </w:r>
          </w:p>
          <w:p w:rsidR="00A8783E" w:rsidRPr="00A8783E" w:rsidRDefault="00A8783E" w:rsidP="00A8783E">
            <w:pPr>
              <w:spacing w:after="0" w:line="240" w:lineRule="auto"/>
              <w:jc w:val="both"/>
              <w:rPr>
                <w:rFonts w:ascii="Times New Roman" w:hAnsi="Times New Roman" w:cs="Calibri"/>
                <w:lang w:eastAsia="bg-BG"/>
              </w:rPr>
            </w:pPr>
            <w:r w:rsidRPr="00A8783E">
              <w:rPr>
                <w:rFonts w:ascii="Times New Roman" w:hAnsi="Times New Roman" w:cs="Calibri"/>
                <w:lang w:eastAsia="bg-BG"/>
              </w:rPr>
              <w:t xml:space="preserve">хранителни </w:t>
            </w:r>
          </w:p>
          <w:p w:rsidR="00A8783E" w:rsidRPr="00A8783E" w:rsidRDefault="00A8783E" w:rsidP="00A8783E">
            <w:pPr>
              <w:spacing w:after="0" w:line="240" w:lineRule="auto"/>
              <w:jc w:val="both"/>
              <w:rPr>
                <w:rFonts w:ascii="Times New Roman" w:hAnsi="Times New Roman" w:cs="Calibri"/>
                <w:b/>
                <w:lang w:eastAsia="bg-BG"/>
              </w:rPr>
            </w:pPr>
            <w:r w:rsidRPr="00A8783E">
              <w:rPr>
                <w:rFonts w:ascii="Times New Roman" w:hAnsi="Times New Roman" w:cs="Calibri"/>
                <w:lang w:eastAsia="bg-BG"/>
              </w:rPr>
              <w:t>местообитания на вида в зоната</w:t>
            </w:r>
          </w:p>
        </w:tc>
        <w:tc>
          <w:tcPr>
            <w:tcW w:w="1134" w:type="dxa"/>
            <w:shd w:val="clear" w:color="auto" w:fill="auto"/>
          </w:tcPr>
          <w:p w:rsidR="00A8783E" w:rsidRPr="00A8783E" w:rsidRDefault="00A8783E" w:rsidP="00A8783E">
            <w:pPr>
              <w:spacing w:before="120" w:after="120" w:line="240" w:lineRule="auto"/>
              <w:jc w:val="both"/>
              <w:rPr>
                <w:rFonts w:ascii="Times New Roman" w:hAnsi="Times New Roman" w:cs="Calibri"/>
                <w:lang w:val="en-US" w:eastAsia="bg-BG"/>
              </w:rPr>
            </w:pPr>
            <w:r w:rsidRPr="00A8783E">
              <w:rPr>
                <w:rFonts w:ascii="Times New Roman" w:hAnsi="Times New Roman" w:cs="Calibri"/>
                <w:lang w:val="en-US" w:eastAsia="bg-BG"/>
              </w:rPr>
              <w:t>ha</w:t>
            </w:r>
          </w:p>
        </w:tc>
        <w:tc>
          <w:tcPr>
            <w:tcW w:w="130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318</w:t>
            </w:r>
          </w:p>
        </w:tc>
        <w:tc>
          <w:tcPr>
            <w:tcW w:w="297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Определена на база % участие на местообитание </w:t>
            </w:r>
            <w:r w:rsidRPr="00A8783E">
              <w:rPr>
                <w:rFonts w:ascii="Times New Roman" w:hAnsi="Times New Roman"/>
                <w:lang w:val="en-US"/>
              </w:rPr>
              <w:t>N</w:t>
            </w:r>
            <w:r w:rsidRPr="00A8783E">
              <w:rPr>
                <w:rFonts w:ascii="Times New Roman" w:hAnsi="Times New Roman"/>
                <w:lang w:val="ru-RU"/>
              </w:rPr>
              <w:t xml:space="preserve">08, </w:t>
            </w:r>
            <w:r w:rsidRPr="00A8783E">
              <w:rPr>
                <w:rFonts w:ascii="Times New Roman" w:hAnsi="Times New Roman"/>
                <w:lang w:val="en-US"/>
              </w:rPr>
              <w:t>N</w:t>
            </w:r>
            <w:r w:rsidRPr="00A8783E">
              <w:rPr>
                <w:rFonts w:ascii="Times New Roman" w:hAnsi="Times New Roman"/>
                <w:lang w:val="ru-RU"/>
              </w:rPr>
              <w:t xml:space="preserve">09 и  </w:t>
            </w:r>
            <w:r w:rsidRPr="00A8783E">
              <w:rPr>
                <w:rFonts w:ascii="Times New Roman" w:hAnsi="Times New Roman"/>
                <w:lang w:val="en-US"/>
              </w:rPr>
              <w:t>N</w:t>
            </w:r>
            <w:r w:rsidRPr="00A8783E">
              <w:rPr>
                <w:rFonts w:ascii="Times New Roman" w:hAnsi="Times New Roman"/>
                <w:lang w:val="ru-RU"/>
              </w:rPr>
              <w:t xml:space="preserve">15 </w:t>
            </w:r>
            <w:r w:rsidRPr="00A8783E">
              <w:rPr>
                <w:rFonts w:ascii="Times New Roman" w:hAnsi="Times New Roman"/>
              </w:rPr>
              <w:t>- Равнини, шубраци; Сухи ливади, степи; Други обработваеми земи в зоната.</w:t>
            </w:r>
            <w:r w:rsidRPr="00A8783E">
              <w:rPr>
                <w:rFonts w:cs="Calibri"/>
              </w:rPr>
              <w:t xml:space="preserve"> </w:t>
            </w:r>
            <w:r w:rsidRPr="00A8783E">
              <w:rPr>
                <w:rFonts w:ascii="Times New Roman" w:hAnsi="Times New Roman"/>
              </w:rPr>
              <w:t xml:space="preserve">Видът предпочита да се храни в отворени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местообитания - пасища, ливади, територии със </w:t>
            </w:r>
          </w:p>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rPr>
              <w:t>смесено земеползване</w:t>
            </w:r>
            <w:r w:rsidRPr="00A8783E">
              <w:rPr>
                <w:rFonts w:ascii="Times New Roman" w:hAnsi="Times New Roman"/>
                <w:lang w:val="en-US"/>
              </w:rPr>
              <w:t>.</w:t>
            </w:r>
          </w:p>
        </w:tc>
        <w:tc>
          <w:tcPr>
            <w:tcW w:w="234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площта на подходящите местообитания за ловуване на вида в защитената зона, в размер на най-малко 318 ha.</w:t>
            </w:r>
          </w:p>
        </w:tc>
      </w:tr>
    </w:tbl>
    <w:p w:rsidR="00A8783E" w:rsidRPr="00A8783E" w:rsidRDefault="00A8783E" w:rsidP="00A8783E">
      <w:pPr>
        <w:spacing w:before="120" w:after="120" w:line="240" w:lineRule="auto"/>
        <w:jc w:val="both"/>
        <w:rPr>
          <w:rFonts w:ascii="Times New Roman" w:hAnsi="Times New Roman"/>
          <w:bCs/>
          <w:sz w:val="24"/>
          <w:szCs w:val="24"/>
        </w:rPr>
      </w:pP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before="120" w:after="120" w:line="240" w:lineRule="auto"/>
        <w:jc w:val="both"/>
        <w:rPr>
          <w:rFonts w:ascii="Times New Roman" w:hAnsi="Times New Roman"/>
          <w:bCs/>
          <w:sz w:val="24"/>
          <w:szCs w:val="24"/>
        </w:rPr>
      </w:pPr>
      <w:r w:rsidRPr="00A8783E">
        <w:rPr>
          <w:rFonts w:ascii="Times New Roman" w:hAnsi="Times New Roman"/>
          <w:bCs/>
          <w:sz w:val="24"/>
          <w:szCs w:val="24"/>
        </w:rPr>
        <w:t>На базата на посочената по-горе информация, че вида не гнезди в зоната повече от 20 г., а и също не ясно дали някога е гнездил е необходимо да се направят следните промени в СФ: минималната численост на гнездовата популация да стане 0 дв., качеството на данните трябва да стане от „</w:t>
      </w:r>
      <w:r w:rsidRPr="00A8783E">
        <w:rPr>
          <w:rFonts w:ascii="Times New Roman" w:hAnsi="Times New Roman"/>
          <w:bCs/>
          <w:sz w:val="24"/>
          <w:szCs w:val="24"/>
          <w:lang w:val="en-US"/>
        </w:rPr>
        <w:t>G</w:t>
      </w:r>
      <w:r w:rsidRPr="00A8783E">
        <w:rPr>
          <w:rFonts w:ascii="Times New Roman" w:hAnsi="Times New Roman"/>
          <w:bCs/>
          <w:sz w:val="24"/>
          <w:szCs w:val="24"/>
        </w:rPr>
        <w:t>“ на „</w:t>
      </w:r>
      <w:r w:rsidRPr="00A8783E">
        <w:rPr>
          <w:rFonts w:ascii="Times New Roman" w:hAnsi="Times New Roman"/>
          <w:bCs/>
          <w:sz w:val="24"/>
          <w:szCs w:val="24"/>
          <w:lang w:val="en-US"/>
        </w:rPr>
        <w:t>DD</w:t>
      </w:r>
      <w:r w:rsidRPr="00A8783E">
        <w:rPr>
          <w:rFonts w:ascii="Times New Roman" w:hAnsi="Times New Roman"/>
          <w:bCs/>
          <w:sz w:val="24"/>
          <w:szCs w:val="24"/>
        </w:rPr>
        <w:t xml:space="preserve">“, категорията на популацията </w:t>
      </w:r>
      <w:r w:rsidRPr="00A8783E">
        <w:rPr>
          <w:rFonts w:ascii="Times New Roman" w:hAnsi="Times New Roman"/>
          <w:bCs/>
          <w:sz w:val="24"/>
          <w:szCs w:val="24"/>
        </w:rPr>
        <w:lastRenderedPageBreak/>
        <w:t>трябва да се промени от „В“ на „</w:t>
      </w:r>
      <w:r w:rsidRPr="00A8783E">
        <w:rPr>
          <w:rFonts w:ascii="Times New Roman" w:hAnsi="Times New Roman"/>
          <w:bCs/>
          <w:sz w:val="24"/>
          <w:szCs w:val="24"/>
          <w:lang w:val="en-US"/>
        </w:rPr>
        <w:t>C</w:t>
      </w:r>
      <w:r w:rsidRPr="00A8783E">
        <w:rPr>
          <w:rFonts w:ascii="Times New Roman" w:hAnsi="Times New Roman"/>
          <w:bCs/>
          <w:sz w:val="24"/>
          <w:szCs w:val="24"/>
        </w:rPr>
        <w:t>“ и опазването и общата оценка трябва да станат с категория „С“.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2970" w:type="dxa"/>
            <w:gridSpan w:val="5"/>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Species</w:t>
            </w:r>
          </w:p>
        </w:tc>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Site assessment</w:t>
            </w:r>
          </w:p>
        </w:tc>
      </w:tr>
      <w:tr w:rsidR="00A8783E" w:rsidRPr="00A8783E" w:rsidTr="005B5318">
        <w:trPr>
          <w:jc w:val="center"/>
        </w:trPr>
        <w:tc>
          <w:tcPr>
            <w:tcW w:w="264" w:type="dxa"/>
            <w:vMerge w:val="restart"/>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G</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Code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Scientific Name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NP</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T</w:t>
            </w:r>
          </w:p>
        </w:tc>
        <w:tc>
          <w:tcPr>
            <w:tcW w:w="0" w:type="auto"/>
            <w:gridSpan w:val="2"/>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D.qual.</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A/B/C</w:t>
            </w:r>
          </w:p>
        </w:tc>
      </w:tr>
      <w:tr w:rsidR="00A8783E" w:rsidRPr="00A8783E" w:rsidTr="005B5318">
        <w:trPr>
          <w:jc w:val="center"/>
        </w:trPr>
        <w:tc>
          <w:tcPr>
            <w:tcW w:w="264" w:type="dxa"/>
            <w:vMerge/>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Iso.</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cs="Calibri"/>
                <w:b/>
                <w:bCs/>
                <w:sz w:val="20"/>
                <w:szCs w:val="20"/>
                <w:lang w:eastAsia="bg-BG"/>
              </w:rPr>
            </w:pPr>
            <w:r w:rsidRPr="00A8783E">
              <w:rPr>
                <w:rFonts w:ascii="Times New Roman" w:hAnsi="Times New Roman" w:cs="Calibri"/>
                <w:b/>
                <w:bCs/>
                <w:sz w:val="20"/>
                <w:szCs w:val="20"/>
                <w:lang w:eastAsia="bg-BG"/>
              </w:rPr>
              <w:t>Glo.</w:t>
            </w:r>
          </w:p>
        </w:tc>
      </w:tr>
      <w:tr w:rsidR="00A8783E" w:rsidRPr="00A8783E" w:rsidTr="005B5318">
        <w:trPr>
          <w:trHeight w:val="295"/>
          <w:jc w:val="center"/>
        </w:trPr>
        <w:tc>
          <w:tcPr>
            <w:tcW w:w="264" w:type="dxa"/>
            <w:shd w:val="clear" w:color="auto" w:fill="auto"/>
            <w:vAlign w:val="center"/>
          </w:tcPr>
          <w:p w:rsidR="00A8783E" w:rsidRPr="00A8783E" w:rsidRDefault="00A8783E" w:rsidP="00A8783E">
            <w:pPr>
              <w:spacing w:after="0" w:line="240" w:lineRule="auto"/>
              <w:rPr>
                <w:rFonts w:ascii="Times New Roman" w:hAnsi="Times New Roman" w:cs="Calibri"/>
                <w:bCs/>
                <w:sz w:val="20"/>
                <w:szCs w:val="20"/>
                <w:lang w:eastAsia="bg-BG"/>
              </w:rPr>
            </w:pPr>
            <w:r w:rsidRPr="00A8783E">
              <w:rPr>
                <w:rFonts w:ascii="Times New Roman" w:hAnsi="Times New Roman" w:cs="Calibri"/>
                <w:bCs/>
                <w:sz w:val="20"/>
                <w:szCs w:val="20"/>
                <w:lang w:eastAsia="bg-BG"/>
              </w:rPr>
              <w:t>В</w:t>
            </w:r>
          </w:p>
        </w:tc>
        <w:tc>
          <w:tcPr>
            <w:tcW w:w="0" w:type="auto"/>
            <w:shd w:val="clear" w:color="auto" w:fill="auto"/>
            <w:vAlign w:val="center"/>
          </w:tcPr>
          <w:p w:rsidR="00A8783E" w:rsidRPr="00A8783E" w:rsidRDefault="00A8783E" w:rsidP="00A8783E">
            <w:pPr>
              <w:spacing w:after="0" w:line="240" w:lineRule="auto"/>
              <w:rPr>
                <w:rFonts w:ascii="Times New Roman" w:hAnsi="Times New Roman" w:cs="Calibri"/>
                <w:bCs/>
                <w:sz w:val="20"/>
                <w:szCs w:val="20"/>
                <w:lang w:val="en-US" w:eastAsia="bg-BG"/>
              </w:rPr>
            </w:pPr>
            <w:r w:rsidRPr="00A8783E">
              <w:rPr>
                <w:rFonts w:ascii="Times New Roman" w:hAnsi="Times New Roman" w:cs="Calibri"/>
                <w:bCs/>
                <w:sz w:val="20"/>
                <w:szCs w:val="20"/>
                <w:lang w:eastAsia="bg-BG"/>
              </w:rPr>
              <w:t>A</w:t>
            </w:r>
            <w:r w:rsidRPr="00A8783E">
              <w:rPr>
                <w:rFonts w:ascii="Times New Roman" w:hAnsi="Times New Roman" w:cs="Calibri"/>
                <w:bCs/>
                <w:sz w:val="20"/>
                <w:szCs w:val="20"/>
                <w:lang w:val="en-US" w:eastAsia="bg-BG"/>
              </w:rPr>
              <w:t>215</w:t>
            </w:r>
          </w:p>
        </w:tc>
        <w:tc>
          <w:tcPr>
            <w:tcW w:w="0" w:type="auto"/>
            <w:shd w:val="clear" w:color="auto" w:fill="auto"/>
            <w:vAlign w:val="center"/>
          </w:tcPr>
          <w:p w:rsidR="00A8783E" w:rsidRPr="00A8783E" w:rsidRDefault="00A8783E" w:rsidP="00A8783E">
            <w:pPr>
              <w:spacing w:after="0" w:line="240" w:lineRule="auto"/>
              <w:rPr>
                <w:rFonts w:ascii="Times New Roman" w:hAnsi="Times New Roman" w:cs="Calibri"/>
                <w:bCs/>
                <w:i/>
                <w:iCs/>
                <w:sz w:val="20"/>
                <w:szCs w:val="20"/>
                <w:lang w:val="en-US" w:eastAsia="bg-BG"/>
              </w:rPr>
            </w:pPr>
            <w:r w:rsidRPr="00A8783E">
              <w:rPr>
                <w:rFonts w:ascii="Times New Roman" w:hAnsi="Times New Roman" w:cs="Calibri"/>
                <w:bCs/>
                <w:i/>
                <w:iCs/>
                <w:sz w:val="20"/>
                <w:szCs w:val="20"/>
                <w:lang w:val="en-US" w:eastAsia="bg-BG"/>
              </w:rPr>
              <w:t>Bubo bubo</w:t>
            </w:r>
          </w:p>
        </w:tc>
        <w:tc>
          <w:tcPr>
            <w:tcW w:w="0" w:type="auto"/>
            <w:shd w:val="clear" w:color="auto" w:fill="auto"/>
            <w:vAlign w:val="center"/>
          </w:tcPr>
          <w:p w:rsidR="00A8783E" w:rsidRPr="00A8783E" w:rsidRDefault="00A8783E" w:rsidP="00A8783E">
            <w:pPr>
              <w:spacing w:after="0" w:line="240" w:lineRule="auto"/>
              <w:rPr>
                <w:rFonts w:ascii="Times New Roman" w:hAnsi="Times New Roman" w:cs="Calibri"/>
                <w:bCs/>
                <w:sz w:val="20"/>
                <w:szCs w:val="20"/>
                <w:lang w:eastAsia="bg-BG"/>
              </w:rPr>
            </w:pPr>
          </w:p>
        </w:tc>
        <w:tc>
          <w:tcPr>
            <w:tcW w:w="0" w:type="auto"/>
            <w:shd w:val="clear" w:color="auto" w:fill="auto"/>
            <w:vAlign w:val="center"/>
          </w:tcPr>
          <w:p w:rsidR="00A8783E" w:rsidRPr="00A8783E" w:rsidRDefault="00A8783E" w:rsidP="00A8783E">
            <w:pPr>
              <w:spacing w:after="0" w:line="240" w:lineRule="auto"/>
              <w:rPr>
                <w:rFonts w:ascii="Times New Roman" w:hAnsi="Times New Roman" w:cs="Calibri"/>
                <w:bCs/>
                <w:sz w:val="20"/>
                <w:szCs w:val="20"/>
                <w:lang w:eastAsia="bg-BG"/>
              </w:rPr>
            </w:pPr>
          </w:p>
        </w:tc>
        <w:tc>
          <w:tcPr>
            <w:tcW w:w="0" w:type="auto"/>
            <w:shd w:val="clear" w:color="auto" w:fill="auto"/>
            <w:vAlign w:val="center"/>
          </w:tcPr>
          <w:p w:rsidR="00A8783E" w:rsidRPr="00A8783E" w:rsidRDefault="00A8783E" w:rsidP="00A8783E">
            <w:pPr>
              <w:spacing w:after="0" w:line="240" w:lineRule="auto"/>
              <w:rPr>
                <w:rFonts w:ascii="Times New Roman" w:hAnsi="Times New Roman" w:cs="Calibri"/>
                <w:bCs/>
                <w:sz w:val="20"/>
                <w:szCs w:val="20"/>
                <w:lang w:eastAsia="bg-BG"/>
              </w:rPr>
            </w:pPr>
            <w:r w:rsidRPr="00A8783E">
              <w:rPr>
                <w:rFonts w:ascii="Times New Roman" w:hAnsi="Times New Roman" w:cs="Calibri"/>
                <w:bCs/>
                <w:sz w:val="20"/>
                <w:szCs w:val="20"/>
                <w:lang w:eastAsia="bg-BG"/>
              </w:rPr>
              <w:t>p</w:t>
            </w:r>
          </w:p>
        </w:tc>
        <w:tc>
          <w:tcPr>
            <w:tcW w:w="0" w:type="auto"/>
            <w:shd w:val="clear" w:color="auto" w:fill="auto"/>
            <w:vAlign w:val="center"/>
          </w:tcPr>
          <w:p w:rsidR="00A8783E" w:rsidRPr="00A8783E" w:rsidRDefault="00A8783E" w:rsidP="00A8783E">
            <w:pPr>
              <w:spacing w:after="0" w:line="240" w:lineRule="auto"/>
              <w:rPr>
                <w:rFonts w:ascii="Times New Roman" w:hAnsi="Times New Roman" w:cs="Calibri"/>
                <w:b/>
                <w:bCs/>
                <w:color w:val="FF0000"/>
                <w:sz w:val="20"/>
                <w:szCs w:val="20"/>
                <w:lang w:eastAsia="bg-BG"/>
              </w:rPr>
            </w:pPr>
            <w:r w:rsidRPr="00A8783E">
              <w:rPr>
                <w:rFonts w:ascii="Times New Roman" w:hAnsi="Times New Roman" w:cs="Calibri"/>
                <w:b/>
                <w:bCs/>
                <w:color w:val="FF0000"/>
                <w:sz w:val="20"/>
                <w:szCs w:val="20"/>
                <w:lang w:eastAsia="bg-BG"/>
              </w:rPr>
              <w:t>0</w:t>
            </w:r>
          </w:p>
        </w:tc>
        <w:tc>
          <w:tcPr>
            <w:tcW w:w="0" w:type="auto"/>
            <w:shd w:val="clear" w:color="auto" w:fill="auto"/>
            <w:vAlign w:val="center"/>
          </w:tcPr>
          <w:p w:rsidR="00A8783E" w:rsidRPr="00A8783E" w:rsidRDefault="00A8783E" w:rsidP="00A8783E">
            <w:pPr>
              <w:spacing w:after="0" w:line="240" w:lineRule="auto"/>
              <w:rPr>
                <w:rFonts w:ascii="Times New Roman" w:hAnsi="Times New Roman" w:cs="Calibri"/>
                <w:bCs/>
                <w:color w:val="FF0000"/>
                <w:sz w:val="20"/>
                <w:szCs w:val="20"/>
                <w:lang w:eastAsia="bg-BG"/>
              </w:rPr>
            </w:pPr>
            <w:r w:rsidRPr="00A8783E">
              <w:rPr>
                <w:rFonts w:ascii="Times New Roman" w:hAnsi="Times New Roman" w:cs="Calibri"/>
                <w:bCs/>
                <w:sz w:val="20"/>
                <w:szCs w:val="20"/>
                <w:lang w:eastAsia="bg-BG"/>
              </w:rPr>
              <w:t>1</w:t>
            </w:r>
          </w:p>
        </w:tc>
        <w:tc>
          <w:tcPr>
            <w:tcW w:w="0" w:type="auto"/>
            <w:shd w:val="clear" w:color="auto" w:fill="auto"/>
            <w:vAlign w:val="center"/>
          </w:tcPr>
          <w:p w:rsidR="00A8783E" w:rsidRPr="00A8783E" w:rsidRDefault="00A8783E" w:rsidP="00A8783E">
            <w:pPr>
              <w:spacing w:after="0" w:line="240" w:lineRule="auto"/>
              <w:rPr>
                <w:rFonts w:ascii="Times New Roman" w:hAnsi="Times New Roman" w:cs="Calibri"/>
                <w:bCs/>
                <w:sz w:val="20"/>
                <w:szCs w:val="20"/>
                <w:lang w:eastAsia="bg-BG"/>
              </w:rPr>
            </w:pPr>
            <w:r w:rsidRPr="00A8783E">
              <w:rPr>
                <w:rFonts w:ascii="Times New Roman" w:hAnsi="Times New Roman" w:cs="Calibri"/>
                <w:bCs/>
                <w:sz w:val="20"/>
                <w:szCs w:val="20"/>
                <w:lang w:eastAsia="bg-BG"/>
              </w:rPr>
              <w:t>p</w:t>
            </w:r>
          </w:p>
        </w:tc>
        <w:tc>
          <w:tcPr>
            <w:tcW w:w="0" w:type="auto"/>
            <w:shd w:val="clear" w:color="auto" w:fill="auto"/>
            <w:vAlign w:val="center"/>
          </w:tcPr>
          <w:p w:rsidR="00A8783E" w:rsidRPr="00A8783E" w:rsidRDefault="00A8783E" w:rsidP="00A8783E">
            <w:pPr>
              <w:spacing w:after="0" w:line="240" w:lineRule="auto"/>
              <w:rPr>
                <w:rFonts w:ascii="Times New Roman" w:hAnsi="Times New Roman" w:cs="Calibri"/>
                <w:bCs/>
                <w:sz w:val="20"/>
                <w:szCs w:val="20"/>
                <w:lang w:eastAsia="bg-BG"/>
              </w:rPr>
            </w:pPr>
          </w:p>
        </w:tc>
        <w:tc>
          <w:tcPr>
            <w:tcW w:w="0" w:type="auto"/>
            <w:shd w:val="clear" w:color="auto" w:fill="auto"/>
            <w:vAlign w:val="center"/>
          </w:tcPr>
          <w:p w:rsidR="00A8783E" w:rsidRPr="00A8783E" w:rsidRDefault="00A8783E" w:rsidP="00A8783E">
            <w:pPr>
              <w:spacing w:after="0" w:line="240" w:lineRule="auto"/>
              <w:rPr>
                <w:rFonts w:ascii="Times New Roman" w:hAnsi="Times New Roman" w:cs="Calibri"/>
                <w:b/>
                <w:bCs/>
                <w:color w:val="FF0000"/>
                <w:sz w:val="20"/>
                <w:szCs w:val="20"/>
                <w:lang w:val="en-US" w:eastAsia="bg-BG"/>
              </w:rPr>
            </w:pPr>
            <w:r w:rsidRPr="00A8783E">
              <w:rPr>
                <w:rFonts w:ascii="Times New Roman" w:hAnsi="Times New Roman" w:cs="Calibri"/>
                <w:b/>
                <w:bCs/>
                <w:color w:val="FF0000"/>
                <w:sz w:val="20"/>
                <w:szCs w:val="20"/>
                <w:lang w:val="en-US" w:eastAsia="bg-BG"/>
              </w:rPr>
              <w:t>DD</w:t>
            </w:r>
          </w:p>
        </w:tc>
        <w:tc>
          <w:tcPr>
            <w:tcW w:w="0" w:type="auto"/>
            <w:shd w:val="clear" w:color="auto" w:fill="auto"/>
            <w:vAlign w:val="center"/>
          </w:tcPr>
          <w:p w:rsidR="00A8783E" w:rsidRPr="00A8783E" w:rsidRDefault="00A8783E" w:rsidP="00A8783E">
            <w:pPr>
              <w:spacing w:after="0" w:line="240" w:lineRule="auto"/>
              <w:rPr>
                <w:rFonts w:ascii="Times New Roman" w:hAnsi="Times New Roman" w:cs="Calibri"/>
                <w:b/>
                <w:bCs/>
                <w:color w:val="FF0000"/>
                <w:sz w:val="20"/>
                <w:szCs w:val="20"/>
                <w:lang w:val="en-US" w:eastAsia="bg-BG"/>
              </w:rPr>
            </w:pPr>
            <w:r w:rsidRPr="00A8783E">
              <w:rPr>
                <w:rFonts w:ascii="Times New Roman" w:hAnsi="Times New Roman" w:cs="Calibri"/>
                <w:b/>
                <w:bCs/>
                <w:color w:val="FF0000"/>
                <w:sz w:val="20"/>
                <w:szCs w:val="20"/>
                <w:lang w:val="en-US" w:eastAsia="bg-BG"/>
              </w:rPr>
              <w:t>C</w:t>
            </w:r>
          </w:p>
        </w:tc>
        <w:tc>
          <w:tcPr>
            <w:tcW w:w="0" w:type="auto"/>
            <w:shd w:val="clear" w:color="auto" w:fill="auto"/>
            <w:vAlign w:val="center"/>
          </w:tcPr>
          <w:p w:rsidR="00A8783E" w:rsidRPr="00A8783E" w:rsidRDefault="00A8783E" w:rsidP="00A8783E">
            <w:pPr>
              <w:spacing w:after="0" w:line="240" w:lineRule="auto"/>
              <w:rPr>
                <w:rFonts w:ascii="Times New Roman" w:hAnsi="Times New Roman" w:cs="Calibri"/>
                <w:b/>
                <w:bCs/>
                <w:color w:val="FF0000"/>
                <w:sz w:val="20"/>
                <w:szCs w:val="20"/>
                <w:lang w:val="en-US" w:eastAsia="bg-BG"/>
              </w:rPr>
            </w:pPr>
            <w:r w:rsidRPr="00A8783E">
              <w:rPr>
                <w:rFonts w:ascii="Times New Roman" w:hAnsi="Times New Roman" w:cs="Calibri"/>
                <w:b/>
                <w:bCs/>
                <w:color w:val="FF0000"/>
                <w:sz w:val="20"/>
                <w:szCs w:val="20"/>
                <w:lang w:val="en-US" w:eastAsia="bg-BG"/>
              </w:rPr>
              <w:t>C</w:t>
            </w:r>
          </w:p>
        </w:tc>
        <w:tc>
          <w:tcPr>
            <w:tcW w:w="0" w:type="auto"/>
            <w:shd w:val="clear" w:color="auto" w:fill="auto"/>
            <w:vAlign w:val="center"/>
          </w:tcPr>
          <w:p w:rsidR="00A8783E" w:rsidRPr="00A8783E" w:rsidRDefault="00A8783E" w:rsidP="00A8783E">
            <w:pPr>
              <w:spacing w:after="0" w:line="240" w:lineRule="auto"/>
              <w:rPr>
                <w:rFonts w:ascii="Times New Roman" w:hAnsi="Times New Roman" w:cs="Calibri"/>
                <w:bCs/>
                <w:sz w:val="20"/>
                <w:szCs w:val="20"/>
                <w:lang w:eastAsia="bg-BG"/>
              </w:rPr>
            </w:pPr>
            <w:r w:rsidRPr="00A8783E">
              <w:rPr>
                <w:rFonts w:ascii="Times New Roman" w:hAnsi="Times New Roman" w:cs="Calibri"/>
                <w:bCs/>
                <w:sz w:val="20"/>
                <w:szCs w:val="20"/>
                <w:lang w:eastAsia="bg-BG"/>
              </w:rPr>
              <w:t>C</w:t>
            </w:r>
          </w:p>
        </w:tc>
        <w:tc>
          <w:tcPr>
            <w:tcW w:w="0" w:type="auto"/>
            <w:shd w:val="clear" w:color="auto" w:fill="auto"/>
            <w:vAlign w:val="center"/>
          </w:tcPr>
          <w:p w:rsidR="00A8783E" w:rsidRPr="00A8783E" w:rsidRDefault="00A8783E" w:rsidP="00A8783E">
            <w:pPr>
              <w:spacing w:after="0" w:line="240" w:lineRule="auto"/>
              <w:rPr>
                <w:rFonts w:ascii="Times New Roman" w:hAnsi="Times New Roman" w:cs="Calibri"/>
                <w:b/>
                <w:bCs/>
                <w:color w:val="FF0000"/>
                <w:sz w:val="20"/>
                <w:szCs w:val="20"/>
                <w:lang w:val="en-US" w:eastAsia="bg-BG"/>
              </w:rPr>
            </w:pPr>
            <w:r w:rsidRPr="00A8783E">
              <w:rPr>
                <w:rFonts w:ascii="Times New Roman" w:hAnsi="Times New Roman" w:cs="Calibri"/>
                <w:b/>
                <w:bCs/>
                <w:color w:val="FF0000"/>
                <w:sz w:val="20"/>
                <w:szCs w:val="20"/>
                <w:lang w:val="en-US" w:eastAsia="bg-BG"/>
              </w:rPr>
              <w:t>C</w:t>
            </w:r>
          </w:p>
        </w:tc>
      </w:tr>
    </w:tbl>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443" w:name="_Toc86409810"/>
      <w:bookmarkStart w:id="444" w:name="_Toc87467273"/>
      <w:bookmarkStart w:id="445" w:name="_Toc87692190"/>
      <w:bookmarkStart w:id="446" w:name="_Toc88865732"/>
      <w:bookmarkStart w:id="447" w:name="_Toc89106139"/>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448" w:name="_Toc98741978"/>
      <w:bookmarkStart w:id="449" w:name="_Toc98838653"/>
      <w:r w:rsidRPr="00A8783E">
        <w:rPr>
          <w:rFonts w:ascii="Times New Roman" w:hAnsi="Times New Roman"/>
          <w:color w:val="1F497D"/>
          <w:sz w:val="28"/>
          <w:szCs w:val="28"/>
        </w:rPr>
        <w:t xml:space="preserve">Специфични цели за </w:t>
      </w:r>
      <w:bookmarkStart w:id="450" w:name="_Hlk77857888"/>
      <w:bookmarkStart w:id="451" w:name="_Hlk77843962"/>
      <w:r w:rsidRPr="00A8783E">
        <w:rPr>
          <w:rFonts w:ascii="Times New Roman" w:hAnsi="Times New Roman"/>
          <w:color w:val="1F497D"/>
          <w:sz w:val="28"/>
          <w:szCs w:val="28"/>
        </w:rPr>
        <w:t xml:space="preserve"> </w:t>
      </w:r>
      <w:bookmarkEnd w:id="450"/>
      <w:bookmarkEnd w:id="451"/>
      <w:r w:rsidRPr="00A8783E">
        <w:rPr>
          <w:rFonts w:ascii="Times New Roman" w:hAnsi="Times New Roman"/>
          <w:color w:val="1F497D"/>
          <w:sz w:val="28"/>
          <w:szCs w:val="28"/>
        </w:rPr>
        <w:t xml:space="preserve">A229 </w:t>
      </w:r>
      <w:r w:rsidRPr="00A8783E">
        <w:rPr>
          <w:rFonts w:ascii="Times New Roman" w:hAnsi="Times New Roman"/>
          <w:i/>
          <w:iCs/>
          <w:color w:val="1F497D"/>
          <w:sz w:val="28"/>
          <w:szCs w:val="28"/>
        </w:rPr>
        <w:t>Alcedo atthis</w:t>
      </w:r>
      <w:r w:rsidRPr="00A8783E">
        <w:rPr>
          <w:rFonts w:ascii="Times New Roman" w:hAnsi="Times New Roman"/>
          <w:color w:val="1F497D"/>
          <w:sz w:val="28"/>
          <w:szCs w:val="28"/>
        </w:rPr>
        <w:t xml:space="preserve"> (земеродно рибарче)</w:t>
      </w:r>
      <w:bookmarkEnd w:id="443"/>
      <w:bookmarkEnd w:id="444"/>
      <w:bookmarkEnd w:id="445"/>
      <w:bookmarkEnd w:id="446"/>
      <w:bookmarkEnd w:id="447"/>
      <w:bookmarkEnd w:id="448"/>
      <w:bookmarkEnd w:id="449"/>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1. Кратка характеристика на вида </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 xml:space="preserve">Дължина на тялото 16-17 </w:t>
      </w:r>
      <w:r w:rsidRPr="00A8783E">
        <w:rPr>
          <w:rFonts w:ascii="Times New Roman" w:hAnsi="Times New Roman"/>
          <w:sz w:val="24"/>
          <w:szCs w:val="24"/>
          <w:lang w:val="en-US"/>
        </w:rPr>
        <w:t>cm</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Размах на крилата 24-26 cm. По размери малко по-едро от врабче, но с голяма глава, дълъг, остър клюн и къса опашка. Оперението ярко с метален блясък.</w:t>
      </w:r>
      <w:r w:rsidRPr="00A8783E">
        <w:rPr>
          <w:rFonts w:ascii="Times New Roman" w:hAnsi="Times New Roman"/>
          <w:sz w:val="24"/>
          <w:szCs w:val="24"/>
          <w:lang w:val="ru-RU"/>
        </w:rPr>
        <w:t xml:space="preserve"> </w:t>
      </w:r>
      <w:r w:rsidRPr="00A8783E">
        <w:rPr>
          <w:rFonts w:ascii="Times New Roman" w:hAnsi="Times New Roman"/>
          <w:sz w:val="24"/>
          <w:szCs w:val="24"/>
        </w:rPr>
        <w:t>Горната страна на главата зелена с напречни сини и синьозелени препаски. Гърбът и надопашката сини до лазурно сини със слаб метален блясък. Плещите тъмнозелени, а надкрилията със светлосини петна. Маховите пера чернокафяви със сини вътрешни ветрила. Опашка тъмносиня. Отстрани на шията по едно белезникаво петно. Гърло бяло. Гърдите и коремът ръждиви до ръждивокафяви. Клюнът черен. Крака коралово червени. Женските с по-бледо оперение, матово, без метален блясък по гърба, кръста и надопашката. Основата на подклюнието светлочервено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Постоянен. Постоянно и скитащо. През зимата</w:t>
      </w:r>
      <w:r w:rsidRPr="00A8783E">
        <w:rPr>
          <w:rFonts w:ascii="Times New Roman" w:hAnsi="Times New Roman"/>
          <w:sz w:val="24"/>
          <w:szCs w:val="24"/>
          <w:lang w:val="ru-RU"/>
        </w:rPr>
        <w:t xml:space="preserve"> </w:t>
      </w:r>
      <w:r w:rsidRPr="00A8783E">
        <w:rPr>
          <w:rFonts w:ascii="Times New Roman" w:hAnsi="Times New Roman"/>
          <w:sz w:val="24"/>
          <w:szCs w:val="24"/>
        </w:rPr>
        <w:t>напускат водоемите, които обитава през размножителния период, и се среща по не замръзващи части на реки, язовири, рибарници и топлици.</w:t>
      </w:r>
      <w:r w:rsidRPr="00A8783E">
        <w:rPr>
          <w:rFonts w:ascii="Times New Roman" w:hAnsi="Times New Roman"/>
          <w:sz w:val="24"/>
          <w:szCs w:val="24"/>
          <w:lang w:val="ru-RU"/>
        </w:rPr>
        <w:t xml:space="preserve"> </w:t>
      </w:r>
      <w:r w:rsidRPr="00A8783E">
        <w:rPr>
          <w:rFonts w:ascii="Times New Roman" w:hAnsi="Times New Roman"/>
          <w:sz w:val="24"/>
          <w:szCs w:val="24"/>
        </w:rPr>
        <w:t xml:space="preserve">Широко разпространен, но не многоброен по брегове, водоеми до около 1200 m надморска височина. И в най-благоприятните местообитания числеността е сравнително ниска (Нанкинов и др., 1997).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Отвесни глинести, песъчливи и чакълести брегове. Течащи води, стоящи пресни води, стоящи бракични води, тесни морски заливи, естуари. (Нанкинов и др., 1997; Янков отг. ред., 2007). Изследване по поречието на р. Дунав в Словакия </w:t>
      </w:r>
      <w:r w:rsidRPr="00A8783E">
        <w:rPr>
          <w:rFonts w:ascii="Times New Roman" w:hAnsi="Times New Roman"/>
          <w:sz w:val="24"/>
          <w:szCs w:val="24"/>
          <w:lang w:val="ru-RU"/>
        </w:rPr>
        <w:t>(</w:t>
      </w:r>
      <w:r w:rsidRPr="00A8783E">
        <w:rPr>
          <w:rFonts w:ascii="Times New Roman" w:hAnsi="Times New Roman"/>
          <w:sz w:val="24"/>
          <w:szCs w:val="24"/>
          <w:lang w:val="en-US"/>
        </w:rPr>
        <w:t>Turcokova</w:t>
      </w:r>
      <w:r w:rsidRPr="00A8783E">
        <w:rPr>
          <w:rFonts w:ascii="Times New Roman" w:hAnsi="Times New Roman"/>
          <w:sz w:val="24"/>
          <w:szCs w:val="24"/>
          <w:lang w:val="ru-RU"/>
        </w:rPr>
        <w:t xml:space="preserve"> </w:t>
      </w:r>
      <w:r w:rsidRPr="00A8783E">
        <w:rPr>
          <w:rFonts w:ascii="Times New Roman" w:hAnsi="Times New Roman"/>
          <w:sz w:val="24"/>
          <w:szCs w:val="24"/>
          <w:lang w:val="en-US"/>
        </w:rPr>
        <w:t>at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xml:space="preserve">., 2016) </w:t>
      </w:r>
      <w:r w:rsidRPr="00A8783E">
        <w:rPr>
          <w:rFonts w:ascii="Times New Roman" w:hAnsi="Times New Roman"/>
          <w:sz w:val="24"/>
          <w:szCs w:val="24"/>
        </w:rPr>
        <w:t xml:space="preserve">установява гнездова плътност от 23-27 дв./ 55 </w:t>
      </w:r>
      <w:r w:rsidRPr="00A8783E">
        <w:rPr>
          <w:rFonts w:ascii="Times New Roman" w:hAnsi="Times New Roman"/>
          <w:sz w:val="24"/>
          <w:szCs w:val="24"/>
          <w:lang w:val="en-US"/>
        </w:rPr>
        <w:t>km</w:t>
      </w:r>
      <w:r w:rsidRPr="00A8783E">
        <w:rPr>
          <w:rFonts w:ascii="Times New Roman" w:hAnsi="Times New Roman"/>
          <w:sz w:val="24"/>
          <w:szCs w:val="24"/>
        </w:rPr>
        <w:t xml:space="preserve"> речен участък и разстояние между гнездата около 816 </w:t>
      </w:r>
      <w:r w:rsidRPr="00A8783E">
        <w:rPr>
          <w:rFonts w:ascii="Times New Roman" w:hAnsi="Times New Roman"/>
          <w:sz w:val="24"/>
          <w:szCs w:val="24"/>
          <w:lang w:val="en-US"/>
        </w:rPr>
        <w:t>m</w:t>
      </w:r>
      <w:r w:rsidRPr="00A8783E">
        <w:rPr>
          <w:rFonts w:ascii="Times New Roman" w:hAnsi="Times New Roman"/>
          <w:sz w:val="24"/>
          <w:szCs w:val="24"/>
        </w:rPr>
        <w:t xml:space="preserve">. Следователно може да кажем, че на една двойка и трябва около 1-2 </w:t>
      </w:r>
      <w:r w:rsidRPr="00A8783E">
        <w:rPr>
          <w:rFonts w:ascii="Times New Roman" w:hAnsi="Times New Roman"/>
          <w:sz w:val="24"/>
          <w:szCs w:val="24"/>
          <w:lang w:val="en-US"/>
        </w:rPr>
        <w:t>km</w:t>
      </w:r>
      <w:r w:rsidRPr="00A8783E">
        <w:rPr>
          <w:rFonts w:ascii="Times New Roman" w:hAnsi="Times New Roman"/>
          <w:sz w:val="24"/>
          <w:szCs w:val="24"/>
        </w:rPr>
        <w:t xml:space="preserve"> речно течение.</w:t>
      </w:r>
      <w:r w:rsidRPr="00A8783E">
        <w:rPr>
          <w:rFonts w:ascii="Times New Roman" w:hAnsi="Times New Roman"/>
          <w:sz w:val="24"/>
          <w:szCs w:val="24"/>
          <w:lang w:val="ru-RU"/>
        </w:rPr>
        <w:t xml:space="preserve"> </w:t>
      </w:r>
      <w:r w:rsidRPr="00A8783E">
        <w:rPr>
          <w:rFonts w:ascii="Times New Roman" w:hAnsi="Times New Roman"/>
          <w:sz w:val="24"/>
          <w:szCs w:val="24"/>
        </w:rPr>
        <w:t xml:space="preserve">Друго изследване </w:t>
      </w:r>
      <w:r w:rsidRPr="00A8783E">
        <w:rPr>
          <w:rFonts w:ascii="Times New Roman" w:hAnsi="Times New Roman"/>
          <w:sz w:val="24"/>
          <w:szCs w:val="24"/>
          <w:lang w:val="ru-RU"/>
        </w:rPr>
        <w:t>(</w:t>
      </w:r>
      <w:r w:rsidRPr="00A8783E">
        <w:rPr>
          <w:rFonts w:ascii="Times New Roman" w:hAnsi="Times New Roman"/>
          <w:sz w:val="24"/>
          <w:szCs w:val="24"/>
          <w:lang w:val="en-US"/>
        </w:rPr>
        <w:t>Vilches</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xml:space="preserve">., 2012) </w:t>
      </w:r>
      <w:r w:rsidRPr="00A8783E">
        <w:rPr>
          <w:rFonts w:ascii="Times New Roman" w:hAnsi="Times New Roman"/>
          <w:sz w:val="24"/>
          <w:szCs w:val="24"/>
        </w:rPr>
        <w:t xml:space="preserve">установява, че за гнезденето на земеродното рибарче е важно водата в речните течения да е богата на кислород и да не е дълбока, тъй като максималната дълбочина, на която се гмурка рибарчето е около 30 </w:t>
      </w:r>
      <w:r w:rsidRPr="00A8783E">
        <w:rPr>
          <w:rFonts w:ascii="Times New Roman" w:hAnsi="Times New Roman"/>
          <w:sz w:val="24"/>
          <w:szCs w:val="24"/>
          <w:lang w:val="en-US"/>
        </w:rPr>
        <w:t>cm</w:t>
      </w:r>
      <w:r w:rsidRPr="00A8783E">
        <w:rPr>
          <w:rFonts w:ascii="Times New Roman" w:hAnsi="Times New Roman"/>
          <w:sz w:val="24"/>
          <w:szCs w:val="24"/>
        </w:rPr>
        <w:t>. Подходящи местообитания за гнездене на вида по Директива за местообитанията са – 2340, 3260, 3270, 1130 (Кавръкова, В.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sz w:val="24"/>
          <w:szCs w:val="24"/>
        </w:rPr>
        <w:t>Предимно с дребни риби (Нанкинов и др., 1997).</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С групово и линейно разпространение, свързано с речната мрежа (средните и долните течения) и с други водоеми в равнинните и хълмистите части на цялата страна. По-ясно групирано покрай р. Дунав,</w:t>
      </w:r>
      <w:r w:rsidRPr="00A8783E">
        <w:rPr>
          <w:rFonts w:ascii="Times New Roman" w:hAnsi="Times New Roman"/>
          <w:sz w:val="24"/>
          <w:szCs w:val="24"/>
          <w:lang w:val="ru-RU"/>
        </w:rPr>
        <w:t xml:space="preserve"> </w:t>
      </w:r>
      <w:r w:rsidRPr="00A8783E">
        <w:rPr>
          <w:rFonts w:ascii="Times New Roman" w:hAnsi="Times New Roman"/>
          <w:sz w:val="24"/>
          <w:szCs w:val="24"/>
        </w:rPr>
        <w:t>Черноморското крайбрежие, Източните Родопи и значителни части</w:t>
      </w:r>
      <w:r w:rsidRPr="00A8783E">
        <w:rPr>
          <w:rFonts w:ascii="Times New Roman" w:hAnsi="Times New Roman"/>
          <w:sz w:val="24"/>
          <w:szCs w:val="24"/>
          <w:lang w:val="ru-RU"/>
        </w:rPr>
        <w:t xml:space="preserve"> </w:t>
      </w:r>
      <w:r w:rsidRPr="00A8783E">
        <w:rPr>
          <w:rFonts w:ascii="Times New Roman" w:hAnsi="Times New Roman"/>
          <w:sz w:val="24"/>
          <w:szCs w:val="24"/>
        </w:rPr>
        <w:t>от Дунавската равнина, Тракийската низина, Софийското поле и др.</w:t>
      </w:r>
      <w:r w:rsidRPr="00A8783E">
        <w:rPr>
          <w:rFonts w:ascii="Times New Roman" w:hAnsi="Times New Roman"/>
          <w:sz w:val="24"/>
          <w:szCs w:val="24"/>
          <w:lang w:val="ru-RU"/>
        </w:rPr>
        <w:t xml:space="preserve"> </w:t>
      </w:r>
      <w:r w:rsidRPr="00A8783E">
        <w:rPr>
          <w:rFonts w:ascii="Times New Roman" w:hAnsi="Times New Roman"/>
          <w:sz w:val="24"/>
          <w:szCs w:val="24"/>
        </w:rPr>
        <w:lastRenderedPageBreak/>
        <w:t>Разпространението се колебае силно на места според динамиката на речните брегове (Янков, отг. ред., 2007).</w:t>
      </w:r>
      <w:r w:rsidRPr="00A8783E">
        <w:rPr>
          <w:rFonts w:ascii="Times New Roman" w:hAnsi="Times New Roman"/>
          <w:sz w:val="24"/>
          <w:szCs w:val="24"/>
          <w:lang w:val="ru-RU"/>
        </w:rPr>
        <w:t xml:space="preserve"> </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 xml:space="preserve">Включен в Приложение 2 на ЗБР и Приложение 1 на Директивата за  птиците. Според </w:t>
      </w:r>
      <w:r w:rsidRPr="00A8783E">
        <w:rPr>
          <w:rFonts w:ascii="Times New Roman" w:hAnsi="Times New Roman"/>
          <w:sz w:val="24"/>
          <w:szCs w:val="24"/>
          <w:lang w:val="en-GB"/>
        </w:rPr>
        <w:t>IUCN</w:t>
      </w:r>
      <w:r w:rsidRPr="00A8783E">
        <w:rPr>
          <w:rFonts w:ascii="Times New Roman" w:hAnsi="Times New Roman"/>
          <w:sz w:val="24"/>
          <w:szCs w:val="24"/>
        </w:rPr>
        <w:t xml:space="preserve"> –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rPr>
        <w:t xml:space="preserve"> </w:t>
      </w:r>
      <w:r w:rsidRPr="00A8783E">
        <w:rPr>
          <w:rFonts w:ascii="Times New Roman" w:hAnsi="Times New Roman"/>
          <w:sz w:val="24"/>
          <w:szCs w:val="24"/>
          <w:lang w:val="en-GB"/>
        </w:rPr>
        <w:t>Concern</w:t>
      </w:r>
      <w:r w:rsidRPr="00A8783E">
        <w:rPr>
          <w:rFonts w:ascii="Times New Roman" w:hAnsi="Times New Roman"/>
          <w:sz w:val="24"/>
          <w:szCs w:val="24"/>
        </w:rPr>
        <w:t xml:space="preserve">), за територията на континентална Европа e уязвим - </w:t>
      </w:r>
      <w:r w:rsidRPr="00A8783E">
        <w:rPr>
          <w:rFonts w:ascii="Times New Roman" w:hAnsi="Times New Roman"/>
          <w:sz w:val="24"/>
          <w:szCs w:val="24"/>
          <w:lang w:val="en-US"/>
        </w:rPr>
        <w:t>VU</w:t>
      </w:r>
      <w:r w:rsidRPr="00A8783E">
        <w:rPr>
          <w:rFonts w:ascii="Times New Roman" w:hAnsi="Times New Roman"/>
          <w:sz w:val="24"/>
          <w:szCs w:val="24"/>
        </w:rPr>
        <w:t xml:space="preserve"> (</w:t>
      </w:r>
      <w:r w:rsidRPr="00A8783E">
        <w:rPr>
          <w:rFonts w:ascii="Times New Roman" w:hAnsi="Times New Roman"/>
          <w:sz w:val="24"/>
          <w:szCs w:val="24"/>
          <w:lang w:val="en-GB"/>
        </w:rPr>
        <w:t>Vulnerable</w:t>
      </w:r>
      <w:r w:rsidRPr="00A8783E">
        <w:rPr>
          <w:rFonts w:ascii="Times New Roman" w:hAnsi="Times New Roman"/>
          <w:sz w:val="24"/>
          <w:szCs w:val="24"/>
        </w:rPr>
        <w:t xml:space="preserve">). Включен в </w:t>
      </w:r>
      <w:r w:rsidRPr="00A8783E">
        <w:rPr>
          <w:rFonts w:ascii="Times New Roman" w:hAnsi="Times New Roman"/>
          <w:sz w:val="24"/>
          <w:szCs w:val="24"/>
          <w:lang w:val="en-GB"/>
        </w:rPr>
        <w:t>SPEC</w:t>
      </w:r>
      <w:r w:rsidRPr="00A8783E">
        <w:rPr>
          <w:rFonts w:ascii="Times New Roman" w:hAnsi="Times New Roman"/>
          <w:sz w:val="24"/>
          <w:szCs w:val="24"/>
        </w:rPr>
        <w:t xml:space="preserve"> 3 - Изтощен. Не е включен в Червената книга на България.</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 xml:space="preserve">Съгласно докладването през 2019 г. (за периода 2005-2018 г.), </w:t>
      </w:r>
      <w:r w:rsidRPr="00A8783E">
        <w:rPr>
          <w:rFonts w:ascii="Times New Roman" w:hAnsi="Times New Roman"/>
          <w:b/>
          <w:bCs/>
          <w:sz w:val="24"/>
          <w:szCs w:val="24"/>
        </w:rPr>
        <w:t xml:space="preserve">гнездящата </w:t>
      </w:r>
      <w:r w:rsidRPr="00A8783E">
        <w:rPr>
          <w:rFonts w:ascii="Times New Roman" w:hAnsi="Times New Roman"/>
          <w:b/>
          <w:bCs/>
          <w:sz w:val="24"/>
          <w:szCs w:val="24"/>
          <w:lang w:val="ru-RU"/>
        </w:rPr>
        <w:t>(</w:t>
      </w:r>
      <w:r w:rsidRPr="00A8783E">
        <w:rPr>
          <w:rFonts w:ascii="Times New Roman" w:hAnsi="Times New Roman"/>
          <w:b/>
          <w:bCs/>
          <w:sz w:val="24"/>
          <w:szCs w:val="24"/>
        </w:rPr>
        <w:t>постоянна</w:t>
      </w:r>
      <w:r w:rsidRPr="00A8783E">
        <w:rPr>
          <w:rFonts w:ascii="Times New Roman" w:hAnsi="Times New Roman"/>
          <w:b/>
          <w:bCs/>
          <w:sz w:val="24"/>
          <w:szCs w:val="24"/>
          <w:lang w:val="ru-RU"/>
        </w:rPr>
        <w:t>)</w:t>
      </w:r>
      <w:r w:rsidRPr="00A8783E">
        <w:rPr>
          <w:rFonts w:ascii="Times New Roman" w:hAnsi="Times New Roman"/>
          <w:sz w:val="24"/>
          <w:szCs w:val="24"/>
        </w:rPr>
        <w:t xml:space="preserve"> популация е от 900–3 600 двойки, като краткосрочната тенденция (2001-2018) на популацията е оценена на намаляваща, а</w:t>
      </w:r>
      <w:r w:rsidRPr="00A8783E">
        <w:rPr>
          <w:rFonts w:ascii="Times New Roman" w:hAnsi="Times New Roman"/>
          <w:sz w:val="24"/>
          <w:szCs w:val="24"/>
          <w:lang w:val="ru-RU"/>
        </w:rPr>
        <w:t xml:space="preserve"> </w:t>
      </w:r>
      <w:r w:rsidRPr="00A8783E">
        <w:rPr>
          <w:rFonts w:ascii="Times New Roman" w:hAnsi="Times New Roman"/>
          <w:sz w:val="24"/>
          <w:szCs w:val="24"/>
        </w:rPr>
        <w:t>дългосрочната (1980 - 2018) е намаляваща. Посочени са следните заплахи и влияния: K04.</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СФ на зоната вида е </w:t>
      </w:r>
      <w:r w:rsidRPr="00A8783E">
        <w:rPr>
          <w:rFonts w:ascii="Times New Roman" w:hAnsi="Times New Roman"/>
          <w:b/>
          <w:bCs/>
          <w:sz w:val="24"/>
          <w:szCs w:val="24"/>
        </w:rPr>
        <w:t xml:space="preserve">гнездящ </w:t>
      </w:r>
      <w:r w:rsidRPr="00A8783E">
        <w:rPr>
          <w:rFonts w:ascii="Times New Roman" w:hAnsi="Times New Roman"/>
          <w:b/>
          <w:bCs/>
          <w:sz w:val="24"/>
          <w:szCs w:val="24"/>
          <w:lang w:val="ru-RU"/>
        </w:rPr>
        <w:t>(</w:t>
      </w:r>
      <w:r w:rsidRPr="00A8783E">
        <w:rPr>
          <w:rFonts w:ascii="Times New Roman" w:hAnsi="Times New Roman"/>
          <w:b/>
          <w:bCs/>
          <w:sz w:val="24"/>
          <w:szCs w:val="24"/>
        </w:rPr>
        <w:t>постоянен</w:t>
      </w:r>
      <w:r w:rsidRPr="00A8783E">
        <w:rPr>
          <w:rFonts w:ascii="Times New Roman" w:hAnsi="Times New Roman"/>
          <w:b/>
          <w:bCs/>
          <w:sz w:val="24"/>
          <w:szCs w:val="24"/>
          <w:lang w:val="ru-RU"/>
        </w:rPr>
        <w:t xml:space="preserve">) </w:t>
      </w:r>
      <w:r w:rsidRPr="00A8783E">
        <w:rPr>
          <w:rFonts w:ascii="Times New Roman" w:hAnsi="Times New Roman"/>
          <w:b/>
          <w:bCs/>
          <w:sz w:val="24"/>
          <w:szCs w:val="24"/>
        </w:rPr>
        <w:t>с</w:t>
      </w:r>
      <w:r w:rsidRPr="00A8783E">
        <w:rPr>
          <w:rFonts w:ascii="Times New Roman" w:hAnsi="Times New Roman"/>
          <w:sz w:val="24"/>
          <w:szCs w:val="24"/>
        </w:rPr>
        <w:t xml:space="preserve"> популация, която се оценява на </w:t>
      </w:r>
      <w:r w:rsidRPr="00A8783E">
        <w:rPr>
          <w:rFonts w:ascii="Times New Roman" w:hAnsi="Times New Roman"/>
          <w:b/>
          <w:bCs/>
          <w:sz w:val="24"/>
          <w:szCs w:val="24"/>
        </w:rPr>
        <w:t>5-15 двойки</w:t>
      </w:r>
      <w:r w:rsidRPr="00A8783E">
        <w:rPr>
          <w:rFonts w:ascii="Times New Roman" w:hAnsi="Times New Roman"/>
          <w:sz w:val="24"/>
          <w:szCs w:val="24"/>
        </w:rPr>
        <w:t>, което представлява 0,4 – 0,5 %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Гнездяща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средна Дунавска равнина е често срещан и широко разпространен, но малочислен гнездящ, постоянен вид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Разпространението се колебае силно на места според динамиката на речните брегове. В ОВМ „Сребърна“ видът е с гнездова численост 2-10 дв.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отг. ред., 2007</w:t>
      </w:r>
      <w:r w:rsidRPr="00A8783E">
        <w:rPr>
          <w:rFonts w:ascii="Times New Roman" w:hAnsi="Times New Roman"/>
          <w:sz w:val="24"/>
          <w:szCs w:val="24"/>
          <w:lang w:val="ru-RU"/>
        </w:rPr>
        <w:t>)</w:t>
      </w:r>
      <w:r w:rsidRPr="00A8783E">
        <w:rPr>
          <w:rFonts w:ascii="Times New Roman" w:hAnsi="Times New Roman"/>
          <w:sz w:val="24"/>
          <w:szCs w:val="24"/>
        </w:rPr>
        <w:t xml:space="preserve">. През периода 2001-2003 г. земеродното рибарче е с гнездова численост в Сребърна 8 дв. </w:t>
      </w:r>
      <w:r w:rsidRPr="00A8783E">
        <w:rPr>
          <w:rFonts w:ascii="Times New Roman" w:hAnsi="Times New Roman"/>
          <w:sz w:val="24"/>
          <w:szCs w:val="24"/>
          <w:lang w:val="ru-RU"/>
        </w:rPr>
        <w:t>(</w:t>
      </w:r>
      <w:r w:rsidRPr="00A8783E">
        <w:rPr>
          <w:rFonts w:ascii="Times New Roman" w:hAnsi="Times New Roman"/>
          <w:sz w:val="24"/>
          <w:szCs w:val="24"/>
          <w:lang w:val="en-US"/>
        </w:rPr>
        <w:t>Kambourova</w:t>
      </w:r>
      <w:r w:rsidRPr="00A8783E">
        <w:rPr>
          <w:rFonts w:ascii="Times New Roman" w:hAnsi="Times New Roman"/>
          <w:sz w:val="24"/>
          <w:szCs w:val="24"/>
          <w:lang w:val="ru-RU"/>
        </w:rPr>
        <w:t>, 2005)</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 xml:space="preserve">През 2014 г. в зоната са отчетени 5-8 дв. </w:t>
      </w:r>
      <w:r w:rsidRPr="00A8783E">
        <w:rPr>
          <w:rFonts w:ascii="Times New Roman" w:hAnsi="Times New Roman"/>
          <w:sz w:val="24"/>
          <w:szCs w:val="24"/>
          <w:lang w:val="ru-RU"/>
        </w:rPr>
        <w:t>(</w:t>
      </w:r>
      <w:r w:rsidRPr="00A8783E">
        <w:rPr>
          <w:rFonts w:ascii="Times New Roman" w:hAnsi="Times New Roman"/>
          <w:sz w:val="24"/>
          <w:szCs w:val="24"/>
        </w:rPr>
        <w:t>Актуализиран план на ПР Сребърна, 2015</w:t>
      </w:r>
      <w:r w:rsidRPr="00A8783E">
        <w:rPr>
          <w:rFonts w:ascii="Times New Roman" w:hAnsi="Times New Roman"/>
          <w:sz w:val="24"/>
          <w:szCs w:val="24"/>
          <w:lang w:val="ru-RU"/>
        </w:rPr>
        <w:t>).</w:t>
      </w:r>
      <w:r w:rsidRPr="00A8783E">
        <w:rPr>
          <w:rFonts w:ascii="Times New Roman" w:hAnsi="Times New Roman"/>
          <w:sz w:val="24"/>
          <w:szCs w:val="24"/>
        </w:rPr>
        <w:t xml:space="preserve"> Вида е отчетен в зоната през гнездовия период на 2021 г. с численост 1 инд. В зоната вида гнезди в отвесни брегове както по крайбрежието на езерото, така и по крайбрежието на реката.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Основните заплахи за земеродното рибарче са ерозията и изронването на речните брегове </w:t>
      </w:r>
      <w:r w:rsidRPr="00A8783E">
        <w:rPr>
          <w:rFonts w:ascii="Times New Roman" w:hAnsi="Times New Roman"/>
          <w:sz w:val="24"/>
          <w:szCs w:val="24"/>
          <w:lang w:val="ru-RU"/>
        </w:rPr>
        <w:t>(</w:t>
      </w:r>
      <w:r w:rsidRPr="00A8783E">
        <w:rPr>
          <w:rFonts w:ascii="Times New Roman" w:hAnsi="Times New Roman"/>
          <w:sz w:val="24"/>
          <w:szCs w:val="24"/>
          <w:lang w:val="en-US"/>
        </w:rPr>
        <w:t>L</w:t>
      </w:r>
      <w:r w:rsidRPr="00A8783E">
        <w:rPr>
          <w:rFonts w:ascii="Times New Roman" w:hAnsi="Times New Roman"/>
          <w:sz w:val="24"/>
          <w:szCs w:val="24"/>
          <w:lang w:val="ru-RU"/>
        </w:rPr>
        <w:t>01)</w:t>
      </w:r>
      <w:r w:rsidRPr="00A8783E">
        <w:rPr>
          <w:rFonts w:ascii="Times New Roman" w:hAnsi="Times New Roman"/>
          <w:sz w:val="24"/>
          <w:szCs w:val="24"/>
        </w:rPr>
        <w:t>, стабилизирането на речните брегове с каменни и бетонни стени.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1555"/>
        <w:gridCol w:w="1134"/>
        <w:gridCol w:w="2769"/>
        <w:gridCol w:w="2197"/>
      </w:tblGrid>
      <w:tr w:rsidR="00A8783E" w:rsidRPr="00A8783E" w:rsidTr="005B5318">
        <w:trPr>
          <w:tblHeader/>
          <w:jc w:val="center"/>
        </w:trPr>
        <w:tc>
          <w:tcPr>
            <w:tcW w:w="1559"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55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769"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197"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Популация</w:t>
            </w:r>
            <w:r w:rsidRPr="00A8783E">
              <w:rPr>
                <w:rFonts w:ascii="Times New Roman" w:hAnsi="Times New Roman"/>
              </w:rPr>
              <w:t>: Размер на гнездовата популация</w:t>
            </w:r>
          </w:p>
        </w:tc>
        <w:tc>
          <w:tcPr>
            <w:tcW w:w="155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Брой двойки </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5 дв.</w:t>
            </w:r>
          </w:p>
        </w:tc>
        <w:tc>
          <w:tcPr>
            <w:tcW w:w="276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Целевата стойност е определена от СФ и други публикувани източници за гнездовата численост на вида през различните години в зоната. </w:t>
            </w:r>
          </w:p>
        </w:tc>
        <w:tc>
          <w:tcPr>
            <w:tcW w:w="2197" w:type="dxa"/>
          </w:tcPr>
          <w:p w:rsidR="00A8783E" w:rsidRPr="00A8783E" w:rsidRDefault="00A8783E" w:rsidP="00A8783E">
            <w:pPr>
              <w:spacing w:after="0" w:line="240" w:lineRule="auto"/>
              <w:jc w:val="both"/>
              <w:rPr>
                <w:rFonts w:ascii="Times New Roman" w:hAnsi="Times New Roman"/>
                <w:color w:val="0070C0"/>
              </w:rPr>
            </w:pPr>
            <w:r w:rsidRPr="00A8783E">
              <w:rPr>
                <w:rFonts w:ascii="Times New Roman" w:hAnsi="Times New Roman"/>
              </w:rPr>
              <w:t>Поддържане на популацията на вида в зоната в размер от най-малко 5 гнездящи двойки. Необходимо е да се провежда мониторинг всяка година за установяване на числеността.</w:t>
            </w:r>
          </w:p>
        </w:tc>
      </w:tr>
      <w:tr w:rsidR="00A8783E" w:rsidRPr="00A8783E" w:rsidTr="005B5318">
        <w:trPr>
          <w:trHeight w:val="748"/>
          <w:jc w:val="center"/>
        </w:trPr>
        <w:tc>
          <w:tcPr>
            <w:tcW w:w="1559"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lastRenderedPageBreak/>
              <w:t xml:space="preserve">Местообитание на вида: </w:t>
            </w:r>
            <w:r w:rsidRPr="00A8783E">
              <w:rPr>
                <w:rFonts w:ascii="Times New Roman" w:hAnsi="Times New Roman"/>
              </w:rPr>
              <w:t>характеристика на местообитанието за гнездене.</w:t>
            </w:r>
          </w:p>
        </w:tc>
        <w:tc>
          <w:tcPr>
            <w:tcW w:w="1555" w:type="dxa"/>
          </w:tcPr>
          <w:p w:rsidR="00A8783E" w:rsidRPr="00A8783E" w:rsidRDefault="00A8783E" w:rsidP="00A8783E">
            <w:pPr>
              <w:spacing w:after="0" w:line="240" w:lineRule="auto"/>
              <w:rPr>
                <w:rFonts w:ascii="Times New Roman" w:hAnsi="Times New Roman"/>
                <w:lang w:val="ru-RU"/>
              </w:rPr>
            </w:pPr>
            <w:r w:rsidRPr="00A8783E">
              <w:rPr>
                <w:rFonts w:ascii="Times New Roman" w:hAnsi="Times New Roman"/>
                <w:lang w:val="en-US"/>
              </w:rPr>
              <w:t>km</w:t>
            </w:r>
            <w:r w:rsidRPr="00A8783E">
              <w:rPr>
                <w:rFonts w:ascii="Times New Roman" w:hAnsi="Times New Roman"/>
                <w:lang w:val="ru-RU"/>
              </w:rPr>
              <w:t>,</w:t>
            </w:r>
          </w:p>
          <w:p w:rsidR="00A8783E" w:rsidRPr="00A8783E" w:rsidRDefault="00A8783E" w:rsidP="00A8783E">
            <w:pPr>
              <w:spacing w:after="0" w:line="240" w:lineRule="auto"/>
              <w:rPr>
                <w:rFonts w:ascii="Times New Roman" w:hAnsi="Times New Roman"/>
              </w:rPr>
            </w:pPr>
            <w:r w:rsidRPr="00A8783E">
              <w:rPr>
                <w:rFonts w:ascii="Times New Roman" w:hAnsi="Times New Roman"/>
              </w:rPr>
              <w:t>дължина на   песъчливите и глинести брегове осигуряващи подходящи места за гнездене</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1-2 </w:t>
            </w:r>
            <w:r w:rsidRPr="00A8783E">
              <w:rPr>
                <w:rFonts w:ascii="Times New Roman" w:hAnsi="Times New Roman"/>
                <w:lang w:val="en-US"/>
              </w:rPr>
              <w:t>km</w:t>
            </w:r>
            <w:r w:rsidRPr="00A8783E">
              <w:rPr>
                <w:rFonts w:ascii="Times New Roman" w:hAnsi="Times New Roman"/>
              </w:rPr>
              <w:t xml:space="preserve"> речни брегове или крайбрежия в резервата</w:t>
            </w:r>
          </w:p>
        </w:tc>
        <w:tc>
          <w:tcPr>
            <w:tcW w:w="276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 зоната вида гнезди в отвесни брегове както по крайбрежието на езерото, така и по крайбрежието на реката. На една двойка са и необходими между 1 и 2 </w:t>
            </w:r>
            <w:r w:rsidRPr="00A8783E">
              <w:rPr>
                <w:rFonts w:ascii="Times New Roman" w:hAnsi="Times New Roman"/>
                <w:lang w:val="en-US"/>
              </w:rPr>
              <w:t>km</w:t>
            </w:r>
            <w:r w:rsidRPr="00A8783E">
              <w:rPr>
                <w:rFonts w:ascii="Times New Roman" w:hAnsi="Times New Roman"/>
              </w:rPr>
              <w:t xml:space="preserve"> речно течение. В зоната има около 3 </w:t>
            </w:r>
            <w:r w:rsidRPr="00A8783E">
              <w:rPr>
                <w:rFonts w:ascii="Times New Roman" w:hAnsi="Times New Roman"/>
                <w:lang w:val="en-US"/>
              </w:rPr>
              <w:t>km</w:t>
            </w:r>
            <w:r w:rsidRPr="00A8783E">
              <w:rPr>
                <w:rFonts w:ascii="Times New Roman" w:hAnsi="Times New Roman"/>
              </w:rPr>
              <w:t xml:space="preserve"> речни брегове. Покрай езерото има още около 7 </w:t>
            </w:r>
            <w:r w:rsidRPr="00A8783E">
              <w:rPr>
                <w:rFonts w:ascii="Times New Roman" w:hAnsi="Times New Roman"/>
                <w:lang w:val="en-US"/>
              </w:rPr>
              <w:t>km</w:t>
            </w:r>
            <w:r w:rsidRPr="00A8783E">
              <w:rPr>
                <w:rFonts w:ascii="Times New Roman" w:hAnsi="Times New Roman"/>
              </w:rPr>
              <w:t xml:space="preserve"> брегове, но не знаем каква част от тях са подходящи за гнездене. Следователно минимум в зоната могат да гнездят около 5 двойки, което съвпада и с минималната гнездова численост в СФ.</w:t>
            </w:r>
          </w:p>
        </w:tc>
        <w:tc>
          <w:tcPr>
            <w:tcW w:w="219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Да не се стабилизират речните брегове на р. Дунав и бреговете покрай езерото в рамките на защитената зона с каменни и бетонни стени, тъй като не позволяват гнезденето на вида.</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Разчистване на храстова и дървесна растителност разположена пред подходящи песъчливи или льосови брегове в резервата за осигуряване на места за гнездене.</w:t>
            </w:r>
          </w:p>
        </w:tc>
      </w:tr>
      <w:tr w:rsidR="00A8783E" w:rsidRPr="00A8783E" w:rsidTr="005B5318">
        <w:trPr>
          <w:trHeight w:val="748"/>
          <w:jc w:val="center"/>
        </w:trPr>
        <w:tc>
          <w:tcPr>
            <w:tcW w:w="1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Местообитание на вида</w:t>
            </w:r>
            <w:r w:rsidRPr="00A8783E">
              <w:rPr>
                <w:rFonts w:ascii="Times New Roman" w:hAnsi="Times New Roman"/>
              </w:rPr>
              <w:t>: Екологично състояние на водните тела с хранителни местообитания на вида, по биологични елементи за качество (БЕК  Риби)</w:t>
            </w:r>
          </w:p>
        </w:tc>
        <w:tc>
          <w:tcPr>
            <w:tcW w:w="155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5 степенна скала за екологично състояние, съгласно РДВ </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По-висока или равна на 2 – Добро състояние</w:t>
            </w:r>
          </w:p>
        </w:tc>
        <w:tc>
          <w:tcPr>
            <w:tcW w:w="2769" w:type="dxa"/>
          </w:tcPr>
          <w:tbl>
            <w:tblPr>
              <w:tblW w:w="2771" w:type="dxa"/>
              <w:tblInd w:w="3" w:type="dxa"/>
              <w:tblLayout w:type="fixed"/>
              <w:tblCellMar>
                <w:left w:w="70" w:type="dxa"/>
                <w:right w:w="70" w:type="dxa"/>
              </w:tblCellMar>
              <w:tblLook w:val="00A0" w:firstRow="1" w:lastRow="0" w:firstColumn="1" w:lastColumn="0" w:noHBand="0" w:noVBand="0"/>
            </w:tblPr>
            <w:tblGrid>
              <w:gridCol w:w="2771"/>
            </w:tblGrid>
            <w:tr w:rsidR="00A8783E" w:rsidRPr="00A8783E" w:rsidTr="005B5318">
              <w:trPr>
                <w:trHeight w:val="284"/>
              </w:trPr>
              <w:tc>
                <w:tcPr>
                  <w:tcW w:w="2771"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84"/>
              </w:trPr>
              <w:tc>
                <w:tcPr>
                  <w:tcW w:w="2771"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w:t>
                  </w:r>
                </w:p>
              </w:tc>
            </w:tr>
            <w:tr w:rsidR="00A8783E" w:rsidRPr="00A8783E" w:rsidTr="005B5318">
              <w:trPr>
                <w:trHeight w:val="284"/>
              </w:trPr>
              <w:tc>
                <w:tcPr>
                  <w:tcW w:w="2771"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2-Добро</w:t>
                  </w:r>
                </w:p>
              </w:tc>
            </w:tr>
            <w:tr w:rsidR="00A8783E" w:rsidRPr="00A8783E" w:rsidTr="005B5318">
              <w:trPr>
                <w:trHeight w:val="284"/>
              </w:trPr>
              <w:tc>
                <w:tcPr>
                  <w:tcW w:w="2771"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3-Умерено</w:t>
                  </w:r>
                </w:p>
              </w:tc>
            </w:tr>
            <w:tr w:rsidR="00A8783E" w:rsidRPr="00A8783E" w:rsidTr="005B5318">
              <w:trPr>
                <w:trHeight w:val="284"/>
              </w:trPr>
              <w:tc>
                <w:tcPr>
                  <w:tcW w:w="2771"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4-Лошо</w:t>
                  </w:r>
                </w:p>
              </w:tc>
            </w:tr>
            <w:tr w:rsidR="00A8783E" w:rsidRPr="00A8783E" w:rsidTr="005B5318">
              <w:trPr>
                <w:trHeight w:val="284"/>
              </w:trPr>
              <w:tc>
                <w:tcPr>
                  <w:tcW w:w="2771"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5-Много лошо</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на р. Дунав по показател Риби в пункт Силистра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rPr>
              <w:t>3</w:t>
            </w:r>
            <w:r w:rsidRPr="00A8783E">
              <w:rPr>
                <w:rFonts w:ascii="Times New Roman" w:hAnsi="Times New Roman"/>
              </w:rPr>
              <w:t xml:space="preserve">), по показател Макрозообентос при пункт Силистра е оценено също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lang w:val="ru-RU"/>
              </w:rPr>
              <w:t>(</w:t>
            </w:r>
            <w:r w:rsidRPr="00A8783E">
              <w:rPr>
                <w:rFonts w:ascii="Times New Roman" w:hAnsi="Times New Roman"/>
                <w:b/>
                <w:bCs/>
              </w:rPr>
              <w:t>3</w:t>
            </w:r>
            <w:r w:rsidRPr="00A8783E">
              <w:rPr>
                <w:rFonts w:ascii="Times New Roman" w:hAnsi="Times New Roman"/>
                <w:lang w:val="ru-RU"/>
              </w:rPr>
              <w:t>)</w:t>
            </w:r>
            <w:r w:rsidRPr="00A8783E">
              <w:rPr>
                <w:rFonts w:ascii="Times New Roman" w:hAnsi="Times New Roman"/>
              </w:rPr>
              <w:t xml:space="preserve"> според доклада на </w:t>
            </w:r>
            <w:r w:rsidRPr="00A8783E">
              <w:rPr>
                <w:rFonts w:ascii="Times New Roman" w:hAnsi="Times New Roman"/>
                <w:lang w:val="en-GB"/>
              </w:rPr>
              <w:t>JDS</w:t>
            </w:r>
            <w:r w:rsidRPr="00A8783E">
              <w:rPr>
                <w:rFonts w:ascii="Times New Roman" w:hAnsi="Times New Roman"/>
                <w:lang w:val="ru-RU"/>
              </w:rPr>
              <w:t>4 (2019-2020).</w:t>
            </w:r>
            <w:r w:rsidRPr="00A8783E">
              <w:rPr>
                <w:rFonts w:ascii="Times New Roman" w:hAnsi="Times New Roman"/>
              </w:rPr>
              <w:t xml:space="preserve"> Екологичното състояние на водите на ез. Сребърна по показател Риби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lang w:val="ru-RU"/>
              </w:rPr>
              <w:t>(</w:t>
            </w:r>
            <w:r w:rsidRPr="00A8783E">
              <w:rPr>
                <w:rFonts w:ascii="Times New Roman" w:hAnsi="Times New Roman"/>
                <w:b/>
                <w:bCs/>
              </w:rPr>
              <w:t>3</w:t>
            </w:r>
            <w:r w:rsidRPr="00A8783E">
              <w:rPr>
                <w:rFonts w:ascii="Times New Roman" w:hAnsi="Times New Roman"/>
                <w:lang w:val="ru-RU"/>
              </w:rPr>
              <w:t>)</w:t>
            </w:r>
            <w:r w:rsidRPr="00A8783E">
              <w:rPr>
                <w:rFonts w:ascii="Times New Roman" w:hAnsi="Times New Roman"/>
              </w:rPr>
              <w:t xml:space="preserve">, според Протокол за пробонабиране на риби в езера </w:t>
            </w:r>
            <w:r w:rsidRPr="00A8783E">
              <w:rPr>
                <w:rFonts w:ascii="Times New Roman" w:hAnsi="Times New Roman"/>
                <w:lang w:val="ru-RU"/>
              </w:rPr>
              <w:t>(</w:t>
            </w:r>
            <w:r w:rsidRPr="00A8783E">
              <w:rPr>
                <w:rFonts w:ascii="Times New Roman" w:hAnsi="Times New Roman"/>
              </w:rPr>
              <w:t>2020</w:t>
            </w:r>
            <w:r w:rsidRPr="00A8783E">
              <w:rPr>
                <w:rFonts w:ascii="Times New Roman" w:hAnsi="Times New Roman"/>
                <w:lang w:val="ru-RU"/>
              </w:rPr>
              <w:t>).</w:t>
            </w:r>
          </w:p>
        </w:tc>
        <w:tc>
          <w:tcPr>
            <w:tcW w:w="219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A8783E" w:rsidRPr="00A8783E" w:rsidRDefault="00A8783E" w:rsidP="00A8783E">
      <w:pPr>
        <w:spacing w:after="160" w:line="259" w:lineRule="auto"/>
        <w:rPr>
          <w:rFonts w:ascii="Times New Roman" w:hAnsi="Times New Roman"/>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452" w:name="_Toc88865734"/>
      <w:bookmarkStart w:id="453" w:name="_Toc89106140"/>
      <w:bookmarkStart w:id="454" w:name="_Toc98741979"/>
      <w:bookmarkStart w:id="455" w:name="_Toc98838654"/>
      <w:r w:rsidRPr="00A8783E">
        <w:rPr>
          <w:rFonts w:ascii="Times New Roman" w:hAnsi="Times New Roman"/>
          <w:color w:val="1F497D"/>
          <w:sz w:val="28"/>
          <w:szCs w:val="28"/>
        </w:rPr>
        <w:t xml:space="preserve">Специфични цели за </w:t>
      </w:r>
      <w:r w:rsidRPr="00A8783E">
        <w:rPr>
          <w:rFonts w:ascii="Times New Roman" w:hAnsi="Times New Roman"/>
          <w:color w:val="1F497D"/>
          <w:sz w:val="28"/>
          <w:szCs w:val="28"/>
          <w:lang w:val="en-GB"/>
        </w:rPr>
        <w:t>A</w:t>
      </w:r>
      <w:r w:rsidRPr="00A8783E">
        <w:rPr>
          <w:rFonts w:ascii="Times New Roman" w:hAnsi="Times New Roman"/>
          <w:color w:val="1F497D"/>
          <w:sz w:val="28"/>
          <w:szCs w:val="28"/>
        </w:rPr>
        <w:t xml:space="preserve">230 </w:t>
      </w:r>
      <w:r w:rsidRPr="00A8783E">
        <w:rPr>
          <w:rFonts w:ascii="Times New Roman" w:hAnsi="Times New Roman"/>
          <w:i/>
          <w:iCs/>
          <w:color w:val="1F497D"/>
          <w:sz w:val="28"/>
          <w:szCs w:val="28"/>
          <w:lang w:val="en-GB"/>
        </w:rPr>
        <w:t>Merops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GB"/>
        </w:rPr>
        <w:t>apiaster</w:t>
      </w:r>
      <w:r w:rsidRPr="00A8783E">
        <w:rPr>
          <w:rFonts w:ascii="Times New Roman" w:hAnsi="Times New Roman"/>
          <w:color w:val="1F497D"/>
          <w:sz w:val="28"/>
          <w:szCs w:val="28"/>
        </w:rPr>
        <w:t xml:space="preserve"> (обикновен пчелояд)</w:t>
      </w:r>
      <w:bookmarkEnd w:id="452"/>
      <w:bookmarkEnd w:id="453"/>
      <w:bookmarkEnd w:id="454"/>
      <w:bookmarkEnd w:id="455"/>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1. Кратка характеристика на вида </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lastRenderedPageBreak/>
        <w:t xml:space="preserve">Дължина на тялото 27-29 </w:t>
      </w:r>
      <w:r w:rsidRPr="00A8783E">
        <w:rPr>
          <w:rFonts w:ascii="Times New Roman" w:hAnsi="Times New Roman"/>
          <w:sz w:val="24"/>
          <w:szCs w:val="24"/>
          <w:lang w:val="en-US"/>
        </w:rPr>
        <w:t>cm</w:t>
      </w:r>
      <w:r w:rsidRPr="00A8783E">
        <w:rPr>
          <w:rFonts w:ascii="Times New Roman" w:hAnsi="Times New Roman"/>
          <w:sz w:val="24"/>
          <w:szCs w:val="24"/>
        </w:rPr>
        <w:t>. Размах на крилата 44-49 cm. Средно голяма птица с ярка окраска и с метален блясък.</w:t>
      </w:r>
      <w:r w:rsidRPr="00A8783E">
        <w:rPr>
          <w:rFonts w:ascii="Times New Roman" w:hAnsi="Times New Roman"/>
          <w:sz w:val="24"/>
          <w:szCs w:val="24"/>
          <w:lang w:val="ru-RU"/>
        </w:rPr>
        <w:t xml:space="preserve"> </w:t>
      </w:r>
      <w:r w:rsidRPr="00A8783E">
        <w:rPr>
          <w:rFonts w:ascii="Times New Roman" w:hAnsi="Times New Roman"/>
          <w:sz w:val="24"/>
          <w:szCs w:val="24"/>
        </w:rPr>
        <w:t>Лети с маневрен и планиращ полет. Среща се на малки групи и ята. Често</w:t>
      </w:r>
      <w:r w:rsidRPr="00A8783E">
        <w:rPr>
          <w:rFonts w:ascii="Times New Roman" w:hAnsi="Times New Roman"/>
          <w:sz w:val="24"/>
          <w:szCs w:val="24"/>
          <w:lang w:val="ru-RU"/>
        </w:rPr>
        <w:t xml:space="preserve"> </w:t>
      </w:r>
      <w:r w:rsidRPr="00A8783E">
        <w:rPr>
          <w:rFonts w:ascii="Times New Roman" w:hAnsi="Times New Roman"/>
          <w:sz w:val="24"/>
          <w:szCs w:val="24"/>
        </w:rPr>
        <w:t>каца по дървета и жици, а не по земята. Темето, гърбът и крилата кафяви. Челото светло, белезникаво със синьозелено петно. Крилата остри, а средните опашни пера забележимо по-дълги от останалите. Гърлото жълто оградено с черна огърлица. Клюнът черен. Останалата долна страна синьозелена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Прелетен. По време на миграция се</w:t>
      </w:r>
      <w:r w:rsidRPr="00A8783E">
        <w:rPr>
          <w:rFonts w:ascii="Times New Roman" w:hAnsi="Times New Roman"/>
          <w:sz w:val="24"/>
          <w:szCs w:val="24"/>
          <w:lang w:val="ru-RU"/>
        </w:rPr>
        <w:t xml:space="preserve"> </w:t>
      </w:r>
      <w:r w:rsidRPr="00A8783E">
        <w:rPr>
          <w:rFonts w:ascii="Times New Roman" w:hAnsi="Times New Roman"/>
          <w:sz w:val="24"/>
          <w:szCs w:val="24"/>
        </w:rPr>
        <w:t>среща на ята от няколко до около 400 екземпляра. Масовият прелет е през май и от август до средата на септември.</w:t>
      </w:r>
      <w:r w:rsidRPr="00A8783E">
        <w:rPr>
          <w:rFonts w:ascii="Times New Roman" w:hAnsi="Times New Roman"/>
          <w:sz w:val="24"/>
          <w:szCs w:val="24"/>
          <w:lang w:val="ru-RU"/>
        </w:rPr>
        <w:t xml:space="preserve"> </w:t>
      </w:r>
      <w:r w:rsidRPr="00A8783E">
        <w:rPr>
          <w:rFonts w:ascii="Times New Roman" w:hAnsi="Times New Roman"/>
          <w:sz w:val="24"/>
          <w:szCs w:val="24"/>
        </w:rPr>
        <w:t>Брачните двойки се образуват по време на прелет. Гнезди по отвесни, земни, песъчливи склонове, както и по брегове на реки. Гнездостроенето започва най-рано през втората десетдневка на май. Изкопават гнезда, като дълбаят пръстта с клюна си, а я изхвърлят с крака. Участват и двете птици, като се редуват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Открити песъчливи и сухи места, отвесни глинести, песъчливи и льосови брегове на различни водоеми, оврази, склонове и свлачища, ерозирани долове, земни откоси, кариери за добив на инертни материали (Нанкинов и др., 1997; Янков отг. ред., 2007). Изследване направено в Унгария </w:t>
      </w:r>
      <w:r w:rsidRPr="00A8783E">
        <w:rPr>
          <w:rFonts w:ascii="Times New Roman" w:hAnsi="Times New Roman"/>
          <w:sz w:val="24"/>
          <w:szCs w:val="24"/>
          <w:lang w:val="ru-RU"/>
        </w:rPr>
        <w:t>(</w:t>
      </w:r>
      <w:r w:rsidRPr="00A8783E">
        <w:rPr>
          <w:rFonts w:ascii="Times New Roman" w:hAnsi="Times New Roman"/>
          <w:sz w:val="24"/>
          <w:szCs w:val="24"/>
          <w:lang w:val="en-US"/>
        </w:rPr>
        <w:t>Ker</w:t>
      </w:r>
      <w:r w:rsidRPr="00A8783E">
        <w:rPr>
          <w:rFonts w:ascii="Times New Roman" w:hAnsi="Times New Roman"/>
          <w:sz w:val="24"/>
          <w:szCs w:val="24"/>
          <w:lang w:val="ru-RU"/>
        </w:rPr>
        <w:t>й</w:t>
      </w:r>
      <w:r w:rsidRPr="00A8783E">
        <w:rPr>
          <w:rFonts w:ascii="Times New Roman" w:hAnsi="Times New Roman"/>
          <w:sz w:val="24"/>
          <w:szCs w:val="24"/>
          <w:lang w:val="en-US"/>
        </w:rPr>
        <w:t>nyi</w:t>
      </w:r>
      <w:r w:rsidRPr="00A8783E">
        <w:rPr>
          <w:rFonts w:ascii="Times New Roman" w:hAnsi="Times New Roman"/>
          <w:sz w:val="24"/>
          <w:szCs w:val="24"/>
          <w:lang w:val="ru-RU"/>
        </w:rPr>
        <w:t xml:space="preserve"> </w:t>
      </w:r>
      <w:r w:rsidRPr="00A8783E">
        <w:rPr>
          <w:rFonts w:ascii="Times New Roman" w:hAnsi="Times New Roman"/>
          <w:sz w:val="24"/>
          <w:szCs w:val="24"/>
          <w:lang w:val="en-US"/>
        </w:rPr>
        <w:t>and</w:t>
      </w:r>
      <w:r w:rsidRPr="00A8783E">
        <w:rPr>
          <w:rFonts w:ascii="Times New Roman" w:hAnsi="Times New Roman"/>
          <w:sz w:val="24"/>
          <w:szCs w:val="24"/>
          <w:lang w:val="ru-RU"/>
        </w:rPr>
        <w:t xml:space="preserve"> </w:t>
      </w:r>
      <w:r w:rsidRPr="00A8783E">
        <w:rPr>
          <w:rFonts w:ascii="Times New Roman" w:hAnsi="Times New Roman"/>
          <w:sz w:val="24"/>
          <w:szCs w:val="24"/>
          <w:lang w:val="en-US"/>
        </w:rPr>
        <w:t>Iv</w:t>
      </w:r>
      <w:r w:rsidRPr="00A8783E">
        <w:rPr>
          <w:rFonts w:ascii="Times New Roman" w:hAnsi="Times New Roman"/>
          <w:sz w:val="24"/>
          <w:szCs w:val="24"/>
          <w:lang w:val="ru-RU"/>
        </w:rPr>
        <w:t>у</w:t>
      </w:r>
      <w:r w:rsidRPr="00A8783E">
        <w:rPr>
          <w:rFonts w:ascii="Times New Roman" w:hAnsi="Times New Roman"/>
          <w:sz w:val="24"/>
          <w:szCs w:val="24"/>
          <w:lang w:val="en-US"/>
        </w:rPr>
        <w:t>k</w:t>
      </w:r>
      <w:r w:rsidRPr="00A8783E">
        <w:rPr>
          <w:rFonts w:ascii="Times New Roman" w:hAnsi="Times New Roman"/>
          <w:sz w:val="24"/>
          <w:szCs w:val="24"/>
          <w:lang w:val="ru-RU"/>
        </w:rPr>
        <w:t xml:space="preserve">, 2013) </w:t>
      </w:r>
      <w:r w:rsidRPr="00A8783E">
        <w:rPr>
          <w:rFonts w:ascii="Times New Roman" w:hAnsi="Times New Roman"/>
          <w:sz w:val="24"/>
          <w:szCs w:val="24"/>
        </w:rPr>
        <w:t>показва, че 51,8% от гнездата на пчелояда са разположени в льосови или пясъчни склонове</w:t>
      </w:r>
      <w:r w:rsidRPr="00A8783E">
        <w:rPr>
          <w:rFonts w:ascii="Times New Roman" w:hAnsi="Times New Roman"/>
          <w:sz w:val="24"/>
          <w:szCs w:val="24"/>
          <w:lang w:val="ru-RU"/>
        </w:rPr>
        <w:t xml:space="preserve"> </w:t>
      </w:r>
      <w:r w:rsidRPr="00A8783E">
        <w:rPr>
          <w:rFonts w:ascii="Times New Roman" w:hAnsi="Times New Roman"/>
          <w:sz w:val="24"/>
          <w:szCs w:val="24"/>
        </w:rPr>
        <w:t xml:space="preserve">обрасли с ниска растителност. Освен това, по-голяма част от гнездата </w:t>
      </w:r>
      <w:r w:rsidRPr="00A8783E">
        <w:rPr>
          <w:rFonts w:ascii="Times New Roman" w:hAnsi="Times New Roman"/>
          <w:sz w:val="24"/>
          <w:szCs w:val="24"/>
          <w:lang w:val="ru-RU"/>
        </w:rPr>
        <w:t>(</w:t>
      </w:r>
      <w:r w:rsidRPr="00A8783E">
        <w:rPr>
          <w:rFonts w:ascii="Times New Roman" w:hAnsi="Times New Roman"/>
          <w:sz w:val="24"/>
          <w:szCs w:val="24"/>
        </w:rPr>
        <w:t>61,9%</w:t>
      </w:r>
      <w:r w:rsidRPr="00A8783E">
        <w:rPr>
          <w:rFonts w:ascii="Times New Roman" w:hAnsi="Times New Roman"/>
          <w:sz w:val="24"/>
          <w:szCs w:val="24"/>
          <w:lang w:val="ru-RU"/>
        </w:rPr>
        <w:t>)</w:t>
      </w:r>
      <w:r w:rsidRPr="00A8783E">
        <w:rPr>
          <w:rFonts w:ascii="Times New Roman" w:hAnsi="Times New Roman"/>
          <w:sz w:val="24"/>
          <w:szCs w:val="24"/>
        </w:rPr>
        <w:t xml:space="preserve"> са издълбани в льос и 28,4% в песъчлива почва. Наклона на склона, в които се изкопават дупките варира между 11 и 30 градуса.</w:t>
      </w:r>
      <w:r w:rsidRPr="00A8783E">
        <w:rPr>
          <w:rFonts w:ascii="Times New Roman" w:hAnsi="Times New Roman"/>
          <w:sz w:val="24"/>
          <w:szCs w:val="24"/>
          <w:lang w:val="ru-RU"/>
        </w:rPr>
        <w:t xml:space="preserve"> </w:t>
      </w:r>
      <w:r w:rsidRPr="00A8783E">
        <w:rPr>
          <w:rFonts w:ascii="Times New Roman" w:hAnsi="Times New Roman"/>
          <w:sz w:val="24"/>
          <w:szCs w:val="24"/>
        </w:rPr>
        <w:t xml:space="preserve">Изследване направено в Германия </w:t>
      </w:r>
      <w:r w:rsidRPr="00A8783E">
        <w:rPr>
          <w:rFonts w:ascii="Times New Roman" w:hAnsi="Times New Roman"/>
          <w:sz w:val="24"/>
          <w:szCs w:val="24"/>
          <w:lang w:val="ru-RU"/>
        </w:rPr>
        <w:t>(</w:t>
      </w:r>
      <w:r w:rsidRPr="00A8783E">
        <w:rPr>
          <w:rFonts w:ascii="Times New Roman" w:hAnsi="Times New Roman"/>
          <w:sz w:val="24"/>
          <w:szCs w:val="24"/>
          <w:lang w:val="en-US"/>
        </w:rPr>
        <w:t>Bastian</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xml:space="preserve">., 2018) </w:t>
      </w:r>
      <w:r w:rsidRPr="00A8783E">
        <w:rPr>
          <w:rFonts w:ascii="Times New Roman" w:hAnsi="Times New Roman"/>
          <w:sz w:val="24"/>
          <w:szCs w:val="24"/>
        </w:rPr>
        <w:t xml:space="preserve">показва, че по време на гнездовия период пчелояда се храни в територии в близост до колонията, докато в след гнездовите скитания използва по-голямо разнообразие от местообитания, но предпочита земеделските земи. Подходящи местообитания за гнездене на вида са – 2340, 6210, 6250, 6260 (Кавръкова, и др., 2009).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Ентомофаг. Храни се основно с пчели и оси, а малките изхранва основно с водни кончета (Нанкинов и др., 1997).</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Често срещан вид в равнини и предпланини, но не многоброен. Най-многочислен е в Дунавската равнина, Лудогорието, Добруджа, Тракийската низина, Подбалканските котловини, Източни Родопи, Сакар, Източна Стара планина, долините на реките Струма и Места. В планините е разпространен до 1100 м. надм. височина </w:t>
      </w:r>
      <w:r w:rsidRPr="00A8783E">
        <w:rPr>
          <w:rFonts w:ascii="Times New Roman" w:hAnsi="Times New Roman"/>
          <w:sz w:val="24"/>
          <w:szCs w:val="24"/>
          <w:lang w:val="ru-RU"/>
        </w:rPr>
        <w:t>(</w:t>
      </w:r>
      <w:r w:rsidRPr="00A8783E">
        <w:rPr>
          <w:rFonts w:ascii="Times New Roman" w:hAnsi="Times New Roman"/>
          <w:sz w:val="24"/>
          <w:szCs w:val="24"/>
        </w:rPr>
        <w:t>Нанкинов и др., 1997; Янков, отг. ред., 2007</w:t>
      </w:r>
      <w:r w:rsidRPr="00A8783E">
        <w:rPr>
          <w:rFonts w:ascii="Times New Roman" w:hAnsi="Times New Roman"/>
          <w:sz w:val="24"/>
          <w:szCs w:val="24"/>
          <w:lang w:val="ru-RU"/>
        </w:rPr>
        <w:t>)</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 xml:space="preserve">Включен </w:t>
      </w:r>
      <w:r w:rsidRPr="00A8783E">
        <w:rPr>
          <w:rFonts w:ascii="Times New Roman" w:hAnsi="Times New Roman"/>
          <w:sz w:val="24"/>
          <w:szCs w:val="24"/>
          <w:lang w:val="en-US"/>
        </w:rPr>
        <w:t>e</w:t>
      </w:r>
      <w:r w:rsidRPr="00A8783E">
        <w:rPr>
          <w:rFonts w:ascii="Times New Roman" w:hAnsi="Times New Roman"/>
          <w:sz w:val="24"/>
          <w:szCs w:val="24"/>
          <w:lang w:val="ru-RU"/>
        </w:rPr>
        <w:t xml:space="preserve"> </w:t>
      </w:r>
      <w:r w:rsidRPr="00A8783E">
        <w:rPr>
          <w:rFonts w:ascii="Times New Roman" w:hAnsi="Times New Roman"/>
          <w:sz w:val="24"/>
          <w:szCs w:val="24"/>
        </w:rPr>
        <w:t xml:space="preserve">в Приложение 2А на ЗБР. Според </w:t>
      </w:r>
      <w:r w:rsidRPr="00A8783E">
        <w:rPr>
          <w:rFonts w:ascii="Times New Roman" w:hAnsi="Times New Roman"/>
          <w:sz w:val="24"/>
          <w:szCs w:val="24"/>
          <w:lang w:val="en-GB"/>
        </w:rPr>
        <w:t>IUCN</w:t>
      </w:r>
      <w:r w:rsidRPr="00A8783E">
        <w:rPr>
          <w:rFonts w:ascii="Times New Roman" w:hAnsi="Times New Roman"/>
          <w:sz w:val="24"/>
          <w:szCs w:val="24"/>
          <w:lang w:val="ru-RU"/>
        </w:rPr>
        <w:t xml:space="preserve"> –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lang w:val="ru-RU"/>
        </w:rPr>
        <w:t xml:space="preserve"> </w:t>
      </w:r>
      <w:r w:rsidRPr="00A8783E">
        <w:rPr>
          <w:rFonts w:ascii="Times New Roman" w:hAnsi="Times New Roman"/>
          <w:sz w:val="24"/>
          <w:szCs w:val="24"/>
          <w:lang w:val="en-GB"/>
        </w:rPr>
        <w:t>Concern</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 xml:space="preserve">за територията на континентална Европа – също </w:t>
      </w:r>
      <w:r w:rsidRPr="00A8783E">
        <w:rPr>
          <w:rFonts w:ascii="Times New Roman" w:hAnsi="Times New Roman"/>
          <w:sz w:val="24"/>
          <w:szCs w:val="24"/>
          <w:lang w:val="en-US"/>
        </w:rPr>
        <w:t>LC</w:t>
      </w:r>
      <w:r w:rsidRPr="00A8783E">
        <w:rPr>
          <w:rFonts w:ascii="Times New Roman" w:hAnsi="Times New Roman"/>
          <w:sz w:val="24"/>
          <w:szCs w:val="24"/>
          <w:lang w:val="ru-RU"/>
        </w:rPr>
        <w:t xml:space="preserve">. </w:t>
      </w:r>
      <w:r w:rsidRPr="00A8783E">
        <w:rPr>
          <w:rFonts w:ascii="Times New Roman" w:hAnsi="Times New Roman"/>
          <w:sz w:val="24"/>
          <w:szCs w:val="24"/>
        </w:rPr>
        <w:t xml:space="preserve">Популацията му е стабилна в Европа. Не е включен в Червената книга на България.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2005-2018 г.), </w:t>
      </w:r>
      <w:r w:rsidRPr="00A8783E">
        <w:rPr>
          <w:rFonts w:ascii="Times New Roman" w:hAnsi="Times New Roman"/>
          <w:b/>
          <w:bCs/>
          <w:sz w:val="24"/>
          <w:szCs w:val="24"/>
        </w:rPr>
        <w:t>гнездящата</w:t>
      </w:r>
      <w:r w:rsidRPr="00A8783E">
        <w:rPr>
          <w:rFonts w:ascii="Times New Roman" w:hAnsi="Times New Roman"/>
          <w:sz w:val="24"/>
          <w:szCs w:val="24"/>
        </w:rPr>
        <w:t xml:space="preserve"> популация е от 20 000 – 60 000 двойки, като краткосрочната тенденция на популацията е оценена на нарастваща.</w:t>
      </w:r>
      <w:r w:rsidRPr="00A8783E">
        <w:rPr>
          <w:rFonts w:ascii="Times New Roman" w:hAnsi="Times New Roman"/>
          <w:sz w:val="24"/>
          <w:szCs w:val="24"/>
          <w:lang w:val="ru-RU"/>
        </w:rPr>
        <w:t xml:space="preserve"> </w:t>
      </w:r>
      <w:r w:rsidRPr="00A8783E">
        <w:rPr>
          <w:rFonts w:ascii="Times New Roman" w:hAnsi="Times New Roman"/>
          <w:sz w:val="24"/>
          <w:szCs w:val="24"/>
        </w:rPr>
        <w:t>Дългосрочната тенденция (1980-2018) на популацията е нарастваща.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 xml:space="preserve">Мигриращата </w:t>
      </w:r>
      <w:r w:rsidRPr="00A8783E">
        <w:rPr>
          <w:rFonts w:ascii="Times New Roman" w:hAnsi="Times New Roman"/>
          <w:sz w:val="24"/>
          <w:szCs w:val="24"/>
        </w:rPr>
        <w:t>популация се оценява на 80 000-120 000 индивида.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 гнездящата и мигриращата популация са посочени следните заплахи и влияния: F03.</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Съгласно стандартния формуляр за данни на зоната вида е </w:t>
      </w:r>
      <w:r w:rsidRPr="00A8783E">
        <w:rPr>
          <w:rFonts w:ascii="Times New Roman" w:hAnsi="Times New Roman"/>
          <w:b/>
          <w:bCs/>
          <w:sz w:val="24"/>
          <w:szCs w:val="24"/>
        </w:rPr>
        <w:t>гнездящ</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lang w:val="ru-RU"/>
        </w:rPr>
        <w:t>50</w:t>
      </w:r>
      <w:r w:rsidRPr="00A8783E">
        <w:rPr>
          <w:rFonts w:ascii="Times New Roman" w:hAnsi="Times New Roman"/>
          <w:b/>
          <w:bCs/>
          <w:sz w:val="24"/>
          <w:szCs w:val="24"/>
        </w:rPr>
        <w:t xml:space="preserve"> двойки</w:t>
      </w:r>
      <w:r w:rsidRPr="00A8783E">
        <w:rPr>
          <w:rFonts w:ascii="Times New Roman" w:hAnsi="Times New Roman"/>
          <w:sz w:val="24"/>
          <w:szCs w:val="24"/>
        </w:rPr>
        <w:t>, което представлява 0.1–</w:t>
      </w:r>
      <w:r w:rsidRPr="00A8783E">
        <w:rPr>
          <w:rFonts w:ascii="Times New Roman" w:hAnsi="Times New Roman"/>
          <w:sz w:val="24"/>
          <w:szCs w:val="24"/>
          <w:lang w:val="ru-RU"/>
        </w:rPr>
        <w:t>0.25</w:t>
      </w:r>
      <w:r w:rsidRPr="00A8783E">
        <w:rPr>
          <w:rFonts w:ascii="Times New Roman" w:hAnsi="Times New Roman"/>
          <w:sz w:val="24"/>
          <w:szCs w:val="24"/>
        </w:rPr>
        <w:t xml:space="preserve">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Пчелояда е също </w:t>
      </w:r>
      <w:r w:rsidRPr="00A8783E">
        <w:rPr>
          <w:rFonts w:ascii="Times New Roman" w:hAnsi="Times New Roman"/>
          <w:b/>
          <w:bCs/>
          <w:sz w:val="24"/>
          <w:szCs w:val="24"/>
        </w:rPr>
        <w:t>мигриращ</w:t>
      </w:r>
      <w:r w:rsidRPr="00A8783E">
        <w:rPr>
          <w:rFonts w:ascii="Times New Roman" w:hAnsi="Times New Roman"/>
          <w:sz w:val="24"/>
          <w:szCs w:val="24"/>
        </w:rPr>
        <w:t xml:space="preserve"> за зоната. В СФ е посочен само като присъстващ </w:t>
      </w:r>
      <w:r w:rsidRPr="00A8783E">
        <w:rPr>
          <w:rFonts w:ascii="Times New Roman" w:hAnsi="Times New Roman"/>
          <w:sz w:val="24"/>
          <w:szCs w:val="24"/>
          <w:lang w:val="ru-RU"/>
        </w:rPr>
        <w:t>(</w:t>
      </w:r>
      <w:r w:rsidRPr="00A8783E">
        <w:rPr>
          <w:rFonts w:ascii="Times New Roman" w:hAnsi="Times New Roman"/>
          <w:sz w:val="24"/>
          <w:szCs w:val="24"/>
        </w:rPr>
        <w:t xml:space="preserve">категория </w:t>
      </w:r>
      <w:r w:rsidRPr="00A8783E">
        <w:rPr>
          <w:rFonts w:ascii="Times New Roman" w:hAnsi="Times New Roman"/>
          <w:sz w:val="24"/>
          <w:szCs w:val="24"/>
          <w:lang w:val="en-US"/>
        </w:rPr>
        <w:t>P</w:t>
      </w:r>
      <w:r w:rsidRPr="00A8783E">
        <w:rPr>
          <w:rFonts w:ascii="Times New Roman" w:hAnsi="Times New Roman"/>
          <w:sz w:val="24"/>
          <w:szCs w:val="24"/>
          <w:lang w:val="ru-RU"/>
        </w:rPr>
        <w:t>)</w:t>
      </w:r>
      <w:r w:rsidRPr="00A8783E">
        <w:rPr>
          <w:rFonts w:ascii="Times New Roman" w:hAnsi="Times New Roman"/>
          <w:sz w:val="24"/>
          <w:szCs w:val="24"/>
        </w:rPr>
        <w:t xml:space="preserve">, без да е дадена стойност за числеността на вида </w:t>
      </w:r>
      <w:r w:rsidRPr="00A8783E">
        <w:rPr>
          <w:rFonts w:ascii="Times New Roman" w:hAnsi="Times New Roman"/>
          <w:sz w:val="24"/>
          <w:szCs w:val="24"/>
          <w:lang w:val="ru-RU"/>
        </w:rPr>
        <w:t>(</w:t>
      </w:r>
      <w:r w:rsidRPr="00A8783E">
        <w:rPr>
          <w:rFonts w:ascii="Times New Roman" w:hAnsi="Times New Roman"/>
          <w:sz w:val="24"/>
          <w:szCs w:val="24"/>
          <w:lang w:val="en-US"/>
        </w:rPr>
        <w:t>DD</w:t>
      </w:r>
      <w:r w:rsidRPr="00A8783E">
        <w:rPr>
          <w:rFonts w:ascii="Times New Roman" w:hAnsi="Times New Roman"/>
          <w:sz w:val="24"/>
          <w:szCs w:val="24"/>
          <w:lang w:val="ru-RU"/>
        </w:rPr>
        <w:t xml:space="preserve"> – </w:t>
      </w:r>
      <w:r w:rsidRPr="00A8783E">
        <w:rPr>
          <w:rFonts w:ascii="Times New Roman" w:hAnsi="Times New Roman"/>
          <w:sz w:val="24"/>
          <w:szCs w:val="24"/>
        </w:rPr>
        <w:t>липсват данни</w:t>
      </w:r>
      <w:r w:rsidRPr="00A8783E">
        <w:rPr>
          <w:rFonts w:ascii="Times New Roman" w:hAnsi="Times New Roman"/>
          <w:sz w:val="24"/>
          <w:szCs w:val="24"/>
          <w:lang w:val="ru-RU"/>
        </w:rPr>
        <w:t>)</w:t>
      </w:r>
      <w:r w:rsidRPr="00A8783E">
        <w:rPr>
          <w:rFonts w:ascii="Times New Roman" w:hAnsi="Times New Roman"/>
          <w:sz w:val="24"/>
          <w:szCs w:val="24"/>
        </w:rPr>
        <w:t>.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Дунавската равнина е многочислен и почти повсеместно разпространен гнездящ вид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В ОВМ „Сребърна“ </w:t>
      </w:r>
      <w:bookmarkStart w:id="456" w:name="_Hlk88837607"/>
      <w:r w:rsidRPr="00A8783E">
        <w:rPr>
          <w:rFonts w:ascii="Times New Roman" w:hAnsi="Times New Roman"/>
          <w:sz w:val="24"/>
          <w:szCs w:val="24"/>
        </w:rPr>
        <w:t xml:space="preserve">видът не е посочен </w:t>
      </w:r>
      <w:bookmarkEnd w:id="456"/>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отг. ред., 2007</w:t>
      </w:r>
      <w:r w:rsidRPr="00A8783E">
        <w:rPr>
          <w:rFonts w:ascii="Times New Roman" w:hAnsi="Times New Roman"/>
          <w:sz w:val="24"/>
          <w:szCs w:val="24"/>
          <w:lang w:val="ru-RU"/>
        </w:rPr>
        <w:t>)</w:t>
      </w:r>
      <w:r w:rsidRPr="00A8783E">
        <w:rPr>
          <w:rFonts w:ascii="Times New Roman" w:hAnsi="Times New Roman"/>
          <w:sz w:val="24"/>
          <w:szCs w:val="24"/>
        </w:rPr>
        <w:t xml:space="preserve">. Видът не се съобщава като гнездящ в зоната през периода 2010-2012 г. </w:t>
      </w:r>
      <w:r w:rsidRPr="00A8783E">
        <w:rPr>
          <w:rFonts w:ascii="Times New Roman" w:hAnsi="Times New Roman"/>
          <w:sz w:val="24"/>
          <w:szCs w:val="24"/>
          <w:lang w:val="ru-RU"/>
        </w:rPr>
        <w:t>(</w:t>
      </w:r>
      <w:r w:rsidRPr="00A8783E">
        <w:rPr>
          <w:rFonts w:ascii="Times New Roman" w:hAnsi="Times New Roman"/>
          <w:sz w:val="24"/>
          <w:szCs w:val="24"/>
        </w:rPr>
        <w:t>Матеева и др., 2013</w:t>
      </w:r>
      <w:r w:rsidRPr="00A8783E">
        <w:rPr>
          <w:rFonts w:ascii="Times New Roman" w:hAnsi="Times New Roman"/>
          <w:sz w:val="24"/>
          <w:szCs w:val="24"/>
          <w:lang w:val="ru-RU"/>
        </w:rPr>
        <w:t>)</w:t>
      </w:r>
      <w:r w:rsidRPr="00A8783E">
        <w:rPr>
          <w:rFonts w:ascii="Times New Roman" w:hAnsi="Times New Roman"/>
          <w:sz w:val="24"/>
          <w:szCs w:val="24"/>
        </w:rPr>
        <w:t xml:space="preserve">. Разпространението се колебае силно на места според наличието на подходящи места за гнездене. През 2014 г. в зоната са установени 5-10 инд., но местоположението на колонията остана неясно </w:t>
      </w:r>
      <w:r w:rsidRPr="00A8783E">
        <w:rPr>
          <w:rFonts w:ascii="Times New Roman" w:hAnsi="Times New Roman"/>
          <w:sz w:val="24"/>
          <w:szCs w:val="24"/>
          <w:lang w:val="ru-RU"/>
        </w:rPr>
        <w:t>(</w:t>
      </w:r>
      <w:r w:rsidRPr="00A8783E">
        <w:rPr>
          <w:rFonts w:ascii="Times New Roman" w:hAnsi="Times New Roman"/>
          <w:sz w:val="24"/>
          <w:szCs w:val="24"/>
        </w:rPr>
        <w:t>Актуализиран план на ПР Сребърна, 2015</w:t>
      </w:r>
      <w:r w:rsidRPr="00A8783E">
        <w:rPr>
          <w:rFonts w:ascii="Times New Roman" w:hAnsi="Times New Roman"/>
          <w:sz w:val="24"/>
          <w:szCs w:val="24"/>
          <w:lang w:val="ru-RU"/>
        </w:rPr>
        <w:t>)</w:t>
      </w:r>
      <w:r w:rsidRPr="00A8783E">
        <w:rPr>
          <w:rFonts w:ascii="Times New Roman" w:hAnsi="Times New Roman"/>
          <w:sz w:val="24"/>
          <w:szCs w:val="24"/>
        </w:rPr>
        <w:t xml:space="preserve">. По време на теренните изследвания на 25.05.2021 г. и 23.06.2021 г. бяха отчетени 6 инд. </w:t>
      </w:r>
      <w:bookmarkStart w:id="457" w:name="_Hlk88838111"/>
      <w:r w:rsidRPr="00A8783E">
        <w:rPr>
          <w:rFonts w:ascii="Times New Roman" w:hAnsi="Times New Roman"/>
          <w:sz w:val="24"/>
          <w:szCs w:val="24"/>
        </w:rPr>
        <w:t xml:space="preserve">Данните от </w:t>
      </w:r>
      <w:r w:rsidRPr="00A8783E">
        <w:rPr>
          <w:rFonts w:ascii="Times New Roman" w:hAnsi="Times New Roman"/>
          <w:sz w:val="24"/>
          <w:szCs w:val="24"/>
          <w:lang w:val="en-US"/>
        </w:rPr>
        <w:t>eBird</w:t>
      </w:r>
      <w:r w:rsidRPr="00A8783E">
        <w:rPr>
          <w:rFonts w:ascii="Times New Roman" w:hAnsi="Times New Roman"/>
          <w:sz w:val="24"/>
          <w:szCs w:val="24"/>
          <w:lang w:val="ru-RU"/>
        </w:rPr>
        <w:t xml:space="preserve"> </w:t>
      </w:r>
      <w:r w:rsidRPr="00A8783E">
        <w:rPr>
          <w:rFonts w:ascii="Times New Roman" w:hAnsi="Times New Roman"/>
          <w:sz w:val="24"/>
          <w:szCs w:val="24"/>
        </w:rPr>
        <w:t xml:space="preserve">показват, че в Сребърна на 04.09.2021 </w:t>
      </w:r>
      <w:bookmarkEnd w:id="457"/>
      <w:r w:rsidRPr="00A8783E">
        <w:rPr>
          <w:rFonts w:ascii="Times New Roman" w:hAnsi="Times New Roman"/>
          <w:sz w:val="24"/>
          <w:szCs w:val="24"/>
        </w:rPr>
        <w:t>г. са наблюдавани 60 инд. Явно видът не гнезди всяка година в зоната, тъй като отвесните земни склонове с всяка изминала година обрастват с храстова и дървесна растителност, което пречи на вида да гнезди.</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A8783E">
        <w:rPr>
          <w:rFonts w:ascii="Times New Roman" w:hAnsi="Times New Roman"/>
          <w:sz w:val="24"/>
          <w:szCs w:val="24"/>
          <w:lang w:val="ru-RU"/>
        </w:rPr>
        <w:t xml:space="preserve"> </w:t>
      </w:r>
      <w:r w:rsidRPr="00A8783E">
        <w:rPr>
          <w:rFonts w:ascii="Times New Roman" w:hAnsi="Times New Roman"/>
          <w:sz w:val="24"/>
          <w:szCs w:val="24"/>
        </w:rPr>
        <w:t xml:space="preserve">Видът е с категория „Р“ и липсват данни за неговата численост в СФ </w:t>
      </w:r>
      <w:r w:rsidRPr="00A8783E">
        <w:rPr>
          <w:rFonts w:ascii="Times New Roman" w:hAnsi="Times New Roman"/>
          <w:sz w:val="24"/>
          <w:szCs w:val="24"/>
          <w:lang w:val="ru-RU"/>
        </w:rPr>
        <w:t>(</w:t>
      </w:r>
      <w:r w:rsidRPr="00A8783E">
        <w:rPr>
          <w:rFonts w:ascii="Times New Roman" w:hAnsi="Times New Roman"/>
          <w:sz w:val="24"/>
          <w:szCs w:val="24"/>
          <w:lang w:val="en-US"/>
        </w:rPr>
        <w:t>DD</w:t>
      </w:r>
      <w:r w:rsidRPr="00A8783E">
        <w:rPr>
          <w:rFonts w:ascii="Times New Roman" w:hAnsi="Times New Roman"/>
          <w:sz w:val="24"/>
          <w:szCs w:val="24"/>
          <w:lang w:val="ru-RU"/>
        </w:rPr>
        <w:t xml:space="preserve"> </w:t>
      </w:r>
      <w:r w:rsidRPr="00A8783E">
        <w:rPr>
          <w:rFonts w:ascii="Times New Roman" w:hAnsi="Times New Roman"/>
          <w:sz w:val="24"/>
          <w:szCs w:val="24"/>
          <w:lang w:val="en-US"/>
        </w:rPr>
        <w:t>data</w:t>
      </w:r>
      <w:r w:rsidRPr="00A8783E">
        <w:rPr>
          <w:rFonts w:ascii="Times New Roman" w:hAnsi="Times New Roman"/>
          <w:sz w:val="24"/>
          <w:szCs w:val="24"/>
          <w:lang w:val="ru-RU"/>
        </w:rPr>
        <w:t xml:space="preserve"> </w:t>
      </w:r>
      <w:r w:rsidRPr="00A8783E">
        <w:rPr>
          <w:rFonts w:ascii="Times New Roman" w:hAnsi="Times New Roman"/>
          <w:sz w:val="24"/>
          <w:szCs w:val="24"/>
          <w:lang w:val="en-US"/>
        </w:rPr>
        <w:t>quality</w:t>
      </w:r>
      <w:r w:rsidRPr="00A8783E">
        <w:rPr>
          <w:rFonts w:ascii="Times New Roman" w:hAnsi="Times New Roman"/>
          <w:sz w:val="24"/>
          <w:szCs w:val="24"/>
          <w:lang w:val="ru-RU"/>
        </w:rPr>
        <w:t>)</w:t>
      </w:r>
      <w:r w:rsidRPr="00A8783E">
        <w:rPr>
          <w:rFonts w:ascii="Times New Roman" w:hAnsi="Times New Roman"/>
          <w:sz w:val="24"/>
          <w:szCs w:val="24"/>
        </w:rPr>
        <w:t xml:space="preserve">. В Дунавската равнина видът се среща по време на миграция на ята от 10 до 50 инд.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Поради тази причина предлагаме в СФ да се посочи численост за мигриращата популация 10-50 инд.</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Основните заплахи за пчелояда са подобни на тези на земеродното рибарче и те са ерозията и изронването на речните брегове (L01), стабилизирането на речните брегове с каменни и бетонни стени, а също и </w:t>
      </w:r>
      <w:r w:rsidRPr="00A8783E">
        <w:rPr>
          <w:rFonts w:ascii="Times New Roman" w:hAnsi="Times New Roman"/>
          <w:sz w:val="24"/>
          <w:szCs w:val="24"/>
          <w:lang w:val="en-US"/>
        </w:rPr>
        <w:t>A</w:t>
      </w:r>
      <w:r w:rsidRPr="00A8783E">
        <w:rPr>
          <w:rFonts w:ascii="Times New Roman" w:hAnsi="Times New Roman"/>
          <w:sz w:val="24"/>
          <w:szCs w:val="24"/>
        </w:rPr>
        <w:t>21-„Използване на химически препарати за растителна защита в земеделието“, което би довело до намаляване на ципокрилите насекоми, които са основна храна на вида.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275"/>
        <w:gridCol w:w="1276"/>
        <w:gridCol w:w="2772"/>
        <w:gridCol w:w="2624"/>
      </w:tblGrid>
      <w:tr w:rsidR="00A8783E" w:rsidRPr="00A8783E" w:rsidTr="005B5318">
        <w:trPr>
          <w:tblHeader/>
          <w:jc w:val="center"/>
        </w:trPr>
        <w:tc>
          <w:tcPr>
            <w:tcW w:w="155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27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772"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62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555" w:type="dxa"/>
          </w:tcPr>
          <w:p w:rsidR="00A8783E" w:rsidRPr="00A8783E" w:rsidRDefault="00A8783E" w:rsidP="00A8783E">
            <w:pPr>
              <w:spacing w:after="0" w:line="240" w:lineRule="auto"/>
              <w:jc w:val="both"/>
              <w:rPr>
                <w:rFonts w:ascii="Times New Roman" w:hAnsi="Times New Roman"/>
                <w:color w:val="0070C0"/>
              </w:rPr>
            </w:pPr>
            <w:r w:rsidRPr="00A8783E">
              <w:rPr>
                <w:rFonts w:ascii="Times New Roman" w:hAnsi="Times New Roman"/>
                <w:b/>
                <w:bCs/>
              </w:rPr>
              <w:t>Популация</w:t>
            </w:r>
            <w:r w:rsidRPr="00A8783E">
              <w:rPr>
                <w:rFonts w:ascii="Times New Roman" w:hAnsi="Times New Roman"/>
              </w:rPr>
              <w:t>: Размер на гнездящата популация</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двойки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3 дв.</w:t>
            </w:r>
          </w:p>
        </w:tc>
        <w:tc>
          <w:tcPr>
            <w:tcW w:w="277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Определена на база СФ и данните от теренното проучване през размножителния сезон на 2021 г. Предлагаме минималната численост да е 3 дв., тъй като през 2021 г. са отчетени 6 инд.</w:t>
            </w:r>
          </w:p>
        </w:tc>
        <w:tc>
          <w:tcPr>
            <w:tcW w:w="262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3 гнездящи двойки чрез поддържане на подходящите местообитания за гнездене на вида.</w:t>
            </w:r>
          </w:p>
        </w:tc>
      </w:tr>
      <w:tr w:rsidR="00A8783E" w:rsidRPr="00A8783E" w:rsidTr="005B5318">
        <w:trPr>
          <w:trHeight w:val="606"/>
          <w:jc w:val="center"/>
        </w:trPr>
        <w:tc>
          <w:tcPr>
            <w:tcW w:w="155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lastRenderedPageBreak/>
              <w:t>Популация</w:t>
            </w:r>
            <w:r w:rsidRPr="00A8783E">
              <w:rPr>
                <w:rFonts w:ascii="Times New Roman" w:hAnsi="Times New Roman"/>
              </w:rPr>
              <w:t>: Размер на мигриращата популация</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w:t>
            </w:r>
            <w:r w:rsidRPr="00A8783E">
              <w:rPr>
                <w:rFonts w:ascii="Times New Roman" w:hAnsi="Times New Roman"/>
                <w:lang w:val="en-US"/>
              </w:rPr>
              <w:t>10</w:t>
            </w:r>
            <w:r w:rsidRPr="00A8783E">
              <w:rPr>
                <w:rFonts w:ascii="Times New Roman" w:hAnsi="Times New Roman"/>
              </w:rPr>
              <w:t xml:space="preserve"> инд.</w:t>
            </w:r>
          </w:p>
        </w:tc>
        <w:tc>
          <w:tcPr>
            <w:tcW w:w="277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Видът е с категория „Р“ и липсват данни за неговата численост в зоната </w:t>
            </w:r>
            <w:r w:rsidRPr="00A8783E">
              <w:rPr>
                <w:rFonts w:ascii="Times New Roman" w:hAnsi="Times New Roman"/>
                <w:lang w:val="ru-RU"/>
              </w:rPr>
              <w:t>(</w:t>
            </w:r>
            <w:r w:rsidRPr="00A8783E">
              <w:rPr>
                <w:rFonts w:ascii="Times New Roman" w:hAnsi="Times New Roman"/>
                <w:lang w:val="en-US"/>
              </w:rPr>
              <w:t>DD</w:t>
            </w:r>
            <w:r w:rsidRPr="00A8783E">
              <w:rPr>
                <w:rFonts w:ascii="Times New Roman" w:hAnsi="Times New Roman"/>
                <w:lang w:val="ru-RU"/>
              </w:rPr>
              <w:t xml:space="preserve"> </w:t>
            </w:r>
            <w:r w:rsidRPr="00A8783E">
              <w:rPr>
                <w:rFonts w:ascii="Times New Roman" w:hAnsi="Times New Roman"/>
                <w:lang w:val="en-US"/>
              </w:rPr>
              <w:t>data</w:t>
            </w:r>
            <w:r w:rsidRPr="00A8783E">
              <w:rPr>
                <w:rFonts w:ascii="Times New Roman" w:hAnsi="Times New Roman"/>
                <w:lang w:val="ru-RU"/>
              </w:rPr>
              <w:t xml:space="preserve"> </w:t>
            </w:r>
            <w:r w:rsidRPr="00A8783E">
              <w:rPr>
                <w:rFonts w:ascii="Times New Roman" w:hAnsi="Times New Roman"/>
                <w:lang w:val="en-US"/>
              </w:rPr>
              <w:t>quality</w:t>
            </w:r>
            <w:r w:rsidRPr="00A8783E">
              <w:rPr>
                <w:rFonts w:ascii="Times New Roman" w:hAnsi="Times New Roman"/>
                <w:lang w:val="ru-RU"/>
              </w:rPr>
              <w:t>)</w:t>
            </w:r>
            <w:r w:rsidRPr="00A8783E">
              <w:rPr>
                <w:rFonts w:ascii="Times New Roman" w:hAnsi="Times New Roman"/>
              </w:rPr>
              <w:t>.</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 Дунавската равнина видът се среща по време на миграция на ята от 10 до 50 инд. </w:t>
            </w:r>
            <w:r w:rsidRPr="00A8783E">
              <w:rPr>
                <w:rFonts w:ascii="Times New Roman" w:hAnsi="Times New Roman"/>
                <w:lang w:val="ru-RU"/>
              </w:rPr>
              <w:t>(</w:t>
            </w:r>
            <w:r w:rsidRPr="00A8783E">
              <w:rPr>
                <w:rFonts w:ascii="Times New Roman" w:hAnsi="Times New Roman"/>
              </w:rPr>
              <w:t>Шурулинков и др., 2005</w:t>
            </w:r>
            <w:r w:rsidRPr="00A8783E">
              <w:rPr>
                <w:rFonts w:ascii="Times New Roman" w:hAnsi="Times New Roman"/>
                <w:lang w:val="ru-RU"/>
              </w:rPr>
              <w:t>)</w:t>
            </w:r>
            <w:r w:rsidRPr="00A8783E">
              <w:rPr>
                <w:rFonts w:ascii="Times New Roman" w:hAnsi="Times New Roman"/>
              </w:rPr>
              <w:t>.</w:t>
            </w:r>
            <w:r w:rsidRPr="00A8783E">
              <w:rPr>
                <w:rFonts w:ascii="Times New Roman" w:hAnsi="Times New Roman"/>
                <w:lang w:val="ru-RU"/>
              </w:rPr>
              <w:t xml:space="preserve"> </w:t>
            </w:r>
            <w:r w:rsidRPr="00A8783E">
              <w:rPr>
                <w:rFonts w:ascii="Times New Roman" w:hAnsi="Times New Roman"/>
              </w:rPr>
              <w:t>Поради това предлагаме за численост на мигриращата популация да се посочи 10-50 инд.</w:t>
            </w:r>
          </w:p>
        </w:tc>
        <w:tc>
          <w:tcPr>
            <w:tcW w:w="2624" w:type="dxa"/>
          </w:tcPr>
          <w:p w:rsidR="00A8783E" w:rsidRPr="00A8783E" w:rsidRDefault="00A8783E" w:rsidP="00A8783E">
            <w:pPr>
              <w:spacing w:after="0" w:line="240" w:lineRule="auto"/>
              <w:jc w:val="both"/>
              <w:rPr>
                <w:rFonts w:ascii="Times New Roman" w:hAnsi="Times New Roman"/>
                <w:color w:val="0070C0"/>
              </w:rPr>
            </w:pPr>
            <w:r w:rsidRPr="00A8783E">
              <w:rPr>
                <w:rFonts w:ascii="Times New Roman" w:hAnsi="Times New Roman"/>
              </w:rPr>
              <w:t>Междинна цел до 2025 г.: провеждане на проучване за установяване на текущата мигрираща численост на вида в зоната в подходящите местообитания.</w:t>
            </w:r>
          </w:p>
        </w:tc>
      </w:tr>
      <w:tr w:rsidR="00A8783E" w:rsidRPr="00A8783E" w:rsidTr="005B5318">
        <w:trPr>
          <w:trHeight w:val="606"/>
          <w:jc w:val="center"/>
        </w:trPr>
        <w:tc>
          <w:tcPr>
            <w:tcW w:w="1555"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 места за гнездене</w:t>
            </w:r>
          </w:p>
        </w:tc>
        <w:tc>
          <w:tcPr>
            <w:tcW w:w="1275" w:type="dxa"/>
          </w:tcPr>
          <w:p w:rsidR="00A8783E" w:rsidRPr="00A8783E" w:rsidRDefault="00A8783E" w:rsidP="00A8783E">
            <w:pPr>
              <w:spacing w:after="0" w:line="240" w:lineRule="auto"/>
              <w:jc w:val="both"/>
              <w:rPr>
                <w:rFonts w:ascii="Times New Roman" w:hAnsi="Times New Roman"/>
                <w:lang w:val="ru-RU"/>
              </w:rPr>
            </w:pPr>
            <w:r w:rsidRPr="00A8783E">
              <w:rPr>
                <w:rFonts w:ascii="Times New Roman" w:hAnsi="Times New Roman"/>
                <w:lang w:val="en-US"/>
              </w:rPr>
              <w:t>ha</w:t>
            </w:r>
            <w:r w:rsidRPr="00A8783E">
              <w:rPr>
                <w:rFonts w:ascii="Times New Roman" w:hAnsi="Times New Roman"/>
                <w:lang w:val="ru-RU"/>
              </w:rPr>
              <w:t>,</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площ на земни и льосови земни откоси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неизвестна</w:t>
            </w:r>
          </w:p>
        </w:tc>
        <w:tc>
          <w:tcPr>
            <w:tcW w:w="277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Понастоящем не може да се определи площта на наличните земни откоси в зоната. Необходимо е отделно проучване.</w:t>
            </w:r>
          </w:p>
        </w:tc>
        <w:tc>
          <w:tcPr>
            <w:tcW w:w="262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площта на подходящите гнездови местообитания на вида чрез забрана за разораване и унищожаване на земните, пясъчни и льосови земни откоси в зоната. Почистване на растителността пред такива откоси за осигуряване на достъп до тях за гнездене на вида.</w:t>
            </w:r>
          </w:p>
        </w:tc>
      </w:tr>
      <w:tr w:rsidR="00A8783E" w:rsidRPr="00A8783E" w:rsidTr="005B5318">
        <w:trPr>
          <w:trHeight w:val="748"/>
          <w:jc w:val="center"/>
        </w:trPr>
        <w:tc>
          <w:tcPr>
            <w:tcW w:w="155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 xml:space="preserve"> площ на подходящите хранителни местообитания на вида</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ha</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361 </w:t>
            </w:r>
          </w:p>
        </w:tc>
        <w:tc>
          <w:tcPr>
            <w:tcW w:w="277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Изчислена на база откритите типове местообитания в рамките на СЗЗ.</w:t>
            </w:r>
            <w:r w:rsidRPr="00A8783E">
              <w:t xml:space="preserve"> </w:t>
            </w:r>
            <w:r w:rsidRPr="00A8783E">
              <w:rPr>
                <w:rFonts w:ascii="Times New Roman" w:hAnsi="Times New Roman"/>
              </w:rPr>
              <w:t xml:space="preserve">Данните са взети от СФ като % на местообитание </w:t>
            </w:r>
            <w:r w:rsidRPr="00A8783E">
              <w:rPr>
                <w:rFonts w:ascii="Times New Roman" w:hAnsi="Times New Roman"/>
                <w:lang w:val="en-US"/>
              </w:rPr>
              <w:t>N</w:t>
            </w:r>
            <w:r w:rsidRPr="00A8783E">
              <w:rPr>
                <w:rFonts w:ascii="Times New Roman" w:hAnsi="Times New Roman"/>
                <w:lang w:val="ru-RU"/>
              </w:rPr>
              <w:t xml:space="preserve">09-сухи </w:t>
            </w:r>
            <w:r w:rsidRPr="00A8783E">
              <w:rPr>
                <w:rFonts w:ascii="Times New Roman" w:hAnsi="Times New Roman"/>
              </w:rPr>
              <w:t>ливади и степи, N08-равнини и шубраци, N15-други обработваеми земи и N21-негорски площи заети с растителни видове.</w:t>
            </w:r>
          </w:p>
        </w:tc>
        <w:tc>
          <w:tcPr>
            <w:tcW w:w="2624" w:type="dxa"/>
          </w:tcPr>
          <w:p w:rsidR="00A8783E" w:rsidRPr="00A8783E" w:rsidRDefault="00A8783E" w:rsidP="00A8783E">
            <w:pPr>
              <w:spacing w:after="0" w:line="240" w:lineRule="auto"/>
              <w:jc w:val="both"/>
              <w:rPr>
                <w:rFonts w:ascii="Times New Roman" w:hAnsi="Times New Roman"/>
                <w:color w:val="0070C0"/>
              </w:rPr>
            </w:pPr>
            <w:r w:rsidRPr="00A8783E">
              <w:rPr>
                <w:rFonts w:ascii="Times New Roman" w:hAnsi="Times New Roman"/>
              </w:rPr>
              <w:t>Поддържане на състоянието по този параметър. Редовен мониторинг.</w:t>
            </w:r>
          </w:p>
        </w:tc>
      </w:tr>
    </w:tbl>
    <w:p w:rsidR="00A8783E" w:rsidRPr="00A8783E" w:rsidRDefault="00A8783E" w:rsidP="00A8783E">
      <w:pPr>
        <w:spacing w:before="120" w:after="120" w:line="259" w:lineRule="auto"/>
        <w:jc w:val="both"/>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 отношение на гнездовата популация предлагаме минималната численост да е 3 дв., тъй като през 2021 г. са отчетени 6 инд., и тъй като отвесните земни склонове с всяка изминала година обрастват с храстова и дървесна растителност, което намалява подходящите места за гнездене в зоната.</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По отношение на мигриращата популация. Въпреки, че липсват публикувани данни за концентрацията на вида в зоната, знаем, че</w:t>
      </w:r>
      <w:r w:rsidRPr="00A8783E">
        <w:rPr>
          <w:rFonts w:ascii="Times New Roman" w:hAnsi="Times New Roman"/>
          <w:sz w:val="24"/>
          <w:szCs w:val="24"/>
          <w:lang w:val="ru-RU"/>
        </w:rPr>
        <w:t xml:space="preserve"> </w:t>
      </w:r>
      <w:r w:rsidRPr="00A8783E">
        <w:rPr>
          <w:rFonts w:ascii="Times New Roman" w:hAnsi="Times New Roman"/>
          <w:sz w:val="24"/>
          <w:szCs w:val="24"/>
        </w:rPr>
        <w:t xml:space="preserve">в Дунавската равнина видът се среща по време на миграция на ята от 10 до 50 инд.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Поради тази причина предлагаме в СФ да се посочи численост 10-50 инд. В колона </w:t>
      </w:r>
      <w:r w:rsidRPr="00A8783E">
        <w:rPr>
          <w:rFonts w:ascii="Times New Roman" w:hAnsi="Times New Roman"/>
          <w:sz w:val="24"/>
          <w:szCs w:val="24"/>
          <w:lang w:val="en-US"/>
        </w:rPr>
        <w:t>Cat</w:t>
      </w:r>
      <w:r w:rsidRPr="00A8783E">
        <w:rPr>
          <w:rFonts w:ascii="Times New Roman" w:hAnsi="Times New Roman"/>
          <w:sz w:val="24"/>
          <w:szCs w:val="24"/>
          <w:lang w:val="ru-RU"/>
        </w:rPr>
        <w:t xml:space="preserve">. </w:t>
      </w:r>
      <w:r w:rsidRPr="00A8783E">
        <w:rPr>
          <w:rFonts w:ascii="Times New Roman" w:hAnsi="Times New Roman"/>
          <w:sz w:val="24"/>
          <w:szCs w:val="24"/>
        </w:rPr>
        <w:t xml:space="preserve">да отпадне стойност Р, а в колона </w:t>
      </w:r>
      <w:r w:rsidRPr="00A8783E">
        <w:rPr>
          <w:rFonts w:ascii="Times New Roman" w:hAnsi="Times New Roman"/>
          <w:sz w:val="24"/>
          <w:szCs w:val="24"/>
          <w:lang w:val="en-US"/>
        </w:rPr>
        <w:t>Data</w:t>
      </w:r>
      <w:r w:rsidRPr="00A8783E">
        <w:rPr>
          <w:rFonts w:ascii="Times New Roman" w:hAnsi="Times New Roman"/>
          <w:sz w:val="24"/>
          <w:szCs w:val="24"/>
          <w:lang w:val="ru-RU"/>
        </w:rPr>
        <w:t xml:space="preserve"> </w:t>
      </w:r>
      <w:r w:rsidRPr="00A8783E">
        <w:rPr>
          <w:rFonts w:ascii="Times New Roman" w:hAnsi="Times New Roman"/>
          <w:sz w:val="24"/>
          <w:szCs w:val="24"/>
          <w:lang w:val="en-US"/>
        </w:rPr>
        <w:t>quality</w:t>
      </w:r>
      <w:r w:rsidRPr="00A8783E">
        <w:rPr>
          <w:rFonts w:ascii="Times New Roman" w:hAnsi="Times New Roman"/>
          <w:sz w:val="24"/>
          <w:szCs w:val="24"/>
          <w:lang w:val="ru-RU"/>
        </w:rPr>
        <w:t xml:space="preserve">, </w:t>
      </w:r>
      <w:r w:rsidRPr="00A8783E">
        <w:rPr>
          <w:rFonts w:ascii="Times New Roman" w:hAnsi="Times New Roman"/>
          <w:sz w:val="24"/>
          <w:szCs w:val="24"/>
        </w:rPr>
        <w:t xml:space="preserve">стойност </w:t>
      </w:r>
      <w:r w:rsidRPr="00A8783E">
        <w:rPr>
          <w:rFonts w:ascii="Times New Roman" w:hAnsi="Times New Roman"/>
          <w:sz w:val="24"/>
          <w:szCs w:val="24"/>
          <w:lang w:val="en-US"/>
        </w:rPr>
        <w:t>DD</w:t>
      </w:r>
      <w:r w:rsidRPr="00A8783E">
        <w:rPr>
          <w:rFonts w:ascii="Times New Roman" w:hAnsi="Times New Roman"/>
          <w:sz w:val="24"/>
          <w:szCs w:val="24"/>
          <w:lang w:val="ru-RU"/>
        </w:rPr>
        <w:t xml:space="preserve"> </w:t>
      </w:r>
      <w:r w:rsidRPr="00A8783E">
        <w:rPr>
          <w:rFonts w:ascii="Times New Roman" w:hAnsi="Times New Roman"/>
          <w:sz w:val="24"/>
          <w:szCs w:val="24"/>
        </w:rPr>
        <w:t xml:space="preserve">да стане </w:t>
      </w:r>
      <w:r w:rsidRPr="00A8783E">
        <w:rPr>
          <w:rFonts w:ascii="Times New Roman" w:hAnsi="Times New Roman"/>
          <w:sz w:val="24"/>
          <w:szCs w:val="24"/>
          <w:lang w:val="en-US"/>
        </w:rPr>
        <w:t>G</w:t>
      </w:r>
      <w:r w:rsidRPr="00A8783E">
        <w:rPr>
          <w:rFonts w:ascii="Times New Roman"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0" w:type="auto"/>
            <w:gridSpan w:val="5"/>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Species</w:t>
            </w:r>
          </w:p>
        </w:tc>
        <w:tc>
          <w:tcPr>
            <w:tcW w:w="0" w:type="auto"/>
            <w:gridSpan w:val="6"/>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Population in the site</w:t>
            </w:r>
          </w:p>
        </w:tc>
        <w:tc>
          <w:tcPr>
            <w:tcW w:w="0" w:type="auto"/>
            <w:gridSpan w:val="4"/>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before="120" w:after="120" w:line="259" w:lineRule="auto"/>
              <w:jc w:val="both"/>
              <w:rPr>
                <w:rFonts w:ascii="Times New Roman" w:hAnsi="Times New Roman"/>
                <w:b/>
                <w:bCs/>
                <w:sz w:val="20"/>
                <w:szCs w:val="20"/>
              </w:rPr>
            </w:pPr>
            <w:r w:rsidRPr="00A8783E">
              <w:rPr>
                <w:rFonts w:ascii="Times New Roman" w:hAnsi="Times New Roman"/>
                <w:b/>
                <w:bCs/>
                <w:sz w:val="20"/>
                <w:szCs w:val="20"/>
              </w:rPr>
              <w:t>G</w:t>
            </w:r>
          </w:p>
        </w:tc>
        <w:tc>
          <w:tcPr>
            <w:tcW w:w="0" w:type="auto"/>
            <w:vMerge w:val="restart"/>
            <w:shd w:val="clear" w:color="auto" w:fill="D9D9D9"/>
            <w:vAlign w:val="center"/>
          </w:tcPr>
          <w:p w:rsidR="00A8783E" w:rsidRPr="00A8783E" w:rsidRDefault="00A8783E" w:rsidP="00A8783E">
            <w:pPr>
              <w:spacing w:before="120" w:after="120" w:line="259" w:lineRule="auto"/>
              <w:jc w:val="both"/>
              <w:rPr>
                <w:rFonts w:ascii="Times New Roman" w:hAnsi="Times New Roman"/>
                <w:b/>
                <w:bCs/>
                <w:sz w:val="20"/>
                <w:szCs w:val="20"/>
              </w:rPr>
            </w:pPr>
            <w:r w:rsidRPr="00A8783E">
              <w:rPr>
                <w:rFonts w:ascii="Times New Roman" w:hAnsi="Times New Roman"/>
                <w:b/>
                <w:bCs/>
                <w:sz w:val="20"/>
                <w:szCs w:val="20"/>
              </w:rPr>
              <w:t>Code</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 xml:space="preserve">Scientific </w:t>
            </w:r>
            <w:r w:rsidRPr="00A8783E">
              <w:rPr>
                <w:rFonts w:ascii="Times New Roman" w:hAnsi="Times New Roman"/>
                <w:b/>
                <w:bCs/>
                <w:sz w:val="20"/>
                <w:szCs w:val="20"/>
              </w:rPr>
              <w:lastRenderedPageBreak/>
              <w:t>Name</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lastRenderedPageBreak/>
              <w:t>S</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NP</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T</w:t>
            </w:r>
          </w:p>
        </w:tc>
        <w:tc>
          <w:tcPr>
            <w:tcW w:w="0" w:type="auto"/>
            <w:gridSpan w:val="2"/>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Size</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Unit</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Cat.</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D.qual.</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A/B/C/D</w:t>
            </w:r>
          </w:p>
        </w:tc>
        <w:tc>
          <w:tcPr>
            <w:tcW w:w="0" w:type="auto"/>
            <w:gridSpan w:val="3"/>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before="120" w:after="120" w:line="259" w:lineRule="auto"/>
              <w:jc w:val="both"/>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before="120" w:after="120" w:line="259" w:lineRule="auto"/>
              <w:jc w:val="both"/>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Min</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Max</w:t>
            </w: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Pop.</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Con.</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Iso.</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sz w:val="20"/>
                <w:szCs w:val="20"/>
              </w:rPr>
            </w:pPr>
            <w:r w:rsidRPr="00A8783E">
              <w:rPr>
                <w:rFonts w:ascii="Times New Roman" w:hAnsi="Times New Roman"/>
                <w:b/>
                <w:bCs/>
                <w:sz w:val="20"/>
                <w:szCs w:val="20"/>
              </w:rPr>
              <w:t>Glo.</w:t>
            </w:r>
          </w:p>
        </w:tc>
      </w:tr>
      <w:tr w:rsidR="00A8783E" w:rsidRPr="00A8783E" w:rsidTr="005B5318">
        <w:trPr>
          <w:jc w:val="center"/>
        </w:trPr>
        <w:tc>
          <w:tcPr>
            <w:tcW w:w="0" w:type="auto"/>
            <w:vAlign w:val="center"/>
          </w:tcPr>
          <w:p w:rsidR="00A8783E" w:rsidRPr="00A8783E" w:rsidRDefault="00A8783E" w:rsidP="00A8783E">
            <w:pPr>
              <w:spacing w:before="120" w:after="120" w:line="259" w:lineRule="auto"/>
              <w:jc w:val="both"/>
              <w:rPr>
                <w:rFonts w:ascii="Times New Roman" w:hAnsi="Times New Roman"/>
                <w:sz w:val="20"/>
                <w:szCs w:val="20"/>
              </w:rPr>
            </w:pPr>
            <w:r w:rsidRPr="00A8783E">
              <w:rPr>
                <w:rFonts w:ascii="Times New Roman" w:hAnsi="Times New Roman"/>
                <w:sz w:val="20"/>
                <w:szCs w:val="20"/>
              </w:rPr>
              <w:lastRenderedPageBreak/>
              <w:t>В</w:t>
            </w:r>
          </w:p>
        </w:tc>
        <w:tc>
          <w:tcPr>
            <w:tcW w:w="0" w:type="auto"/>
          </w:tcPr>
          <w:p w:rsidR="00A8783E" w:rsidRPr="00A8783E" w:rsidRDefault="00A8783E" w:rsidP="00A8783E">
            <w:pPr>
              <w:spacing w:before="120" w:after="120" w:line="259" w:lineRule="auto"/>
              <w:jc w:val="both"/>
              <w:rPr>
                <w:rFonts w:ascii="Times New Roman" w:hAnsi="Times New Roman"/>
                <w:sz w:val="20"/>
                <w:szCs w:val="20"/>
              </w:rPr>
            </w:pPr>
            <w:r w:rsidRPr="00A8783E">
              <w:rPr>
                <w:rFonts w:ascii="Times New Roman" w:hAnsi="Times New Roman"/>
                <w:sz w:val="20"/>
                <w:szCs w:val="20"/>
              </w:rPr>
              <w:t>А230</w:t>
            </w:r>
          </w:p>
        </w:tc>
        <w:tc>
          <w:tcPr>
            <w:tcW w:w="0" w:type="auto"/>
          </w:tcPr>
          <w:p w:rsidR="00A8783E" w:rsidRPr="00A8783E" w:rsidRDefault="00A8783E" w:rsidP="00A8783E">
            <w:pPr>
              <w:spacing w:after="0" w:line="259" w:lineRule="auto"/>
              <w:jc w:val="both"/>
              <w:rPr>
                <w:rFonts w:ascii="Times New Roman" w:hAnsi="Times New Roman"/>
                <w:i/>
                <w:iCs/>
                <w:sz w:val="20"/>
                <w:szCs w:val="20"/>
                <w:lang w:val="en-US"/>
              </w:rPr>
            </w:pPr>
            <w:r w:rsidRPr="00A8783E">
              <w:rPr>
                <w:rFonts w:ascii="Times New Roman" w:hAnsi="Times New Roman"/>
                <w:i/>
                <w:iCs/>
                <w:sz w:val="20"/>
                <w:szCs w:val="20"/>
                <w:lang w:val="en-US"/>
              </w:rPr>
              <w:t>Merops apiaster</w:t>
            </w:r>
          </w:p>
        </w:tc>
        <w:tc>
          <w:tcPr>
            <w:tcW w:w="0" w:type="auto"/>
            <w:vAlign w:val="center"/>
          </w:tcPr>
          <w:p w:rsidR="00A8783E" w:rsidRPr="00A8783E" w:rsidRDefault="00A8783E" w:rsidP="00A8783E">
            <w:pPr>
              <w:spacing w:after="0" w:line="259" w:lineRule="auto"/>
              <w:jc w:val="both"/>
              <w:rPr>
                <w:rFonts w:ascii="Times New Roman" w:hAnsi="Times New Roman"/>
                <w:sz w:val="20"/>
                <w:szCs w:val="20"/>
              </w:rPr>
            </w:pPr>
          </w:p>
        </w:tc>
        <w:tc>
          <w:tcPr>
            <w:tcW w:w="0" w:type="auto"/>
            <w:vAlign w:val="center"/>
          </w:tcPr>
          <w:p w:rsidR="00A8783E" w:rsidRPr="00A8783E" w:rsidRDefault="00A8783E" w:rsidP="00A8783E">
            <w:pPr>
              <w:spacing w:after="0" w:line="259" w:lineRule="auto"/>
              <w:jc w:val="both"/>
              <w:rPr>
                <w:rFonts w:ascii="Times New Roman" w:hAnsi="Times New Roman"/>
                <w:sz w:val="20"/>
                <w:szCs w:val="20"/>
              </w:rPr>
            </w:pPr>
          </w:p>
        </w:tc>
        <w:tc>
          <w:tcPr>
            <w:tcW w:w="0" w:type="auto"/>
            <w:vAlign w:val="bottom"/>
          </w:tcPr>
          <w:p w:rsidR="00A8783E" w:rsidRPr="00A8783E" w:rsidRDefault="00A8783E" w:rsidP="00A8783E">
            <w:pPr>
              <w:spacing w:after="0" w:line="259" w:lineRule="auto"/>
              <w:jc w:val="both"/>
              <w:rPr>
                <w:rFonts w:ascii="Times New Roman" w:hAnsi="Times New Roman"/>
                <w:sz w:val="20"/>
                <w:szCs w:val="20"/>
                <w:lang w:val="en-US"/>
              </w:rPr>
            </w:pPr>
            <w:r w:rsidRPr="00A8783E">
              <w:rPr>
                <w:rFonts w:ascii="Times New Roman" w:hAnsi="Times New Roman"/>
                <w:sz w:val="20"/>
                <w:szCs w:val="20"/>
                <w:lang w:val="en-US"/>
              </w:rPr>
              <w:t>r</w:t>
            </w:r>
          </w:p>
        </w:tc>
        <w:tc>
          <w:tcPr>
            <w:tcW w:w="0" w:type="auto"/>
            <w:vAlign w:val="bottom"/>
          </w:tcPr>
          <w:p w:rsidR="00A8783E" w:rsidRPr="00A8783E" w:rsidRDefault="00A8783E" w:rsidP="00A8783E">
            <w:pPr>
              <w:spacing w:after="0" w:line="259" w:lineRule="auto"/>
              <w:jc w:val="both"/>
              <w:rPr>
                <w:rFonts w:ascii="Times New Roman" w:hAnsi="Times New Roman"/>
                <w:b/>
                <w:bCs/>
                <w:color w:val="FF0000"/>
                <w:sz w:val="20"/>
                <w:szCs w:val="20"/>
              </w:rPr>
            </w:pPr>
            <w:r w:rsidRPr="00A8783E">
              <w:rPr>
                <w:rFonts w:ascii="Times New Roman" w:hAnsi="Times New Roman"/>
                <w:b/>
                <w:bCs/>
                <w:color w:val="FF0000"/>
                <w:sz w:val="20"/>
                <w:szCs w:val="20"/>
              </w:rPr>
              <w:t>3</w:t>
            </w:r>
          </w:p>
        </w:tc>
        <w:tc>
          <w:tcPr>
            <w:tcW w:w="0" w:type="auto"/>
            <w:vAlign w:val="bottom"/>
          </w:tcPr>
          <w:p w:rsidR="00A8783E" w:rsidRPr="00A8783E" w:rsidRDefault="00A8783E" w:rsidP="00A8783E">
            <w:pPr>
              <w:spacing w:after="0" w:line="259" w:lineRule="auto"/>
              <w:jc w:val="both"/>
              <w:rPr>
                <w:rFonts w:ascii="Times New Roman" w:hAnsi="Times New Roman"/>
                <w:color w:val="FF0000"/>
                <w:sz w:val="20"/>
                <w:szCs w:val="20"/>
              </w:rPr>
            </w:pPr>
            <w:r w:rsidRPr="00A8783E">
              <w:rPr>
                <w:rFonts w:ascii="Times New Roman" w:hAnsi="Times New Roman"/>
                <w:sz w:val="20"/>
                <w:szCs w:val="20"/>
              </w:rPr>
              <w:t>50</w:t>
            </w:r>
          </w:p>
        </w:tc>
        <w:tc>
          <w:tcPr>
            <w:tcW w:w="0" w:type="auto"/>
            <w:vAlign w:val="bottom"/>
          </w:tcPr>
          <w:p w:rsidR="00A8783E" w:rsidRPr="00A8783E" w:rsidRDefault="00A8783E" w:rsidP="00A8783E">
            <w:pPr>
              <w:spacing w:after="0" w:line="259" w:lineRule="auto"/>
              <w:jc w:val="both"/>
              <w:rPr>
                <w:rFonts w:ascii="Times New Roman" w:hAnsi="Times New Roman"/>
                <w:sz w:val="20"/>
                <w:szCs w:val="20"/>
                <w:lang w:val="en-US"/>
              </w:rPr>
            </w:pPr>
          </w:p>
        </w:tc>
        <w:tc>
          <w:tcPr>
            <w:tcW w:w="0" w:type="auto"/>
            <w:vAlign w:val="bottom"/>
          </w:tcPr>
          <w:p w:rsidR="00A8783E" w:rsidRPr="00A8783E" w:rsidRDefault="00A8783E" w:rsidP="00A8783E">
            <w:pPr>
              <w:spacing w:after="0" w:line="259" w:lineRule="auto"/>
              <w:jc w:val="both"/>
              <w:rPr>
                <w:rFonts w:ascii="Times New Roman" w:hAnsi="Times New Roman"/>
                <w:sz w:val="20"/>
                <w:szCs w:val="20"/>
                <w:lang w:val="en-US"/>
              </w:rPr>
            </w:pPr>
          </w:p>
        </w:tc>
        <w:tc>
          <w:tcPr>
            <w:tcW w:w="0" w:type="auto"/>
            <w:vAlign w:val="bottom"/>
          </w:tcPr>
          <w:p w:rsidR="00A8783E" w:rsidRPr="00A8783E" w:rsidRDefault="00A8783E" w:rsidP="00A8783E">
            <w:pPr>
              <w:spacing w:after="0" w:line="259" w:lineRule="auto"/>
              <w:jc w:val="both"/>
              <w:rPr>
                <w:rFonts w:ascii="Times New Roman" w:hAnsi="Times New Roman"/>
                <w:sz w:val="20"/>
                <w:szCs w:val="20"/>
              </w:rPr>
            </w:pPr>
            <w:r w:rsidRPr="00A8783E">
              <w:rPr>
                <w:rFonts w:ascii="Times New Roman" w:hAnsi="Times New Roman"/>
                <w:sz w:val="20"/>
                <w:szCs w:val="20"/>
                <w:lang w:val="en-US"/>
              </w:rPr>
              <w:t>G</w:t>
            </w:r>
          </w:p>
        </w:tc>
        <w:tc>
          <w:tcPr>
            <w:tcW w:w="0" w:type="auto"/>
            <w:vAlign w:val="bottom"/>
          </w:tcPr>
          <w:p w:rsidR="00A8783E" w:rsidRPr="00A8783E" w:rsidRDefault="00A8783E" w:rsidP="00A8783E">
            <w:pPr>
              <w:spacing w:after="0" w:line="259" w:lineRule="auto"/>
              <w:jc w:val="both"/>
              <w:rPr>
                <w:rFonts w:ascii="Times New Roman" w:hAnsi="Times New Roman"/>
                <w:sz w:val="20"/>
                <w:szCs w:val="20"/>
              </w:rPr>
            </w:pPr>
            <w:r w:rsidRPr="00A8783E">
              <w:rPr>
                <w:rFonts w:ascii="Times New Roman" w:hAnsi="Times New Roman"/>
                <w:sz w:val="20"/>
                <w:szCs w:val="20"/>
                <w:lang w:val="en-US"/>
              </w:rPr>
              <w:t>C</w:t>
            </w:r>
          </w:p>
        </w:tc>
        <w:tc>
          <w:tcPr>
            <w:tcW w:w="0" w:type="auto"/>
            <w:vAlign w:val="bottom"/>
          </w:tcPr>
          <w:p w:rsidR="00A8783E" w:rsidRPr="00A8783E" w:rsidRDefault="00A8783E" w:rsidP="00A8783E">
            <w:pPr>
              <w:spacing w:after="0" w:line="259" w:lineRule="auto"/>
              <w:jc w:val="both"/>
              <w:rPr>
                <w:rFonts w:ascii="Times New Roman" w:hAnsi="Times New Roman"/>
                <w:sz w:val="20"/>
                <w:szCs w:val="20"/>
              </w:rPr>
            </w:pPr>
            <w:r w:rsidRPr="00A8783E">
              <w:rPr>
                <w:rFonts w:ascii="Times New Roman" w:hAnsi="Times New Roman"/>
                <w:sz w:val="20"/>
                <w:szCs w:val="20"/>
              </w:rPr>
              <w:t>В</w:t>
            </w:r>
          </w:p>
        </w:tc>
        <w:tc>
          <w:tcPr>
            <w:tcW w:w="0" w:type="auto"/>
            <w:vAlign w:val="bottom"/>
          </w:tcPr>
          <w:p w:rsidR="00A8783E" w:rsidRPr="00A8783E" w:rsidRDefault="00A8783E" w:rsidP="00A8783E">
            <w:pPr>
              <w:spacing w:after="0" w:line="259" w:lineRule="auto"/>
              <w:jc w:val="both"/>
              <w:rPr>
                <w:rFonts w:ascii="Times New Roman" w:hAnsi="Times New Roman"/>
                <w:sz w:val="20"/>
                <w:szCs w:val="20"/>
              </w:rPr>
            </w:pPr>
            <w:r w:rsidRPr="00A8783E">
              <w:rPr>
                <w:rFonts w:ascii="Times New Roman" w:hAnsi="Times New Roman"/>
                <w:sz w:val="20"/>
                <w:szCs w:val="20"/>
                <w:lang w:val="en-US"/>
              </w:rPr>
              <w:t>C</w:t>
            </w:r>
          </w:p>
        </w:tc>
        <w:tc>
          <w:tcPr>
            <w:tcW w:w="0" w:type="auto"/>
            <w:vAlign w:val="bottom"/>
          </w:tcPr>
          <w:p w:rsidR="00A8783E" w:rsidRPr="00A8783E" w:rsidRDefault="00A8783E" w:rsidP="00A8783E">
            <w:pPr>
              <w:spacing w:after="0" w:line="259" w:lineRule="auto"/>
              <w:jc w:val="both"/>
              <w:rPr>
                <w:rFonts w:ascii="Times New Roman" w:hAnsi="Times New Roman"/>
                <w:sz w:val="20"/>
                <w:szCs w:val="20"/>
              </w:rPr>
            </w:pPr>
            <w:r w:rsidRPr="00A8783E">
              <w:rPr>
                <w:rFonts w:ascii="Times New Roman" w:hAnsi="Times New Roman"/>
                <w:sz w:val="20"/>
                <w:szCs w:val="20"/>
              </w:rPr>
              <w:t>С</w:t>
            </w:r>
          </w:p>
        </w:tc>
      </w:tr>
      <w:tr w:rsidR="00A8783E" w:rsidRPr="00A8783E" w:rsidTr="005B5318">
        <w:trPr>
          <w:jc w:val="center"/>
        </w:trPr>
        <w:tc>
          <w:tcPr>
            <w:tcW w:w="0" w:type="auto"/>
            <w:vAlign w:val="center"/>
          </w:tcPr>
          <w:p w:rsidR="00A8783E" w:rsidRPr="00A8783E" w:rsidRDefault="00A8783E" w:rsidP="00A8783E">
            <w:pPr>
              <w:spacing w:before="120" w:after="120" w:line="259" w:lineRule="auto"/>
              <w:jc w:val="both"/>
              <w:rPr>
                <w:rFonts w:ascii="Times New Roman" w:hAnsi="Times New Roman"/>
                <w:sz w:val="20"/>
                <w:szCs w:val="20"/>
                <w:lang w:val="en-US"/>
              </w:rPr>
            </w:pPr>
            <w:r w:rsidRPr="00A8783E">
              <w:rPr>
                <w:rFonts w:ascii="Times New Roman" w:hAnsi="Times New Roman"/>
                <w:sz w:val="20"/>
                <w:szCs w:val="20"/>
                <w:lang w:val="en-US"/>
              </w:rPr>
              <w:t>B</w:t>
            </w:r>
          </w:p>
        </w:tc>
        <w:tc>
          <w:tcPr>
            <w:tcW w:w="0" w:type="auto"/>
          </w:tcPr>
          <w:p w:rsidR="00A8783E" w:rsidRPr="00A8783E" w:rsidRDefault="00A8783E" w:rsidP="00A8783E">
            <w:pPr>
              <w:spacing w:before="120" w:after="120" w:line="259" w:lineRule="auto"/>
              <w:jc w:val="both"/>
              <w:rPr>
                <w:rFonts w:ascii="Times New Roman" w:hAnsi="Times New Roman"/>
                <w:sz w:val="20"/>
                <w:szCs w:val="20"/>
                <w:lang w:val="en-US"/>
              </w:rPr>
            </w:pPr>
            <w:r w:rsidRPr="00A8783E">
              <w:rPr>
                <w:rFonts w:ascii="Times New Roman" w:hAnsi="Times New Roman"/>
                <w:sz w:val="20"/>
                <w:szCs w:val="20"/>
                <w:lang w:val="en-US"/>
              </w:rPr>
              <w:t>A</w:t>
            </w:r>
            <w:r w:rsidRPr="00A8783E">
              <w:rPr>
                <w:rFonts w:ascii="Times New Roman" w:hAnsi="Times New Roman"/>
                <w:sz w:val="20"/>
                <w:szCs w:val="20"/>
              </w:rPr>
              <w:t>2</w:t>
            </w:r>
            <w:r w:rsidRPr="00A8783E">
              <w:rPr>
                <w:rFonts w:ascii="Times New Roman" w:hAnsi="Times New Roman"/>
                <w:sz w:val="20"/>
                <w:szCs w:val="20"/>
                <w:lang w:val="en-US"/>
              </w:rPr>
              <w:t>30</w:t>
            </w:r>
          </w:p>
        </w:tc>
        <w:tc>
          <w:tcPr>
            <w:tcW w:w="0" w:type="auto"/>
          </w:tcPr>
          <w:p w:rsidR="00A8783E" w:rsidRPr="00A8783E" w:rsidRDefault="00A8783E" w:rsidP="00A8783E">
            <w:pPr>
              <w:spacing w:after="0" w:line="259" w:lineRule="auto"/>
              <w:jc w:val="both"/>
              <w:rPr>
                <w:rFonts w:ascii="Times New Roman" w:hAnsi="Times New Roman"/>
                <w:i/>
                <w:iCs/>
                <w:sz w:val="20"/>
                <w:szCs w:val="20"/>
                <w:lang w:val="en-US"/>
              </w:rPr>
            </w:pPr>
            <w:r w:rsidRPr="00A8783E">
              <w:rPr>
                <w:rFonts w:ascii="Times New Roman" w:hAnsi="Times New Roman"/>
                <w:i/>
                <w:iCs/>
                <w:sz w:val="20"/>
                <w:szCs w:val="20"/>
                <w:lang w:val="en-US"/>
              </w:rPr>
              <w:t>Merops apiaster</w:t>
            </w:r>
          </w:p>
        </w:tc>
        <w:tc>
          <w:tcPr>
            <w:tcW w:w="0" w:type="auto"/>
            <w:vAlign w:val="center"/>
          </w:tcPr>
          <w:p w:rsidR="00A8783E" w:rsidRPr="00A8783E" w:rsidRDefault="00A8783E" w:rsidP="00A8783E">
            <w:pPr>
              <w:spacing w:after="0" w:line="259" w:lineRule="auto"/>
              <w:jc w:val="both"/>
              <w:rPr>
                <w:rFonts w:ascii="Times New Roman" w:hAnsi="Times New Roman"/>
                <w:sz w:val="20"/>
                <w:szCs w:val="20"/>
              </w:rPr>
            </w:pPr>
          </w:p>
        </w:tc>
        <w:tc>
          <w:tcPr>
            <w:tcW w:w="0" w:type="auto"/>
            <w:vAlign w:val="center"/>
          </w:tcPr>
          <w:p w:rsidR="00A8783E" w:rsidRPr="00A8783E" w:rsidRDefault="00A8783E" w:rsidP="00A8783E">
            <w:pPr>
              <w:spacing w:after="0" w:line="259" w:lineRule="auto"/>
              <w:jc w:val="both"/>
              <w:rPr>
                <w:rFonts w:ascii="Times New Roman" w:hAnsi="Times New Roman"/>
                <w:sz w:val="20"/>
                <w:szCs w:val="20"/>
              </w:rPr>
            </w:pPr>
          </w:p>
        </w:tc>
        <w:tc>
          <w:tcPr>
            <w:tcW w:w="0" w:type="auto"/>
            <w:vAlign w:val="bottom"/>
          </w:tcPr>
          <w:p w:rsidR="00A8783E" w:rsidRPr="00A8783E" w:rsidRDefault="00A8783E" w:rsidP="00A8783E">
            <w:pPr>
              <w:spacing w:after="0" w:line="259" w:lineRule="auto"/>
              <w:jc w:val="both"/>
              <w:rPr>
                <w:rFonts w:ascii="Times New Roman" w:hAnsi="Times New Roman"/>
                <w:sz w:val="20"/>
                <w:szCs w:val="20"/>
                <w:lang w:val="en-US"/>
              </w:rPr>
            </w:pPr>
            <w:r w:rsidRPr="00A8783E">
              <w:rPr>
                <w:rFonts w:ascii="Times New Roman" w:hAnsi="Times New Roman"/>
                <w:sz w:val="20"/>
                <w:szCs w:val="20"/>
                <w:lang w:val="en-US"/>
              </w:rPr>
              <w:t>c</w:t>
            </w:r>
          </w:p>
        </w:tc>
        <w:tc>
          <w:tcPr>
            <w:tcW w:w="0" w:type="auto"/>
            <w:vAlign w:val="bottom"/>
          </w:tcPr>
          <w:p w:rsidR="00A8783E" w:rsidRPr="00A8783E" w:rsidRDefault="00A8783E" w:rsidP="00A8783E">
            <w:pPr>
              <w:spacing w:after="0" w:line="259" w:lineRule="auto"/>
              <w:jc w:val="both"/>
              <w:rPr>
                <w:rFonts w:ascii="Times New Roman" w:hAnsi="Times New Roman"/>
                <w:b/>
                <w:bCs/>
                <w:color w:val="FF0000"/>
                <w:sz w:val="20"/>
                <w:szCs w:val="20"/>
              </w:rPr>
            </w:pPr>
            <w:r w:rsidRPr="00A8783E">
              <w:rPr>
                <w:rFonts w:ascii="Times New Roman" w:hAnsi="Times New Roman"/>
                <w:b/>
                <w:bCs/>
                <w:color w:val="FF0000"/>
                <w:sz w:val="20"/>
                <w:szCs w:val="20"/>
              </w:rPr>
              <w:t>10</w:t>
            </w:r>
          </w:p>
        </w:tc>
        <w:tc>
          <w:tcPr>
            <w:tcW w:w="0" w:type="auto"/>
            <w:vAlign w:val="bottom"/>
          </w:tcPr>
          <w:p w:rsidR="00A8783E" w:rsidRPr="00A8783E" w:rsidRDefault="00A8783E" w:rsidP="00A8783E">
            <w:pPr>
              <w:spacing w:after="0" w:line="259" w:lineRule="auto"/>
              <w:jc w:val="both"/>
              <w:rPr>
                <w:rFonts w:ascii="Times New Roman" w:hAnsi="Times New Roman"/>
                <w:b/>
                <w:bCs/>
                <w:color w:val="FF0000"/>
                <w:sz w:val="20"/>
                <w:szCs w:val="20"/>
              </w:rPr>
            </w:pPr>
            <w:r w:rsidRPr="00A8783E">
              <w:rPr>
                <w:rFonts w:ascii="Times New Roman" w:hAnsi="Times New Roman"/>
                <w:b/>
                <w:bCs/>
                <w:color w:val="FF0000"/>
                <w:sz w:val="20"/>
                <w:szCs w:val="20"/>
              </w:rPr>
              <w:t>50</w:t>
            </w:r>
          </w:p>
        </w:tc>
        <w:tc>
          <w:tcPr>
            <w:tcW w:w="0" w:type="auto"/>
            <w:vAlign w:val="bottom"/>
          </w:tcPr>
          <w:p w:rsidR="00A8783E" w:rsidRPr="00A8783E" w:rsidRDefault="00A8783E" w:rsidP="00A8783E">
            <w:pPr>
              <w:spacing w:after="0" w:line="259" w:lineRule="auto"/>
              <w:jc w:val="both"/>
              <w:rPr>
                <w:rFonts w:ascii="Times New Roman" w:hAnsi="Times New Roman"/>
                <w:sz w:val="20"/>
                <w:szCs w:val="20"/>
                <w:lang w:val="en-US"/>
              </w:rPr>
            </w:pPr>
          </w:p>
        </w:tc>
        <w:tc>
          <w:tcPr>
            <w:tcW w:w="0" w:type="auto"/>
            <w:vAlign w:val="bottom"/>
          </w:tcPr>
          <w:p w:rsidR="00A8783E" w:rsidRPr="00A8783E" w:rsidRDefault="00A8783E" w:rsidP="00A8783E">
            <w:pPr>
              <w:spacing w:after="0" w:line="259" w:lineRule="auto"/>
              <w:jc w:val="both"/>
              <w:rPr>
                <w:rFonts w:ascii="Times New Roman" w:hAnsi="Times New Roman"/>
                <w:b/>
                <w:bCs/>
                <w:sz w:val="20"/>
                <w:szCs w:val="20"/>
                <w:lang w:val="en-US"/>
              </w:rPr>
            </w:pPr>
          </w:p>
        </w:tc>
        <w:tc>
          <w:tcPr>
            <w:tcW w:w="0" w:type="auto"/>
            <w:vAlign w:val="bottom"/>
          </w:tcPr>
          <w:p w:rsidR="00A8783E" w:rsidRPr="00A8783E" w:rsidRDefault="00A8783E" w:rsidP="00A8783E">
            <w:pPr>
              <w:spacing w:after="0" w:line="259" w:lineRule="auto"/>
              <w:jc w:val="both"/>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G</w:t>
            </w:r>
          </w:p>
        </w:tc>
        <w:tc>
          <w:tcPr>
            <w:tcW w:w="0" w:type="auto"/>
            <w:vAlign w:val="bottom"/>
          </w:tcPr>
          <w:p w:rsidR="00A8783E" w:rsidRPr="00A8783E" w:rsidRDefault="00A8783E" w:rsidP="00A8783E">
            <w:pPr>
              <w:spacing w:after="0" w:line="259" w:lineRule="auto"/>
              <w:jc w:val="both"/>
              <w:rPr>
                <w:rFonts w:ascii="Times New Roman" w:hAnsi="Times New Roman"/>
                <w:sz w:val="20"/>
                <w:szCs w:val="20"/>
              </w:rPr>
            </w:pPr>
            <w:r w:rsidRPr="00A8783E">
              <w:rPr>
                <w:rFonts w:ascii="Times New Roman" w:hAnsi="Times New Roman"/>
                <w:sz w:val="20"/>
                <w:szCs w:val="20"/>
                <w:lang w:val="en-US"/>
              </w:rPr>
              <w:t>C</w:t>
            </w:r>
          </w:p>
        </w:tc>
        <w:tc>
          <w:tcPr>
            <w:tcW w:w="0" w:type="auto"/>
            <w:vAlign w:val="bottom"/>
          </w:tcPr>
          <w:p w:rsidR="00A8783E" w:rsidRPr="00A8783E" w:rsidRDefault="00A8783E" w:rsidP="00A8783E">
            <w:pPr>
              <w:spacing w:after="0" w:line="259" w:lineRule="auto"/>
              <w:jc w:val="both"/>
              <w:rPr>
                <w:rFonts w:ascii="Times New Roman" w:hAnsi="Times New Roman"/>
                <w:sz w:val="20"/>
                <w:szCs w:val="20"/>
              </w:rPr>
            </w:pPr>
            <w:r w:rsidRPr="00A8783E">
              <w:rPr>
                <w:rFonts w:ascii="Times New Roman" w:hAnsi="Times New Roman"/>
                <w:sz w:val="20"/>
                <w:szCs w:val="20"/>
              </w:rPr>
              <w:t>В</w:t>
            </w:r>
          </w:p>
        </w:tc>
        <w:tc>
          <w:tcPr>
            <w:tcW w:w="0" w:type="auto"/>
            <w:vAlign w:val="bottom"/>
          </w:tcPr>
          <w:p w:rsidR="00A8783E" w:rsidRPr="00A8783E" w:rsidRDefault="00A8783E" w:rsidP="00A8783E">
            <w:pPr>
              <w:spacing w:after="0" w:line="259" w:lineRule="auto"/>
              <w:jc w:val="both"/>
              <w:rPr>
                <w:rFonts w:ascii="Times New Roman" w:hAnsi="Times New Roman"/>
                <w:sz w:val="20"/>
                <w:szCs w:val="20"/>
              </w:rPr>
            </w:pPr>
            <w:r w:rsidRPr="00A8783E">
              <w:rPr>
                <w:rFonts w:ascii="Times New Roman" w:hAnsi="Times New Roman"/>
                <w:sz w:val="20"/>
                <w:szCs w:val="20"/>
                <w:lang w:val="en-US"/>
              </w:rPr>
              <w:t>C</w:t>
            </w:r>
          </w:p>
        </w:tc>
        <w:tc>
          <w:tcPr>
            <w:tcW w:w="0" w:type="auto"/>
            <w:vAlign w:val="bottom"/>
          </w:tcPr>
          <w:p w:rsidR="00A8783E" w:rsidRPr="00A8783E" w:rsidRDefault="00A8783E" w:rsidP="00A8783E">
            <w:pPr>
              <w:spacing w:after="0" w:line="259" w:lineRule="auto"/>
              <w:jc w:val="both"/>
              <w:rPr>
                <w:rFonts w:ascii="Times New Roman" w:hAnsi="Times New Roman"/>
                <w:sz w:val="20"/>
                <w:szCs w:val="20"/>
              </w:rPr>
            </w:pPr>
            <w:r w:rsidRPr="00A8783E">
              <w:rPr>
                <w:rFonts w:ascii="Times New Roman" w:hAnsi="Times New Roman"/>
                <w:sz w:val="20"/>
                <w:szCs w:val="20"/>
              </w:rPr>
              <w:t>С</w:t>
            </w:r>
          </w:p>
        </w:tc>
      </w:tr>
    </w:tbl>
    <w:p w:rsidR="00A8783E" w:rsidRPr="00A8783E" w:rsidRDefault="00A8783E" w:rsidP="00A8783E">
      <w:pPr>
        <w:spacing w:after="0" w:line="240"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458" w:name="_Toc88865736"/>
      <w:bookmarkStart w:id="459" w:name="_Toc89106141"/>
      <w:bookmarkStart w:id="460" w:name="_Toc98741980"/>
      <w:bookmarkStart w:id="461" w:name="_Toc98838655"/>
      <w:r w:rsidRPr="00A8783E">
        <w:rPr>
          <w:rFonts w:ascii="Times New Roman" w:hAnsi="Times New Roman"/>
          <w:color w:val="1F497D"/>
          <w:sz w:val="28"/>
          <w:szCs w:val="28"/>
        </w:rPr>
        <w:t xml:space="preserve">Специфични цели за </w:t>
      </w:r>
      <w:r w:rsidRPr="00A8783E">
        <w:rPr>
          <w:rFonts w:ascii="Times New Roman" w:hAnsi="Times New Roman"/>
          <w:color w:val="1F497D"/>
          <w:sz w:val="28"/>
          <w:szCs w:val="28"/>
          <w:lang w:val="en-GB"/>
        </w:rPr>
        <w:t>A</w:t>
      </w:r>
      <w:r w:rsidRPr="00A8783E">
        <w:rPr>
          <w:rFonts w:ascii="Times New Roman" w:hAnsi="Times New Roman"/>
          <w:color w:val="1F497D"/>
          <w:sz w:val="28"/>
          <w:szCs w:val="28"/>
        </w:rPr>
        <w:t xml:space="preserve">231 </w:t>
      </w:r>
      <w:r w:rsidRPr="00A8783E">
        <w:rPr>
          <w:rFonts w:ascii="Times New Roman" w:hAnsi="Times New Roman"/>
          <w:i/>
          <w:iCs/>
          <w:color w:val="1F497D"/>
          <w:sz w:val="28"/>
          <w:szCs w:val="28"/>
          <w:lang w:val="en-GB"/>
        </w:rPr>
        <w:t>Coracias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GB"/>
        </w:rPr>
        <w:t>garrulus</w:t>
      </w:r>
      <w:r w:rsidRPr="00A8783E">
        <w:rPr>
          <w:rFonts w:ascii="Times New Roman" w:hAnsi="Times New Roman"/>
          <w:color w:val="1F497D"/>
          <w:sz w:val="28"/>
          <w:szCs w:val="28"/>
        </w:rPr>
        <w:t xml:space="preserve"> (синявица)</w:t>
      </w:r>
      <w:bookmarkEnd w:id="458"/>
      <w:bookmarkEnd w:id="459"/>
      <w:bookmarkEnd w:id="460"/>
      <w:bookmarkEnd w:id="461"/>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1. Кратка характеристика на вида </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 xml:space="preserve">Дължина на тялото 30-32 </w:t>
      </w:r>
      <w:r w:rsidRPr="00A8783E">
        <w:rPr>
          <w:rFonts w:ascii="Times New Roman" w:hAnsi="Times New Roman"/>
          <w:sz w:val="24"/>
          <w:szCs w:val="24"/>
          <w:lang w:val="en-US"/>
        </w:rPr>
        <w:t>cm</w:t>
      </w:r>
      <w:r w:rsidRPr="00A8783E">
        <w:rPr>
          <w:rFonts w:ascii="Times New Roman" w:hAnsi="Times New Roman"/>
          <w:sz w:val="24"/>
          <w:szCs w:val="24"/>
        </w:rPr>
        <w:t>. Размах на крилата 66-73 cm. По размери малко по-дребна от гарга с характерно блестящо синьозелено оперение. Главата, шията и долната страна на тялото светлосини със зеленикав оттенък. Гърбът и плещите ръждивокафяви. Крилата синкави с почти черни махови пера. Надопашката тъмносиня. Средните опашни пера тъмнозелени, останалите възчерно тъмносини със светли върхове. Клюнът е здрав, масивен и черен. Лети с бърз полет и каца по сухи клони на единични дървета или на жици сред открити полета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Прелетен. Пролетният прелет през втората половина на април и през май, когато се среща на групи.</w:t>
      </w:r>
      <w:r w:rsidRPr="00A8783E">
        <w:rPr>
          <w:rFonts w:ascii="Times New Roman" w:hAnsi="Times New Roman"/>
          <w:sz w:val="24"/>
          <w:szCs w:val="24"/>
          <w:lang w:val="ru-RU"/>
        </w:rPr>
        <w:t xml:space="preserve"> </w:t>
      </w:r>
      <w:r w:rsidRPr="00A8783E">
        <w:rPr>
          <w:rFonts w:ascii="Times New Roman" w:hAnsi="Times New Roman"/>
          <w:sz w:val="24"/>
          <w:szCs w:val="24"/>
        </w:rPr>
        <w:t>Гнезди в хралупи на дървета (орех, дъб, върба, бряст) на височина 3-7 m, рядко в скални кухини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Единични стари дървета, крайречни насаждения, окрайнини на гори (Нанкинов и др., 1997). Ивици дървета, храсти и мозайки от тях, широколистни листопадни гори, овощни градини, дървесни и храстови плантации, скали и скални стени в равнините (Янков отг. ред., 2007). В западна и централна Европа синявицата не гнезди в естествени хралупи, а използва поставени от човека къщички за гнездене. Популациите на вида в Румъния, Испания, България и Естония са най-многочислени и там видът гнезди в естествени хралупи и дупки </w:t>
      </w:r>
      <w:r w:rsidRPr="00A8783E">
        <w:rPr>
          <w:rFonts w:ascii="Times New Roman" w:hAnsi="Times New Roman"/>
          <w:sz w:val="24"/>
          <w:szCs w:val="24"/>
          <w:lang w:val="ru-RU"/>
        </w:rPr>
        <w:t>(</w:t>
      </w:r>
      <w:r w:rsidRPr="00A8783E">
        <w:rPr>
          <w:rFonts w:ascii="Times New Roman" w:hAnsi="Times New Roman"/>
          <w:sz w:val="24"/>
          <w:szCs w:val="24"/>
          <w:lang w:val="en-US"/>
        </w:rPr>
        <w:t>Kiss</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2020)</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 xml:space="preserve">В Европа синявицата е „уязвима“ </w:t>
      </w:r>
      <w:r w:rsidRPr="00A8783E">
        <w:rPr>
          <w:rFonts w:ascii="Times New Roman" w:hAnsi="Times New Roman"/>
          <w:sz w:val="24"/>
          <w:szCs w:val="24"/>
          <w:lang w:val="ru-RU"/>
        </w:rPr>
        <w:t>(</w:t>
      </w:r>
      <w:r w:rsidRPr="00A8783E">
        <w:rPr>
          <w:rFonts w:ascii="Times New Roman" w:hAnsi="Times New Roman"/>
          <w:sz w:val="24"/>
          <w:szCs w:val="24"/>
          <w:lang w:val="en-US"/>
        </w:rPr>
        <w:t>SPEC</w:t>
      </w:r>
      <w:r w:rsidRPr="00A8783E">
        <w:rPr>
          <w:rFonts w:ascii="Times New Roman" w:hAnsi="Times New Roman"/>
          <w:sz w:val="24"/>
          <w:szCs w:val="24"/>
          <w:lang w:val="ru-RU"/>
        </w:rPr>
        <w:t xml:space="preserve"> 2)</w:t>
      </w:r>
      <w:r w:rsidRPr="00A8783E">
        <w:rPr>
          <w:rFonts w:ascii="Times New Roman" w:hAnsi="Times New Roman"/>
          <w:sz w:val="24"/>
          <w:szCs w:val="24"/>
        </w:rPr>
        <w:t xml:space="preserve">, тъй като намаляват естествените й места за гнездене – хралупи в стари дървета сред обработваеми земи. Ето защо всички проучвания, които бяха намерени разглеждат гнездовата биология на вида в къщички за гнездене и няма информация за гнездовата плътност на вида в естествени хралупи. Изследване в Унгария </w:t>
      </w:r>
      <w:r w:rsidRPr="00A8783E">
        <w:rPr>
          <w:rFonts w:ascii="Times New Roman" w:hAnsi="Times New Roman"/>
          <w:sz w:val="24"/>
          <w:szCs w:val="24"/>
          <w:lang w:val="ru-RU"/>
        </w:rPr>
        <w:t>(</w:t>
      </w:r>
      <w:r w:rsidRPr="00A8783E">
        <w:rPr>
          <w:rFonts w:ascii="Times New Roman" w:hAnsi="Times New Roman"/>
          <w:sz w:val="24"/>
          <w:szCs w:val="24"/>
          <w:lang w:val="en-US"/>
        </w:rPr>
        <w:t>Kiss</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xml:space="preserve">., 2014) </w:t>
      </w:r>
      <w:r w:rsidRPr="00A8783E">
        <w:rPr>
          <w:rFonts w:ascii="Times New Roman" w:hAnsi="Times New Roman"/>
          <w:sz w:val="24"/>
          <w:szCs w:val="24"/>
        </w:rPr>
        <w:t xml:space="preserve">разкрива, че синявицата има най-висок гнездови успех в т.нар. земеделски мозайки </w:t>
      </w:r>
      <w:r w:rsidRPr="00A8783E">
        <w:rPr>
          <w:rFonts w:ascii="Times New Roman" w:hAnsi="Times New Roman"/>
          <w:sz w:val="24"/>
          <w:szCs w:val="24"/>
          <w:lang w:val="ru-RU"/>
        </w:rPr>
        <w:t>(</w:t>
      </w:r>
      <w:r w:rsidRPr="00A8783E">
        <w:rPr>
          <w:rFonts w:ascii="Times New Roman" w:hAnsi="Times New Roman"/>
          <w:sz w:val="24"/>
          <w:szCs w:val="24"/>
        </w:rPr>
        <w:t>обработваеми земи с единични или групи дървета</w:t>
      </w:r>
      <w:r w:rsidRPr="00A8783E">
        <w:rPr>
          <w:rFonts w:ascii="Times New Roman" w:hAnsi="Times New Roman"/>
          <w:sz w:val="24"/>
          <w:szCs w:val="24"/>
          <w:lang w:val="ru-RU"/>
        </w:rPr>
        <w:t>)</w:t>
      </w:r>
      <w:r w:rsidRPr="00A8783E">
        <w:rPr>
          <w:rFonts w:ascii="Times New Roman" w:hAnsi="Times New Roman"/>
          <w:sz w:val="24"/>
          <w:szCs w:val="24"/>
        </w:rPr>
        <w:t xml:space="preserve">, отколкото в естествени тревисти местообитания, където артроподите, които са основната плячка на вида, са в по-голямо изобилие. Изследването на </w:t>
      </w:r>
      <w:r w:rsidRPr="00A8783E">
        <w:rPr>
          <w:rFonts w:ascii="Times New Roman" w:hAnsi="Times New Roman"/>
          <w:sz w:val="24"/>
          <w:szCs w:val="24"/>
          <w:lang w:val="en-US"/>
        </w:rPr>
        <w:t>Finch</w:t>
      </w:r>
      <w:r w:rsidRPr="00A8783E">
        <w:rPr>
          <w:rFonts w:ascii="Times New Roman" w:hAnsi="Times New Roman"/>
          <w:sz w:val="24"/>
          <w:szCs w:val="24"/>
          <w:lang w:val="ru-RU"/>
        </w:rPr>
        <w:t xml:space="preserve"> (2016) </w:t>
      </w:r>
      <w:r w:rsidRPr="00A8783E">
        <w:rPr>
          <w:rFonts w:ascii="Times New Roman" w:hAnsi="Times New Roman"/>
          <w:sz w:val="24"/>
          <w:szCs w:val="24"/>
        </w:rPr>
        <w:t xml:space="preserve">разкрива, че разстоянието на което се отдалечават индивидите от гнездото </w:t>
      </w:r>
      <w:r w:rsidRPr="00A8783E">
        <w:rPr>
          <w:rFonts w:ascii="Times New Roman" w:hAnsi="Times New Roman"/>
          <w:sz w:val="24"/>
          <w:szCs w:val="24"/>
          <w:lang w:val="ru-RU"/>
        </w:rPr>
        <w:t>(</w:t>
      </w:r>
      <w:r w:rsidRPr="00A8783E">
        <w:rPr>
          <w:rFonts w:ascii="Times New Roman" w:hAnsi="Times New Roman"/>
          <w:sz w:val="24"/>
          <w:szCs w:val="24"/>
        </w:rPr>
        <w:t>къщичка за гнездене</w:t>
      </w:r>
      <w:r w:rsidRPr="00A8783E">
        <w:rPr>
          <w:rFonts w:ascii="Times New Roman" w:hAnsi="Times New Roman"/>
          <w:sz w:val="24"/>
          <w:szCs w:val="24"/>
          <w:lang w:val="ru-RU"/>
        </w:rPr>
        <w:t>)</w:t>
      </w:r>
      <w:r w:rsidRPr="00A8783E">
        <w:rPr>
          <w:rFonts w:ascii="Times New Roman" w:hAnsi="Times New Roman"/>
          <w:sz w:val="24"/>
          <w:szCs w:val="24"/>
        </w:rPr>
        <w:t xml:space="preserve"> при търсене на храна варира между 250 и 750 м, като в Словакия има наблюдения и за 1800 м.</w:t>
      </w:r>
      <w:r w:rsidRPr="00A8783E">
        <w:rPr>
          <w:rFonts w:ascii="Times New Roman" w:hAnsi="Times New Roman"/>
          <w:sz w:val="24"/>
          <w:szCs w:val="24"/>
          <w:lang w:val="ru-RU"/>
        </w:rPr>
        <w:t xml:space="preserve"> </w:t>
      </w:r>
      <w:r w:rsidRPr="00A8783E">
        <w:rPr>
          <w:rFonts w:ascii="Times New Roman" w:hAnsi="Times New Roman"/>
          <w:sz w:val="24"/>
          <w:szCs w:val="24"/>
        </w:rPr>
        <w:t xml:space="preserve">Друго изследване в Унгария </w:t>
      </w:r>
      <w:r w:rsidRPr="00A8783E">
        <w:rPr>
          <w:rFonts w:ascii="Times New Roman" w:hAnsi="Times New Roman"/>
          <w:sz w:val="24"/>
          <w:szCs w:val="24"/>
          <w:lang w:val="ru-RU"/>
        </w:rPr>
        <w:t>(</w:t>
      </w:r>
      <w:r w:rsidRPr="00A8783E">
        <w:rPr>
          <w:rFonts w:ascii="Times New Roman" w:hAnsi="Times New Roman"/>
          <w:sz w:val="24"/>
          <w:szCs w:val="24"/>
          <w:lang w:val="en-US"/>
        </w:rPr>
        <w:t>Kiss</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2016)</w:t>
      </w:r>
      <w:r w:rsidRPr="00A8783E">
        <w:rPr>
          <w:rFonts w:ascii="Times New Roman" w:hAnsi="Times New Roman"/>
          <w:sz w:val="24"/>
          <w:szCs w:val="24"/>
        </w:rPr>
        <w:t xml:space="preserve"> разкрива, че запазването на ландшафтната хетерогенност е ключов фактор при опазването на вида. Подходящи местообитания за гнездене на вида са – 2340, 8210, 91F0 (Кавръкова др.</w:t>
      </w:r>
      <w:r w:rsidRPr="00A8783E">
        <w:rPr>
          <w:rFonts w:ascii="Times New Roman" w:hAnsi="Times New Roman"/>
          <w:sz w:val="24"/>
          <w:szCs w:val="24"/>
          <w:lang w:val="ru-RU"/>
        </w:rPr>
        <w:t>,</w:t>
      </w:r>
      <w:r w:rsidRPr="00A8783E">
        <w:rPr>
          <w:rFonts w:ascii="Times New Roman" w:hAnsi="Times New Roman"/>
          <w:sz w:val="24"/>
          <w:szCs w:val="24"/>
        </w:rPr>
        <w:t xml:space="preserve">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sz w:val="24"/>
          <w:szCs w:val="24"/>
        </w:rPr>
        <w:t>С различни безгръбначни, предимно насекоми и дребни гръбначни.</w:t>
      </w:r>
      <w:r w:rsidRPr="00A8783E">
        <w:rPr>
          <w:rFonts w:ascii="Times New Roman" w:hAnsi="Times New Roman"/>
          <w:sz w:val="24"/>
          <w:szCs w:val="24"/>
          <w:lang w:val="ru-RU"/>
        </w:rPr>
        <w:t xml:space="preserve"> </w:t>
      </w:r>
      <w:r w:rsidRPr="00A8783E">
        <w:rPr>
          <w:rFonts w:ascii="Times New Roman" w:hAnsi="Times New Roman"/>
          <w:sz w:val="24"/>
          <w:szCs w:val="24"/>
        </w:rPr>
        <w:t>Често лови насекоми във въздуха (Нанкинов и др., 1997)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Има почти плътно разпространение в равнините и някои нископланински части на страната, особено покрай р. Дунав, в северната и източната част на Дунавската равнина, включително Лудогорието и Добруджа, както и южно от Стара планина в почти цялата Тракийската низина (от Пазарджик до Бургас), Източните Родопи, Сакар, Дервентските възвишения и др. Числеността е неравномерна, по-висока покрай р. Дунав, в централните и източните части на Дунавската равнина, Добруджа, Сливенската котловина и на югозапад до към Стара Загора, централната част на Тракийската низина, в Източните Родопи, хълмистите райони източно от р. Тунджа и др. </w:t>
      </w:r>
      <w:r w:rsidRPr="00A8783E">
        <w:rPr>
          <w:rFonts w:ascii="Times New Roman" w:hAnsi="Times New Roman"/>
          <w:sz w:val="24"/>
          <w:szCs w:val="24"/>
          <w:lang w:val="ru-RU"/>
        </w:rPr>
        <w:t>(</w:t>
      </w:r>
      <w:r w:rsidRPr="00A8783E">
        <w:rPr>
          <w:rFonts w:ascii="Times New Roman" w:hAnsi="Times New Roman"/>
          <w:sz w:val="24"/>
          <w:szCs w:val="24"/>
        </w:rPr>
        <w:t>Янков, отг. ред., 2007</w:t>
      </w:r>
      <w:r w:rsidRPr="00A8783E">
        <w:rPr>
          <w:rFonts w:ascii="Times New Roman" w:hAnsi="Times New Roman"/>
          <w:sz w:val="24"/>
          <w:szCs w:val="24"/>
          <w:lang w:val="ru-RU"/>
        </w:rPr>
        <w:t>)</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 xml:space="preserve">Включен в Приложения II и III на ЗБР и приложение I на Директивата за птиците. Включен в Червена книга на България в категория уязвим – VU. Приложение II на Бернската и Бонска конвенция. Според </w:t>
      </w:r>
      <w:r w:rsidRPr="00A8783E">
        <w:rPr>
          <w:rFonts w:ascii="Times New Roman" w:hAnsi="Times New Roman"/>
          <w:sz w:val="24"/>
          <w:szCs w:val="24"/>
          <w:lang w:val="en-GB"/>
        </w:rPr>
        <w:t>IUCN</w:t>
      </w:r>
      <w:r w:rsidRPr="00A8783E">
        <w:rPr>
          <w:rFonts w:ascii="Times New Roman" w:hAnsi="Times New Roman"/>
          <w:sz w:val="24"/>
          <w:szCs w:val="24"/>
          <w:lang w:val="ru-RU"/>
        </w:rPr>
        <w:t xml:space="preserve"> –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lang w:val="ru-RU"/>
        </w:rPr>
        <w:t xml:space="preserve"> </w:t>
      </w:r>
      <w:r w:rsidRPr="00A8783E">
        <w:rPr>
          <w:rFonts w:ascii="Times New Roman" w:hAnsi="Times New Roman"/>
          <w:sz w:val="24"/>
          <w:szCs w:val="24"/>
          <w:lang w:val="en-GB"/>
        </w:rPr>
        <w:t>Concern</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 xml:space="preserve">за територията на континентална Европа –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lang w:val="ru-RU"/>
        </w:rPr>
        <w:t xml:space="preserve"> </w:t>
      </w:r>
      <w:r w:rsidRPr="00A8783E">
        <w:rPr>
          <w:rFonts w:ascii="Times New Roman" w:hAnsi="Times New Roman"/>
          <w:sz w:val="24"/>
          <w:szCs w:val="24"/>
          <w:lang w:val="en-GB"/>
        </w:rPr>
        <w:t>Concern</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 xml:space="preserve">Включен в </w:t>
      </w:r>
      <w:r w:rsidRPr="00A8783E">
        <w:rPr>
          <w:rFonts w:ascii="Times New Roman" w:hAnsi="Times New Roman"/>
          <w:sz w:val="24"/>
          <w:szCs w:val="24"/>
          <w:lang w:val="en-GB"/>
        </w:rPr>
        <w:t>SPEC</w:t>
      </w:r>
      <w:r w:rsidRPr="00A8783E">
        <w:rPr>
          <w:rFonts w:ascii="Times New Roman" w:hAnsi="Times New Roman"/>
          <w:sz w:val="24"/>
          <w:szCs w:val="24"/>
        </w:rPr>
        <w:t xml:space="preserve"> 2 – Намаляващ </w:t>
      </w:r>
      <w:r w:rsidRPr="00A8783E">
        <w:rPr>
          <w:rFonts w:ascii="Times New Roman" w:hAnsi="Times New Roman"/>
          <w:sz w:val="24"/>
          <w:szCs w:val="24"/>
          <w:lang w:val="ru-RU"/>
        </w:rPr>
        <w:t>(</w:t>
      </w:r>
      <w:r w:rsidRPr="00A8783E">
        <w:rPr>
          <w:rFonts w:ascii="Times New Roman" w:hAnsi="Times New Roman"/>
          <w:sz w:val="24"/>
          <w:szCs w:val="24"/>
          <w:lang w:val="en-US"/>
        </w:rPr>
        <w:t>BirdLife</w:t>
      </w:r>
      <w:r w:rsidRPr="00A8783E">
        <w:rPr>
          <w:rFonts w:ascii="Times New Roman" w:hAnsi="Times New Roman"/>
          <w:sz w:val="24"/>
          <w:szCs w:val="24"/>
          <w:lang w:val="ru-RU"/>
        </w:rPr>
        <w:t xml:space="preserve"> </w:t>
      </w:r>
      <w:r w:rsidRPr="00A8783E">
        <w:rPr>
          <w:rFonts w:ascii="Times New Roman" w:hAnsi="Times New Roman"/>
          <w:sz w:val="24"/>
          <w:szCs w:val="24"/>
          <w:lang w:val="en-US"/>
        </w:rPr>
        <w:t>International</w:t>
      </w:r>
      <w:r w:rsidRPr="00A8783E">
        <w:rPr>
          <w:rFonts w:ascii="Times New Roman" w:hAnsi="Times New Roman"/>
          <w:sz w:val="24"/>
          <w:szCs w:val="24"/>
          <w:lang w:val="ru-RU"/>
        </w:rPr>
        <w:t>, 2017).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2013 - 2018 г.), </w:t>
      </w:r>
      <w:r w:rsidRPr="00A8783E">
        <w:rPr>
          <w:rFonts w:ascii="Times New Roman" w:hAnsi="Times New Roman"/>
          <w:b/>
          <w:bCs/>
          <w:sz w:val="24"/>
          <w:szCs w:val="24"/>
        </w:rPr>
        <w:t>гнездящата</w:t>
      </w:r>
      <w:r w:rsidRPr="00A8783E">
        <w:rPr>
          <w:rFonts w:ascii="Times New Roman" w:hAnsi="Times New Roman"/>
          <w:sz w:val="24"/>
          <w:szCs w:val="24"/>
        </w:rPr>
        <w:t xml:space="preserve"> популация е от 2000-4500 двойки, като краткосрочната тенденция (2001-2018) на популацията е оценена на намаляваща.</w:t>
      </w:r>
      <w:r w:rsidRPr="00A8783E">
        <w:rPr>
          <w:rFonts w:ascii="Times New Roman" w:hAnsi="Times New Roman"/>
          <w:sz w:val="24"/>
          <w:szCs w:val="24"/>
          <w:lang w:val="ru-RU"/>
        </w:rPr>
        <w:t xml:space="preserve"> </w:t>
      </w:r>
      <w:r w:rsidRPr="00A8783E">
        <w:rPr>
          <w:rFonts w:ascii="Times New Roman" w:hAnsi="Times New Roman"/>
          <w:sz w:val="24"/>
          <w:szCs w:val="24"/>
        </w:rPr>
        <w:t>Дългосрочната тенденция (1980 - 2018) на популацията е оценена на нарастваща.</w:t>
      </w:r>
      <w:r w:rsidRPr="00A8783E">
        <w:rPr>
          <w:rFonts w:ascii="Times New Roman" w:hAnsi="Times New Roman"/>
          <w:sz w:val="24"/>
          <w:szCs w:val="24"/>
          <w:lang w:val="ru-RU"/>
        </w:rPr>
        <w:t xml:space="preserve"> </w:t>
      </w:r>
      <w:r w:rsidRPr="00A8783E">
        <w:rPr>
          <w:rFonts w:ascii="Times New Roman" w:hAnsi="Times New Roman"/>
          <w:sz w:val="24"/>
          <w:szCs w:val="24"/>
        </w:rPr>
        <w:t>За гнездящата популация са посочени следните заплахи и влияния: А07, А02.</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Червена книга на Р България (2015) като отрицателно действащи фактори за вида са посочени унищожаване и деградация на местообитанията, използване на химични препарати в селското стопанство за борба срещу вредители и пряко унищожаване.</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гнездящ</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rPr>
        <w:t>2-5 двойки</w:t>
      </w:r>
      <w:r w:rsidRPr="00A8783E">
        <w:rPr>
          <w:rFonts w:ascii="Times New Roman" w:hAnsi="Times New Roman"/>
          <w:sz w:val="24"/>
          <w:szCs w:val="24"/>
        </w:rPr>
        <w:t>, което представлява 0,1 %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средна Дунавска равнина гнезди навсякъде, където има налични дупки в земни откоси, хралупи и в скални дупки; често гнезди по льосови брегове край р. Дунав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В ОВМ „Сребърна“ е посочена гнездова численост 1 дв.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отг. ред., 2007</w:t>
      </w:r>
      <w:r w:rsidRPr="00A8783E">
        <w:rPr>
          <w:rFonts w:ascii="Times New Roman" w:hAnsi="Times New Roman"/>
          <w:sz w:val="24"/>
          <w:szCs w:val="24"/>
          <w:lang w:val="ru-RU"/>
        </w:rPr>
        <w:t>)</w:t>
      </w:r>
      <w:r w:rsidRPr="00A8783E">
        <w:rPr>
          <w:rFonts w:ascii="Times New Roman" w:hAnsi="Times New Roman"/>
          <w:sz w:val="24"/>
          <w:szCs w:val="24"/>
        </w:rPr>
        <w:t xml:space="preserve">. През периода 2001-2005 г. в зоната гнездят 3 дв. </w:t>
      </w:r>
      <w:r w:rsidRPr="00A8783E">
        <w:rPr>
          <w:rFonts w:ascii="Times New Roman" w:hAnsi="Times New Roman"/>
          <w:sz w:val="24"/>
          <w:szCs w:val="24"/>
          <w:lang w:val="ru-RU"/>
        </w:rPr>
        <w:t>(</w:t>
      </w:r>
      <w:r w:rsidRPr="00A8783E">
        <w:rPr>
          <w:rFonts w:ascii="Times New Roman" w:hAnsi="Times New Roman"/>
          <w:sz w:val="24"/>
          <w:szCs w:val="24"/>
          <w:lang w:val="en-US"/>
        </w:rPr>
        <w:t>Kambourova</w:t>
      </w:r>
      <w:r w:rsidRPr="00A8783E">
        <w:rPr>
          <w:rFonts w:ascii="Times New Roman" w:hAnsi="Times New Roman"/>
          <w:sz w:val="24"/>
          <w:szCs w:val="24"/>
          <w:lang w:val="ru-RU"/>
        </w:rPr>
        <w:t xml:space="preserve">, 2005; </w:t>
      </w:r>
      <w:r w:rsidRPr="00A8783E">
        <w:rPr>
          <w:rFonts w:ascii="Times New Roman" w:hAnsi="Times New Roman"/>
          <w:sz w:val="24"/>
          <w:szCs w:val="24"/>
          <w:lang w:val="en-US"/>
        </w:rPr>
        <w:t>Kambourova</w:t>
      </w:r>
      <w:r w:rsidRPr="00A8783E">
        <w:rPr>
          <w:rFonts w:ascii="Times New Roman" w:hAnsi="Times New Roman"/>
          <w:sz w:val="24"/>
          <w:szCs w:val="24"/>
          <w:lang w:val="ru-RU"/>
        </w:rPr>
        <w:t>, 2012)</w:t>
      </w:r>
      <w:r w:rsidRPr="00A8783E">
        <w:rPr>
          <w:rFonts w:ascii="Times New Roman" w:hAnsi="Times New Roman"/>
          <w:sz w:val="24"/>
          <w:szCs w:val="24"/>
        </w:rPr>
        <w:t xml:space="preserve">, а през 2014 г. са наблюдавани 5 дв. </w:t>
      </w:r>
      <w:r w:rsidRPr="00A8783E">
        <w:rPr>
          <w:rFonts w:ascii="Times New Roman" w:hAnsi="Times New Roman"/>
          <w:sz w:val="24"/>
          <w:szCs w:val="24"/>
          <w:lang w:val="ru-RU"/>
        </w:rPr>
        <w:t>(</w:t>
      </w:r>
      <w:r w:rsidRPr="00A8783E">
        <w:rPr>
          <w:rFonts w:ascii="Times New Roman" w:hAnsi="Times New Roman"/>
          <w:sz w:val="24"/>
          <w:szCs w:val="24"/>
        </w:rPr>
        <w:t>Актуализиран план на ПР Сребърна, 2015</w:t>
      </w:r>
      <w:r w:rsidRPr="00A8783E">
        <w:rPr>
          <w:rFonts w:ascii="Times New Roman" w:hAnsi="Times New Roman"/>
          <w:sz w:val="24"/>
          <w:szCs w:val="24"/>
          <w:lang w:val="ru-RU"/>
        </w:rPr>
        <w:t xml:space="preserve">). </w:t>
      </w:r>
      <w:r w:rsidRPr="00A8783E">
        <w:rPr>
          <w:rFonts w:ascii="Times New Roman" w:hAnsi="Times New Roman"/>
          <w:sz w:val="24"/>
          <w:szCs w:val="24"/>
        </w:rPr>
        <w:t>През гнездовия период на 2021 г. в Сребърна са отчетени 6 инд., което отговаря на поне 3 дв.</w:t>
      </w:r>
      <w:r w:rsidRPr="00A8783E">
        <w:rPr>
          <w:rFonts w:ascii="Times New Roman" w:hAnsi="Times New Roman"/>
          <w:sz w:val="24"/>
          <w:szCs w:val="24"/>
          <w:lang w:val="ru-RU"/>
        </w:rPr>
        <w:t xml:space="preserve"> </w:t>
      </w:r>
      <w:r w:rsidRPr="00A8783E">
        <w:rPr>
          <w:rFonts w:ascii="Times New Roman" w:hAnsi="Times New Roman"/>
          <w:sz w:val="24"/>
          <w:szCs w:val="24"/>
        </w:rPr>
        <w:t xml:space="preserve">Данните от </w:t>
      </w:r>
      <w:r w:rsidRPr="00A8783E">
        <w:rPr>
          <w:rFonts w:ascii="Times New Roman" w:hAnsi="Times New Roman"/>
          <w:sz w:val="24"/>
          <w:szCs w:val="24"/>
          <w:lang w:val="en-US"/>
        </w:rPr>
        <w:t>eBird</w:t>
      </w:r>
      <w:r w:rsidRPr="00A8783E">
        <w:rPr>
          <w:rFonts w:ascii="Times New Roman" w:hAnsi="Times New Roman"/>
          <w:sz w:val="24"/>
          <w:szCs w:val="24"/>
          <w:lang w:val="ru-RU"/>
        </w:rPr>
        <w:t xml:space="preserve"> </w:t>
      </w:r>
      <w:r w:rsidRPr="00A8783E">
        <w:rPr>
          <w:rFonts w:ascii="Times New Roman" w:hAnsi="Times New Roman"/>
          <w:sz w:val="24"/>
          <w:szCs w:val="24"/>
        </w:rPr>
        <w:t>показват, че в зоната на 17.05.2021 г. са отчетени 2 инд.</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 гнездящата популация са посочени следните заплахи и влияния (от Докладване по чл. 12, 2019 г.): A02, А07. От тях няма потенциално валидни за СЗЗ „Сребърна”. Към заплахите за вида може да се добави A21-„Използване на химически препарати за растителна защита в земеделието“, което би довело до намаляване на насекомите, които са основна храна на вида.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1275"/>
        <w:gridCol w:w="1276"/>
        <w:gridCol w:w="2693"/>
        <w:gridCol w:w="2410"/>
      </w:tblGrid>
      <w:tr w:rsidR="00A8783E" w:rsidRPr="00A8783E" w:rsidTr="005B5318">
        <w:trPr>
          <w:tblHeader/>
          <w:jc w:val="center"/>
        </w:trPr>
        <w:tc>
          <w:tcPr>
            <w:tcW w:w="1702" w:type="dxa"/>
            <w:shd w:val="clear" w:color="auto" w:fill="DBE5F1"/>
            <w:vAlign w:val="center"/>
          </w:tcPr>
          <w:p w:rsidR="00A8783E" w:rsidRPr="00A8783E" w:rsidRDefault="00A8783E" w:rsidP="00A8783E">
            <w:pPr>
              <w:spacing w:after="0" w:line="240" w:lineRule="auto"/>
              <w:jc w:val="both"/>
              <w:rPr>
                <w:rFonts w:ascii="Times New Roman" w:hAnsi="Times New Roman"/>
                <w:b/>
                <w:bCs/>
                <w:sz w:val="20"/>
              </w:rPr>
            </w:pPr>
            <w:r w:rsidRPr="00A8783E">
              <w:rPr>
                <w:rFonts w:ascii="Times New Roman" w:hAnsi="Times New Roman"/>
                <w:b/>
                <w:bCs/>
                <w:sz w:val="20"/>
              </w:rPr>
              <w:t>Параметър</w:t>
            </w:r>
          </w:p>
        </w:tc>
        <w:tc>
          <w:tcPr>
            <w:tcW w:w="1275" w:type="dxa"/>
            <w:shd w:val="clear" w:color="auto" w:fill="DBE5F1"/>
            <w:vAlign w:val="center"/>
          </w:tcPr>
          <w:p w:rsidR="00A8783E" w:rsidRPr="00A8783E" w:rsidRDefault="00A8783E" w:rsidP="00A8783E">
            <w:pPr>
              <w:spacing w:after="0" w:line="240" w:lineRule="auto"/>
              <w:jc w:val="both"/>
              <w:rPr>
                <w:rFonts w:ascii="Times New Roman" w:hAnsi="Times New Roman"/>
                <w:b/>
                <w:bCs/>
                <w:sz w:val="20"/>
              </w:rPr>
            </w:pPr>
            <w:r w:rsidRPr="00A8783E">
              <w:rPr>
                <w:rFonts w:ascii="Times New Roman" w:hAnsi="Times New Roman"/>
                <w:b/>
                <w:bCs/>
                <w:sz w:val="20"/>
              </w:rPr>
              <w:t xml:space="preserve">Мерна единица </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sz w:val="20"/>
              </w:rPr>
            </w:pPr>
            <w:r w:rsidRPr="00A8783E">
              <w:rPr>
                <w:rFonts w:ascii="Times New Roman" w:hAnsi="Times New Roman"/>
                <w:b/>
                <w:bCs/>
                <w:sz w:val="20"/>
              </w:rPr>
              <w:t xml:space="preserve">Целева стойност </w:t>
            </w:r>
          </w:p>
        </w:tc>
        <w:tc>
          <w:tcPr>
            <w:tcW w:w="2693" w:type="dxa"/>
            <w:shd w:val="clear" w:color="auto" w:fill="DBE5F1"/>
            <w:vAlign w:val="center"/>
          </w:tcPr>
          <w:p w:rsidR="00A8783E" w:rsidRPr="00A8783E" w:rsidRDefault="00A8783E" w:rsidP="00A8783E">
            <w:pPr>
              <w:spacing w:after="0" w:line="240" w:lineRule="auto"/>
              <w:jc w:val="both"/>
              <w:rPr>
                <w:rFonts w:ascii="Times New Roman" w:hAnsi="Times New Roman"/>
                <w:b/>
                <w:bCs/>
                <w:sz w:val="20"/>
              </w:rPr>
            </w:pPr>
            <w:r w:rsidRPr="00A8783E">
              <w:rPr>
                <w:rFonts w:ascii="Times New Roman" w:hAnsi="Times New Roman"/>
                <w:b/>
                <w:bCs/>
                <w:sz w:val="20"/>
              </w:rPr>
              <w:t xml:space="preserve">Допълнителна информация </w:t>
            </w:r>
          </w:p>
        </w:tc>
        <w:tc>
          <w:tcPr>
            <w:tcW w:w="2410" w:type="dxa"/>
            <w:shd w:val="clear" w:color="auto" w:fill="DBE5F1"/>
            <w:vAlign w:val="center"/>
          </w:tcPr>
          <w:p w:rsidR="00A8783E" w:rsidRPr="00A8783E" w:rsidRDefault="00A8783E" w:rsidP="00A8783E">
            <w:pPr>
              <w:spacing w:after="0" w:line="240" w:lineRule="auto"/>
              <w:jc w:val="both"/>
              <w:rPr>
                <w:rFonts w:ascii="Times New Roman" w:hAnsi="Times New Roman"/>
                <w:b/>
                <w:bCs/>
                <w:sz w:val="20"/>
              </w:rPr>
            </w:pPr>
            <w:r w:rsidRPr="00A8783E">
              <w:rPr>
                <w:rFonts w:ascii="Times New Roman" w:hAnsi="Times New Roman"/>
                <w:b/>
                <w:bCs/>
                <w:sz w:val="20"/>
              </w:rPr>
              <w:t xml:space="preserve">Специфични за зоната цели за опазване </w:t>
            </w:r>
          </w:p>
        </w:tc>
      </w:tr>
      <w:tr w:rsidR="00A8783E" w:rsidRPr="00A8783E" w:rsidTr="005B5318">
        <w:trPr>
          <w:jc w:val="center"/>
        </w:trPr>
        <w:tc>
          <w:tcPr>
            <w:tcW w:w="1702" w:type="dxa"/>
          </w:tcPr>
          <w:p w:rsidR="00A8783E" w:rsidRPr="00A8783E" w:rsidRDefault="00A8783E" w:rsidP="00A8783E">
            <w:pPr>
              <w:spacing w:after="0" w:line="240" w:lineRule="auto"/>
              <w:jc w:val="both"/>
              <w:rPr>
                <w:rFonts w:ascii="Times New Roman" w:hAnsi="Times New Roman"/>
                <w:b/>
                <w:bCs/>
                <w:sz w:val="20"/>
              </w:rPr>
            </w:pPr>
            <w:r w:rsidRPr="00A8783E">
              <w:rPr>
                <w:rFonts w:ascii="Times New Roman" w:hAnsi="Times New Roman"/>
                <w:b/>
                <w:bCs/>
                <w:sz w:val="20"/>
              </w:rPr>
              <w:lastRenderedPageBreak/>
              <w:t xml:space="preserve">Популация: </w:t>
            </w:r>
            <w:r w:rsidRPr="00A8783E">
              <w:rPr>
                <w:rFonts w:ascii="Times New Roman" w:hAnsi="Times New Roman"/>
                <w:sz w:val="20"/>
              </w:rPr>
              <w:t>Размер на гнездящата популация</w:t>
            </w:r>
          </w:p>
        </w:tc>
        <w:tc>
          <w:tcPr>
            <w:tcW w:w="1275" w:type="dxa"/>
          </w:tcPr>
          <w:p w:rsidR="00A8783E" w:rsidRPr="00A8783E" w:rsidRDefault="00A8783E" w:rsidP="00A8783E">
            <w:pPr>
              <w:spacing w:after="0" w:line="240" w:lineRule="auto"/>
              <w:jc w:val="both"/>
              <w:rPr>
                <w:rFonts w:ascii="Times New Roman" w:hAnsi="Times New Roman"/>
                <w:sz w:val="20"/>
              </w:rPr>
            </w:pPr>
            <w:r w:rsidRPr="00A8783E">
              <w:rPr>
                <w:rFonts w:ascii="Times New Roman" w:hAnsi="Times New Roman"/>
                <w:sz w:val="20"/>
              </w:rPr>
              <w:t>Брой гнездящи двойки</w:t>
            </w:r>
          </w:p>
        </w:tc>
        <w:tc>
          <w:tcPr>
            <w:tcW w:w="1276" w:type="dxa"/>
          </w:tcPr>
          <w:p w:rsidR="00A8783E" w:rsidRPr="00A8783E" w:rsidRDefault="00A8783E" w:rsidP="00A8783E">
            <w:pPr>
              <w:spacing w:after="0" w:line="240" w:lineRule="auto"/>
              <w:jc w:val="both"/>
              <w:rPr>
                <w:rFonts w:ascii="Times New Roman" w:hAnsi="Times New Roman"/>
                <w:sz w:val="20"/>
              </w:rPr>
            </w:pPr>
            <w:r w:rsidRPr="00A8783E">
              <w:rPr>
                <w:rFonts w:ascii="Times New Roman" w:hAnsi="Times New Roman"/>
                <w:sz w:val="20"/>
              </w:rPr>
              <w:t xml:space="preserve">Най-малко 2 дв. </w:t>
            </w:r>
          </w:p>
        </w:tc>
        <w:tc>
          <w:tcPr>
            <w:tcW w:w="2693" w:type="dxa"/>
          </w:tcPr>
          <w:p w:rsidR="00A8783E" w:rsidRPr="00A8783E" w:rsidRDefault="00A8783E" w:rsidP="00A8783E">
            <w:pPr>
              <w:spacing w:after="0" w:line="240" w:lineRule="auto"/>
              <w:jc w:val="both"/>
              <w:rPr>
                <w:rFonts w:ascii="Times New Roman" w:hAnsi="Times New Roman"/>
                <w:sz w:val="20"/>
              </w:rPr>
            </w:pPr>
            <w:r w:rsidRPr="00A8783E">
              <w:rPr>
                <w:rFonts w:ascii="Times New Roman" w:hAnsi="Times New Roman"/>
                <w:sz w:val="20"/>
              </w:rPr>
              <w:t>Определена на база СФ, теренните проучвания през 2021 г. и друга публикувана информация за числеността на вида в зоната.</w:t>
            </w:r>
          </w:p>
        </w:tc>
        <w:tc>
          <w:tcPr>
            <w:tcW w:w="2410" w:type="dxa"/>
          </w:tcPr>
          <w:p w:rsidR="00A8783E" w:rsidRPr="00A8783E" w:rsidRDefault="00A8783E" w:rsidP="00A8783E">
            <w:pPr>
              <w:spacing w:after="0" w:line="240" w:lineRule="auto"/>
              <w:jc w:val="both"/>
              <w:rPr>
                <w:rFonts w:ascii="Times New Roman" w:hAnsi="Times New Roman"/>
                <w:sz w:val="20"/>
              </w:rPr>
            </w:pPr>
            <w:r w:rsidRPr="00A8783E">
              <w:rPr>
                <w:rFonts w:ascii="Times New Roman" w:hAnsi="Times New Roman"/>
                <w:sz w:val="20"/>
              </w:rPr>
              <w:t>Поддържане на популацията на вида в зоната в размер от най-малко 2 гнездящи двойки чрез поддържане на подходящите местообитания в зоната.</w:t>
            </w:r>
          </w:p>
        </w:tc>
      </w:tr>
      <w:tr w:rsidR="00A8783E" w:rsidRPr="00A8783E" w:rsidTr="005B5318">
        <w:trPr>
          <w:trHeight w:val="436"/>
          <w:jc w:val="center"/>
        </w:trPr>
        <w:tc>
          <w:tcPr>
            <w:tcW w:w="1702" w:type="dxa"/>
          </w:tcPr>
          <w:p w:rsidR="00A8783E" w:rsidRPr="00A8783E" w:rsidRDefault="00A8783E" w:rsidP="00A8783E">
            <w:pPr>
              <w:spacing w:after="0" w:line="240" w:lineRule="auto"/>
              <w:jc w:val="both"/>
              <w:rPr>
                <w:rFonts w:ascii="Times New Roman" w:hAnsi="Times New Roman"/>
                <w:b/>
                <w:bCs/>
                <w:sz w:val="20"/>
              </w:rPr>
            </w:pPr>
            <w:r w:rsidRPr="00A8783E">
              <w:rPr>
                <w:rFonts w:ascii="Times New Roman" w:hAnsi="Times New Roman"/>
                <w:b/>
                <w:bCs/>
                <w:sz w:val="20"/>
              </w:rPr>
              <w:t>Местообитание на вида:</w:t>
            </w:r>
          </w:p>
          <w:p w:rsidR="00A8783E" w:rsidRPr="00A8783E" w:rsidRDefault="00A8783E" w:rsidP="00A8783E">
            <w:pPr>
              <w:spacing w:after="0" w:line="240" w:lineRule="auto"/>
              <w:jc w:val="both"/>
              <w:rPr>
                <w:rFonts w:ascii="Times New Roman" w:hAnsi="Times New Roman"/>
                <w:b/>
                <w:bCs/>
                <w:sz w:val="20"/>
              </w:rPr>
            </w:pPr>
            <w:r w:rsidRPr="00A8783E">
              <w:rPr>
                <w:rFonts w:ascii="Times New Roman" w:hAnsi="Times New Roman"/>
                <w:sz w:val="20"/>
              </w:rPr>
              <w:t>площ на подходящите</w:t>
            </w:r>
            <w:r w:rsidRPr="00A8783E">
              <w:rPr>
                <w:rFonts w:ascii="Times New Roman" w:hAnsi="Times New Roman"/>
                <w:b/>
                <w:bCs/>
                <w:sz w:val="20"/>
              </w:rPr>
              <w:t xml:space="preserve"> </w:t>
            </w:r>
            <w:r w:rsidRPr="00A8783E">
              <w:rPr>
                <w:rFonts w:ascii="Times New Roman" w:hAnsi="Times New Roman"/>
                <w:sz w:val="20"/>
              </w:rPr>
              <w:t xml:space="preserve">местообитания за гнездене на вида </w:t>
            </w:r>
          </w:p>
        </w:tc>
        <w:tc>
          <w:tcPr>
            <w:tcW w:w="1275" w:type="dxa"/>
          </w:tcPr>
          <w:p w:rsidR="00A8783E" w:rsidRPr="00A8783E" w:rsidRDefault="00A8783E" w:rsidP="00A8783E">
            <w:pPr>
              <w:spacing w:after="0" w:line="240" w:lineRule="auto"/>
              <w:jc w:val="both"/>
              <w:rPr>
                <w:rFonts w:ascii="Times New Roman" w:hAnsi="Times New Roman"/>
                <w:sz w:val="20"/>
              </w:rPr>
            </w:pPr>
            <w:r w:rsidRPr="00A8783E">
              <w:rPr>
                <w:rFonts w:ascii="Times New Roman" w:hAnsi="Times New Roman"/>
                <w:sz w:val="20"/>
                <w:lang w:val="en-US"/>
              </w:rPr>
              <w:t>ha</w:t>
            </w:r>
          </w:p>
        </w:tc>
        <w:tc>
          <w:tcPr>
            <w:tcW w:w="1276" w:type="dxa"/>
          </w:tcPr>
          <w:p w:rsidR="00A8783E" w:rsidRPr="00A8783E" w:rsidRDefault="00A8783E" w:rsidP="00A8783E">
            <w:pPr>
              <w:spacing w:after="0" w:line="240" w:lineRule="auto"/>
              <w:jc w:val="both"/>
              <w:rPr>
                <w:rFonts w:ascii="Times New Roman" w:hAnsi="Times New Roman"/>
                <w:sz w:val="20"/>
              </w:rPr>
            </w:pPr>
            <w:r w:rsidRPr="00A8783E">
              <w:rPr>
                <w:rFonts w:ascii="Times New Roman" w:hAnsi="Times New Roman"/>
                <w:sz w:val="20"/>
              </w:rPr>
              <w:t>неизвестна</w:t>
            </w:r>
          </w:p>
        </w:tc>
        <w:tc>
          <w:tcPr>
            <w:tcW w:w="2693" w:type="dxa"/>
          </w:tcPr>
          <w:p w:rsidR="00A8783E" w:rsidRPr="00A8783E" w:rsidRDefault="00A8783E" w:rsidP="00A8783E">
            <w:pPr>
              <w:spacing w:after="0" w:line="240" w:lineRule="auto"/>
              <w:jc w:val="both"/>
              <w:rPr>
                <w:rFonts w:ascii="Times New Roman" w:hAnsi="Times New Roman"/>
                <w:sz w:val="20"/>
              </w:rPr>
            </w:pPr>
            <w:r w:rsidRPr="00A8783E">
              <w:rPr>
                <w:rFonts w:ascii="Times New Roman" w:hAnsi="Times New Roman"/>
                <w:sz w:val="20"/>
              </w:rPr>
              <w:t>Понастоящем не може да се определи площта на наличните земни откоси в зоната. Необходимо е отделно проучване.</w:t>
            </w:r>
          </w:p>
          <w:p w:rsidR="00A8783E" w:rsidRPr="00A8783E" w:rsidRDefault="00A8783E" w:rsidP="00A8783E">
            <w:pPr>
              <w:spacing w:after="0" w:line="240" w:lineRule="auto"/>
              <w:jc w:val="both"/>
              <w:rPr>
                <w:rFonts w:ascii="Times New Roman" w:hAnsi="Times New Roman"/>
                <w:sz w:val="20"/>
              </w:rPr>
            </w:pPr>
            <w:r w:rsidRPr="00A8783E">
              <w:rPr>
                <w:rFonts w:ascii="Times New Roman" w:hAnsi="Times New Roman"/>
                <w:sz w:val="20"/>
              </w:rPr>
              <w:t>Вида в зоната гнезди също и в стари върби по крайбрежието на езерото.</w:t>
            </w:r>
          </w:p>
          <w:p w:rsidR="00A8783E" w:rsidRPr="00A8783E" w:rsidRDefault="00A8783E" w:rsidP="00A8783E">
            <w:pPr>
              <w:spacing w:after="0" w:line="240" w:lineRule="auto"/>
              <w:jc w:val="both"/>
              <w:rPr>
                <w:rFonts w:ascii="Times New Roman" w:hAnsi="Times New Roman"/>
                <w:sz w:val="20"/>
              </w:rPr>
            </w:pPr>
            <w:r w:rsidRPr="00A8783E">
              <w:rPr>
                <w:rFonts w:ascii="Times New Roman" w:hAnsi="Times New Roman"/>
                <w:sz w:val="20"/>
              </w:rPr>
              <w:t>Необходими са допълнителни проучвания за изчисляване на подходящите местообитания на синявицата в зоната.</w:t>
            </w:r>
          </w:p>
        </w:tc>
        <w:tc>
          <w:tcPr>
            <w:tcW w:w="2410" w:type="dxa"/>
          </w:tcPr>
          <w:p w:rsidR="00A8783E" w:rsidRPr="00A8783E" w:rsidRDefault="00A8783E" w:rsidP="00A8783E">
            <w:pPr>
              <w:spacing w:after="0" w:line="240" w:lineRule="auto"/>
              <w:jc w:val="both"/>
              <w:rPr>
                <w:rFonts w:ascii="Times New Roman" w:hAnsi="Times New Roman"/>
                <w:sz w:val="20"/>
              </w:rPr>
            </w:pPr>
            <w:r w:rsidRPr="00A8783E">
              <w:rPr>
                <w:rFonts w:ascii="Times New Roman" w:hAnsi="Times New Roman"/>
                <w:sz w:val="20"/>
              </w:rPr>
              <w:t>Установяване на площта на пригодните местообитания в зоната. Поддържане на площта на подходящите гнездови местообитания на вида чрез: 1/ забрана за разораване и унищожаване на земните, пясъчни и льосови земни откоси в зоната; 2/ почистване на растителността пред такива откоси за осигуряване на достъп до тях за гнездене на вида; 3/ забрана за отсичане на стари хралупести дървета в зоната; 4/ поставяне на къщички за гнездене в подходящи за вида местообитания.</w:t>
            </w:r>
          </w:p>
        </w:tc>
      </w:tr>
      <w:tr w:rsidR="00A8783E" w:rsidRPr="00A8783E" w:rsidTr="005B5318">
        <w:trPr>
          <w:trHeight w:val="436"/>
          <w:jc w:val="center"/>
        </w:trPr>
        <w:tc>
          <w:tcPr>
            <w:tcW w:w="1702" w:type="dxa"/>
          </w:tcPr>
          <w:p w:rsidR="00A8783E" w:rsidRPr="00A8783E" w:rsidRDefault="00A8783E" w:rsidP="00A8783E">
            <w:pPr>
              <w:spacing w:after="0" w:line="240" w:lineRule="auto"/>
              <w:jc w:val="both"/>
              <w:rPr>
                <w:rFonts w:ascii="Times New Roman" w:hAnsi="Times New Roman"/>
                <w:sz w:val="20"/>
              </w:rPr>
            </w:pPr>
            <w:r w:rsidRPr="00A8783E">
              <w:rPr>
                <w:rFonts w:ascii="Times New Roman" w:hAnsi="Times New Roman"/>
                <w:b/>
                <w:bCs/>
                <w:sz w:val="20"/>
              </w:rPr>
              <w:t xml:space="preserve">Местообитание на вида: </w:t>
            </w:r>
            <w:r w:rsidRPr="00A8783E">
              <w:rPr>
                <w:rFonts w:ascii="Times New Roman" w:hAnsi="Times New Roman"/>
                <w:sz w:val="20"/>
              </w:rPr>
              <w:t xml:space="preserve"> площ на подходящите хранителни местообитания на вида</w:t>
            </w:r>
          </w:p>
        </w:tc>
        <w:tc>
          <w:tcPr>
            <w:tcW w:w="1275" w:type="dxa"/>
          </w:tcPr>
          <w:p w:rsidR="00A8783E" w:rsidRPr="00A8783E" w:rsidRDefault="00A8783E" w:rsidP="00A8783E">
            <w:pPr>
              <w:spacing w:after="0" w:line="240" w:lineRule="auto"/>
              <w:jc w:val="both"/>
              <w:rPr>
                <w:rFonts w:ascii="Times New Roman" w:hAnsi="Times New Roman"/>
                <w:sz w:val="20"/>
              </w:rPr>
            </w:pPr>
            <w:r w:rsidRPr="00A8783E">
              <w:rPr>
                <w:rFonts w:ascii="Times New Roman" w:hAnsi="Times New Roman"/>
                <w:sz w:val="20"/>
                <w:lang w:val="en-US"/>
              </w:rPr>
              <w:t>ha</w:t>
            </w:r>
          </w:p>
        </w:tc>
        <w:tc>
          <w:tcPr>
            <w:tcW w:w="1276" w:type="dxa"/>
          </w:tcPr>
          <w:p w:rsidR="00A8783E" w:rsidRPr="00A8783E" w:rsidRDefault="00A8783E" w:rsidP="00A8783E">
            <w:pPr>
              <w:spacing w:after="0" w:line="240" w:lineRule="auto"/>
              <w:jc w:val="both"/>
              <w:rPr>
                <w:rFonts w:ascii="Times New Roman" w:hAnsi="Times New Roman"/>
                <w:sz w:val="20"/>
              </w:rPr>
            </w:pPr>
            <w:r w:rsidRPr="00A8783E">
              <w:rPr>
                <w:rFonts w:ascii="Times New Roman" w:hAnsi="Times New Roman"/>
                <w:sz w:val="20"/>
              </w:rPr>
              <w:t xml:space="preserve">най-малко 361 </w:t>
            </w:r>
          </w:p>
        </w:tc>
        <w:tc>
          <w:tcPr>
            <w:tcW w:w="2693" w:type="dxa"/>
          </w:tcPr>
          <w:p w:rsidR="00A8783E" w:rsidRPr="00A8783E" w:rsidRDefault="00A8783E" w:rsidP="00A8783E">
            <w:pPr>
              <w:spacing w:after="0" w:line="240" w:lineRule="auto"/>
              <w:jc w:val="both"/>
              <w:rPr>
                <w:rFonts w:ascii="Times New Roman" w:hAnsi="Times New Roman"/>
                <w:sz w:val="20"/>
              </w:rPr>
            </w:pPr>
            <w:r w:rsidRPr="00A8783E">
              <w:rPr>
                <w:rFonts w:ascii="Times New Roman" w:hAnsi="Times New Roman"/>
                <w:sz w:val="20"/>
              </w:rPr>
              <w:t>Изчислена на база откритите типове местообитания в рамките на СЗЗ.</w:t>
            </w:r>
            <w:r w:rsidRPr="00A8783E">
              <w:rPr>
                <w:sz w:val="20"/>
              </w:rPr>
              <w:t xml:space="preserve"> </w:t>
            </w:r>
            <w:r w:rsidRPr="00A8783E">
              <w:rPr>
                <w:rFonts w:ascii="Times New Roman" w:hAnsi="Times New Roman"/>
                <w:sz w:val="20"/>
              </w:rPr>
              <w:t xml:space="preserve">Данните са взети от СФ като % на местообитание </w:t>
            </w:r>
            <w:r w:rsidRPr="00A8783E">
              <w:rPr>
                <w:rFonts w:ascii="Times New Roman" w:hAnsi="Times New Roman"/>
                <w:sz w:val="20"/>
                <w:lang w:val="en-US"/>
              </w:rPr>
              <w:t>N</w:t>
            </w:r>
            <w:r w:rsidRPr="00A8783E">
              <w:rPr>
                <w:rFonts w:ascii="Times New Roman" w:hAnsi="Times New Roman"/>
                <w:sz w:val="20"/>
                <w:lang w:val="ru-RU"/>
              </w:rPr>
              <w:t xml:space="preserve">09, </w:t>
            </w:r>
            <w:r w:rsidRPr="00A8783E">
              <w:rPr>
                <w:rFonts w:ascii="Times New Roman" w:hAnsi="Times New Roman"/>
                <w:sz w:val="20"/>
                <w:lang w:val="en-US"/>
              </w:rPr>
              <w:t>N</w:t>
            </w:r>
            <w:r w:rsidRPr="00A8783E">
              <w:rPr>
                <w:rFonts w:ascii="Times New Roman" w:hAnsi="Times New Roman"/>
                <w:sz w:val="20"/>
                <w:lang w:val="ru-RU"/>
              </w:rPr>
              <w:t xml:space="preserve">08, </w:t>
            </w:r>
            <w:r w:rsidRPr="00A8783E">
              <w:rPr>
                <w:rFonts w:ascii="Times New Roman" w:hAnsi="Times New Roman"/>
                <w:sz w:val="20"/>
                <w:lang w:val="en-US"/>
              </w:rPr>
              <w:t>N</w:t>
            </w:r>
            <w:r w:rsidRPr="00A8783E">
              <w:rPr>
                <w:rFonts w:ascii="Times New Roman" w:hAnsi="Times New Roman"/>
                <w:sz w:val="20"/>
                <w:lang w:val="ru-RU"/>
              </w:rPr>
              <w:t xml:space="preserve">15 и </w:t>
            </w:r>
            <w:r w:rsidRPr="00A8783E">
              <w:rPr>
                <w:rFonts w:ascii="Times New Roman" w:hAnsi="Times New Roman"/>
                <w:sz w:val="20"/>
                <w:lang w:val="en-US"/>
              </w:rPr>
              <w:t>N</w:t>
            </w:r>
            <w:r w:rsidRPr="00A8783E">
              <w:rPr>
                <w:rFonts w:ascii="Times New Roman" w:hAnsi="Times New Roman"/>
                <w:sz w:val="20"/>
                <w:lang w:val="ru-RU"/>
              </w:rPr>
              <w:t>21</w:t>
            </w:r>
            <w:r w:rsidRPr="00A8783E">
              <w:rPr>
                <w:rFonts w:ascii="Times New Roman" w:hAnsi="Times New Roman"/>
                <w:sz w:val="20"/>
              </w:rPr>
              <w:t>.</w:t>
            </w:r>
          </w:p>
        </w:tc>
        <w:tc>
          <w:tcPr>
            <w:tcW w:w="2410" w:type="dxa"/>
          </w:tcPr>
          <w:p w:rsidR="00A8783E" w:rsidRPr="00A8783E" w:rsidRDefault="00A8783E" w:rsidP="00A8783E">
            <w:pPr>
              <w:spacing w:after="0" w:line="240" w:lineRule="auto"/>
              <w:jc w:val="both"/>
              <w:rPr>
                <w:rFonts w:ascii="Times New Roman" w:hAnsi="Times New Roman"/>
                <w:color w:val="0070C0"/>
                <w:sz w:val="20"/>
              </w:rPr>
            </w:pPr>
            <w:r w:rsidRPr="00A8783E">
              <w:rPr>
                <w:rFonts w:ascii="Times New Roman" w:hAnsi="Times New Roman"/>
                <w:sz w:val="20"/>
              </w:rPr>
              <w:t>Поддържане на състоянието по този параметър. Редовен мониторинг.</w:t>
            </w:r>
          </w:p>
        </w:tc>
      </w:tr>
      <w:tr w:rsidR="00A8783E" w:rsidRPr="00A8783E" w:rsidTr="005B5318">
        <w:trPr>
          <w:trHeight w:val="436"/>
          <w:jc w:val="center"/>
        </w:trPr>
        <w:tc>
          <w:tcPr>
            <w:tcW w:w="1702" w:type="dxa"/>
            <w:shd w:val="clear" w:color="auto" w:fill="auto"/>
          </w:tcPr>
          <w:p w:rsidR="00A8783E" w:rsidRPr="00A8783E" w:rsidRDefault="00A8783E" w:rsidP="00A8783E">
            <w:pPr>
              <w:spacing w:after="0" w:line="240" w:lineRule="auto"/>
              <w:jc w:val="both"/>
              <w:rPr>
                <w:rFonts w:ascii="Times New Roman" w:hAnsi="Times New Roman" w:cs="Calibri"/>
                <w:b/>
                <w:sz w:val="20"/>
                <w:szCs w:val="20"/>
                <w:lang w:eastAsia="bg-BG"/>
              </w:rPr>
            </w:pPr>
            <w:r w:rsidRPr="00A8783E">
              <w:rPr>
                <w:rFonts w:ascii="Times New Roman" w:hAnsi="Times New Roman" w:cs="Calibri"/>
                <w:b/>
                <w:sz w:val="20"/>
                <w:szCs w:val="20"/>
                <w:lang w:eastAsia="bg-BG"/>
              </w:rPr>
              <w:t xml:space="preserve">Местообитание </w:t>
            </w:r>
          </w:p>
          <w:p w:rsidR="00A8783E" w:rsidRPr="00A8783E" w:rsidRDefault="00A8783E" w:rsidP="00A8783E">
            <w:pPr>
              <w:spacing w:after="0" w:line="240" w:lineRule="auto"/>
              <w:jc w:val="both"/>
              <w:rPr>
                <w:rFonts w:ascii="Times New Roman" w:hAnsi="Times New Roman" w:cs="Calibri"/>
                <w:b/>
                <w:sz w:val="20"/>
                <w:szCs w:val="20"/>
                <w:lang w:eastAsia="bg-BG"/>
              </w:rPr>
            </w:pPr>
            <w:r w:rsidRPr="00A8783E">
              <w:rPr>
                <w:rFonts w:ascii="Times New Roman" w:hAnsi="Times New Roman" w:cs="Calibri"/>
                <w:b/>
                <w:sz w:val="20"/>
                <w:szCs w:val="20"/>
                <w:lang w:eastAsia="bg-BG"/>
              </w:rPr>
              <w:t xml:space="preserve">на вида: </w:t>
            </w:r>
          </w:p>
          <w:p w:rsidR="00A8783E" w:rsidRPr="00A8783E" w:rsidRDefault="00A8783E" w:rsidP="00A8783E">
            <w:pPr>
              <w:spacing w:after="0" w:line="240" w:lineRule="auto"/>
              <w:jc w:val="both"/>
              <w:rPr>
                <w:rFonts w:ascii="Times New Roman" w:hAnsi="Times New Roman" w:cs="Calibri"/>
                <w:sz w:val="20"/>
                <w:szCs w:val="20"/>
                <w:lang w:eastAsia="bg-BG"/>
              </w:rPr>
            </w:pPr>
            <w:r w:rsidRPr="00A8783E">
              <w:rPr>
                <w:rFonts w:ascii="Times New Roman" w:hAnsi="Times New Roman" w:cs="Calibri"/>
                <w:sz w:val="20"/>
                <w:szCs w:val="20"/>
                <w:lang w:eastAsia="bg-BG"/>
              </w:rPr>
              <w:t xml:space="preserve">Качество на </w:t>
            </w:r>
          </w:p>
          <w:p w:rsidR="00A8783E" w:rsidRPr="00A8783E" w:rsidRDefault="00A8783E" w:rsidP="00A8783E">
            <w:pPr>
              <w:spacing w:after="0" w:line="240" w:lineRule="auto"/>
              <w:jc w:val="both"/>
              <w:rPr>
                <w:rFonts w:ascii="Times New Roman" w:hAnsi="Times New Roman" w:cs="Calibri"/>
                <w:sz w:val="20"/>
                <w:szCs w:val="20"/>
                <w:lang w:eastAsia="bg-BG"/>
              </w:rPr>
            </w:pPr>
            <w:r w:rsidRPr="00A8783E">
              <w:rPr>
                <w:rFonts w:ascii="Times New Roman" w:hAnsi="Times New Roman" w:cs="Calibri"/>
                <w:sz w:val="20"/>
                <w:szCs w:val="20"/>
                <w:lang w:eastAsia="bg-BG"/>
              </w:rPr>
              <w:t xml:space="preserve">подходящите </w:t>
            </w:r>
          </w:p>
          <w:p w:rsidR="00A8783E" w:rsidRPr="00A8783E" w:rsidRDefault="00A8783E" w:rsidP="00A8783E">
            <w:pPr>
              <w:spacing w:after="0" w:line="240" w:lineRule="auto"/>
              <w:jc w:val="both"/>
              <w:rPr>
                <w:rFonts w:ascii="Times New Roman" w:hAnsi="Times New Roman" w:cs="Calibri"/>
                <w:sz w:val="20"/>
                <w:szCs w:val="20"/>
                <w:lang w:eastAsia="bg-BG"/>
              </w:rPr>
            </w:pPr>
            <w:r w:rsidRPr="00A8783E">
              <w:rPr>
                <w:rFonts w:ascii="Times New Roman" w:hAnsi="Times New Roman" w:cs="Calibri"/>
                <w:sz w:val="20"/>
                <w:szCs w:val="20"/>
                <w:lang w:eastAsia="bg-BG"/>
              </w:rPr>
              <w:t xml:space="preserve">местообитания </w:t>
            </w:r>
          </w:p>
          <w:p w:rsidR="00A8783E" w:rsidRPr="00A8783E" w:rsidRDefault="00A8783E" w:rsidP="00A8783E">
            <w:pPr>
              <w:spacing w:after="0" w:line="240" w:lineRule="auto"/>
              <w:jc w:val="both"/>
              <w:rPr>
                <w:rFonts w:ascii="Times New Roman" w:hAnsi="Times New Roman" w:cs="Calibri"/>
                <w:b/>
                <w:sz w:val="20"/>
                <w:szCs w:val="20"/>
                <w:lang w:eastAsia="bg-BG"/>
              </w:rPr>
            </w:pPr>
            <w:r w:rsidRPr="00A8783E">
              <w:rPr>
                <w:rFonts w:ascii="Times New Roman" w:hAnsi="Times New Roman" w:cs="Calibri"/>
                <w:sz w:val="20"/>
                <w:szCs w:val="20"/>
                <w:lang w:eastAsia="bg-BG"/>
              </w:rPr>
              <w:t>на вида в зоната</w:t>
            </w:r>
          </w:p>
        </w:tc>
        <w:tc>
          <w:tcPr>
            <w:tcW w:w="1275" w:type="dxa"/>
            <w:shd w:val="clear" w:color="auto" w:fill="auto"/>
          </w:tcPr>
          <w:p w:rsidR="00A8783E" w:rsidRPr="00A8783E" w:rsidRDefault="00A8783E" w:rsidP="00A8783E">
            <w:pPr>
              <w:spacing w:after="0" w:line="240" w:lineRule="auto"/>
              <w:jc w:val="both"/>
              <w:rPr>
                <w:rFonts w:ascii="Times New Roman" w:hAnsi="Times New Roman" w:cs="Calibri"/>
                <w:sz w:val="20"/>
                <w:szCs w:val="20"/>
                <w:lang w:eastAsia="bg-BG"/>
              </w:rPr>
            </w:pPr>
            <w:r w:rsidRPr="00A8783E">
              <w:rPr>
                <w:rFonts w:ascii="Times New Roman" w:hAnsi="Times New Roman" w:cs="Calibri"/>
                <w:sz w:val="20"/>
                <w:szCs w:val="20"/>
                <w:lang w:eastAsia="bg-BG"/>
              </w:rPr>
              <w:t xml:space="preserve">Брой </w:t>
            </w:r>
          </w:p>
          <w:p w:rsidR="00A8783E" w:rsidRPr="00A8783E" w:rsidRDefault="00A8783E" w:rsidP="00A8783E">
            <w:pPr>
              <w:spacing w:after="0" w:line="240" w:lineRule="auto"/>
              <w:jc w:val="both"/>
              <w:rPr>
                <w:rFonts w:ascii="Times New Roman" w:hAnsi="Times New Roman" w:cs="Calibri"/>
                <w:sz w:val="20"/>
                <w:szCs w:val="20"/>
                <w:lang w:eastAsia="bg-BG"/>
              </w:rPr>
            </w:pPr>
            <w:r w:rsidRPr="00A8783E">
              <w:rPr>
                <w:rFonts w:ascii="Times New Roman" w:hAnsi="Times New Roman" w:cs="Calibri"/>
                <w:sz w:val="20"/>
                <w:szCs w:val="20"/>
                <w:lang w:eastAsia="bg-BG"/>
              </w:rPr>
              <w:t xml:space="preserve">подходящи </w:t>
            </w:r>
          </w:p>
          <w:p w:rsidR="00A8783E" w:rsidRPr="00A8783E" w:rsidRDefault="00A8783E" w:rsidP="00A8783E">
            <w:pPr>
              <w:spacing w:after="0" w:line="240" w:lineRule="auto"/>
              <w:jc w:val="both"/>
              <w:rPr>
                <w:rFonts w:ascii="Times New Roman" w:hAnsi="Times New Roman" w:cs="Calibri"/>
                <w:sz w:val="20"/>
                <w:szCs w:val="20"/>
                <w:lang w:eastAsia="bg-BG"/>
              </w:rPr>
            </w:pPr>
            <w:r w:rsidRPr="00A8783E">
              <w:rPr>
                <w:rFonts w:ascii="Times New Roman" w:hAnsi="Times New Roman" w:cs="Calibri"/>
                <w:sz w:val="20"/>
                <w:szCs w:val="20"/>
                <w:lang w:eastAsia="bg-BG"/>
              </w:rPr>
              <w:t xml:space="preserve">дървета за </w:t>
            </w:r>
          </w:p>
          <w:p w:rsidR="00A8783E" w:rsidRPr="00A8783E" w:rsidRDefault="00A8783E" w:rsidP="00A8783E">
            <w:pPr>
              <w:spacing w:after="0" w:line="240" w:lineRule="auto"/>
              <w:jc w:val="both"/>
              <w:rPr>
                <w:rFonts w:ascii="Times New Roman" w:hAnsi="Times New Roman" w:cs="Calibri"/>
                <w:sz w:val="20"/>
                <w:szCs w:val="20"/>
                <w:lang w:eastAsia="bg-BG"/>
              </w:rPr>
            </w:pPr>
            <w:r w:rsidRPr="00A8783E">
              <w:rPr>
                <w:rFonts w:ascii="Times New Roman" w:hAnsi="Times New Roman" w:cs="Calibri"/>
                <w:sz w:val="20"/>
                <w:szCs w:val="20"/>
                <w:lang w:eastAsia="bg-BG"/>
              </w:rPr>
              <w:t xml:space="preserve">гнездене на </w:t>
            </w:r>
          </w:p>
        </w:tc>
        <w:tc>
          <w:tcPr>
            <w:tcW w:w="1276" w:type="dxa"/>
            <w:shd w:val="clear" w:color="auto" w:fill="auto"/>
          </w:tcPr>
          <w:p w:rsidR="00A8783E" w:rsidRPr="00A8783E" w:rsidRDefault="00A8783E" w:rsidP="00A8783E">
            <w:pPr>
              <w:spacing w:after="0" w:line="240" w:lineRule="auto"/>
              <w:jc w:val="both"/>
              <w:rPr>
                <w:rFonts w:ascii="Times New Roman" w:hAnsi="Times New Roman" w:cs="Calibri"/>
                <w:sz w:val="20"/>
                <w:szCs w:val="20"/>
                <w:lang w:eastAsia="bg-BG"/>
              </w:rPr>
            </w:pPr>
            <w:r w:rsidRPr="00A8783E">
              <w:rPr>
                <w:rFonts w:ascii="Times New Roman" w:hAnsi="Times New Roman" w:cs="Calibri"/>
                <w:sz w:val="20"/>
                <w:szCs w:val="20"/>
                <w:lang w:eastAsia="bg-BG"/>
              </w:rPr>
              <w:t xml:space="preserve">Най-малко 1 брой </w:t>
            </w:r>
          </w:p>
          <w:p w:rsidR="00A8783E" w:rsidRPr="00A8783E" w:rsidRDefault="00A8783E" w:rsidP="00A8783E">
            <w:pPr>
              <w:spacing w:after="0" w:line="240" w:lineRule="auto"/>
              <w:jc w:val="both"/>
              <w:rPr>
                <w:rFonts w:ascii="Times New Roman" w:hAnsi="Times New Roman" w:cs="Calibri"/>
                <w:sz w:val="20"/>
                <w:szCs w:val="20"/>
                <w:lang w:eastAsia="bg-BG"/>
              </w:rPr>
            </w:pPr>
            <w:r w:rsidRPr="00A8783E">
              <w:rPr>
                <w:rFonts w:ascii="Times New Roman" w:hAnsi="Times New Roman" w:cs="Calibri"/>
                <w:sz w:val="20"/>
                <w:szCs w:val="20"/>
                <w:lang w:eastAsia="bg-BG"/>
              </w:rPr>
              <w:t xml:space="preserve">подходящи </w:t>
            </w:r>
          </w:p>
          <w:p w:rsidR="00A8783E" w:rsidRPr="00A8783E" w:rsidRDefault="00A8783E" w:rsidP="00A8783E">
            <w:pPr>
              <w:spacing w:after="0" w:line="240" w:lineRule="auto"/>
              <w:jc w:val="both"/>
              <w:rPr>
                <w:rFonts w:ascii="Times New Roman" w:hAnsi="Times New Roman" w:cs="Calibri"/>
                <w:sz w:val="20"/>
                <w:szCs w:val="20"/>
                <w:lang w:eastAsia="bg-BG"/>
              </w:rPr>
            </w:pPr>
            <w:r w:rsidRPr="00A8783E">
              <w:rPr>
                <w:rFonts w:ascii="Times New Roman" w:hAnsi="Times New Roman" w:cs="Calibri"/>
                <w:sz w:val="20"/>
                <w:szCs w:val="20"/>
                <w:lang w:eastAsia="bg-BG"/>
              </w:rPr>
              <w:t xml:space="preserve">дървета за </w:t>
            </w:r>
          </w:p>
          <w:p w:rsidR="00A8783E" w:rsidRPr="00A8783E" w:rsidRDefault="00A8783E" w:rsidP="00A8783E">
            <w:pPr>
              <w:spacing w:after="0" w:line="240" w:lineRule="auto"/>
              <w:jc w:val="both"/>
              <w:rPr>
                <w:rFonts w:ascii="Times New Roman" w:hAnsi="Times New Roman" w:cs="Calibri"/>
                <w:sz w:val="20"/>
                <w:szCs w:val="20"/>
                <w:lang w:eastAsia="bg-BG"/>
              </w:rPr>
            </w:pPr>
            <w:r w:rsidRPr="00A8783E">
              <w:rPr>
                <w:rFonts w:ascii="Times New Roman" w:hAnsi="Times New Roman" w:cs="Calibri"/>
                <w:sz w:val="20"/>
                <w:szCs w:val="20"/>
                <w:lang w:eastAsia="bg-BG"/>
              </w:rPr>
              <w:t>гнездене</w:t>
            </w:r>
          </w:p>
        </w:tc>
        <w:tc>
          <w:tcPr>
            <w:tcW w:w="2693" w:type="dxa"/>
            <w:shd w:val="clear" w:color="auto" w:fill="auto"/>
          </w:tcPr>
          <w:p w:rsidR="00A8783E" w:rsidRPr="00A8783E" w:rsidRDefault="00A8783E" w:rsidP="00A8783E">
            <w:pPr>
              <w:spacing w:after="120" w:line="240" w:lineRule="auto"/>
              <w:jc w:val="both"/>
              <w:rPr>
                <w:rFonts w:ascii="Times New Roman" w:hAnsi="Times New Roman" w:cs="Calibri"/>
                <w:sz w:val="20"/>
                <w:szCs w:val="20"/>
                <w:lang w:eastAsia="bg-BG"/>
              </w:rPr>
            </w:pPr>
            <w:r w:rsidRPr="00A8783E">
              <w:rPr>
                <w:rFonts w:ascii="Times New Roman" w:hAnsi="Times New Roman" w:cs="Calibri"/>
                <w:sz w:val="20"/>
                <w:szCs w:val="20"/>
                <w:lang w:eastAsia="bg-BG"/>
              </w:rPr>
              <w:t xml:space="preserve">Видът гнезди в хралупи на дървета (орех, дъб, върба, бряст) на височина 3-7 m. Важно е да се запазят стари дървета (орех, дъб, върба, бряст) и стари крайречните гори. Гъстотата на такива дървета следва да е не по-малка от 1 дърво на хектар, с дебелина на ствола от 30 cm. Към настоящия момент не са налични данни за броя на подходящите дървета, поради което е формулирана междинна цел. В случай, че този брой е по-малък от целевата стойност и като се има предвид дългият период от време за постигане на благоприятна стойност по този параметър, могат да се предприемат действия за инсталиране на къщички за </w:t>
            </w:r>
            <w:r w:rsidRPr="00A8783E">
              <w:rPr>
                <w:rFonts w:ascii="Times New Roman" w:hAnsi="Times New Roman" w:cs="Calibri"/>
                <w:sz w:val="20"/>
                <w:szCs w:val="20"/>
                <w:lang w:eastAsia="bg-BG"/>
              </w:rPr>
              <w:lastRenderedPageBreak/>
              <w:t>гнездене на вида, което ще подобри състоянието на популацията в много кратък период от време.</w:t>
            </w:r>
          </w:p>
        </w:tc>
        <w:tc>
          <w:tcPr>
            <w:tcW w:w="2410" w:type="dxa"/>
          </w:tcPr>
          <w:p w:rsidR="00A8783E" w:rsidRPr="00A8783E" w:rsidRDefault="00A8783E" w:rsidP="00A8783E">
            <w:pPr>
              <w:spacing w:after="0" w:line="240" w:lineRule="auto"/>
              <w:jc w:val="both"/>
              <w:rPr>
                <w:rFonts w:ascii="Times New Roman" w:hAnsi="Times New Roman" w:cs="Calibri"/>
                <w:sz w:val="20"/>
                <w:szCs w:val="20"/>
                <w:lang w:eastAsia="bg-BG"/>
              </w:rPr>
            </w:pPr>
            <w:r w:rsidRPr="00A8783E">
              <w:rPr>
                <w:rFonts w:ascii="Times New Roman" w:hAnsi="Times New Roman" w:cs="Calibri"/>
                <w:sz w:val="20"/>
                <w:szCs w:val="20"/>
                <w:lang w:eastAsia="bg-BG"/>
              </w:rPr>
              <w:lastRenderedPageBreak/>
              <w:t xml:space="preserve">Междинна цел: Да се установи броя на подходящите дървета за </w:t>
            </w:r>
          </w:p>
          <w:p w:rsidR="00A8783E" w:rsidRPr="00A8783E" w:rsidRDefault="00A8783E" w:rsidP="00A8783E">
            <w:pPr>
              <w:spacing w:after="0" w:line="240" w:lineRule="auto"/>
              <w:jc w:val="both"/>
              <w:rPr>
                <w:rFonts w:ascii="Times New Roman" w:hAnsi="Times New Roman" w:cs="Calibri"/>
                <w:sz w:val="20"/>
                <w:szCs w:val="20"/>
                <w:lang w:eastAsia="bg-BG"/>
              </w:rPr>
            </w:pPr>
            <w:r w:rsidRPr="00A8783E">
              <w:rPr>
                <w:rFonts w:ascii="Times New Roman" w:hAnsi="Times New Roman" w:cs="Calibri"/>
                <w:sz w:val="20"/>
                <w:szCs w:val="20"/>
                <w:lang w:eastAsia="bg-BG"/>
              </w:rPr>
              <w:t xml:space="preserve">гнездене, както и високи места, подходящи за лов, на хектар, чрез провеждане на теренни </w:t>
            </w:r>
          </w:p>
          <w:p w:rsidR="00A8783E" w:rsidRPr="00A8783E" w:rsidRDefault="00A8783E" w:rsidP="00A8783E">
            <w:pPr>
              <w:spacing w:after="0" w:line="240" w:lineRule="auto"/>
              <w:jc w:val="both"/>
              <w:rPr>
                <w:rFonts w:ascii="Times New Roman" w:hAnsi="Times New Roman" w:cs="Calibri"/>
                <w:sz w:val="20"/>
                <w:szCs w:val="20"/>
                <w:lang w:eastAsia="bg-BG"/>
              </w:rPr>
            </w:pPr>
            <w:r w:rsidRPr="00A8783E">
              <w:rPr>
                <w:rFonts w:ascii="Times New Roman" w:hAnsi="Times New Roman" w:cs="Calibri"/>
                <w:sz w:val="20"/>
                <w:szCs w:val="20"/>
                <w:lang w:eastAsia="bg-BG"/>
              </w:rPr>
              <w:t>проучвания до 2025 г.</w:t>
            </w:r>
          </w:p>
        </w:tc>
      </w:tr>
    </w:tbl>
    <w:p w:rsidR="00A8783E" w:rsidRPr="00A8783E" w:rsidRDefault="00A8783E" w:rsidP="00A8783E">
      <w:pPr>
        <w:spacing w:before="120" w:after="120" w:line="259" w:lineRule="auto"/>
        <w:jc w:val="both"/>
        <w:rPr>
          <w:rFonts w:ascii="Times New Roman" w:hAnsi="Times New Roman"/>
          <w:sz w:val="24"/>
          <w:szCs w:val="24"/>
          <w:lang w:val="en-US"/>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462" w:name="_Toc88865735"/>
      <w:bookmarkStart w:id="463" w:name="_Toc89106142"/>
      <w:bookmarkStart w:id="464" w:name="_Toc98741981"/>
      <w:bookmarkStart w:id="465" w:name="_Toc98838656"/>
      <w:r w:rsidRPr="00A8783E">
        <w:rPr>
          <w:rFonts w:ascii="Times New Roman" w:hAnsi="Times New Roman"/>
          <w:color w:val="1F497D"/>
          <w:sz w:val="28"/>
          <w:szCs w:val="28"/>
        </w:rPr>
        <w:t xml:space="preserve">Специфични цели за  A234 </w:t>
      </w:r>
      <w:r w:rsidRPr="00A8783E">
        <w:rPr>
          <w:rFonts w:ascii="Times New Roman" w:hAnsi="Times New Roman"/>
          <w:i/>
          <w:iCs/>
          <w:color w:val="1F497D"/>
          <w:sz w:val="28"/>
          <w:szCs w:val="28"/>
        </w:rPr>
        <w:t>Picus canus</w:t>
      </w:r>
      <w:r w:rsidRPr="00A8783E">
        <w:rPr>
          <w:rFonts w:ascii="Times New Roman" w:hAnsi="Times New Roman"/>
          <w:color w:val="1F497D"/>
          <w:sz w:val="28"/>
          <w:szCs w:val="28"/>
        </w:rPr>
        <w:t xml:space="preserve"> (Сив кълвач)</w:t>
      </w:r>
      <w:bookmarkEnd w:id="462"/>
      <w:bookmarkEnd w:id="463"/>
      <w:bookmarkEnd w:id="464"/>
      <w:bookmarkEnd w:id="465"/>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1. Кратка характеристика на вида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25-26 </w:t>
      </w:r>
      <w:r w:rsidRPr="00A8783E">
        <w:rPr>
          <w:rFonts w:ascii="Times New Roman" w:hAnsi="Times New Roman"/>
          <w:sz w:val="24"/>
          <w:szCs w:val="24"/>
          <w:lang w:val="en-US"/>
        </w:rPr>
        <w:t>cm</w:t>
      </w:r>
      <w:r w:rsidRPr="00A8783E">
        <w:rPr>
          <w:rFonts w:ascii="Times New Roman" w:hAnsi="Times New Roman"/>
          <w:sz w:val="24"/>
          <w:szCs w:val="24"/>
        </w:rPr>
        <w:t>. Челото и предната част на темето са червени. Задната част на темето и тилът са сиви. Между клюна и окото има черно петно. От ъгъла на клюна до под ухото има тънка черна ивица – „мустаци“. Горната страна на тялото е сива със слаб зеленикав оттенък на кръста. Маховите и кормилни пера са кафяви със светли петна. Гърлото е белезникаво, гърдите и коремът светлосиви до жълтеникаво резедави изцяло едноцветни. При женските челото и предната част на темето са сиви (Нанкинов и др., 1997)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Постоянен вид.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Обитава стари (първични) букови и дъбови гори до 1000-1200 </w:t>
      </w:r>
      <w:r w:rsidRPr="00A8783E">
        <w:rPr>
          <w:rFonts w:ascii="Times New Roman" w:hAnsi="Times New Roman"/>
          <w:sz w:val="24"/>
          <w:szCs w:val="24"/>
          <w:lang w:val="en-US"/>
        </w:rPr>
        <w:t>m</w:t>
      </w:r>
      <w:r w:rsidRPr="00A8783E">
        <w:rPr>
          <w:rFonts w:ascii="Times New Roman" w:hAnsi="Times New Roman"/>
          <w:sz w:val="24"/>
          <w:szCs w:val="24"/>
        </w:rPr>
        <w:t xml:space="preserve"> надморска височина.  Обитава също крайречни и други гори със стари дървета, градски паркове, овощни градини. Извън гнездовия период се среща  до горната граница на горите. Според Янков (отг. ред., 2007) гнезди в стари широколистни гори (Алувиални и много влажни  гори и храсталаци, широколистни листопадни гори и смесени гори, често и в по-гъсти крайречни ивици с лонгозен характер (Ивици дървета, храсти и мозайки от тях), понякога в стари крайградски паркове, селища от селски тип.</w:t>
      </w:r>
      <w:r w:rsidRPr="00A8783E">
        <w:rPr>
          <w:rFonts w:ascii="Times New Roman" w:hAnsi="Times New Roman"/>
          <w:i/>
          <w:iCs/>
          <w:sz w:val="24"/>
          <w:szCs w:val="24"/>
        </w:rPr>
        <w:t xml:space="preserve"> </w:t>
      </w:r>
      <w:r w:rsidRPr="00A8783E">
        <w:rPr>
          <w:rFonts w:ascii="Times New Roman" w:hAnsi="Times New Roman"/>
          <w:sz w:val="24"/>
          <w:szCs w:val="24"/>
        </w:rPr>
        <w:t>Подходящи местообитания за гнездене на вида са - 91E0, 91F0, 91H0, 91M0, 91Z0 (Кавръкова, В. и др. 2009).</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Изследване в Западни Родопи разкрива, че сивият кълвач обитава разнообразни горски местообитания, но предпочита горите от бук и бял бор. Повечето от териториите се намират в стари гори с много умиращи или сухи дървета. Надморските височини на местностите варират от 450 до 1535 m (средно 1185 m) (Shurulinkov et al., 2012). Изследване в Алпите (Австрия) разкрива, че сивият кълвач има петнисто разпространение като обитава полуотворени широколистни и смесени гори. Има определени предпочитания към горите по източни и западни склонове. В изследването е установена средна плътност от 0,5-0,6 територии/100 ha, като когато местообитанието е оптимално плътността може да достигне 1,25 територии/100 ha. (Weißmair and Pühringer, 2015). Изследване в Норвегия показва, че през лятото сивите кълвачи използват за търсене на храна територия от около 50-100 ha, докато през зимата – 4500-5400 ha. (Rolstad and Rolstad, 1995). В Западна Полша в стопанисвани гори е установена гнездова плътност от 0,3-0,6 територии/100 ha. Хралупите са разположени изключително в бук като дебелината на дървото на височината на гърдите е 56 cm. Според авторите сивият кълвач гнезди в стари дървета (с дебелина на ствола над 40 cm), но се храни в по-млади гори богати на мравки (Kosiński and Kempa, 2007).</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Храни се с яйца, ларви и възрастни на мравки, различни насекоми, семена на различни широколистни дървета и храсти.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sz w:val="24"/>
          <w:szCs w:val="24"/>
        </w:rPr>
        <w:t>С петнисто разпространение на територията на цялата страна, обхващащо по-цялостно Странджа, Източна и Западна Стара планина,</w:t>
      </w:r>
      <w:r w:rsidRPr="00A8783E">
        <w:rPr>
          <w:rFonts w:ascii="Times New Roman" w:hAnsi="Times New Roman"/>
          <w:sz w:val="24"/>
          <w:szCs w:val="24"/>
          <w:lang w:val="ru-RU"/>
        </w:rPr>
        <w:t xml:space="preserve"> </w:t>
      </w:r>
      <w:r w:rsidRPr="00A8783E">
        <w:rPr>
          <w:rFonts w:ascii="Times New Roman" w:hAnsi="Times New Roman"/>
          <w:sz w:val="24"/>
          <w:szCs w:val="24"/>
        </w:rPr>
        <w:t>Средна гора, Витоша и планините около нея, Пирин, Централните Родопи, Черноморското крайбрежие, поречията на реките Дунав, Искър</w:t>
      </w:r>
      <w:r w:rsidRPr="00A8783E">
        <w:rPr>
          <w:rFonts w:ascii="Times New Roman" w:hAnsi="Times New Roman"/>
          <w:sz w:val="24"/>
          <w:szCs w:val="24"/>
          <w:lang w:val="ru-RU"/>
        </w:rPr>
        <w:t xml:space="preserve"> </w:t>
      </w:r>
      <w:r w:rsidRPr="00A8783E">
        <w:rPr>
          <w:rFonts w:ascii="Times New Roman" w:hAnsi="Times New Roman"/>
          <w:sz w:val="24"/>
          <w:szCs w:val="24"/>
        </w:rPr>
        <w:t>и другите по-големи реки в Дунавската равнина, Тунджа, Арда, Струма</w:t>
      </w:r>
      <w:r w:rsidRPr="00A8783E">
        <w:rPr>
          <w:rFonts w:ascii="Times New Roman" w:hAnsi="Times New Roman"/>
          <w:sz w:val="24"/>
          <w:szCs w:val="24"/>
          <w:lang w:val="ru-RU"/>
        </w:rPr>
        <w:t xml:space="preserve"> </w:t>
      </w:r>
      <w:r w:rsidRPr="00A8783E">
        <w:rPr>
          <w:rFonts w:ascii="Times New Roman" w:hAnsi="Times New Roman"/>
          <w:sz w:val="24"/>
          <w:szCs w:val="24"/>
        </w:rPr>
        <w:t>и др. Разпръснато в Западните погранични планини, Подбалканските</w:t>
      </w:r>
      <w:r w:rsidRPr="00A8783E">
        <w:rPr>
          <w:rFonts w:ascii="Times New Roman" w:hAnsi="Times New Roman"/>
          <w:sz w:val="24"/>
          <w:szCs w:val="24"/>
          <w:lang w:val="ru-RU"/>
        </w:rPr>
        <w:t xml:space="preserve"> </w:t>
      </w:r>
      <w:r w:rsidRPr="00A8783E">
        <w:rPr>
          <w:rFonts w:ascii="Times New Roman" w:hAnsi="Times New Roman"/>
          <w:sz w:val="24"/>
          <w:szCs w:val="24"/>
        </w:rPr>
        <w:t xml:space="preserve">котловини и т.н. </w:t>
      </w:r>
      <w:r w:rsidRPr="00A8783E">
        <w:rPr>
          <w:rFonts w:ascii="Times New Roman" w:hAnsi="Times New Roman"/>
          <w:color w:val="000000"/>
          <w:sz w:val="24"/>
          <w:szCs w:val="24"/>
        </w:rPr>
        <w:t>(Янков отг. ред., 2007).</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 xml:space="preserve">Включен в Приложения II и III на ЗБР и приложение I на Директивата за птиците. Включен в Червена книга на България в категория застрашен – </w:t>
      </w:r>
      <w:r w:rsidRPr="00A8783E">
        <w:rPr>
          <w:rFonts w:ascii="Times New Roman" w:hAnsi="Times New Roman"/>
          <w:sz w:val="24"/>
          <w:szCs w:val="24"/>
          <w:lang w:val="en-US"/>
        </w:rPr>
        <w:t>EN</w:t>
      </w:r>
      <w:r w:rsidRPr="00A8783E">
        <w:rPr>
          <w:rFonts w:ascii="Times New Roman" w:hAnsi="Times New Roman"/>
          <w:sz w:val="24"/>
          <w:szCs w:val="24"/>
        </w:rPr>
        <w:t>.</w:t>
      </w:r>
      <w:r w:rsidRPr="00A8783E">
        <w:rPr>
          <w:rFonts w:ascii="Times New Roman" w:hAnsi="Times New Roman"/>
          <w:color w:val="FF0000"/>
          <w:sz w:val="24"/>
          <w:szCs w:val="24"/>
        </w:rPr>
        <w:t xml:space="preserve"> </w:t>
      </w:r>
      <w:r w:rsidRPr="00A8783E">
        <w:rPr>
          <w:rFonts w:ascii="Times New Roman" w:hAnsi="Times New Roman"/>
          <w:sz w:val="24"/>
          <w:szCs w:val="24"/>
        </w:rPr>
        <w:t xml:space="preserve">Според </w:t>
      </w:r>
      <w:r w:rsidRPr="00A8783E">
        <w:rPr>
          <w:rFonts w:ascii="Times New Roman" w:hAnsi="Times New Roman"/>
          <w:sz w:val="24"/>
          <w:szCs w:val="24"/>
          <w:lang w:val="en-GB"/>
        </w:rPr>
        <w:t>IUCN</w:t>
      </w:r>
      <w:r w:rsidRPr="00A8783E">
        <w:rPr>
          <w:rFonts w:ascii="Times New Roman" w:hAnsi="Times New Roman"/>
          <w:sz w:val="24"/>
          <w:szCs w:val="24"/>
        </w:rPr>
        <w:t xml:space="preserve"> –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rPr>
        <w:t xml:space="preserve"> </w:t>
      </w:r>
      <w:r w:rsidRPr="00A8783E">
        <w:rPr>
          <w:rFonts w:ascii="Times New Roman" w:hAnsi="Times New Roman"/>
          <w:sz w:val="24"/>
          <w:szCs w:val="24"/>
          <w:lang w:val="en-GB"/>
        </w:rPr>
        <w:t>Concern</w:t>
      </w:r>
      <w:r w:rsidRPr="00A8783E">
        <w:rPr>
          <w:rFonts w:ascii="Times New Roman" w:hAnsi="Times New Roman"/>
          <w:sz w:val="24"/>
          <w:szCs w:val="24"/>
        </w:rPr>
        <w:t xml:space="preserve">), за територията на континентална Европа –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rPr>
        <w:t xml:space="preserve"> </w:t>
      </w:r>
      <w:r w:rsidRPr="00A8783E">
        <w:rPr>
          <w:rFonts w:ascii="Times New Roman" w:hAnsi="Times New Roman"/>
          <w:sz w:val="24"/>
          <w:szCs w:val="24"/>
          <w:lang w:val="en-GB"/>
        </w:rPr>
        <w:t>Concern</w:t>
      </w:r>
      <w:r w:rsidRPr="00A8783E">
        <w:rPr>
          <w:rFonts w:ascii="Times New Roman" w:hAnsi="Times New Roman"/>
          <w:sz w:val="24"/>
          <w:szCs w:val="24"/>
        </w:rPr>
        <w:t xml:space="preserve">). Няма </w:t>
      </w:r>
      <w:r w:rsidRPr="00A8783E">
        <w:rPr>
          <w:rFonts w:ascii="Times New Roman" w:hAnsi="Times New Roman"/>
          <w:sz w:val="24"/>
          <w:szCs w:val="24"/>
          <w:lang w:val="en-GB"/>
        </w:rPr>
        <w:t>SPEC</w:t>
      </w:r>
      <w:r w:rsidRPr="00A8783E">
        <w:rPr>
          <w:rFonts w:ascii="Times New Roman" w:hAnsi="Times New Roman"/>
          <w:sz w:val="24"/>
          <w:szCs w:val="24"/>
        </w:rPr>
        <w:t xml:space="preserve"> 2 </w:t>
      </w:r>
      <w:r w:rsidRPr="00A8783E">
        <w:rPr>
          <w:rFonts w:ascii="Times New Roman" w:hAnsi="Times New Roman"/>
          <w:sz w:val="24"/>
          <w:szCs w:val="24"/>
          <w:lang w:val="ru-RU"/>
        </w:rPr>
        <w:t>(</w:t>
      </w:r>
      <w:r w:rsidRPr="00A8783E">
        <w:rPr>
          <w:rFonts w:ascii="Times New Roman" w:hAnsi="Times New Roman"/>
          <w:sz w:val="24"/>
          <w:szCs w:val="24"/>
          <w:lang w:val="en-US"/>
        </w:rPr>
        <w:t>BirdLife</w:t>
      </w:r>
      <w:r w:rsidRPr="00A8783E">
        <w:rPr>
          <w:rFonts w:ascii="Times New Roman" w:hAnsi="Times New Roman"/>
          <w:sz w:val="24"/>
          <w:szCs w:val="24"/>
          <w:lang w:val="ru-RU"/>
        </w:rPr>
        <w:t xml:space="preserve"> </w:t>
      </w:r>
      <w:r w:rsidRPr="00A8783E">
        <w:rPr>
          <w:rFonts w:ascii="Times New Roman" w:hAnsi="Times New Roman"/>
          <w:sz w:val="24"/>
          <w:szCs w:val="24"/>
          <w:lang w:val="en-US"/>
        </w:rPr>
        <w:t>International</w:t>
      </w:r>
      <w:r w:rsidRPr="00A8783E">
        <w:rPr>
          <w:rFonts w:ascii="Times New Roman" w:hAnsi="Times New Roman"/>
          <w:sz w:val="24"/>
          <w:szCs w:val="24"/>
          <w:lang w:val="ru-RU"/>
        </w:rPr>
        <w:t>, 2017).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2013-2018 г.), </w:t>
      </w:r>
      <w:r w:rsidRPr="00A8783E">
        <w:rPr>
          <w:rFonts w:ascii="Times New Roman" w:hAnsi="Times New Roman"/>
          <w:b/>
          <w:bCs/>
          <w:sz w:val="24"/>
          <w:szCs w:val="24"/>
        </w:rPr>
        <w:t>гнездящата</w:t>
      </w:r>
      <w:r w:rsidRPr="00A8783E">
        <w:rPr>
          <w:rFonts w:ascii="Times New Roman" w:hAnsi="Times New Roman"/>
          <w:sz w:val="24"/>
          <w:szCs w:val="24"/>
        </w:rPr>
        <w:t xml:space="preserve"> популация е от 6500 – 10000 дв, като краткосрочната тенденция (2001-2018) на популацията е оценена на стабилна. Дългосрочната тенденция (1980 - 2018) на популацията е оценена на стабилна. За гнездящата популация са посочени следните заплахи и влияния:</w:t>
      </w:r>
      <w:r w:rsidRPr="00A8783E">
        <w:t xml:space="preserve"> </w:t>
      </w:r>
      <w:r w:rsidRPr="00A8783E">
        <w:rPr>
          <w:rFonts w:ascii="Times New Roman" w:hAnsi="Times New Roman"/>
          <w:sz w:val="24"/>
          <w:szCs w:val="24"/>
        </w:rPr>
        <w:t>B02, B03.</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Червена книга на Р България (2015) като отрицателни фактори са посочени силно намаляване</w:t>
      </w:r>
      <w:r w:rsidRPr="00A8783E">
        <w:rPr>
          <w:rFonts w:ascii="Times New Roman" w:hAnsi="Times New Roman"/>
          <w:b/>
          <w:bCs/>
          <w:sz w:val="24"/>
          <w:szCs w:val="24"/>
        </w:rPr>
        <w:t xml:space="preserve"> </w:t>
      </w:r>
      <w:r w:rsidRPr="00A8783E">
        <w:rPr>
          <w:rFonts w:ascii="Times New Roman" w:hAnsi="Times New Roman"/>
          <w:sz w:val="24"/>
          <w:szCs w:val="24"/>
        </w:rPr>
        <w:t>на площта</w:t>
      </w:r>
      <w:r w:rsidRPr="00A8783E">
        <w:rPr>
          <w:rFonts w:ascii="Times New Roman" w:hAnsi="Times New Roman"/>
          <w:b/>
          <w:bCs/>
          <w:sz w:val="24"/>
          <w:szCs w:val="24"/>
        </w:rPr>
        <w:t xml:space="preserve"> </w:t>
      </w:r>
      <w:r w:rsidRPr="00A8783E">
        <w:rPr>
          <w:rFonts w:ascii="Times New Roman" w:hAnsi="Times New Roman"/>
          <w:sz w:val="24"/>
          <w:szCs w:val="24"/>
        </w:rPr>
        <w:t xml:space="preserve">на старите гори през последните 50 години, залесяване с иглолистни култури и санитарни сечи; незаконни сечи в равнините и ниския планински пояс през последните 15 години; намаляване на трофичната база; тясна специализация към храна и местообитание; конкуренция на черния, но особено на зеления кълвач, по-специализиран в лова на  мравки по земята.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гнездящ</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rPr>
        <w:t>1-3 двойки</w:t>
      </w:r>
      <w:r w:rsidRPr="00A8783E">
        <w:rPr>
          <w:rFonts w:ascii="Times New Roman" w:hAnsi="Times New Roman"/>
          <w:sz w:val="24"/>
          <w:szCs w:val="24"/>
        </w:rPr>
        <w:t>, което представлява 0,01 – 0,02 % от националната популация (оценка „С“). Опазването на вида е отлично (оценка „</w:t>
      </w:r>
      <w:r w:rsidRPr="00A8783E">
        <w:rPr>
          <w:rFonts w:ascii="Times New Roman" w:hAnsi="Times New Roman"/>
          <w:sz w:val="24"/>
          <w:szCs w:val="24"/>
          <w:lang w:val="en-US"/>
        </w:rPr>
        <w:t>A</w:t>
      </w:r>
      <w:r w:rsidRPr="00A8783E">
        <w:rPr>
          <w:rFonts w:ascii="Times New Roman" w:hAnsi="Times New Roman"/>
          <w:sz w:val="24"/>
          <w:szCs w:val="24"/>
        </w:rPr>
        <w:t>“),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средна Дунавска равнина е рядък и малочислен вид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В ОВМ „Сребърна“ е посочена гнездова численост 1 дв.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отг. ред., 2007</w:t>
      </w:r>
      <w:r w:rsidRPr="00A8783E">
        <w:rPr>
          <w:rFonts w:ascii="Times New Roman" w:hAnsi="Times New Roman"/>
          <w:sz w:val="24"/>
          <w:szCs w:val="24"/>
          <w:lang w:val="ru-RU"/>
        </w:rPr>
        <w:t>)</w:t>
      </w:r>
      <w:r w:rsidRPr="00A8783E">
        <w:rPr>
          <w:rFonts w:ascii="Times New Roman" w:hAnsi="Times New Roman"/>
          <w:sz w:val="24"/>
          <w:szCs w:val="24"/>
        </w:rPr>
        <w:t xml:space="preserve">. През периода 2001-2005 г. в зоната гнездят </w:t>
      </w:r>
      <w:r w:rsidRPr="00A8783E">
        <w:rPr>
          <w:rFonts w:ascii="Times New Roman" w:hAnsi="Times New Roman"/>
          <w:sz w:val="24"/>
          <w:szCs w:val="24"/>
          <w:lang w:val="ru-RU"/>
        </w:rPr>
        <w:t>5</w:t>
      </w:r>
      <w:r w:rsidRPr="00A8783E">
        <w:rPr>
          <w:rFonts w:ascii="Times New Roman" w:hAnsi="Times New Roman"/>
          <w:sz w:val="24"/>
          <w:szCs w:val="24"/>
        </w:rPr>
        <w:t xml:space="preserve"> дв. </w:t>
      </w:r>
      <w:r w:rsidRPr="00A8783E">
        <w:rPr>
          <w:rFonts w:ascii="Times New Roman" w:hAnsi="Times New Roman"/>
          <w:sz w:val="24"/>
          <w:szCs w:val="24"/>
          <w:lang w:val="ru-RU"/>
        </w:rPr>
        <w:t>(</w:t>
      </w:r>
      <w:r w:rsidRPr="00A8783E">
        <w:rPr>
          <w:rFonts w:ascii="Times New Roman" w:hAnsi="Times New Roman"/>
          <w:sz w:val="24"/>
          <w:szCs w:val="24"/>
          <w:lang w:val="en-US"/>
        </w:rPr>
        <w:t>Kambourova</w:t>
      </w:r>
      <w:r w:rsidRPr="00A8783E">
        <w:rPr>
          <w:rFonts w:ascii="Times New Roman" w:hAnsi="Times New Roman"/>
          <w:sz w:val="24"/>
          <w:szCs w:val="24"/>
          <w:lang w:val="ru-RU"/>
        </w:rPr>
        <w:t xml:space="preserve">, 2005). </w:t>
      </w:r>
      <w:r w:rsidRPr="00A8783E">
        <w:rPr>
          <w:rFonts w:ascii="Times New Roman" w:hAnsi="Times New Roman"/>
          <w:sz w:val="24"/>
          <w:szCs w:val="24"/>
        </w:rPr>
        <w:t>През гнездовия период на 2021 г. видът не е регистриран в Сребърна.</w:t>
      </w:r>
      <w:r w:rsidRPr="00A8783E">
        <w:rPr>
          <w:rFonts w:ascii="Times New Roman" w:hAnsi="Times New Roman"/>
          <w:sz w:val="24"/>
          <w:szCs w:val="24"/>
          <w:lang w:val="ru-RU"/>
        </w:rPr>
        <w:t xml:space="preserve"> </w:t>
      </w:r>
      <w:r w:rsidRPr="00A8783E">
        <w:rPr>
          <w:rFonts w:ascii="Times New Roman" w:hAnsi="Times New Roman"/>
          <w:sz w:val="24"/>
          <w:szCs w:val="24"/>
        </w:rPr>
        <w:t xml:space="preserve">Данните от </w:t>
      </w:r>
      <w:r w:rsidRPr="00A8783E">
        <w:rPr>
          <w:rFonts w:ascii="Times New Roman" w:hAnsi="Times New Roman"/>
          <w:sz w:val="24"/>
          <w:szCs w:val="24"/>
          <w:lang w:val="en-US"/>
        </w:rPr>
        <w:t>eBird</w:t>
      </w:r>
      <w:r w:rsidRPr="00A8783E">
        <w:rPr>
          <w:rFonts w:ascii="Times New Roman" w:hAnsi="Times New Roman"/>
          <w:sz w:val="24"/>
          <w:szCs w:val="24"/>
          <w:lang w:val="ru-RU"/>
        </w:rPr>
        <w:t xml:space="preserve"> </w:t>
      </w:r>
      <w:r w:rsidRPr="00A8783E">
        <w:rPr>
          <w:rFonts w:ascii="Times New Roman" w:hAnsi="Times New Roman"/>
          <w:sz w:val="24"/>
          <w:szCs w:val="24"/>
        </w:rPr>
        <w:t>показват, че в зоната са отчетени 2 инд. на 10.07.2019 г.</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В докладването по чл. 12 от Директива за птиците за гнездовата популация на вида са посочени следните заплахи: B03 (Повторно заселяване с неместни или нетипични видове или интродуциране на такива видове), B02 (Превръщане на едни видове гори в други, включително монокултурни). Към заплахите трябва да бъдат добавени също: B07-Отстраняване на мъртви или умиращи дървета, включително остатъци от такива; B08-Отстраняване на стари дървета (с изключение на мъртви или умиращи дървета); B09-Гола сеч, отстраняване на всички дървета; B10-Незаконна сеч; B05-Изсичане без повторно залесяване или естествен подраст.</w:t>
      </w:r>
    </w:p>
    <w:p w:rsidR="00A8783E" w:rsidRPr="00A8783E" w:rsidRDefault="00A8783E" w:rsidP="00A8783E">
      <w:pPr>
        <w:spacing w:before="120" w:after="120" w:line="240" w:lineRule="auto"/>
        <w:jc w:val="both"/>
        <w:rPr>
          <w:rFonts w:ascii="Times New Roman" w:hAnsi="Times New Roman" w:cs="Calibri"/>
          <w:b/>
          <w:sz w:val="24"/>
          <w:szCs w:val="24"/>
          <w:lang w:eastAsia="bg-BG"/>
        </w:rPr>
      </w:pPr>
      <w:r w:rsidRPr="00A8783E">
        <w:rPr>
          <w:rFonts w:ascii="Times New Roman" w:hAnsi="Times New Roman"/>
          <w:b/>
          <w:bCs/>
          <w:sz w:val="24"/>
          <w:szCs w:val="24"/>
        </w:rPr>
        <w:lastRenderedPageBreak/>
        <w:t xml:space="preserve">5. </w:t>
      </w:r>
      <w:r w:rsidRPr="00A8783E">
        <w:rPr>
          <w:rFonts w:ascii="Times New Roman" w:hAnsi="Times New Roman" w:cs="Calibri"/>
          <w:b/>
          <w:sz w:val="24"/>
          <w:szCs w:val="24"/>
          <w:lang w:eastAsia="bg-BG"/>
        </w:rPr>
        <w:t>Параметри за определяне на специфичните природозащитни цели за вида в зоната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1134"/>
        <w:gridCol w:w="1276"/>
        <w:gridCol w:w="2693"/>
        <w:gridCol w:w="2694"/>
      </w:tblGrid>
      <w:tr w:rsidR="00A8783E" w:rsidRPr="00A8783E" w:rsidTr="005B5318">
        <w:trPr>
          <w:tblHeader/>
          <w:jc w:val="center"/>
        </w:trPr>
        <w:tc>
          <w:tcPr>
            <w:tcW w:w="1559"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693"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69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559" w:type="dxa"/>
          </w:tcPr>
          <w:p w:rsidR="00A8783E" w:rsidRPr="00A8783E" w:rsidRDefault="00A8783E" w:rsidP="00A8783E">
            <w:pPr>
              <w:spacing w:after="0" w:line="240" w:lineRule="auto"/>
              <w:jc w:val="both"/>
              <w:rPr>
                <w:rFonts w:ascii="Times New Roman" w:hAnsi="Times New Roman"/>
                <w:b/>
                <w:bCs/>
                <w:color w:val="FF0000"/>
              </w:rPr>
            </w:pPr>
            <w:r w:rsidRPr="00A8783E">
              <w:rPr>
                <w:rFonts w:ascii="Times New Roman" w:hAnsi="Times New Roman"/>
                <w:b/>
                <w:bCs/>
              </w:rPr>
              <w:t xml:space="preserve">Популация: </w:t>
            </w:r>
            <w:r w:rsidRPr="00A8783E">
              <w:rPr>
                <w:rFonts w:ascii="Times New Roman" w:hAnsi="Times New Roman"/>
              </w:rPr>
              <w:t>Размер на гнездящата популация</w:t>
            </w:r>
          </w:p>
        </w:tc>
        <w:tc>
          <w:tcPr>
            <w:tcW w:w="1134" w:type="dxa"/>
          </w:tcPr>
          <w:p w:rsidR="00A8783E" w:rsidRPr="00A8783E" w:rsidRDefault="00A8783E" w:rsidP="00A8783E">
            <w:pPr>
              <w:spacing w:after="0" w:line="240" w:lineRule="auto"/>
              <w:jc w:val="both"/>
              <w:rPr>
                <w:rFonts w:ascii="Times New Roman" w:hAnsi="Times New Roman"/>
                <w:color w:val="FF0000"/>
              </w:rPr>
            </w:pPr>
            <w:r w:rsidRPr="00A8783E">
              <w:rPr>
                <w:rFonts w:ascii="Times New Roman" w:hAnsi="Times New Roman"/>
              </w:rPr>
              <w:t>Брой гнездящи двойки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1 дв. </w:t>
            </w:r>
          </w:p>
        </w:tc>
        <w:tc>
          <w:tcPr>
            <w:tcW w:w="2693"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Определена на база СФ, теренните проучвания през 2021 г. и друга публикувана информация за числеността на вида в зоната.</w:t>
            </w:r>
          </w:p>
        </w:tc>
        <w:tc>
          <w:tcPr>
            <w:tcW w:w="269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1 гнездяща двойка чрез запазване на местообитанията на вида в зоната.</w:t>
            </w:r>
          </w:p>
          <w:p w:rsidR="00A8783E" w:rsidRPr="00A8783E" w:rsidRDefault="00A8783E" w:rsidP="00A8783E">
            <w:pPr>
              <w:spacing w:after="0" w:line="240" w:lineRule="auto"/>
              <w:jc w:val="both"/>
              <w:rPr>
                <w:rFonts w:ascii="Times New Roman" w:hAnsi="Times New Roman"/>
                <w:color w:val="FF0000"/>
              </w:rPr>
            </w:pPr>
          </w:p>
        </w:tc>
      </w:tr>
      <w:tr w:rsidR="00A8783E" w:rsidRPr="00A8783E" w:rsidTr="005B5318">
        <w:trPr>
          <w:trHeight w:val="436"/>
          <w:jc w:val="center"/>
        </w:trPr>
        <w:tc>
          <w:tcPr>
            <w:tcW w:w="1559"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Местообитание на вида:</w:t>
            </w:r>
          </w:p>
          <w:p w:rsidR="00A8783E" w:rsidRPr="00A8783E" w:rsidRDefault="00A8783E" w:rsidP="00A8783E">
            <w:pPr>
              <w:spacing w:after="0" w:line="240" w:lineRule="auto"/>
              <w:jc w:val="both"/>
              <w:rPr>
                <w:rFonts w:ascii="Times New Roman" w:hAnsi="Times New Roman"/>
                <w:b/>
                <w:bCs/>
                <w:color w:val="FF0000"/>
              </w:rPr>
            </w:pPr>
            <w:r w:rsidRPr="00A8783E">
              <w:rPr>
                <w:rFonts w:ascii="Times New Roman" w:hAnsi="Times New Roman"/>
              </w:rPr>
              <w:t>площ на подходящите</w:t>
            </w:r>
            <w:r w:rsidRPr="00A8783E">
              <w:rPr>
                <w:rFonts w:ascii="Times New Roman" w:hAnsi="Times New Roman"/>
                <w:b/>
                <w:bCs/>
              </w:rPr>
              <w:t xml:space="preserve"> </w:t>
            </w:r>
            <w:r w:rsidRPr="00A8783E">
              <w:rPr>
                <w:rFonts w:ascii="Times New Roman" w:hAnsi="Times New Roman"/>
              </w:rPr>
              <w:t xml:space="preserve">местообитания за гнездене на вида </w:t>
            </w:r>
          </w:p>
        </w:tc>
        <w:tc>
          <w:tcPr>
            <w:tcW w:w="1134" w:type="dxa"/>
          </w:tcPr>
          <w:p w:rsidR="00A8783E" w:rsidRPr="00A8783E" w:rsidRDefault="00A8783E" w:rsidP="00A8783E">
            <w:pPr>
              <w:spacing w:after="0" w:line="240" w:lineRule="auto"/>
              <w:jc w:val="both"/>
              <w:rPr>
                <w:rFonts w:ascii="Times New Roman" w:hAnsi="Times New Roman"/>
                <w:color w:val="FF0000"/>
              </w:rPr>
            </w:pPr>
            <w:r w:rsidRPr="00A8783E">
              <w:rPr>
                <w:rFonts w:ascii="Times New Roman" w:hAnsi="Times New Roman"/>
                <w:lang w:val="en-US"/>
              </w:rPr>
              <w:t>ha</w:t>
            </w:r>
          </w:p>
        </w:tc>
        <w:tc>
          <w:tcPr>
            <w:tcW w:w="1276" w:type="dxa"/>
          </w:tcPr>
          <w:p w:rsidR="00A8783E" w:rsidRPr="00A8783E" w:rsidRDefault="00A8783E" w:rsidP="00A8783E">
            <w:pPr>
              <w:spacing w:after="0" w:line="240" w:lineRule="auto"/>
              <w:jc w:val="both"/>
              <w:rPr>
                <w:rFonts w:ascii="Times New Roman" w:hAnsi="Times New Roman"/>
                <w:color w:val="FF0000"/>
              </w:rPr>
            </w:pPr>
            <w:r w:rsidRPr="00A8783E">
              <w:rPr>
                <w:rFonts w:ascii="Times New Roman" w:hAnsi="Times New Roman"/>
              </w:rPr>
              <w:t>най-малко 246</w:t>
            </w:r>
          </w:p>
        </w:tc>
        <w:tc>
          <w:tcPr>
            <w:tcW w:w="2693" w:type="dxa"/>
          </w:tcPr>
          <w:p w:rsidR="00A8783E" w:rsidRPr="00A8783E" w:rsidRDefault="00A8783E" w:rsidP="00A8783E">
            <w:pPr>
              <w:spacing w:after="0" w:line="240" w:lineRule="auto"/>
              <w:jc w:val="both"/>
              <w:rPr>
                <w:rFonts w:ascii="Times New Roman" w:hAnsi="Times New Roman"/>
                <w:color w:val="FF0000"/>
              </w:rPr>
            </w:pPr>
            <w:r w:rsidRPr="00A8783E">
              <w:rPr>
                <w:rFonts w:ascii="Times New Roman" w:hAnsi="Times New Roman"/>
              </w:rPr>
              <w:t>Изчислена въз основа на % местообитание от широколистна естествена гора (</w:t>
            </w:r>
            <w:r w:rsidRPr="00A8783E">
              <w:rPr>
                <w:rFonts w:ascii="Times New Roman" w:hAnsi="Times New Roman"/>
                <w:lang w:val="en-GB"/>
              </w:rPr>
              <w:t>N</w:t>
            </w:r>
            <w:r w:rsidRPr="00A8783E">
              <w:rPr>
                <w:rFonts w:ascii="Times New Roman" w:hAnsi="Times New Roman"/>
                <w:lang w:val="ru-RU"/>
              </w:rPr>
              <w:t>16</w:t>
            </w:r>
            <w:r w:rsidRPr="00A8783E">
              <w:rPr>
                <w:rFonts w:ascii="Times New Roman" w:hAnsi="Times New Roman"/>
              </w:rPr>
              <w:t>) в рамките на зоната</w:t>
            </w:r>
            <w:r w:rsidRPr="00A8783E">
              <w:rPr>
                <w:rFonts w:ascii="Times New Roman" w:hAnsi="Times New Roman"/>
                <w:lang w:val="ru-RU"/>
              </w:rPr>
              <w:t>.</w:t>
            </w:r>
            <w:r w:rsidRPr="00A8783E">
              <w:rPr>
                <w:rFonts w:ascii="Times New Roman" w:hAnsi="Times New Roman"/>
              </w:rPr>
              <w:t xml:space="preserve"> Площта на гнездовото и хранителното местообитание до голяма степен се припокриват. </w:t>
            </w:r>
          </w:p>
        </w:tc>
        <w:tc>
          <w:tcPr>
            <w:tcW w:w="2694" w:type="dxa"/>
          </w:tcPr>
          <w:p w:rsidR="00A8783E" w:rsidRPr="00A8783E" w:rsidRDefault="00A8783E" w:rsidP="00A8783E">
            <w:pPr>
              <w:spacing w:after="0" w:line="240" w:lineRule="auto"/>
              <w:jc w:val="both"/>
              <w:rPr>
                <w:rFonts w:ascii="Times New Roman" w:hAnsi="Times New Roman"/>
                <w:color w:val="FF0000"/>
              </w:rPr>
            </w:pPr>
            <w:r w:rsidRPr="00A8783E">
              <w:rPr>
                <w:rFonts w:ascii="Times New Roman" w:hAnsi="Times New Roman"/>
              </w:rPr>
              <w:t xml:space="preserve">Поддържане на подходящите места за гнездене на вида чрез: 1/ ограничаване на санитарните сечи в старите гори в зоната; 2/ при възобновителните сечи да бъдат оставяни по 25–30 стари дървета на 1 </w:t>
            </w:r>
            <w:r w:rsidRPr="00A8783E">
              <w:rPr>
                <w:rFonts w:ascii="Times New Roman" w:hAnsi="Times New Roman"/>
                <w:lang w:val="en-US"/>
              </w:rPr>
              <w:t>ha</w:t>
            </w:r>
            <w:r w:rsidRPr="00A8783E">
              <w:rPr>
                <w:rFonts w:ascii="Times New Roman" w:hAnsi="Times New Roman"/>
              </w:rPr>
              <w:t>.</w:t>
            </w:r>
          </w:p>
        </w:tc>
      </w:tr>
      <w:tr w:rsidR="00A8783E" w:rsidRPr="00A8783E" w:rsidTr="005B5318">
        <w:trPr>
          <w:trHeight w:val="436"/>
          <w:jc w:val="center"/>
        </w:trPr>
        <w:tc>
          <w:tcPr>
            <w:tcW w:w="1559" w:type="dxa"/>
          </w:tcPr>
          <w:p w:rsidR="00A8783E" w:rsidRPr="00A8783E" w:rsidRDefault="00A8783E" w:rsidP="00A8783E">
            <w:pPr>
              <w:spacing w:after="0" w:line="240" w:lineRule="auto"/>
              <w:jc w:val="both"/>
              <w:rPr>
                <w:rFonts w:ascii="Times New Roman" w:hAnsi="Times New Roman"/>
                <w:color w:val="FF0000"/>
              </w:rPr>
            </w:pPr>
            <w:r w:rsidRPr="00A8783E">
              <w:rPr>
                <w:rFonts w:ascii="Times New Roman" w:hAnsi="Times New Roman"/>
                <w:b/>
                <w:bCs/>
              </w:rPr>
              <w:t>Местообитание на вида:</w:t>
            </w:r>
            <w:r w:rsidRPr="00A8783E">
              <w:rPr>
                <w:rFonts w:ascii="Times New Roman" w:hAnsi="Times New Roman"/>
              </w:rPr>
              <w:t xml:space="preserve"> Качество на подходящото местообитание на вида</w:t>
            </w:r>
          </w:p>
        </w:tc>
        <w:tc>
          <w:tcPr>
            <w:tcW w:w="1134" w:type="dxa"/>
          </w:tcPr>
          <w:p w:rsidR="00A8783E" w:rsidRPr="00A8783E" w:rsidRDefault="00A8783E" w:rsidP="00A8783E">
            <w:pPr>
              <w:spacing w:after="0" w:line="240" w:lineRule="auto"/>
              <w:jc w:val="both"/>
              <w:rPr>
                <w:rFonts w:ascii="Times New Roman" w:hAnsi="Times New Roman"/>
                <w:color w:val="FF0000"/>
              </w:rPr>
            </w:pPr>
            <w:r w:rsidRPr="00A8783E">
              <w:rPr>
                <w:rFonts w:ascii="Times New Roman" w:hAnsi="Times New Roman"/>
              </w:rPr>
              <w:t>Брой на подходящите биотопни дървета с хралупи за гнездене</w:t>
            </w:r>
          </w:p>
        </w:tc>
        <w:tc>
          <w:tcPr>
            <w:tcW w:w="1276" w:type="dxa"/>
          </w:tcPr>
          <w:p w:rsidR="00A8783E" w:rsidRPr="00A8783E" w:rsidRDefault="00A8783E" w:rsidP="00A8783E">
            <w:pPr>
              <w:spacing w:after="0" w:line="240" w:lineRule="auto"/>
              <w:jc w:val="both"/>
              <w:rPr>
                <w:rFonts w:ascii="Times New Roman" w:hAnsi="Times New Roman"/>
                <w:color w:val="FF0000"/>
              </w:rPr>
            </w:pPr>
            <w:r w:rsidRPr="00A8783E">
              <w:rPr>
                <w:rFonts w:ascii="Times New Roman" w:hAnsi="Times New Roman"/>
              </w:rPr>
              <w:t>Най-малко 10 биотопни дървета/</w:t>
            </w:r>
            <w:r w:rsidRPr="00A8783E">
              <w:rPr>
                <w:rFonts w:ascii="Times New Roman" w:hAnsi="Times New Roman"/>
                <w:lang w:val="en-GB"/>
              </w:rPr>
              <w:t>ha</w:t>
            </w:r>
            <w:r w:rsidRPr="00A8783E">
              <w:rPr>
                <w:rFonts w:ascii="Times New Roman" w:hAnsi="Times New Roman"/>
              </w:rPr>
              <w:t xml:space="preserve"> за 1 дв.</w:t>
            </w:r>
          </w:p>
        </w:tc>
        <w:tc>
          <w:tcPr>
            <w:tcW w:w="2693" w:type="dxa"/>
          </w:tcPr>
          <w:p w:rsidR="00A8783E" w:rsidRPr="00A8783E" w:rsidRDefault="00A8783E" w:rsidP="00A8783E">
            <w:pPr>
              <w:spacing w:after="0" w:line="240" w:lineRule="auto"/>
              <w:jc w:val="both"/>
              <w:rPr>
                <w:rFonts w:ascii="Times New Roman" w:hAnsi="Times New Roman"/>
                <w:color w:val="FF0000"/>
              </w:rPr>
            </w:pPr>
            <w:r w:rsidRPr="00A8783E">
              <w:rPr>
                <w:rFonts w:ascii="Times New Roman" w:hAnsi="Times New Roman"/>
              </w:rPr>
              <w:t>Гнездовите камери са в ствола на стари дървета (с дебелина над 40</w:t>
            </w:r>
            <w:r w:rsidRPr="00A8783E">
              <w:rPr>
                <w:rFonts w:ascii="Times New Roman" w:hAnsi="Times New Roman"/>
                <w:lang w:val="ru-RU"/>
              </w:rPr>
              <w:t xml:space="preserve"> </w:t>
            </w:r>
            <w:r w:rsidRPr="00A8783E">
              <w:rPr>
                <w:rFonts w:ascii="Times New Roman" w:hAnsi="Times New Roman"/>
                <w:lang w:val="en-GB"/>
              </w:rPr>
              <w:t>cm</w:t>
            </w:r>
            <w:r w:rsidRPr="00A8783E">
              <w:rPr>
                <w:rFonts w:ascii="Times New Roman" w:hAnsi="Times New Roman"/>
                <w:lang w:val="ru-RU"/>
              </w:rPr>
              <w:t xml:space="preserve"> </w:t>
            </w:r>
            <w:r w:rsidRPr="00A8783E">
              <w:rPr>
                <w:rFonts w:ascii="Times New Roman" w:hAnsi="Times New Roman"/>
              </w:rPr>
              <w:t xml:space="preserve">в диаметър), които издълбава сам. На височина над 4-8 </w:t>
            </w:r>
            <w:r w:rsidRPr="00A8783E">
              <w:rPr>
                <w:rFonts w:ascii="Times New Roman" w:hAnsi="Times New Roman"/>
                <w:lang w:val="en-US"/>
              </w:rPr>
              <w:t>m</w:t>
            </w:r>
            <w:r w:rsidRPr="00A8783E">
              <w:rPr>
                <w:rFonts w:ascii="Times New Roman" w:hAnsi="Times New Roman"/>
              </w:rPr>
              <w:t xml:space="preserve"> от земята. Биотопните дървета трябва да са на възраст над 80 г.</w:t>
            </w:r>
          </w:p>
        </w:tc>
        <w:tc>
          <w:tcPr>
            <w:tcW w:w="2694" w:type="dxa"/>
          </w:tcPr>
          <w:p w:rsidR="00A8783E" w:rsidRPr="00A8783E" w:rsidRDefault="00A8783E" w:rsidP="00A8783E">
            <w:pPr>
              <w:spacing w:after="0" w:line="240" w:lineRule="auto"/>
              <w:jc w:val="both"/>
              <w:rPr>
                <w:rFonts w:ascii="Times New Roman" w:hAnsi="Times New Roman"/>
                <w:color w:val="FF0000"/>
              </w:rPr>
            </w:pPr>
            <w:r w:rsidRPr="00A8783E">
              <w:rPr>
                <w:rFonts w:ascii="Times New Roman" w:hAnsi="Times New Roman"/>
              </w:rPr>
              <w:t>Междинна цел: да се изясни броя на подходящите за гнездене дървета в зоната до 2025 г.</w:t>
            </w:r>
          </w:p>
        </w:tc>
      </w:tr>
    </w:tbl>
    <w:p w:rsidR="00A8783E" w:rsidRPr="00A8783E" w:rsidRDefault="00A8783E" w:rsidP="00A8783E">
      <w:pPr>
        <w:spacing w:after="0" w:line="240" w:lineRule="auto"/>
      </w:pPr>
    </w:p>
    <w:p w:rsidR="00A8783E" w:rsidRPr="00A8783E" w:rsidRDefault="00A8783E" w:rsidP="00A8783E">
      <w:pPr>
        <w:spacing w:after="16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Не е необходима актуализация на СФ на този етап.</w:t>
      </w: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466" w:name="_Toc87031389"/>
      <w:bookmarkStart w:id="467" w:name="_Toc87467276"/>
      <w:bookmarkStart w:id="468" w:name="_Toc87692193"/>
      <w:bookmarkStart w:id="469" w:name="_Toc88865737"/>
      <w:bookmarkStart w:id="470" w:name="_Toc89106143"/>
      <w:bookmarkStart w:id="471" w:name="_Toc98741982"/>
      <w:bookmarkStart w:id="472" w:name="_Toc98838657"/>
      <w:r w:rsidRPr="00A8783E">
        <w:rPr>
          <w:rFonts w:ascii="Times New Roman" w:hAnsi="Times New Roman"/>
          <w:color w:val="1F497D"/>
          <w:sz w:val="28"/>
          <w:szCs w:val="28"/>
        </w:rPr>
        <w:t xml:space="preserve">Специфични цели за А236 </w:t>
      </w:r>
      <w:r w:rsidRPr="00A8783E">
        <w:rPr>
          <w:rFonts w:ascii="Times New Roman" w:hAnsi="Times New Roman"/>
          <w:i/>
          <w:iCs/>
          <w:color w:val="1F497D"/>
          <w:sz w:val="28"/>
          <w:szCs w:val="28"/>
        </w:rPr>
        <w:t xml:space="preserve">Dryocopus martius </w:t>
      </w:r>
      <w:r w:rsidRPr="00A8783E">
        <w:rPr>
          <w:rFonts w:ascii="Times New Roman" w:hAnsi="Times New Roman"/>
          <w:color w:val="1F497D"/>
          <w:sz w:val="28"/>
          <w:szCs w:val="28"/>
        </w:rPr>
        <w:t>(черен кълвач)</w:t>
      </w:r>
      <w:bookmarkEnd w:id="466"/>
      <w:bookmarkEnd w:id="467"/>
      <w:bookmarkEnd w:id="468"/>
      <w:bookmarkEnd w:id="469"/>
      <w:bookmarkEnd w:id="470"/>
      <w:bookmarkEnd w:id="471"/>
      <w:bookmarkEnd w:id="472"/>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45-47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64-68 </w:t>
      </w:r>
      <w:r w:rsidRPr="00A8783E">
        <w:rPr>
          <w:rFonts w:ascii="Times New Roman" w:hAnsi="Times New Roman"/>
          <w:sz w:val="24"/>
          <w:szCs w:val="24"/>
          <w:lang w:val="en-US"/>
        </w:rPr>
        <w:t>cm</w:t>
      </w:r>
      <w:r w:rsidRPr="00A8783E">
        <w:rPr>
          <w:rFonts w:ascii="Times New Roman" w:hAnsi="Times New Roman"/>
          <w:sz w:val="24"/>
          <w:szCs w:val="24"/>
        </w:rPr>
        <w:t>. Черният кълвач е най-големият кълвач, който се среща в България. Има полов и възрастов диморфизъм. Мъжкият е черен, само челото, темето и тилът са червени. Клюнът e кехлибарено жълт. Ирисът жълт. Челото и темето на женската птица са черни, а само тилът й е червен. При полет правят впечатление голямата глава и тънкият врат. Маха бързо с крила и лети с гмуркащ полет (Нанкинов и др., 1997; Симеонов и др., 1991).</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Постоянен вид за страната. Размножителният период е май-юни. Гнезди в хралупи на височина 8-30 </w:t>
      </w:r>
      <w:r w:rsidRPr="00A8783E">
        <w:rPr>
          <w:rFonts w:ascii="Times New Roman" w:hAnsi="Times New Roman"/>
          <w:sz w:val="24"/>
          <w:szCs w:val="24"/>
          <w:lang w:val="en-US"/>
        </w:rPr>
        <w:t>m</w:t>
      </w:r>
      <w:r w:rsidRPr="00A8783E">
        <w:rPr>
          <w:rFonts w:ascii="Times New Roman" w:hAnsi="Times New Roman"/>
          <w:sz w:val="24"/>
          <w:szCs w:val="24"/>
        </w:rPr>
        <w:t xml:space="preserve">. Гнездовата камера се издълбава в ствола на дърво с диаметър над 40 cm и на височина над 4 m, или се използват стари гнездови камери и хралупи за нощуване. Отворът на хралупата правоъгълен. В планински букови гори има плътност от около 10 инд./100 </w:t>
      </w:r>
      <w:r w:rsidRPr="00A8783E">
        <w:rPr>
          <w:rFonts w:ascii="Times New Roman" w:hAnsi="Times New Roman"/>
          <w:sz w:val="24"/>
          <w:szCs w:val="24"/>
          <w:lang w:val="en-US"/>
        </w:rPr>
        <w:t>ha</w:t>
      </w:r>
      <w:r w:rsidRPr="00A8783E">
        <w:rPr>
          <w:rFonts w:ascii="Times New Roman" w:hAnsi="Times New Roman"/>
          <w:sz w:val="24"/>
          <w:szCs w:val="24"/>
        </w:rPr>
        <w:t xml:space="preserve">, а в горите от бяла мура, черна мура и черен бор до 2 инд./100 </w:t>
      </w:r>
      <w:r w:rsidRPr="00A8783E">
        <w:rPr>
          <w:rFonts w:ascii="Times New Roman" w:hAnsi="Times New Roman"/>
          <w:sz w:val="24"/>
          <w:szCs w:val="24"/>
          <w:lang w:val="en-US"/>
        </w:rPr>
        <w:t>ha</w:t>
      </w:r>
      <w:r w:rsidRPr="00A8783E">
        <w:rPr>
          <w:rFonts w:ascii="Times New Roman" w:hAnsi="Times New Roman"/>
          <w:sz w:val="24"/>
          <w:szCs w:val="24"/>
        </w:rPr>
        <w:t xml:space="preserve"> (Нанкинов и др., 1997). Участъците на двойките в стари иглолистни гори е около 300 </w:t>
      </w:r>
      <w:r w:rsidRPr="00A8783E">
        <w:rPr>
          <w:rFonts w:ascii="Times New Roman" w:hAnsi="Times New Roman"/>
          <w:sz w:val="24"/>
          <w:szCs w:val="24"/>
          <w:lang w:val="en-US"/>
        </w:rPr>
        <w:lastRenderedPageBreak/>
        <w:t>ha</w:t>
      </w:r>
      <w:r w:rsidRPr="00A8783E">
        <w:rPr>
          <w:rFonts w:ascii="Times New Roman" w:hAnsi="Times New Roman"/>
          <w:sz w:val="24"/>
          <w:szCs w:val="24"/>
        </w:rPr>
        <w:t xml:space="preserve">, в букови – 400 и в дъбови 500–600 </w:t>
      </w:r>
      <w:r w:rsidRPr="00A8783E">
        <w:rPr>
          <w:rFonts w:ascii="Times New Roman" w:hAnsi="Times New Roman"/>
          <w:sz w:val="24"/>
          <w:szCs w:val="24"/>
          <w:lang w:val="en-US"/>
        </w:rPr>
        <w:t>ha</w:t>
      </w:r>
      <w:r w:rsidRPr="00A8783E">
        <w:rPr>
          <w:rFonts w:ascii="Times New Roman" w:hAnsi="Times New Roman"/>
          <w:sz w:val="24"/>
          <w:szCs w:val="24"/>
        </w:rPr>
        <w:t xml:space="preserve">. В гори с малко отмиращи и едроразмерни дървета участъкът на една двойка е на площ 1000–1600 </w:t>
      </w:r>
      <w:r w:rsidRPr="00A8783E">
        <w:rPr>
          <w:rFonts w:ascii="Times New Roman" w:hAnsi="Times New Roman"/>
          <w:sz w:val="24"/>
          <w:szCs w:val="24"/>
          <w:lang w:val="en-US"/>
        </w:rPr>
        <w:t>ha</w:t>
      </w:r>
      <w:r w:rsidRPr="00A8783E">
        <w:rPr>
          <w:rFonts w:ascii="Times New Roman" w:hAnsi="Times New Roman"/>
          <w:sz w:val="24"/>
          <w:szCs w:val="24"/>
        </w:rPr>
        <w:t xml:space="preserve"> (Спиридонов и др. в Червена книга, 2015).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Гнезди в стари иглолистни, широколистни гори (планински букови) и смесени и гори, а също и алувиални и много влажни гори и храсталаци. По-рядко в стари градски паркове и градини (особено такива от лесопарков тип) и в крайречни пояси ивици дървета, храсти и мозайки от тях. Разпространен до 2100 </w:t>
      </w:r>
      <w:r w:rsidRPr="00A8783E">
        <w:rPr>
          <w:rFonts w:ascii="Times New Roman" w:hAnsi="Times New Roman"/>
          <w:sz w:val="24"/>
          <w:szCs w:val="24"/>
          <w:lang w:val="en-US"/>
        </w:rPr>
        <w:t>m</w:t>
      </w:r>
      <w:r w:rsidRPr="00A8783E">
        <w:rPr>
          <w:rFonts w:ascii="Times New Roman" w:hAnsi="Times New Roman"/>
          <w:sz w:val="24"/>
          <w:szCs w:val="24"/>
        </w:rPr>
        <w:t xml:space="preserve"> надморска височина. Проучване на избора на местообитания в Алпите показва, че черният кълвач предпочита  бял бор (</w:t>
      </w:r>
      <w:r w:rsidRPr="00A8783E">
        <w:rPr>
          <w:rFonts w:ascii="Times New Roman" w:hAnsi="Times New Roman"/>
          <w:i/>
          <w:iCs/>
          <w:sz w:val="24"/>
          <w:szCs w:val="24"/>
        </w:rPr>
        <w:t>Pinus sylvestris</w:t>
      </w:r>
      <w:r w:rsidRPr="00A8783E">
        <w:rPr>
          <w:rFonts w:ascii="Times New Roman" w:hAnsi="Times New Roman"/>
          <w:sz w:val="24"/>
          <w:szCs w:val="24"/>
        </w:rPr>
        <w:t>) за хранене, вероятно поради изобилието от мравки и обикновен бук (</w:t>
      </w:r>
      <w:r w:rsidRPr="00A8783E">
        <w:rPr>
          <w:rFonts w:ascii="Times New Roman" w:hAnsi="Times New Roman"/>
          <w:i/>
          <w:iCs/>
          <w:sz w:val="24"/>
          <w:szCs w:val="24"/>
        </w:rPr>
        <w:t>Fagus sylvatica</w:t>
      </w:r>
      <w:r w:rsidRPr="00A8783E">
        <w:rPr>
          <w:rFonts w:ascii="Times New Roman" w:hAnsi="Times New Roman"/>
          <w:sz w:val="24"/>
          <w:szCs w:val="24"/>
        </w:rPr>
        <w:t xml:space="preserve">) за гнездене и нощуване (Bocca et al., 2007).  Видът предпочита гори в по-късни етапи на сукцесия - високи дървета с голям диаметър, повече мъртви дървесни отломки, особено големи дънери, гъсти корони на дърветата (Khanaposhtani et al., 2012).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Хранят с яйца, ларви и възрастни короеди, ликоеди, хоботници, сечковци, листоеди, мравки и др., по-рядко използва семена на широколистни и иглолистни дървета (Нанкинов и др., 1997).</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 петнисто разпространение в планинските гористи части на страната – Рило-Родопския масив, Стара планина, Средна гора, Витоша и околните </w:t>
      </w:r>
      <w:r w:rsidRPr="00A8783E">
        <w:rPr>
          <w:rFonts w:ascii="Tahoma" w:hAnsi="Tahoma"/>
          <w:sz w:val="24"/>
          <w:szCs w:val="24"/>
        </w:rPr>
        <w:t>ѝ</w:t>
      </w:r>
      <w:r w:rsidRPr="00A8783E">
        <w:rPr>
          <w:rFonts w:ascii="Times New Roman" w:hAnsi="Times New Roman"/>
          <w:sz w:val="24"/>
          <w:szCs w:val="24"/>
        </w:rPr>
        <w:t xml:space="preserve"> планини, Странджа и др., до горната граница на гората. Разпръснато или групирано в съседни квадрати в равнинните райони с гори (Лудогорие, Добруджа, крайбрежието на р. Дунав и някои части на Дунавската равнина, Тракийската низина и др.) (Янков, ред., 2007).</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Защитен вид по ЗБР (Приложения 2 и 3). Включен в Приложение 1 на Директивата за птиците.  Според IUCN – LC (Least Concern), за територията на континентална Европа – LC (Least Concern).  В Европа популацията му е стабилна. Включен в Червената книга на Р България (2015) в категория „уязвим“.</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sz w:val="24"/>
          <w:szCs w:val="24"/>
        </w:rPr>
        <w:t xml:space="preserve">Съгласно докладването през 2019 г. (за периода 2013-2018 г.), видът се опазва като </w:t>
      </w:r>
      <w:r w:rsidRPr="00A8783E">
        <w:rPr>
          <w:rFonts w:ascii="Times New Roman" w:hAnsi="Times New Roman"/>
          <w:b/>
          <w:bCs/>
          <w:sz w:val="24"/>
          <w:szCs w:val="24"/>
        </w:rPr>
        <w:t>гнездящ</w:t>
      </w:r>
      <w:r w:rsidRPr="00A8783E">
        <w:rPr>
          <w:rFonts w:ascii="Times New Roman" w:hAnsi="Times New Roman"/>
          <w:sz w:val="24"/>
          <w:szCs w:val="24"/>
        </w:rPr>
        <w:t xml:space="preserve"> с популация между 4500 и 8000 двойки. Краткосрочната популационна тенденция (2000-2018 г.) и дългосрочната (1980-2018 г.) тенденция са увеличаващи се. Посочени са следните заплахи: B02; B03.</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Червената книга (2015) са посочени като заплахи изсичането на старите гори и санитарните сечи. Намаляване на хранителната база, в частност на червената мравка. Конкуренцията на сивия, белогърбия и зеления кълвач. Тясната специализация към храна и местообитание.</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 xml:space="preserve">гнездящ </w:t>
      </w:r>
      <w:r w:rsidRPr="00A8783E">
        <w:rPr>
          <w:rFonts w:ascii="Times New Roman" w:hAnsi="Times New Roman"/>
          <w:b/>
          <w:bCs/>
          <w:sz w:val="24"/>
          <w:szCs w:val="24"/>
          <w:lang w:val="ru-RU"/>
        </w:rPr>
        <w:t>(</w:t>
      </w:r>
      <w:r w:rsidRPr="00A8783E">
        <w:rPr>
          <w:rFonts w:ascii="Times New Roman" w:hAnsi="Times New Roman"/>
          <w:b/>
          <w:bCs/>
          <w:sz w:val="24"/>
          <w:szCs w:val="24"/>
        </w:rPr>
        <w:t>постоянен</w:t>
      </w:r>
      <w:r w:rsidRPr="00A8783E">
        <w:rPr>
          <w:rFonts w:ascii="Times New Roman" w:hAnsi="Times New Roman"/>
          <w:b/>
          <w:bCs/>
          <w:sz w:val="24"/>
          <w:szCs w:val="24"/>
          <w:lang w:val="ru-RU"/>
        </w:rPr>
        <w:t>)</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rPr>
        <w:t>1-2 двойки</w:t>
      </w:r>
      <w:r w:rsidRPr="00A8783E">
        <w:rPr>
          <w:rFonts w:ascii="Times New Roman" w:hAnsi="Times New Roman"/>
          <w:sz w:val="24"/>
          <w:szCs w:val="24"/>
        </w:rPr>
        <w:t>, което представлява 0,02 %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lastRenderedPageBreak/>
        <w:t xml:space="preserve">В средна Дунавска равнина е относително рядък гнездящ вид, по-често срещан през есенно-зимния период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Шурулинков и др., 2005</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В ОВМ „Сребърна“ е посочена гнездова численост 4 дв.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Костадинова и Граматиков, отг. ред., 2007</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Черният кълвач е установен като гнездящ за първи път в Сребърна от </w:t>
      </w:r>
      <w:r w:rsidRPr="00A8783E">
        <w:rPr>
          <w:rFonts w:ascii="Times New Roman" w:hAnsi="Times New Roman"/>
          <w:color w:val="000000"/>
          <w:sz w:val="24"/>
          <w:szCs w:val="24"/>
          <w:lang w:val="en-US"/>
        </w:rPr>
        <w:t>Iankov</w:t>
      </w:r>
      <w:r w:rsidRPr="00A8783E">
        <w:rPr>
          <w:rFonts w:ascii="Times New Roman" w:hAnsi="Times New Roman"/>
          <w:color w:val="000000"/>
          <w:sz w:val="24"/>
          <w:szCs w:val="24"/>
          <w:lang w:val="ru-RU"/>
        </w:rPr>
        <w:t xml:space="preserve"> (1996). </w:t>
      </w:r>
      <w:r w:rsidRPr="00A8783E">
        <w:rPr>
          <w:rFonts w:ascii="Times New Roman" w:hAnsi="Times New Roman"/>
          <w:color w:val="000000"/>
          <w:sz w:val="24"/>
          <w:szCs w:val="24"/>
        </w:rPr>
        <w:t xml:space="preserve">През периода 2001-2003 г. вида е с численост 0-2 дв., като през 2002 г. вида не е установен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Камбурова, 2004</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През 2014 г. в зоната са установени 2 инд.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Актуализиран план на ПР Сребърна, 2015</w:t>
      </w:r>
      <w:r w:rsidRPr="00A8783E">
        <w:rPr>
          <w:rFonts w:ascii="Times New Roman" w:hAnsi="Times New Roman"/>
          <w:color w:val="000000"/>
          <w:sz w:val="24"/>
          <w:szCs w:val="24"/>
          <w:lang w:val="ru-RU"/>
        </w:rPr>
        <w:t>)</w:t>
      </w:r>
      <w:r w:rsidRPr="00A8783E">
        <w:rPr>
          <w:rFonts w:ascii="Times New Roman" w:hAnsi="Times New Roman"/>
          <w:color w:val="000000"/>
          <w:sz w:val="24"/>
          <w:szCs w:val="24"/>
        </w:rPr>
        <w:t>.</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Данните от </w:t>
      </w:r>
      <w:r w:rsidRPr="00A8783E">
        <w:rPr>
          <w:rFonts w:ascii="Times New Roman" w:hAnsi="Times New Roman"/>
          <w:color w:val="000000"/>
          <w:sz w:val="24"/>
          <w:szCs w:val="24"/>
          <w:lang w:val="en-US"/>
        </w:rPr>
        <w:t>eBird</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показват, че вида е наблюдаван в зоната на 17.05.2020 г. Вида не беше отчетен при теренните наблюдения през гнездовия период на 2021 г. Предвид изискванията на вида за териториални участъци от средно 450 </w:t>
      </w:r>
      <w:r w:rsidRPr="00A8783E">
        <w:rPr>
          <w:rFonts w:ascii="Times New Roman" w:hAnsi="Times New Roman"/>
          <w:color w:val="000000"/>
          <w:sz w:val="24"/>
          <w:szCs w:val="24"/>
          <w:lang w:val="en-GB"/>
        </w:rPr>
        <w:t>ha</w:t>
      </w:r>
      <w:r w:rsidRPr="00A8783E">
        <w:rPr>
          <w:rFonts w:ascii="Times New Roman" w:hAnsi="Times New Roman"/>
          <w:color w:val="000000"/>
          <w:sz w:val="24"/>
          <w:szCs w:val="24"/>
          <w:lang w:val="ru-RU"/>
        </w:rPr>
        <w:t xml:space="preserve"> / </w:t>
      </w:r>
      <w:r w:rsidRPr="00A8783E">
        <w:rPr>
          <w:rFonts w:ascii="Times New Roman" w:hAnsi="Times New Roman"/>
          <w:color w:val="000000"/>
          <w:sz w:val="24"/>
          <w:szCs w:val="24"/>
        </w:rPr>
        <w:t>1 дв., по всяка вероятност, местообитанието в зоната едва ли ще може да поддържа повече от 1 двойка.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276"/>
        <w:gridCol w:w="1421"/>
        <w:gridCol w:w="2548"/>
        <w:gridCol w:w="2410"/>
      </w:tblGrid>
      <w:tr w:rsidR="00A8783E" w:rsidRPr="00A8783E" w:rsidTr="005B5318">
        <w:trPr>
          <w:tblHeader/>
          <w:jc w:val="center"/>
        </w:trPr>
        <w:tc>
          <w:tcPr>
            <w:tcW w:w="169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421"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54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41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696"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гнездящата популация</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гнездящи двойки</w:t>
            </w:r>
          </w:p>
        </w:tc>
        <w:tc>
          <w:tcPr>
            <w:tcW w:w="142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1 двойка </w:t>
            </w:r>
          </w:p>
        </w:tc>
        <w:tc>
          <w:tcPr>
            <w:tcW w:w="254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на база СФ и теренните наблюдения през гнездовия период на 2021 г.</w:t>
            </w:r>
          </w:p>
        </w:tc>
        <w:tc>
          <w:tcPr>
            <w:tcW w:w="24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1 гнездяща двойка чрез поддържане на подходящите за гнездене местообитания.</w:t>
            </w:r>
          </w:p>
        </w:tc>
      </w:tr>
      <w:tr w:rsidR="00A8783E" w:rsidRPr="00A8783E" w:rsidTr="005B5318">
        <w:trPr>
          <w:trHeight w:val="436"/>
          <w:jc w:val="center"/>
        </w:trPr>
        <w:tc>
          <w:tcPr>
            <w:tcW w:w="1696"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площ </w:t>
            </w:r>
            <w:r w:rsidRPr="00A8783E">
              <w:rPr>
                <w:rFonts w:ascii="Times New Roman" w:hAnsi="Times New Roman"/>
              </w:rPr>
              <w:t xml:space="preserve">на подходящи местообитания за гнездене и търсене на храна; </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ha</w:t>
            </w:r>
          </w:p>
          <w:p w:rsidR="00A8783E" w:rsidRPr="00A8783E" w:rsidRDefault="00A8783E" w:rsidP="00A8783E">
            <w:pPr>
              <w:spacing w:after="0" w:line="240" w:lineRule="auto"/>
              <w:jc w:val="both"/>
              <w:rPr>
                <w:rFonts w:ascii="Times New Roman" w:hAnsi="Times New Roman"/>
              </w:rPr>
            </w:pPr>
          </w:p>
        </w:tc>
        <w:tc>
          <w:tcPr>
            <w:tcW w:w="142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246</w:t>
            </w:r>
          </w:p>
        </w:tc>
        <w:tc>
          <w:tcPr>
            <w:tcW w:w="254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Изчислена въз основа на % местообитание от широколистна естествена гора (</w:t>
            </w:r>
            <w:r w:rsidRPr="00A8783E">
              <w:rPr>
                <w:rFonts w:ascii="Times New Roman" w:hAnsi="Times New Roman"/>
                <w:lang w:val="en-GB"/>
              </w:rPr>
              <w:t>N</w:t>
            </w:r>
            <w:r w:rsidRPr="00A8783E">
              <w:rPr>
                <w:rFonts w:ascii="Times New Roman" w:hAnsi="Times New Roman"/>
                <w:lang w:val="ru-RU"/>
              </w:rPr>
              <w:t>16</w:t>
            </w:r>
            <w:r w:rsidRPr="00A8783E">
              <w:rPr>
                <w:rFonts w:ascii="Times New Roman" w:hAnsi="Times New Roman"/>
              </w:rPr>
              <w:t>) в рамките на зоната</w:t>
            </w:r>
            <w:r w:rsidRPr="00A8783E">
              <w:rPr>
                <w:rFonts w:ascii="Times New Roman" w:hAnsi="Times New Roman"/>
                <w:lang w:val="ru-RU"/>
              </w:rPr>
              <w:t>.</w:t>
            </w:r>
            <w:r w:rsidRPr="00A8783E">
              <w:rPr>
                <w:rFonts w:ascii="Times New Roman" w:hAnsi="Times New Roman"/>
              </w:rPr>
              <w:t xml:space="preserve"> Площта на гнездовото и хранителното местообитание до голяма степен се припокриват. </w:t>
            </w:r>
          </w:p>
        </w:tc>
        <w:tc>
          <w:tcPr>
            <w:tcW w:w="24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подходящите места за гнездене на вида чрез: 1/ ограничаване на санитарните сечи в старите гори в зоната; 2/ при възобновителните сечи да бъдат оставяни по 25–30 стари дървета на 1 </w:t>
            </w:r>
            <w:r w:rsidRPr="00A8783E">
              <w:rPr>
                <w:rFonts w:ascii="Times New Roman" w:hAnsi="Times New Roman"/>
                <w:lang w:val="en-US"/>
              </w:rPr>
              <w:t>ha</w:t>
            </w:r>
            <w:r w:rsidRPr="00A8783E">
              <w:rPr>
                <w:rFonts w:ascii="Times New Roman" w:hAnsi="Times New Roman"/>
              </w:rPr>
              <w:t xml:space="preserve">. Поддържане на площта на подходящите местообитания на вида в зоната в размер от най-малко 246 </w:t>
            </w:r>
            <w:r w:rsidRPr="00A8783E">
              <w:rPr>
                <w:rFonts w:ascii="Times New Roman" w:hAnsi="Times New Roman"/>
                <w:lang w:val="en-US"/>
              </w:rPr>
              <w:t>ha</w:t>
            </w:r>
            <w:r w:rsidRPr="00A8783E">
              <w:rPr>
                <w:rFonts w:ascii="Times New Roman" w:hAnsi="Times New Roman"/>
              </w:rPr>
              <w:t>.</w:t>
            </w:r>
          </w:p>
        </w:tc>
      </w:tr>
      <w:tr w:rsidR="00A8783E" w:rsidRPr="00A8783E" w:rsidTr="005B5318">
        <w:trPr>
          <w:trHeight w:val="436"/>
          <w:jc w:val="center"/>
        </w:trPr>
        <w:tc>
          <w:tcPr>
            <w:tcW w:w="1696"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Местообитание на вида:</w:t>
            </w:r>
            <w:r w:rsidRPr="00A8783E">
              <w:rPr>
                <w:rFonts w:ascii="Times New Roman" w:hAnsi="Times New Roman"/>
              </w:rPr>
              <w:t xml:space="preserve"> Качество на подходящото местообитание на вида</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на подходящите биотопни дървета с хралупи за гнездене</w:t>
            </w:r>
          </w:p>
        </w:tc>
        <w:tc>
          <w:tcPr>
            <w:tcW w:w="142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10 биотопни дървета/</w:t>
            </w:r>
            <w:r w:rsidRPr="00A8783E">
              <w:rPr>
                <w:rFonts w:ascii="Times New Roman" w:hAnsi="Times New Roman"/>
                <w:lang w:val="en-GB"/>
              </w:rPr>
              <w:t>ha</w:t>
            </w:r>
            <w:r w:rsidRPr="00A8783E">
              <w:rPr>
                <w:rFonts w:ascii="Times New Roman" w:hAnsi="Times New Roman"/>
              </w:rPr>
              <w:t xml:space="preserve"> на възраст над 80 г.</w:t>
            </w:r>
            <w:r w:rsidRPr="00A8783E">
              <w:rPr>
                <w:rFonts w:cs="Calibri"/>
              </w:rPr>
              <w:t xml:space="preserve"> </w:t>
            </w:r>
            <w:r w:rsidRPr="00A8783E">
              <w:rPr>
                <w:rFonts w:ascii="Times New Roman" w:hAnsi="Times New Roman"/>
              </w:rPr>
              <w:t xml:space="preserve">и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с диаметър по-</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голям от 36 </w:t>
            </w:r>
            <w:r w:rsidRPr="00A8783E">
              <w:rPr>
                <w:rFonts w:ascii="Times New Roman" w:hAnsi="Times New Roman"/>
                <w:lang w:val="en-US"/>
              </w:rPr>
              <w:t>cm</w:t>
            </w:r>
          </w:p>
        </w:tc>
        <w:tc>
          <w:tcPr>
            <w:tcW w:w="254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Гнездовите камери в ствола на стари дървета (с дебелина над 36</w:t>
            </w:r>
            <w:r w:rsidRPr="00A8783E">
              <w:rPr>
                <w:rFonts w:ascii="Times New Roman" w:hAnsi="Times New Roman"/>
                <w:lang w:val="ru-RU"/>
              </w:rPr>
              <w:t xml:space="preserve"> </w:t>
            </w:r>
            <w:r w:rsidRPr="00A8783E">
              <w:rPr>
                <w:rFonts w:ascii="Times New Roman" w:hAnsi="Times New Roman"/>
                <w:lang w:val="en-GB"/>
              </w:rPr>
              <w:t>cm</w:t>
            </w:r>
            <w:r w:rsidRPr="00A8783E">
              <w:rPr>
                <w:rFonts w:ascii="Times New Roman" w:hAnsi="Times New Roman"/>
                <w:lang w:val="ru-RU"/>
              </w:rPr>
              <w:t xml:space="preserve"> </w:t>
            </w:r>
            <w:r w:rsidRPr="00A8783E">
              <w:rPr>
                <w:rFonts w:ascii="Times New Roman" w:hAnsi="Times New Roman"/>
              </w:rPr>
              <w:t>в диаметър), които издълбава сам. На височина над 4-8 м от земята.</w:t>
            </w:r>
          </w:p>
        </w:tc>
        <w:tc>
          <w:tcPr>
            <w:tcW w:w="24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да се изясни броя на подходящите за гнездене дървета в зоната до 2025 г.</w:t>
            </w:r>
          </w:p>
        </w:tc>
      </w:tr>
    </w:tbl>
    <w:p w:rsidR="00A8783E" w:rsidRPr="00A8783E" w:rsidRDefault="00A8783E" w:rsidP="00A8783E">
      <w:pPr>
        <w:spacing w:after="0" w:line="240" w:lineRule="auto"/>
        <w:rPr>
          <w:lang w:val="ru-RU"/>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473" w:name="_Toc88865738"/>
      <w:bookmarkStart w:id="474" w:name="_Toc89106144"/>
      <w:bookmarkStart w:id="475" w:name="_Toc98741983"/>
      <w:bookmarkStart w:id="476" w:name="_Toc98838658"/>
      <w:r w:rsidRPr="00A8783E">
        <w:rPr>
          <w:rFonts w:ascii="Times New Roman" w:hAnsi="Times New Roman"/>
          <w:color w:val="1F497D"/>
          <w:sz w:val="28"/>
          <w:szCs w:val="28"/>
          <w:lang w:val="ru-RU"/>
        </w:rPr>
        <w:lastRenderedPageBreak/>
        <w:t xml:space="preserve">Специфични цели за </w:t>
      </w:r>
      <w:r w:rsidRPr="00A8783E">
        <w:rPr>
          <w:rFonts w:ascii="Times New Roman" w:hAnsi="Times New Roman"/>
          <w:color w:val="1F497D"/>
          <w:sz w:val="28"/>
          <w:szCs w:val="28"/>
          <w:lang w:val="en-GB"/>
        </w:rPr>
        <w:t>A</w:t>
      </w:r>
      <w:r w:rsidRPr="00A8783E">
        <w:rPr>
          <w:rFonts w:ascii="Times New Roman" w:hAnsi="Times New Roman"/>
          <w:color w:val="1F497D"/>
          <w:sz w:val="28"/>
          <w:szCs w:val="28"/>
          <w:lang w:val="ru-RU"/>
        </w:rPr>
        <w:t xml:space="preserve">246 </w:t>
      </w:r>
      <w:r w:rsidRPr="00A8783E">
        <w:rPr>
          <w:rFonts w:ascii="Times New Roman" w:hAnsi="Times New Roman"/>
          <w:i/>
          <w:iCs/>
          <w:color w:val="1F497D"/>
          <w:sz w:val="28"/>
          <w:szCs w:val="28"/>
          <w:lang w:val="en-GB"/>
        </w:rPr>
        <w:t>Lullula</w:t>
      </w:r>
      <w:r w:rsidRPr="00A8783E">
        <w:rPr>
          <w:rFonts w:ascii="Times New Roman" w:hAnsi="Times New Roman"/>
          <w:i/>
          <w:iCs/>
          <w:color w:val="1F497D"/>
          <w:sz w:val="28"/>
          <w:szCs w:val="28"/>
          <w:lang w:val="ru-RU"/>
        </w:rPr>
        <w:t xml:space="preserve"> </w:t>
      </w:r>
      <w:r w:rsidRPr="00A8783E">
        <w:rPr>
          <w:rFonts w:ascii="Times New Roman" w:hAnsi="Times New Roman"/>
          <w:i/>
          <w:iCs/>
          <w:color w:val="1F497D"/>
          <w:sz w:val="28"/>
          <w:szCs w:val="28"/>
          <w:lang w:val="en-GB"/>
        </w:rPr>
        <w:t>arborea</w:t>
      </w:r>
      <w:r w:rsidRPr="00A8783E">
        <w:rPr>
          <w:rFonts w:ascii="Times New Roman" w:hAnsi="Times New Roman"/>
          <w:color w:val="1F497D"/>
          <w:sz w:val="28"/>
          <w:szCs w:val="28"/>
          <w:lang w:val="ru-RU"/>
        </w:rPr>
        <w:t xml:space="preserve"> </w:t>
      </w:r>
      <w:r w:rsidRPr="00A8783E">
        <w:rPr>
          <w:rFonts w:ascii="Times New Roman" w:hAnsi="Times New Roman"/>
          <w:color w:val="1F497D"/>
          <w:sz w:val="28"/>
          <w:szCs w:val="28"/>
        </w:rPr>
        <w:t>(горска чучулига)</w:t>
      </w:r>
      <w:bookmarkEnd w:id="473"/>
      <w:bookmarkEnd w:id="474"/>
      <w:bookmarkEnd w:id="475"/>
      <w:bookmarkEnd w:id="476"/>
    </w:p>
    <w:p w:rsidR="00A8783E" w:rsidRPr="00A8783E" w:rsidRDefault="00A8783E" w:rsidP="00A8783E">
      <w:pPr>
        <w:spacing w:before="120" w:after="120" w:line="240" w:lineRule="auto"/>
        <w:rPr>
          <w:rFonts w:ascii="Times New Roman" w:hAnsi="Times New Roman"/>
          <w:b/>
          <w:bCs/>
          <w:sz w:val="24"/>
          <w:szCs w:val="24"/>
          <w:lang w:val="ru-RU"/>
        </w:rPr>
      </w:pPr>
      <w:r w:rsidRPr="00A8783E">
        <w:rPr>
          <w:rFonts w:ascii="Times New Roman" w:hAnsi="Times New Roman"/>
          <w:b/>
          <w:bCs/>
          <w:sz w:val="24"/>
          <w:szCs w:val="24"/>
        </w:rPr>
        <w:t xml:space="preserve">1. Кратка характеристика на вида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14-17 </w:t>
      </w:r>
      <w:r w:rsidRPr="00A8783E">
        <w:rPr>
          <w:rFonts w:ascii="Times New Roman" w:hAnsi="Times New Roman"/>
          <w:sz w:val="24"/>
          <w:szCs w:val="24"/>
          <w:lang w:val="en-US"/>
        </w:rPr>
        <w:t>cm</w:t>
      </w:r>
      <w:r w:rsidRPr="00A8783E">
        <w:rPr>
          <w:rFonts w:ascii="Times New Roman" w:hAnsi="Times New Roman"/>
          <w:sz w:val="24"/>
          <w:szCs w:val="24"/>
        </w:rPr>
        <w:t>. Отгоре пъстро кафяво жълтеникаво оперение с маслинен оттенък и почти черни надлъжни петна. От челото над очите минават широки бели вежди, които се съединяват на тила. Сгъвката на крилото е с бели петна. Големите надкрилия са с бели върхове, образуващи бяла ивица. Подкрилия сивкави.  Централната двойка кормилни пера маслинено-кафява, останалите - черни с бели връхни петна, а най-страничната двойка по-светли. Отдолу бели, с лимонено жълт оттенък. Гърло и гърди с черно кафяви пъстрини, леко размити по страните на тялото (Нанкинов,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Гнездяща, мигрираща и зимуваща птица. По време</w:t>
      </w:r>
      <w:r w:rsidRPr="00A8783E">
        <w:rPr>
          <w:rFonts w:ascii="Times New Roman" w:hAnsi="Times New Roman"/>
          <w:sz w:val="24"/>
          <w:szCs w:val="24"/>
          <w:lang w:val="ru-RU"/>
        </w:rPr>
        <w:t xml:space="preserve"> </w:t>
      </w:r>
      <w:r w:rsidRPr="00A8783E">
        <w:rPr>
          <w:rFonts w:ascii="Times New Roman" w:hAnsi="Times New Roman"/>
          <w:sz w:val="24"/>
          <w:szCs w:val="24"/>
        </w:rPr>
        <w:t>на миграциите пресича на широк фронт територията на цялата страна, като в някои</w:t>
      </w:r>
      <w:r w:rsidRPr="00A8783E">
        <w:rPr>
          <w:rFonts w:ascii="Times New Roman" w:hAnsi="Times New Roman"/>
          <w:sz w:val="24"/>
          <w:szCs w:val="24"/>
          <w:lang w:val="ru-RU"/>
        </w:rPr>
        <w:t xml:space="preserve"> участъци се на</w:t>
      </w:r>
      <w:r w:rsidRPr="00A8783E">
        <w:rPr>
          <w:rFonts w:ascii="Times New Roman" w:hAnsi="Times New Roman"/>
          <w:sz w:val="24"/>
          <w:szCs w:val="24"/>
        </w:rPr>
        <w:t>б</w:t>
      </w:r>
      <w:r w:rsidRPr="00A8783E">
        <w:rPr>
          <w:rFonts w:ascii="Times New Roman" w:hAnsi="Times New Roman"/>
          <w:sz w:val="24"/>
          <w:szCs w:val="24"/>
          <w:lang w:val="ru-RU"/>
        </w:rPr>
        <w:t>людават</w:t>
      </w:r>
      <w:r w:rsidRPr="00A8783E">
        <w:rPr>
          <w:rFonts w:ascii="Times New Roman" w:hAnsi="Times New Roman"/>
          <w:sz w:val="24"/>
          <w:szCs w:val="24"/>
        </w:rPr>
        <w:t xml:space="preserve"> ята, достигащи до 500 индивиди. През различните години пролетният прелет започва след средата на февруари и продължава до края на април.</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Обитава разредени горски участъци, просеки, поляни, сечища, пожарища (особено в иглолистни и смесените гори) покрайнини на гори, открити места с горски участъци, групи дървета и храсти. В равнините и предпланините заселва също стари овощни градини, лозя склонове и дерета обрасли с редки дървета и храсти (Нанкинов, 2009). Подходящи местообитания за гнездене на вида са 6150, 6170, 6210, 6510, 6520, 9170,  91G0, 91H0,  91AA,  91BA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sz w:val="24"/>
          <w:szCs w:val="24"/>
        </w:rPr>
        <w:t>Насекоми и техните ларви, семена, житни зърна и семена на плевелни треви.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color w:val="000000"/>
          <w:sz w:val="24"/>
          <w:szCs w:val="24"/>
        </w:rPr>
        <w:t>Разпространена е навсякъде в хълмистите, нископланинските и равнинните райони с разредени гори и храсталаци на по-голямата част от територията на страната с изключение на равнинните земеделски райони в Дунавската равнина, Добруджа, Тракийската низина и Бургаската низина (Янков отг. ред., 2007)</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Природозащитен статус в България – включен в приложение 2 и 3 на ЗБР</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и в Приложение 1 на Директивата за птиците. Според IUCN – LC (Least Concern), за територията на континентална Европа – също LC.</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2013 - 2018 г.), </w:t>
      </w:r>
      <w:r w:rsidRPr="00A8783E">
        <w:rPr>
          <w:rFonts w:ascii="Times New Roman" w:hAnsi="Times New Roman"/>
          <w:b/>
          <w:bCs/>
          <w:sz w:val="24"/>
          <w:szCs w:val="24"/>
        </w:rPr>
        <w:t>гнездящата</w:t>
      </w:r>
      <w:r w:rsidRPr="00A8783E">
        <w:rPr>
          <w:rFonts w:ascii="Times New Roman" w:hAnsi="Times New Roman"/>
          <w:sz w:val="24"/>
          <w:szCs w:val="24"/>
        </w:rPr>
        <w:t xml:space="preserve"> популация е от </w:t>
      </w:r>
      <w:r w:rsidRPr="00A8783E">
        <w:rPr>
          <w:rFonts w:ascii="Times New Roman" w:hAnsi="Times New Roman"/>
          <w:sz w:val="24"/>
          <w:szCs w:val="24"/>
          <w:lang w:val="ru-RU"/>
        </w:rPr>
        <w:t>4</w:t>
      </w:r>
      <w:r w:rsidRPr="00A8783E">
        <w:rPr>
          <w:rFonts w:ascii="Times New Roman" w:hAnsi="Times New Roman"/>
          <w:sz w:val="24"/>
          <w:szCs w:val="24"/>
        </w:rPr>
        <w:t>0 0</w:t>
      </w:r>
      <w:r w:rsidRPr="00A8783E">
        <w:rPr>
          <w:rFonts w:ascii="Times New Roman" w:hAnsi="Times New Roman"/>
          <w:sz w:val="24"/>
          <w:szCs w:val="24"/>
          <w:lang w:val="ru-RU"/>
        </w:rPr>
        <w:t xml:space="preserve">00 </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90</w:t>
      </w:r>
      <w:r w:rsidRPr="00A8783E">
        <w:rPr>
          <w:rFonts w:ascii="Times New Roman" w:hAnsi="Times New Roman"/>
          <w:sz w:val="24"/>
          <w:szCs w:val="24"/>
          <w:lang w:val="ru-RU"/>
        </w:rPr>
        <w:t xml:space="preserve"> 0</w:t>
      </w:r>
      <w:r w:rsidRPr="00A8783E">
        <w:rPr>
          <w:rFonts w:ascii="Times New Roman" w:hAnsi="Times New Roman"/>
          <w:sz w:val="24"/>
          <w:szCs w:val="24"/>
        </w:rPr>
        <w:t>00 двойки, като краткосрочната тенденция (2001-2018) на популацията е оценена на стабилна.</w:t>
      </w:r>
      <w:r w:rsidRPr="00A8783E">
        <w:rPr>
          <w:rFonts w:ascii="Times New Roman" w:hAnsi="Times New Roman"/>
          <w:sz w:val="24"/>
          <w:szCs w:val="24"/>
          <w:lang w:val="ru-RU"/>
        </w:rPr>
        <w:t xml:space="preserve"> </w:t>
      </w:r>
      <w:r w:rsidRPr="00A8783E">
        <w:rPr>
          <w:rFonts w:ascii="Times New Roman" w:hAnsi="Times New Roman"/>
          <w:sz w:val="24"/>
          <w:szCs w:val="24"/>
        </w:rPr>
        <w:t>Дългосрочната тенденция (1980 - 2018) на популацията е оценена на стабилна. За гнездящата популация са посочени следните заплахи и влияния: А20, А01, А02, А03, Е</w:t>
      </w:r>
      <w:r w:rsidRPr="00A8783E">
        <w:rPr>
          <w:rFonts w:ascii="Times New Roman" w:hAnsi="Times New Roman"/>
          <w:sz w:val="24"/>
          <w:szCs w:val="24"/>
          <w:lang w:val="ru-RU"/>
        </w:rPr>
        <w:t>01</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гнездящ</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lang w:val="ru-RU"/>
        </w:rPr>
        <w:t>1</w:t>
      </w:r>
      <w:r w:rsidRPr="00A8783E">
        <w:rPr>
          <w:rFonts w:ascii="Times New Roman" w:hAnsi="Times New Roman"/>
          <w:b/>
          <w:bCs/>
          <w:sz w:val="24"/>
          <w:szCs w:val="24"/>
        </w:rPr>
        <w:t>-</w:t>
      </w:r>
      <w:r w:rsidRPr="00A8783E">
        <w:rPr>
          <w:rFonts w:ascii="Times New Roman" w:hAnsi="Times New Roman"/>
          <w:b/>
          <w:bCs/>
          <w:sz w:val="24"/>
          <w:szCs w:val="24"/>
          <w:lang w:val="ru-RU"/>
        </w:rPr>
        <w:t xml:space="preserve">2 </w:t>
      </w:r>
      <w:r w:rsidRPr="00A8783E">
        <w:rPr>
          <w:rFonts w:ascii="Times New Roman" w:hAnsi="Times New Roman"/>
          <w:b/>
          <w:bCs/>
          <w:sz w:val="24"/>
          <w:szCs w:val="24"/>
        </w:rPr>
        <w:t>двойки</w:t>
      </w:r>
      <w:r w:rsidRPr="00A8783E">
        <w:rPr>
          <w:rFonts w:ascii="Times New Roman" w:hAnsi="Times New Roman"/>
          <w:sz w:val="24"/>
          <w:szCs w:val="24"/>
        </w:rPr>
        <w:t>, което представлява около 0,0</w:t>
      </w:r>
      <w:r w:rsidRPr="00A8783E">
        <w:rPr>
          <w:rFonts w:ascii="Times New Roman" w:hAnsi="Times New Roman"/>
          <w:sz w:val="24"/>
          <w:szCs w:val="24"/>
          <w:lang w:val="ru-RU"/>
        </w:rPr>
        <w:t>02</w:t>
      </w:r>
      <w:r w:rsidRPr="00A8783E">
        <w:rPr>
          <w:rFonts w:ascii="Times New Roman" w:hAnsi="Times New Roman"/>
          <w:sz w:val="24"/>
          <w:szCs w:val="24"/>
        </w:rPr>
        <w:t>% от националната популация (оценка „С“). Опазването на вида е отлично (оценка „</w:t>
      </w:r>
      <w:r w:rsidRPr="00A8783E">
        <w:rPr>
          <w:rFonts w:ascii="Times New Roman" w:hAnsi="Times New Roman"/>
          <w:sz w:val="24"/>
          <w:szCs w:val="24"/>
          <w:lang w:val="en-US"/>
        </w:rPr>
        <w:t>A</w:t>
      </w:r>
      <w:r w:rsidRPr="00A8783E">
        <w:rPr>
          <w:rFonts w:ascii="Times New Roman" w:hAnsi="Times New Roman"/>
          <w:sz w:val="24"/>
          <w:szCs w:val="24"/>
        </w:rPr>
        <w:t>“), популацията не е изолирана в рамките на разширен ареал (оценка „С“). Общата оценка на стойността на зоната за съхранение на вида е „</w:t>
      </w:r>
      <w:r w:rsidRPr="00A8783E">
        <w:rPr>
          <w:rFonts w:ascii="Times New Roman" w:hAnsi="Times New Roman"/>
          <w:sz w:val="24"/>
          <w:szCs w:val="24"/>
          <w:lang w:val="en-US"/>
        </w:rPr>
        <w:t>A</w:t>
      </w:r>
      <w:r w:rsidRPr="00A8783E">
        <w:rPr>
          <w:rFonts w:ascii="Times New Roman" w:hAnsi="Times New Roman"/>
          <w:sz w:val="24"/>
          <w:szCs w:val="24"/>
        </w:rPr>
        <w:t>“ – отлична</w:t>
      </w:r>
      <w:r w:rsidRPr="00A8783E">
        <w:rPr>
          <w:rFonts w:ascii="Times New Roman" w:hAnsi="Times New Roman"/>
          <w:sz w:val="24"/>
          <w:szCs w:val="24"/>
          <w:lang w:val="ru-RU"/>
        </w:rPr>
        <w:t xml:space="preserve"> </w:t>
      </w:r>
      <w:r w:rsidRPr="00A8783E">
        <w:rPr>
          <w:rFonts w:ascii="Times New Roman" w:hAnsi="Times New Roman"/>
          <w:sz w:val="24"/>
          <w:szCs w:val="24"/>
        </w:rPr>
        <w:t>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lastRenderedPageBreak/>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ОВМ „Сребърна“ не е посочена гнездова численост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2007</w:t>
      </w:r>
      <w:r w:rsidRPr="00A8783E">
        <w:rPr>
          <w:rFonts w:ascii="Times New Roman" w:hAnsi="Times New Roman"/>
          <w:sz w:val="24"/>
          <w:szCs w:val="24"/>
          <w:lang w:val="ru-RU"/>
        </w:rPr>
        <w:t>)</w:t>
      </w:r>
      <w:r w:rsidRPr="00A8783E">
        <w:rPr>
          <w:rFonts w:ascii="Times New Roman" w:hAnsi="Times New Roman"/>
          <w:sz w:val="24"/>
          <w:szCs w:val="24"/>
        </w:rPr>
        <w:t>. Числеността на горската чучулига е неравномерна, с по-малко от 10 дв./кв.км в равнинните райони (Янков отг. ред., 2007). През периода 2001-2003 г. в зоната видът е установен с много ниска гнездова плътност – 0.01 дв./</w:t>
      </w:r>
      <w:r w:rsidRPr="00A8783E">
        <w:rPr>
          <w:rFonts w:ascii="Times New Roman" w:hAnsi="Times New Roman"/>
          <w:sz w:val="24"/>
          <w:szCs w:val="24"/>
          <w:lang w:val="en-US"/>
        </w:rPr>
        <w:t>ha</w:t>
      </w:r>
      <w:r w:rsidRPr="00A8783E">
        <w:rPr>
          <w:rFonts w:ascii="Times New Roman" w:hAnsi="Times New Roman"/>
          <w:sz w:val="24"/>
          <w:szCs w:val="24"/>
        </w:rPr>
        <w:t xml:space="preserve"> </w:t>
      </w:r>
      <w:r w:rsidRPr="00A8783E">
        <w:rPr>
          <w:rFonts w:ascii="Times New Roman" w:hAnsi="Times New Roman"/>
          <w:sz w:val="24"/>
          <w:szCs w:val="24"/>
          <w:lang w:val="ru-RU"/>
        </w:rPr>
        <w:t>(</w:t>
      </w:r>
      <w:r w:rsidRPr="00A8783E">
        <w:rPr>
          <w:rFonts w:ascii="Times New Roman" w:hAnsi="Times New Roman"/>
          <w:sz w:val="24"/>
          <w:szCs w:val="24"/>
          <w:lang w:val="en-US"/>
        </w:rPr>
        <w:t>Kambourova</w:t>
      </w:r>
      <w:r w:rsidRPr="00A8783E">
        <w:rPr>
          <w:rFonts w:ascii="Times New Roman" w:hAnsi="Times New Roman"/>
          <w:sz w:val="24"/>
          <w:szCs w:val="24"/>
          <w:lang w:val="ru-RU"/>
        </w:rPr>
        <w:t>, 2012)</w:t>
      </w:r>
      <w:r w:rsidRPr="00A8783E">
        <w:rPr>
          <w:rFonts w:ascii="Times New Roman" w:hAnsi="Times New Roman"/>
          <w:sz w:val="24"/>
          <w:szCs w:val="24"/>
        </w:rPr>
        <w:t xml:space="preserve">. В базата данни от eBird в Сребърна видът е регистриран само веднъж на </w:t>
      </w:r>
      <w:r w:rsidRPr="00A8783E">
        <w:rPr>
          <w:rFonts w:ascii="Times New Roman" w:hAnsi="Times New Roman"/>
          <w:sz w:val="24"/>
          <w:szCs w:val="24"/>
          <w:lang w:val="ru-RU"/>
        </w:rPr>
        <w:t>02</w:t>
      </w:r>
      <w:r w:rsidRPr="00A8783E">
        <w:rPr>
          <w:rFonts w:ascii="Times New Roman" w:hAnsi="Times New Roman"/>
          <w:sz w:val="24"/>
          <w:szCs w:val="24"/>
        </w:rPr>
        <w:t>.0</w:t>
      </w:r>
      <w:r w:rsidRPr="00A8783E">
        <w:rPr>
          <w:rFonts w:ascii="Times New Roman" w:hAnsi="Times New Roman"/>
          <w:sz w:val="24"/>
          <w:szCs w:val="24"/>
          <w:lang w:val="ru-RU"/>
        </w:rPr>
        <w:t>3</w:t>
      </w:r>
      <w:r w:rsidRPr="00A8783E">
        <w:rPr>
          <w:rFonts w:ascii="Times New Roman" w:hAnsi="Times New Roman"/>
          <w:sz w:val="24"/>
          <w:szCs w:val="24"/>
        </w:rPr>
        <w:t>.</w:t>
      </w:r>
      <w:r w:rsidRPr="00A8783E">
        <w:rPr>
          <w:rFonts w:ascii="Times New Roman" w:hAnsi="Times New Roman"/>
          <w:sz w:val="24"/>
          <w:szCs w:val="24"/>
          <w:lang w:val="ru-RU"/>
        </w:rPr>
        <w:t>2015</w:t>
      </w:r>
      <w:r w:rsidRPr="00A8783E">
        <w:rPr>
          <w:rFonts w:ascii="Times New Roman" w:hAnsi="Times New Roman"/>
          <w:sz w:val="24"/>
          <w:szCs w:val="24"/>
        </w:rPr>
        <w:t xml:space="preserve"> г.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 гнездящата популация са посочени следните заплахи и влияния (от Докладване по чл. 12, 2019 г.): А20, А01, А02, А03, Е01. От тях потенциално валидни за СЗЗ „Сребърна” могат да бъдат тези, които са свързани с промяна в ползването на земите и земеделските площи - A02, A03, тъй като в такива местообитания вида търси храна.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1276"/>
        <w:gridCol w:w="1135"/>
        <w:gridCol w:w="2830"/>
        <w:gridCol w:w="2552"/>
      </w:tblGrid>
      <w:tr w:rsidR="00A8783E" w:rsidRPr="00A8783E" w:rsidTr="005B5318">
        <w:trPr>
          <w:tblHeader/>
          <w:jc w:val="center"/>
        </w:trPr>
        <w:tc>
          <w:tcPr>
            <w:tcW w:w="155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13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83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552"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55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гнездящата популация</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гнездящи двойки</w:t>
            </w:r>
          </w:p>
        </w:tc>
        <w:tc>
          <w:tcPr>
            <w:tcW w:w="113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 дв.</w:t>
            </w:r>
          </w:p>
        </w:tc>
        <w:tc>
          <w:tcPr>
            <w:tcW w:w="283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на база СФ, теренните наблюдения през гнездовия период на 2021 г. и друга налична публикувана информация за числеността на вида в зоната.</w:t>
            </w:r>
          </w:p>
        </w:tc>
        <w:tc>
          <w:tcPr>
            <w:tcW w:w="255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1 гнездяща двойка чрез поддържане на подходящите местообитания.</w:t>
            </w:r>
          </w:p>
        </w:tc>
      </w:tr>
      <w:tr w:rsidR="00A8783E" w:rsidRPr="00A8783E" w:rsidTr="005B5318">
        <w:trPr>
          <w:trHeight w:val="2087"/>
          <w:jc w:val="center"/>
        </w:trPr>
        <w:tc>
          <w:tcPr>
            <w:tcW w:w="155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w:t>
            </w:r>
            <w:r w:rsidRPr="00A8783E">
              <w:rPr>
                <w:rFonts w:ascii="Times New Roman" w:hAnsi="Times New Roman"/>
                <w:b/>
                <w:bCs/>
              </w:rPr>
              <w:t xml:space="preserve"> </w:t>
            </w:r>
            <w:r w:rsidRPr="00A8783E">
              <w:rPr>
                <w:rFonts w:ascii="Times New Roman" w:hAnsi="Times New Roman"/>
              </w:rPr>
              <w:t xml:space="preserve">местообитания за гнездене и търсене на храна </w:t>
            </w:r>
          </w:p>
        </w:tc>
        <w:tc>
          <w:tcPr>
            <w:tcW w:w="1276"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p w:rsidR="00A8783E" w:rsidRPr="00A8783E" w:rsidRDefault="00A8783E" w:rsidP="00A8783E">
            <w:pPr>
              <w:spacing w:after="0" w:line="240" w:lineRule="auto"/>
              <w:jc w:val="both"/>
              <w:rPr>
                <w:rFonts w:ascii="Times New Roman" w:hAnsi="Times New Roman"/>
              </w:rPr>
            </w:pPr>
          </w:p>
        </w:tc>
        <w:tc>
          <w:tcPr>
            <w:tcW w:w="113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361</w:t>
            </w:r>
          </w:p>
        </w:tc>
        <w:tc>
          <w:tcPr>
            <w:tcW w:w="283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Изчислена въз основа на процентното участие на откритите и храсталачни местообитания </w:t>
            </w:r>
            <w:r w:rsidRPr="00A8783E">
              <w:rPr>
                <w:rFonts w:ascii="Times New Roman" w:hAnsi="Times New Roman"/>
                <w:lang w:val="en-US"/>
              </w:rPr>
              <w:t>N</w:t>
            </w:r>
            <w:r w:rsidRPr="00A8783E">
              <w:rPr>
                <w:rFonts w:ascii="Times New Roman" w:hAnsi="Times New Roman"/>
                <w:lang w:val="ru-RU"/>
              </w:rPr>
              <w:t>08-</w:t>
            </w:r>
            <w:r w:rsidRPr="00A8783E">
              <w:rPr>
                <w:lang w:val="ru-RU"/>
              </w:rPr>
              <w:t xml:space="preserve"> </w:t>
            </w:r>
            <w:r w:rsidRPr="00A8783E">
              <w:rPr>
                <w:rFonts w:ascii="Times New Roman" w:hAnsi="Times New Roman"/>
                <w:lang w:val="ru-RU"/>
              </w:rPr>
              <w:t>Равнини, шубраци</w:t>
            </w:r>
            <w:r w:rsidRPr="00A8783E">
              <w:rPr>
                <w:rFonts w:ascii="Times New Roman" w:hAnsi="Times New Roman"/>
              </w:rPr>
              <w:t xml:space="preserve">, </w:t>
            </w:r>
            <w:r w:rsidRPr="00A8783E">
              <w:rPr>
                <w:rFonts w:ascii="Times New Roman" w:hAnsi="Times New Roman"/>
                <w:lang w:val="en-US"/>
              </w:rPr>
              <w:t>N</w:t>
            </w:r>
            <w:r w:rsidRPr="00A8783E">
              <w:rPr>
                <w:rFonts w:ascii="Times New Roman" w:hAnsi="Times New Roman"/>
                <w:lang w:val="ru-RU"/>
              </w:rPr>
              <w:t>09-</w:t>
            </w:r>
            <w:r w:rsidRPr="00A8783E">
              <w:rPr>
                <w:lang w:val="ru-RU"/>
              </w:rPr>
              <w:t xml:space="preserve"> </w:t>
            </w:r>
            <w:r w:rsidRPr="00A8783E">
              <w:rPr>
                <w:rFonts w:ascii="Times New Roman" w:hAnsi="Times New Roman"/>
              </w:rPr>
              <w:t>Сухи ливади, степи</w:t>
            </w:r>
            <w:r w:rsidRPr="00A8783E">
              <w:rPr>
                <w:rFonts w:ascii="Times New Roman" w:hAnsi="Times New Roman"/>
                <w:lang w:val="ru-RU"/>
              </w:rPr>
              <w:t xml:space="preserve"> </w:t>
            </w:r>
            <w:r w:rsidRPr="00A8783E">
              <w:rPr>
                <w:rFonts w:ascii="Times New Roman" w:hAnsi="Times New Roman"/>
              </w:rPr>
              <w:t xml:space="preserve">и </w:t>
            </w:r>
            <w:r w:rsidRPr="00A8783E">
              <w:rPr>
                <w:rFonts w:ascii="Times New Roman" w:hAnsi="Times New Roman"/>
                <w:lang w:val="en-US"/>
              </w:rPr>
              <w:t>N</w:t>
            </w:r>
            <w:r w:rsidRPr="00A8783E">
              <w:rPr>
                <w:rFonts w:ascii="Times New Roman" w:hAnsi="Times New Roman"/>
                <w:lang w:val="ru-RU"/>
              </w:rPr>
              <w:t>21-</w:t>
            </w:r>
            <w:r w:rsidRPr="00A8783E">
              <w:rPr>
                <w:lang w:val="ru-RU"/>
              </w:rPr>
              <w:t xml:space="preserve"> </w:t>
            </w:r>
            <w:r w:rsidRPr="00A8783E">
              <w:rPr>
                <w:rFonts w:ascii="Times New Roman" w:hAnsi="Times New Roman"/>
              </w:rPr>
              <w:t>Негорски площи, заети с растителни видове</w:t>
            </w:r>
            <w:r w:rsidRPr="00A8783E">
              <w:rPr>
                <w:rFonts w:ascii="Times New Roman" w:hAnsi="Times New Roman"/>
                <w:lang w:val="ru-RU"/>
              </w:rPr>
              <w:t xml:space="preserve"> </w:t>
            </w:r>
            <w:r w:rsidRPr="00A8783E">
              <w:rPr>
                <w:rFonts w:ascii="Times New Roman" w:hAnsi="Times New Roman"/>
              </w:rPr>
              <w:t xml:space="preserve">в рамките на зоната, а също и на </w:t>
            </w:r>
            <w:r w:rsidRPr="00A8783E">
              <w:rPr>
                <w:rFonts w:ascii="Times New Roman" w:hAnsi="Times New Roman"/>
                <w:lang w:val="en-US"/>
              </w:rPr>
              <w:t>N</w:t>
            </w:r>
            <w:r w:rsidRPr="00A8783E">
              <w:rPr>
                <w:rFonts w:ascii="Times New Roman" w:hAnsi="Times New Roman"/>
              </w:rPr>
              <w:t>15-други обработваеми земи. Площта на гнездовото и хранителното местообитание до голяма степен се припокриват.</w:t>
            </w:r>
          </w:p>
          <w:p w:rsidR="00A8783E" w:rsidRPr="00A8783E" w:rsidRDefault="00A8783E" w:rsidP="00A8783E">
            <w:pPr>
              <w:spacing w:after="0" w:line="240" w:lineRule="auto"/>
              <w:jc w:val="both"/>
              <w:rPr>
                <w:rFonts w:ascii="Times New Roman" w:hAnsi="Times New Roman"/>
              </w:rPr>
            </w:pPr>
          </w:p>
        </w:tc>
        <w:tc>
          <w:tcPr>
            <w:tcW w:w="255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подходящите местообитания чрез: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да не се премахват синурите и храстите покрай обработваемите земи; запазване на храсталачните местообитания в зоната и др.</w:t>
            </w:r>
          </w:p>
        </w:tc>
      </w:tr>
    </w:tbl>
    <w:p w:rsidR="00A8783E" w:rsidRPr="00A8783E" w:rsidRDefault="00A8783E" w:rsidP="00A8783E">
      <w:pPr>
        <w:spacing w:before="120" w:after="16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Не е необходима актуализация на СФ на този етап.</w:t>
      </w: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477" w:name="_Toc88865733"/>
      <w:bookmarkStart w:id="478" w:name="_Toc89106145"/>
      <w:bookmarkStart w:id="479" w:name="_Toc98741984"/>
      <w:bookmarkStart w:id="480" w:name="_Toc98838659"/>
      <w:r w:rsidRPr="00A8783E">
        <w:rPr>
          <w:rFonts w:ascii="Times New Roman" w:hAnsi="Times New Roman"/>
          <w:color w:val="1F497D"/>
          <w:sz w:val="28"/>
          <w:szCs w:val="28"/>
        </w:rPr>
        <w:t xml:space="preserve">Специфични цели за  </w:t>
      </w:r>
      <w:r w:rsidRPr="00A8783E">
        <w:rPr>
          <w:rFonts w:ascii="Times New Roman" w:hAnsi="Times New Roman"/>
          <w:color w:val="1F497D"/>
          <w:sz w:val="28"/>
          <w:szCs w:val="28"/>
          <w:lang w:val="en-US"/>
        </w:rPr>
        <w:t>A</w:t>
      </w:r>
      <w:r w:rsidRPr="00A8783E">
        <w:rPr>
          <w:rFonts w:ascii="Times New Roman" w:hAnsi="Times New Roman"/>
          <w:color w:val="1F497D"/>
          <w:sz w:val="28"/>
          <w:szCs w:val="28"/>
        </w:rPr>
        <w:t xml:space="preserve">255 </w:t>
      </w:r>
      <w:r w:rsidRPr="00A8783E">
        <w:rPr>
          <w:rFonts w:ascii="Times New Roman" w:hAnsi="Times New Roman"/>
          <w:i/>
          <w:iCs/>
          <w:color w:val="1F497D"/>
          <w:sz w:val="28"/>
          <w:szCs w:val="28"/>
          <w:lang w:val="en-US"/>
        </w:rPr>
        <w:t>Anthus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US"/>
        </w:rPr>
        <w:t>campestris</w:t>
      </w:r>
      <w:r w:rsidRPr="00A8783E">
        <w:rPr>
          <w:rFonts w:ascii="Times New Roman" w:hAnsi="Times New Roman"/>
          <w:color w:val="1F497D"/>
          <w:sz w:val="28"/>
          <w:szCs w:val="28"/>
        </w:rPr>
        <w:t xml:space="preserve">  (полска бъбрица)</w:t>
      </w:r>
      <w:bookmarkEnd w:id="477"/>
      <w:bookmarkEnd w:id="478"/>
      <w:bookmarkEnd w:id="479"/>
      <w:bookmarkEnd w:id="480"/>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1. Кратка характеристика на вида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15-18 </w:t>
      </w:r>
      <w:r w:rsidRPr="00A8783E">
        <w:rPr>
          <w:rFonts w:ascii="Times New Roman" w:hAnsi="Times New Roman"/>
          <w:sz w:val="24"/>
          <w:szCs w:val="24"/>
          <w:lang w:val="en-US"/>
        </w:rPr>
        <w:t>cm</w:t>
      </w:r>
      <w:r w:rsidRPr="00A8783E">
        <w:rPr>
          <w:rFonts w:ascii="Times New Roman" w:hAnsi="Times New Roman"/>
          <w:sz w:val="24"/>
          <w:szCs w:val="24"/>
        </w:rPr>
        <w:t xml:space="preserve">. Без полов диморфизъм в оперението, но в рамките на двойката женската обикновено е видимо по-напетнена в средната част на гушата. Горната страна и страните на врата пясъчножълто кафяви с по-тъмни, едва видими осеви чертички в областта на челото, темето и гърба. Маховите и раменните пера сиво-кафяви с охрови до светложълти окраища и ръбове. Подкрилията кремаво-жълти до кремаво бели. Широка бледожълта до белезникава надочна ивица, започваща отстрани </w:t>
      </w:r>
      <w:r w:rsidRPr="00A8783E">
        <w:rPr>
          <w:rFonts w:ascii="Times New Roman" w:hAnsi="Times New Roman"/>
          <w:sz w:val="24"/>
          <w:szCs w:val="24"/>
        </w:rPr>
        <w:lastRenderedPageBreak/>
        <w:t>на челото и завършваща в горната част на врата. В долната си страна, в областта на юздичката, подчертана от матово черна добре видима черта, започваща от основата на клюна. Ясен светло жълт околоочен пръстен. Тясна, добре видима мустачна ивица, започваща от ъгъла на устата и достигаща понякога само до под окото, а в други случаи продължаваща назад към долния край на ухото до страните на шията. Бузите и гърлото светло охрови до 6ледожълти или белезникави. Тясна подбрадна ивица по страните на гушата. Последната както и страните на гърдите и тялото охрови. Останалата долно страна светло кремаво-жълта до кремаво-бяла (Иванов,  2011)</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Гнездящ и мигриращ вид. В степни местообитания с храсти гнездовата плътност е 1,16 дв./10 ha. В открити степи - 0,4 -1,7 дв /10 </w:t>
      </w:r>
      <w:r w:rsidRPr="00A8783E">
        <w:rPr>
          <w:rFonts w:ascii="Times New Roman" w:hAnsi="Times New Roman"/>
          <w:sz w:val="24"/>
          <w:szCs w:val="24"/>
          <w:lang w:val="en-US"/>
        </w:rPr>
        <w:t>ha</w:t>
      </w:r>
      <w:r w:rsidRPr="00A8783E">
        <w:rPr>
          <w:rFonts w:ascii="Times New Roman" w:hAnsi="Times New Roman"/>
          <w:sz w:val="24"/>
          <w:szCs w:val="24"/>
        </w:rPr>
        <w:t xml:space="preserve">; в археологическия резерват „Калиакра" - 0,38 дв/10 ha. В района на Шабленско езеро средно 0,8 дв/10 </w:t>
      </w:r>
      <w:r w:rsidRPr="00A8783E">
        <w:rPr>
          <w:rFonts w:ascii="Times New Roman" w:hAnsi="Times New Roman"/>
          <w:sz w:val="24"/>
          <w:szCs w:val="24"/>
          <w:lang w:val="en-US"/>
        </w:rPr>
        <w:t>ha</w:t>
      </w:r>
      <w:r w:rsidRPr="00A8783E">
        <w:rPr>
          <w:rFonts w:ascii="Times New Roman" w:hAnsi="Times New Roman"/>
          <w:sz w:val="24"/>
          <w:szCs w:val="24"/>
        </w:rPr>
        <w:t>. Открити райони на Шуменското плато  - 1дв./</w:t>
      </w:r>
      <w:r w:rsidRPr="00A8783E">
        <w:rPr>
          <w:rFonts w:ascii="Times New Roman" w:hAnsi="Times New Roman"/>
          <w:sz w:val="24"/>
          <w:szCs w:val="24"/>
          <w:lang w:val="en-US"/>
        </w:rPr>
        <w:t>ha</w:t>
      </w:r>
      <w:r w:rsidRPr="00A8783E">
        <w:rPr>
          <w:rFonts w:ascii="Times New Roman" w:hAnsi="Times New Roman"/>
          <w:sz w:val="24"/>
          <w:szCs w:val="24"/>
        </w:rPr>
        <w:t xml:space="preserve"> (Иванов, 2011).</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Обитава сухи, горещи, открити терени и пасища с рядка тревиста растителност и често песъчлива почва, обширни пясъчни дюни с туфеста растителност край морето.  (Иванов,  2011). Степни и сухолюбиви степни съобщества по варовити терени, пустеещи земи (Янков отг. ред., 2007).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sz w:val="24"/>
          <w:szCs w:val="24"/>
        </w:rPr>
        <w:t>Главно насекоми, през есента и семена.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color w:val="000000"/>
          <w:sz w:val="24"/>
          <w:szCs w:val="24"/>
        </w:rPr>
        <w:t xml:space="preserve">С петнисто и разпръснато разпространение в равнини, хълмисти и нископланински райони в цялата страна, по-плътно в най-източната и част. </w:t>
      </w:r>
      <w:r w:rsidRPr="00A8783E">
        <w:rPr>
          <w:rFonts w:ascii="Times New Roman" w:hAnsi="Times New Roman"/>
          <w:sz w:val="24"/>
          <w:szCs w:val="24"/>
        </w:rPr>
        <w:t xml:space="preserve">Най-често не особено многочислена; в някои райони дори рядка </w:t>
      </w:r>
      <w:r w:rsidRPr="00A8783E">
        <w:rPr>
          <w:rFonts w:ascii="Times New Roman" w:hAnsi="Times New Roman"/>
          <w:color w:val="000000"/>
          <w:sz w:val="24"/>
          <w:szCs w:val="24"/>
        </w:rPr>
        <w:t>(Янков отг. ред., 2007)</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Природозащитен статус в България – включен в приложение 2 и 3 на ЗБР. Включена в Приложение </w:t>
      </w:r>
      <w:r w:rsidRPr="00A8783E">
        <w:rPr>
          <w:rFonts w:ascii="Times New Roman" w:hAnsi="Times New Roman"/>
          <w:color w:val="000000"/>
          <w:sz w:val="24"/>
          <w:szCs w:val="24"/>
          <w:lang w:val="en-US"/>
        </w:rPr>
        <w:t>I</w:t>
      </w:r>
      <w:r w:rsidRPr="00A8783E">
        <w:rPr>
          <w:rFonts w:ascii="Times New Roman" w:hAnsi="Times New Roman"/>
          <w:color w:val="000000"/>
          <w:sz w:val="24"/>
          <w:szCs w:val="24"/>
        </w:rPr>
        <w:t xml:space="preserve"> на Директивата за птиците.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2013 - 2018 г.), </w:t>
      </w:r>
      <w:r w:rsidRPr="00A8783E">
        <w:rPr>
          <w:rFonts w:ascii="Times New Roman" w:hAnsi="Times New Roman"/>
          <w:b/>
          <w:bCs/>
          <w:sz w:val="24"/>
          <w:szCs w:val="24"/>
        </w:rPr>
        <w:t>гнездящата</w:t>
      </w:r>
      <w:r w:rsidRPr="00A8783E">
        <w:rPr>
          <w:rFonts w:ascii="Times New Roman" w:hAnsi="Times New Roman"/>
          <w:sz w:val="24"/>
          <w:szCs w:val="24"/>
        </w:rPr>
        <w:t xml:space="preserve"> популация е от 4500 – 15 000 двойки, като краткосрочната тенденция (2001-2018) на популацията е оценена на стабилна. Дългосрочната тенденция (1980 - 2018) на популацията е оценена на стабилна. Посочени са следните заплахи и влияния: А01, А02, С03, Е01.</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видът е </w:t>
      </w:r>
      <w:r w:rsidRPr="00A8783E">
        <w:rPr>
          <w:rFonts w:ascii="Times New Roman" w:hAnsi="Times New Roman"/>
          <w:b/>
          <w:bCs/>
          <w:sz w:val="24"/>
          <w:szCs w:val="24"/>
        </w:rPr>
        <w:t>гнездящ</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lang w:val="ru-RU"/>
        </w:rPr>
        <w:t>1</w:t>
      </w:r>
      <w:r w:rsidRPr="00A8783E">
        <w:rPr>
          <w:rFonts w:ascii="Times New Roman" w:hAnsi="Times New Roman"/>
          <w:b/>
          <w:bCs/>
          <w:sz w:val="24"/>
          <w:szCs w:val="24"/>
        </w:rPr>
        <w:t>-</w:t>
      </w:r>
      <w:r w:rsidRPr="00A8783E">
        <w:rPr>
          <w:rFonts w:ascii="Times New Roman" w:hAnsi="Times New Roman"/>
          <w:b/>
          <w:bCs/>
          <w:sz w:val="24"/>
          <w:szCs w:val="24"/>
          <w:lang w:val="ru-RU"/>
        </w:rPr>
        <w:t xml:space="preserve">5 </w:t>
      </w:r>
      <w:r w:rsidRPr="00A8783E">
        <w:rPr>
          <w:rFonts w:ascii="Times New Roman" w:hAnsi="Times New Roman"/>
          <w:b/>
          <w:bCs/>
          <w:sz w:val="24"/>
          <w:szCs w:val="24"/>
        </w:rPr>
        <w:t>двойки</w:t>
      </w:r>
      <w:r w:rsidRPr="00A8783E">
        <w:rPr>
          <w:rFonts w:ascii="Times New Roman" w:hAnsi="Times New Roman"/>
          <w:sz w:val="24"/>
          <w:szCs w:val="24"/>
        </w:rPr>
        <w:t>, което представлява 0,0</w:t>
      </w:r>
      <w:r w:rsidRPr="00A8783E">
        <w:rPr>
          <w:rFonts w:ascii="Times New Roman" w:hAnsi="Times New Roman"/>
          <w:sz w:val="24"/>
          <w:szCs w:val="24"/>
          <w:lang w:val="ru-RU"/>
        </w:rPr>
        <w:t>2</w:t>
      </w:r>
      <w:r w:rsidRPr="00A8783E">
        <w:rPr>
          <w:rFonts w:ascii="Times New Roman" w:hAnsi="Times New Roman"/>
          <w:sz w:val="24"/>
          <w:szCs w:val="24"/>
        </w:rPr>
        <w:t xml:space="preserve"> – 0,0</w:t>
      </w:r>
      <w:r w:rsidRPr="00A8783E">
        <w:rPr>
          <w:rFonts w:ascii="Times New Roman" w:hAnsi="Times New Roman"/>
          <w:sz w:val="24"/>
          <w:szCs w:val="24"/>
          <w:lang w:val="ru-RU"/>
        </w:rPr>
        <w:t>3</w:t>
      </w:r>
      <w:r w:rsidRPr="00A8783E">
        <w:rPr>
          <w:rFonts w:ascii="Times New Roman" w:hAnsi="Times New Roman"/>
          <w:sz w:val="24"/>
          <w:szCs w:val="24"/>
        </w:rPr>
        <w:t xml:space="preserve"> % от националната популация (оценка „С“). Опазването на вида е отлично (оценка „</w:t>
      </w:r>
      <w:r w:rsidRPr="00A8783E">
        <w:rPr>
          <w:rFonts w:ascii="Times New Roman" w:hAnsi="Times New Roman"/>
          <w:sz w:val="24"/>
          <w:szCs w:val="24"/>
          <w:lang w:val="en-US"/>
        </w:rPr>
        <w:t>A</w:t>
      </w:r>
      <w:r w:rsidRPr="00A8783E">
        <w:rPr>
          <w:rFonts w:ascii="Times New Roman" w:hAnsi="Times New Roman"/>
          <w:sz w:val="24"/>
          <w:szCs w:val="24"/>
        </w:rPr>
        <w:t>“), популацията не е изолирана в рамките на разширен ареал (оценка „С“). Общата оценка на стойността на зоната за съхранение на вида е „</w:t>
      </w:r>
      <w:r w:rsidRPr="00A8783E">
        <w:rPr>
          <w:rFonts w:ascii="Times New Roman" w:hAnsi="Times New Roman"/>
          <w:sz w:val="24"/>
          <w:szCs w:val="24"/>
          <w:lang w:val="en-US"/>
        </w:rPr>
        <w:t>A</w:t>
      </w:r>
      <w:r w:rsidRPr="00A8783E">
        <w:rPr>
          <w:rFonts w:ascii="Times New Roman" w:hAnsi="Times New Roman"/>
          <w:sz w:val="24"/>
          <w:szCs w:val="24"/>
        </w:rPr>
        <w:t>“ – отлична</w:t>
      </w:r>
      <w:r w:rsidRPr="00A8783E">
        <w:rPr>
          <w:rFonts w:ascii="Times New Roman" w:hAnsi="Times New Roman"/>
          <w:sz w:val="24"/>
          <w:szCs w:val="24"/>
          <w:lang w:val="ru-RU"/>
        </w:rPr>
        <w:t xml:space="preserve"> </w:t>
      </w:r>
      <w:r w:rsidRPr="00A8783E">
        <w:rPr>
          <w:rFonts w:ascii="Times New Roman" w:hAnsi="Times New Roman"/>
          <w:sz w:val="24"/>
          <w:szCs w:val="24"/>
        </w:rPr>
        <w:t>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ОВМ „Сребърна“ видът не е посочен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отг. ред., 2007</w:t>
      </w:r>
      <w:r w:rsidRPr="00A8783E">
        <w:rPr>
          <w:rFonts w:ascii="Times New Roman" w:hAnsi="Times New Roman"/>
          <w:sz w:val="24"/>
          <w:szCs w:val="24"/>
          <w:lang w:val="ru-RU"/>
        </w:rPr>
        <w:t>)</w:t>
      </w:r>
      <w:r w:rsidRPr="00A8783E">
        <w:rPr>
          <w:rFonts w:ascii="Times New Roman" w:hAnsi="Times New Roman"/>
          <w:sz w:val="24"/>
          <w:szCs w:val="24"/>
        </w:rPr>
        <w:t xml:space="preserve">. Полската бъбрица е с петнисто и разпръснато разпространение в Дунавската равнина (Иванов и др. в Янков (ред.) 2007). </w:t>
      </w:r>
      <w:bookmarkStart w:id="481" w:name="_Hlk88864655"/>
      <w:r w:rsidRPr="00A8783E">
        <w:rPr>
          <w:rFonts w:ascii="Times New Roman" w:hAnsi="Times New Roman"/>
          <w:sz w:val="24"/>
          <w:szCs w:val="24"/>
        </w:rPr>
        <w:t>В зоната видът е установен с ниска гнездова плътност – 0.01 дв./</w:t>
      </w:r>
      <w:r w:rsidRPr="00A8783E">
        <w:rPr>
          <w:rFonts w:ascii="Times New Roman" w:hAnsi="Times New Roman"/>
          <w:sz w:val="24"/>
          <w:szCs w:val="24"/>
          <w:lang w:val="en-US"/>
        </w:rPr>
        <w:t>ha</w:t>
      </w:r>
      <w:r w:rsidRPr="00A8783E">
        <w:rPr>
          <w:rFonts w:ascii="Times New Roman" w:hAnsi="Times New Roman"/>
          <w:sz w:val="24"/>
          <w:szCs w:val="24"/>
        </w:rPr>
        <w:t xml:space="preserve"> </w:t>
      </w:r>
      <w:bookmarkEnd w:id="481"/>
      <w:r w:rsidRPr="00A8783E">
        <w:rPr>
          <w:rFonts w:ascii="Times New Roman" w:hAnsi="Times New Roman"/>
          <w:sz w:val="24"/>
          <w:szCs w:val="24"/>
          <w:lang w:val="ru-RU"/>
        </w:rPr>
        <w:t>(</w:t>
      </w:r>
      <w:r w:rsidRPr="00A8783E">
        <w:rPr>
          <w:rFonts w:ascii="Times New Roman" w:hAnsi="Times New Roman"/>
          <w:sz w:val="24"/>
          <w:szCs w:val="24"/>
          <w:lang w:val="en-US"/>
        </w:rPr>
        <w:t>Kambourova</w:t>
      </w:r>
      <w:r w:rsidRPr="00A8783E">
        <w:rPr>
          <w:rFonts w:ascii="Times New Roman" w:hAnsi="Times New Roman"/>
          <w:sz w:val="24"/>
          <w:szCs w:val="24"/>
          <w:lang w:val="ru-RU"/>
        </w:rPr>
        <w:t>, 2012)</w:t>
      </w:r>
      <w:r w:rsidRPr="00A8783E">
        <w:rPr>
          <w:rFonts w:ascii="Times New Roman" w:hAnsi="Times New Roman"/>
          <w:sz w:val="24"/>
          <w:szCs w:val="24"/>
        </w:rPr>
        <w:t>. В базата данни на eBird видът е регистриран само веднъж в Сребърна на 14.05.1987 г. Видът не е регистриран по време на теренните изследвания през 2021 г.</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За гнездящата популация са посочени следните заплахи и влияния (от Докладване по чл. 12, 2019 г.): А01, А02, С03, Е01. От тях потенциално валидни за СЗЗ „Сребърна” могат да бъдат тези, които са свързани с промяна в ползването на земите и земеделските площи - A02, A01, тъй като в такива местообитания вида търси храна.</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0"/>
        <w:gridCol w:w="1134"/>
        <w:gridCol w:w="1202"/>
        <w:gridCol w:w="2835"/>
        <w:gridCol w:w="2268"/>
      </w:tblGrid>
      <w:tr w:rsidR="00A8783E" w:rsidRPr="00A8783E" w:rsidTr="005B5318">
        <w:trPr>
          <w:tblHeader/>
          <w:jc w:val="center"/>
        </w:trPr>
        <w:tc>
          <w:tcPr>
            <w:tcW w:w="177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02"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83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26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770"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гнездящата популация</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гнездящи двойки</w:t>
            </w:r>
          </w:p>
        </w:tc>
        <w:tc>
          <w:tcPr>
            <w:tcW w:w="120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 дв.</w:t>
            </w:r>
          </w:p>
        </w:tc>
        <w:tc>
          <w:tcPr>
            <w:tcW w:w="283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на база СФ, теренните наблюдения през гнездовия период на 2021 г. и друга налична публикувана информация за числеността на вида в зоната.</w:t>
            </w:r>
          </w:p>
        </w:tc>
        <w:tc>
          <w:tcPr>
            <w:tcW w:w="226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1 гнездяща двойка чрез поддържане на подходящите гнездови местообитания.</w:t>
            </w:r>
          </w:p>
        </w:tc>
      </w:tr>
      <w:tr w:rsidR="00A8783E" w:rsidRPr="00A8783E" w:rsidTr="005B5318">
        <w:trPr>
          <w:trHeight w:val="2087"/>
          <w:jc w:val="center"/>
        </w:trPr>
        <w:tc>
          <w:tcPr>
            <w:tcW w:w="1770"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w:t>
            </w:r>
            <w:r w:rsidRPr="00A8783E">
              <w:rPr>
                <w:rFonts w:ascii="Times New Roman" w:hAnsi="Times New Roman"/>
                <w:b/>
                <w:bCs/>
              </w:rPr>
              <w:t xml:space="preserve"> </w:t>
            </w:r>
            <w:r w:rsidRPr="00A8783E">
              <w:rPr>
                <w:rFonts w:ascii="Times New Roman" w:hAnsi="Times New Roman"/>
              </w:rPr>
              <w:t xml:space="preserve">местообитания за гнездене и търсене на храна </w:t>
            </w:r>
          </w:p>
        </w:tc>
        <w:tc>
          <w:tcPr>
            <w:tcW w:w="1134"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p w:rsidR="00A8783E" w:rsidRPr="00A8783E" w:rsidRDefault="00A8783E" w:rsidP="00A8783E">
            <w:pPr>
              <w:spacing w:after="0" w:line="240" w:lineRule="auto"/>
              <w:jc w:val="both"/>
              <w:rPr>
                <w:rFonts w:ascii="Times New Roman" w:hAnsi="Times New Roman"/>
              </w:rPr>
            </w:pPr>
          </w:p>
        </w:tc>
        <w:tc>
          <w:tcPr>
            <w:tcW w:w="120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188</w:t>
            </w:r>
          </w:p>
        </w:tc>
        <w:tc>
          <w:tcPr>
            <w:tcW w:w="283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Изчислена въз основа на процентното участие на откритите и храсталачни местообитания </w:t>
            </w:r>
            <w:r w:rsidRPr="00A8783E">
              <w:rPr>
                <w:rFonts w:ascii="Times New Roman" w:hAnsi="Times New Roman"/>
                <w:lang w:val="en-US"/>
              </w:rPr>
              <w:t>N</w:t>
            </w:r>
            <w:r w:rsidRPr="00A8783E">
              <w:rPr>
                <w:rFonts w:ascii="Times New Roman" w:hAnsi="Times New Roman"/>
                <w:lang w:val="ru-RU"/>
              </w:rPr>
              <w:t>09-</w:t>
            </w:r>
            <w:r w:rsidRPr="00A8783E">
              <w:rPr>
                <w:rFonts w:ascii="Times New Roman" w:hAnsi="Times New Roman"/>
              </w:rPr>
              <w:t>Сухи ливади, степи</w:t>
            </w:r>
            <w:r w:rsidRPr="00A8783E">
              <w:rPr>
                <w:rFonts w:ascii="Times New Roman" w:hAnsi="Times New Roman"/>
                <w:lang w:val="ru-RU"/>
              </w:rPr>
              <w:t xml:space="preserve"> </w:t>
            </w:r>
            <w:r w:rsidRPr="00A8783E">
              <w:rPr>
                <w:rFonts w:ascii="Times New Roman" w:hAnsi="Times New Roman"/>
              </w:rPr>
              <w:t xml:space="preserve">и </w:t>
            </w:r>
            <w:r w:rsidRPr="00A8783E">
              <w:rPr>
                <w:rFonts w:ascii="Times New Roman" w:hAnsi="Times New Roman"/>
                <w:lang w:val="en-US"/>
              </w:rPr>
              <w:t>N</w:t>
            </w:r>
            <w:r w:rsidRPr="00A8783E">
              <w:rPr>
                <w:rFonts w:ascii="Times New Roman" w:hAnsi="Times New Roman"/>
                <w:lang w:val="ru-RU"/>
              </w:rPr>
              <w:t xml:space="preserve">15 - </w:t>
            </w:r>
            <w:r w:rsidRPr="00A8783E">
              <w:rPr>
                <w:rFonts w:ascii="Times New Roman" w:hAnsi="Times New Roman"/>
              </w:rPr>
              <w:t>Други обработваеми земи в рамките на зоната. Площта на гнездовото и хранителното местообитание до голяма степен се припокриват.</w:t>
            </w:r>
          </w:p>
          <w:p w:rsidR="00A8783E" w:rsidRPr="00A8783E" w:rsidRDefault="00A8783E" w:rsidP="00A8783E">
            <w:pPr>
              <w:spacing w:after="0" w:line="240" w:lineRule="auto"/>
              <w:jc w:val="both"/>
              <w:rPr>
                <w:rFonts w:ascii="Times New Roman" w:hAnsi="Times New Roman"/>
              </w:rPr>
            </w:pPr>
          </w:p>
        </w:tc>
        <w:tc>
          <w:tcPr>
            <w:tcW w:w="226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подходящите местообитания чрез: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изпасване, окосяване и др.</w:t>
            </w:r>
          </w:p>
        </w:tc>
      </w:tr>
    </w:tbl>
    <w:p w:rsidR="00A8783E" w:rsidRPr="00A8783E" w:rsidRDefault="00A8783E" w:rsidP="00A8783E">
      <w:pPr>
        <w:spacing w:before="120" w:after="160" w:line="259" w:lineRule="auto"/>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Не е необходима актуализация на СФ на този етап.</w:t>
      </w:r>
    </w:p>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482" w:name="_Toc89106146"/>
      <w:bookmarkStart w:id="483" w:name="_Toc98741985"/>
      <w:bookmarkStart w:id="484" w:name="_Toc98838660"/>
      <w:r w:rsidRPr="00A8783E">
        <w:rPr>
          <w:rFonts w:ascii="Times New Roman" w:hAnsi="Times New Roman"/>
          <w:color w:val="1F497D"/>
          <w:sz w:val="28"/>
          <w:szCs w:val="28"/>
        </w:rPr>
        <w:t xml:space="preserve">Специфични цели за </w:t>
      </w:r>
      <w:r w:rsidRPr="00A8783E">
        <w:rPr>
          <w:rFonts w:ascii="Times New Roman" w:hAnsi="Times New Roman"/>
          <w:color w:val="1F497D"/>
          <w:sz w:val="28"/>
          <w:szCs w:val="28"/>
          <w:lang w:val="en-GB"/>
        </w:rPr>
        <w:t>A</w:t>
      </w:r>
      <w:r w:rsidRPr="00A8783E">
        <w:rPr>
          <w:rFonts w:ascii="Times New Roman" w:hAnsi="Times New Roman"/>
          <w:color w:val="1F497D"/>
          <w:sz w:val="28"/>
          <w:szCs w:val="28"/>
        </w:rPr>
        <w:t xml:space="preserve">480 </w:t>
      </w:r>
      <w:r w:rsidRPr="00A8783E">
        <w:rPr>
          <w:rFonts w:ascii="Times New Roman" w:hAnsi="Times New Roman"/>
          <w:i/>
          <w:iCs/>
          <w:color w:val="1F497D"/>
          <w:sz w:val="28"/>
          <w:szCs w:val="28"/>
          <w:lang w:val="en-US"/>
        </w:rPr>
        <w:t>L</w:t>
      </w:r>
      <w:r w:rsidRPr="00A8783E">
        <w:rPr>
          <w:rFonts w:ascii="Times New Roman" w:hAnsi="Times New Roman"/>
          <w:i/>
          <w:iCs/>
          <w:color w:val="1F497D"/>
          <w:sz w:val="28"/>
          <w:szCs w:val="28"/>
          <w:lang w:val="en-GB"/>
        </w:rPr>
        <w:t>uscinia</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GB"/>
        </w:rPr>
        <w:t>svecica</w:t>
      </w:r>
      <w:r w:rsidRPr="00A8783E">
        <w:rPr>
          <w:rFonts w:ascii="Times New Roman" w:hAnsi="Times New Roman"/>
          <w:i/>
          <w:iCs/>
          <w:color w:val="1F497D"/>
          <w:sz w:val="28"/>
          <w:szCs w:val="28"/>
        </w:rPr>
        <w:t>/</w:t>
      </w:r>
      <w:r w:rsidRPr="00A8783E">
        <w:rPr>
          <w:rFonts w:cs="Calibri"/>
        </w:rPr>
        <w:t xml:space="preserve"> </w:t>
      </w:r>
      <w:r w:rsidRPr="00A8783E">
        <w:rPr>
          <w:rFonts w:ascii="Times New Roman" w:hAnsi="Times New Roman"/>
          <w:i/>
          <w:iCs/>
          <w:color w:val="1F497D"/>
          <w:sz w:val="28"/>
          <w:szCs w:val="28"/>
        </w:rPr>
        <w:t>Cyanecula svecica</w:t>
      </w:r>
      <w:r w:rsidRPr="00A8783E">
        <w:rPr>
          <w:rFonts w:ascii="Times New Roman" w:hAnsi="Times New Roman"/>
          <w:color w:val="1F497D"/>
          <w:sz w:val="28"/>
          <w:szCs w:val="28"/>
        </w:rPr>
        <w:t xml:space="preserve"> (синьогушка)</w:t>
      </w:r>
      <w:bookmarkEnd w:id="482"/>
      <w:bookmarkEnd w:id="483"/>
      <w:bookmarkEnd w:id="484"/>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1. Кратка характеристика на вида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13-15 </w:t>
      </w:r>
      <w:r w:rsidRPr="00A8783E">
        <w:rPr>
          <w:rFonts w:ascii="Times New Roman" w:hAnsi="Times New Roman"/>
          <w:sz w:val="24"/>
          <w:szCs w:val="24"/>
          <w:lang w:val="en-US"/>
        </w:rPr>
        <w:t>cm</w:t>
      </w:r>
      <w:r w:rsidRPr="00A8783E">
        <w:rPr>
          <w:rFonts w:ascii="Times New Roman" w:hAnsi="Times New Roman"/>
          <w:sz w:val="24"/>
          <w:szCs w:val="24"/>
        </w:rPr>
        <w:t>. Общият тон на оцветяването на перата по тялото, врата, гърба и крилата тъмнокафяв. Яркосинята гуша има в средата чисто бяло петно, отдолу и отстрани е заградена с черен полупръстен, а под него е с ръждива полудъга. Веждата е широка, дълга, бяла. Зад окото има ръждиви пера. Опашката е тъмно кафява, отстрани и в основата ръждива. Коремът е мръсно бял, по слабините с ръждиви петна. Клюн тъмнокафяв, по-светъл към основата. Крака и ирис тъмнокафяви (Нанкинов,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Преминаващ вид за страната. Редовно преминаваща птица на територията на България. Нощен мигрант. Лети на широк фронт, пролетта през април и май, а есента – от август до ноември (Нанкинов,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Обрасли с храсталаци и треви брегове на вътрешно континентални водоеми, даже и съвсем малки, със застояла или бавно течаща вода, канали, ровове  (Нанкинов, 2009).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sz w:val="24"/>
          <w:szCs w:val="24"/>
        </w:rPr>
        <w:t>Основната храна са насекоми.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Малобройна на пролетната и есенната миграция (Нанкинов, 2009).</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Природозащитен статус в България – включен в приложение 3 на ЗБР. Международен – съгласно IUCN -Уязвим </w:t>
      </w:r>
      <w:r w:rsidRPr="00A8783E">
        <w:rPr>
          <w:rFonts w:ascii="Times New Roman" w:hAnsi="Times New Roman"/>
          <w:color w:val="000000"/>
          <w:sz w:val="24"/>
          <w:szCs w:val="24"/>
          <w:lang w:val="en-US"/>
        </w:rPr>
        <w:t>VU</w:t>
      </w:r>
      <w:r w:rsidRPr="00A8783E">
        <w:rPr>
          <w:rFonts w:ascii="Times New Roman" w:hAnsi="Times New Roman"/>
          <w:color w:val="000000"/>
          <w:sz w:val="24"/>
          <w:szCs w:val="24"/>
        </w:rPr>
        <w:t xml:space="preserve">. Включена в Приложение </w:t>
      </w:r>
      <w:r w:rsidRPr="00A8783E">
        <w:rPr>
          <w:rFonts w:ascii="Times New Roman" w:hAnsi="Times New Roman"/>
          <w:color w:val="000000"/>
          <w:sz w:val="24"/>
          <w:szCs w:val="24"/>
          <w:lang w:val="en-US"/>
        </w:rPr>
        <w:t>I</w:t>
      </w:r>
      <w:r w:rsidRPr="00A8783E">
        <w:rPr>
          <w:rFonts w:ascii="Times New Roman" w:hAnsi="Times New Roman"/>
          <w:color w:val="000000"/>
          <w:sz w:val="24"/>
          <w:szCs w:val="24"/>
        </w:rPr>
        <w:t xml:space="preserve"> на Директивата за птиците.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2013-2018 г.), </w:t>
      </w:r>
      <w:r w:rsidRPr="00A8783E">
        <w:rPr>
          <w:rFonts w:ascii="Times New Roman" w:hAnsi="Times New Roman"/>
          <w:b/>
          <w:sz w:val="24"/>
          <w:szCs w:val="24"/>
        </w:rPr>
        <w:t>преминаващата</w:t>
      </w:r>
      <w:r w:rsidRPr="00A8783E">
        <w:rPr>
          <w:rFonts w:ascii="Times New Roman" w:hAnsi="Times New Roman"/>
          <w:sz w:val="24"/>
          <w:szCs w:val="24"/>
        </w:rPr>
        <w:t xml:space="preserve"> популация е от 1 – 29 индивида. Няма данни за тенденцията на популацията. Посочени са следните заплахи и влияния: </w:t>
      </w:r>
      <w:r w:rsidRPr="00A8783E">
        <w:rPr>
          <w:rFonts w:ascii="Times New Roman" w:hAnsi="Times New Roman"/>
          <w:sz w:val="24"/>
          <w:szCs w:val="24"/>
          <w:lang w:val="en-US"/>
        </w:rPr>
        <w:t>F</w:t>
      </w:r>
      <w:r w:rsidRPr="00A8783E">
        <w:rPr>
          <w:rFonts w:ascii="Times New Roman" w:hAnsi="Times New Roman"/>
          <w:sz w:val="24"/>
          <w:szCs w:val="24"/>
        </w:rPr>
        <w:t>26, А02.</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видът е преминаващ.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w:t>
      </w:r>
      <w:r w:rsidRPr="00A8783E">
        <w:rPr>
          <w:rFonts w:ascii="Times New Roman" w:hAnsi="Times New Roman"/>
          <w:b/>
          <w:bCs/>
          <w:sz w:val="24"/>
          <w:szCs w:val="24"/>
          <w:lang w:eastAsia="bg-BG"/>
        </w:rPr>
        <w:t>2 индивида</w:t>
      </w:r>
      <w:r w:rsidRPr="00A8783E">
        <w:rPr>
          <w:rFonts w:ascii="Times New Roman" w:hAnsi="Times New Roman"/>
          <w:sz w:val="24"/>
          <w:szCs w:val="24"/>
          <w:lang w:eastAsia="bg-BG"/>
        </w:rPr>
        <w:t xml:space="preserve">, което е </w:t>
      </w:r>
      <w:r w:rsidRPr="00A8783E">
        <w:rPr>
          <w:rFonts w:ascii="Times New Roman" w:hAnsi="Times New Roman"/>
          <w:bCs/>
          <w:color w:val="000000"/>
          <w:sz w:val="24"/>
          <w:szCs w:val="24"/>
          <w:lang w:eastAsia="bg-BG"/>
        </w:rPr>
        <w:t>6,9 %</w:t>
      </w:r>
      <w:r w:rsidRPr="00A8783E">
        <w:rPr>
          <w:rFonts w:ascii="Times New Roman" w:hAnsi="Times New Roman"/>
          <w:sz w:val="24"/>
          <w:szCs w:val="24"/>
          <w:lang w:eastAsia="bg-BG"/>
        </w:rPr>
        <w:t xml:space="preserve"> от националната популация (оценка „C“).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4. Анализ на наличната информация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Редовно преминаваща птица на територията на България. Наблюдаван еднократно на о. Белене – мъжки индивид в края на април, 2003 г. (Н. Тодоров – устно съобщение) (Шурулинков и др., 2005). Няма данни от ebird.org и observation.org видът да е бил регистриран на територията на зоната. По време на теренните проучвания през май-юни 2021 г. видът не беше установен.</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Интензификацията на селското стопанство, използването на пестициди и изкуствени торове, премахването на плетове и храсти са дейностите с най-сериозно негативно влияние върху качеството на местообитанията на вида у нас.</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254"/>
        <w:gridCol w:w="1205"/>
        <w:gridCol w:w="2805"/>
        <w:gridCol w:w="2271"/>
      </w:tblGrid>
      <w:tr w:rsidR="00A8783E" w:rsidRPr="00A8783E" w:rsidTr="005B5318">
        <w:trPr>
          <w:tblHeader/>
          <w:jc w:val="center"/>
        </w:trPr>
        <w:tc>
          <w:tcPr>
            <w:tcW w:w="1645" w:type="dxa"/>
            <w:shd w:val="clear" w:color="auto" w:fill="DBE5F1"/>
            <w:vAlign w:val="center"/>
          </w:tcPr>
          <w:p w:rsidR="00A8783E" w:rsidRPr="00A8783E" w:rsidRDefault="00A8783E" w:rsidP="00A8783E">
            <w:pPr>
              <w:spacing w:after="0" w:line="240" w:lineRule="auto"/>
              <w:jc w:val="center"/>
              <w:rPr>
                <w:rFonts w:ascii="Times New Roman" w:hAnsi="Times New Roman"/>
                <w:b/>
                <w:bCs/>
              </w:rPr>
            </w:pPr>
            <w:r w:rsidRPr="00A8783E">
              <w:rPr>
                <w:rFonts w:ascii="Times New Roman" w:hAnsi="Times New Roman"/>
                <w:b/>
                <w:bCs/>
              </w:rPr>
              <w:t>Параметър</w:t>
            </w:r>
          </w:p>
        </w:tc>
        <w:tc>
          <w:tcPr>
            <w:tcW w:w="1254" w:type="dxa"/>
            <w:shd w:val="clear" w:color="auto" w:fill="DBE5F1"/>
            <w:vAlign w:val="center"/>
          </w:tcPr>
          <w:p w:rsidR="00A8783E" w:rsidRPr="00A8783E" w:rsidRDefault="00A8783E" w:rsidP="00A8783E">
            <w:pPr>
              <w:spacing w:after="0" w:line="240" w:lineRule="auto"/>
              <w:jc w:val="center"/>
              <w:rPr>
                <w:rFonts w:ascii="Times New Roman" w:hAnsi="Times New Roman"/>
                <w:b/>
                <w:bCs/>
              </w:rPr>
            </w:pPr>
            <w:r w:rsidRPr="00A8783E">
              <w:rPr>
                <w:rFonts w:ascii="Times New Roman" w:hAnsi="Times New Roman"/>
                <w:b/>
                <w:bCs/>
              </w:rPr>
              <w:t>Мерна единица</w:t>
            </w:r>
          </w:p>
        </w:tc>
        <w:tc>
          <w:tcPr>
            <w:tcW w:w="1205" w:type="dxa"/>
            <w:shd w:val="clear" w:color="auto" w:fill="DBE5F1"/>
            <w:vAlign w:val="center"/>
          </w:tcPr>
          <w:p w:rsidR="00A8783E" w:rsidRPr="00A8783E" w:rsidRDefault="00A8783E" w:rsidP="00A8783E">
            <w:pPr>
              <w:spacing w:after="0" w:line="240" w:lineRule="auto"/>
              <w:jc w:val="center"/>
              <w:rPr>
                <w:rFonts w:ascii="Times New Roman" w:hAnsi="Times New Roman"/>
                <w:b/>
                <w:bCs/>
              </w:rPr>
            </w:pPr>
            <w:r w:rsidRPr="00A8783E">
              <w:rPr>
                <w:rFonts w:ascii="Times New Roman" w:hAnsi="Times New Roman"/>
                <w:b/>
                <w:bCs/>
              </w:rPr>
              <w:t>Целева стойност</w:t>
            </w:r>
          </w:p>
        </w:tc>
        <w:tc>
          <w:tcPr>
            <w:tcW w:w="2805" w:type="dxa"/>
            <w:shd w:val="clear" w:color="auto" w:fill="DBE5F1"/>
            <w:vAlign w:val="center"/>
          </w:tcPr>
          <w:p w:rsidR="00A8783E" w:rsidRPr="00A8783E" w:rsidRDefault="00A8783E" w:rsidP="00A8783E">
            <w:pPr>
              <w:spacing w:after="0" w:line="240" w:lineRule="auto"/>
              <w:jc w:val="center"/>
              <w:rPr>
                <w:rFonts w:ascii="Times New Roman" w:hAnsi="Times New Roman"/>
                <w:b/>
                <w:bCs/>
              </w:rPr>
            </w:pPr>
            <w:r w:rsidRPr="00A8783E">
              <w:rPr>
                <w:rFonts w:ascii="Times New Roman" w:hAnsi="Times New Roman"/>
                <w:b/>
                <w:bCs/>
              </w:rPr>
              <w:t>Допълнителна информация</w:t>
            </w:r>
          </w:p>
        </w:tc>
        <w:tc>
          <w:tcPr>
            <w:tcW w:w="2271" w:type="dxa"/>
            <w:shd w:val="clear" w:color="auto" w:fill="DBE5F1"/>
            <w:vAlign w:val="center"/>
          </w:tcPr>
          <w:p w:rsidR="00A8783E" w:rsidRPr="00A8783E" w:rsidRDefault="00A8783E" w:rsidP="00A8783E">
            <w:pPr>
              <w:spacing w:after="0" w:line="240" w:lineRule="auto"/>
              <w:jc w:val="center"/>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rPr>
          <w:jc w:val="center"/>
        </w:trPr>
        <w:tc>
          <w:tcPr>
            <w:tcW w:w="1645"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мигриращата популация</w:t>
            </w:r>
          </w:p>
        </w:tc>
        <w:tc>
          <w:tcPr>
            <w:tcW w:w="125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индивиди</w:t>
            </w:r>
          </w:p>
        </w:tc>
        <w:tc>
          <w:tcPr>
            <w:tcW w:w="1205"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Най-малко 2 инд.</w:t>
            </w:r>
          </w:p>
        </w:tc>
        <w:tc>
          <w:tcPr>
            <w:tcW w:w="2805"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В настоящия СФ (актуализиран през 2018 г.) за концентрацията на вида в зоната е посочена численост 2 инд. Липсват публикувани данни за концентрацията на вида в зоната, поради което се налага поставянето на междинна цел.</w:t>
            </w:r>
          </w:p>
        </w:tc>
        <w:tc>
          <w:tcPr>
            <w:tcW w:w="2271"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A8783E" w:rsidRPr="00A8783E" w:rsidTr="005B5318">
        <w:trPr>
          <w:jc w:val="center"/>
        </w:trPr>
        <w:tc>
          <w:tcPr>
            <w:tcW w:w="1645"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 xml:space="preserve">Площ на подходящите </w:t>
            </w:r>
            <w:r w:rsidRPr="00A8783E">
              <w:rPr>
                <w:rFonts w:ascii="Times New Roman" w:hAnsi="Times New Roman"/>
              </w:rPr>
              <w:lastRenderedPageBreak/>
              <w:t>хранителни местообитания на вида</w:t>
            </w:r>
          </w:p>
        </w:tc>
        <w:tc>
          <w:tcPr>
            <w:tcW w:w="1254" w:type="dxa"/>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lang w:val="en-US"/>
              </w:rPr>
              <w:lastRenderedPageBreak/>
              <w:t>ha</w:t>
            </w:r>
          </w:p>
        </w:tc>
        <w:tc>
          <w:tcPr>
            <w:tcW w:w="1205" w:type="dxa"/>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rPr>
              <w:t>Най-малко 202</w:t>
            </w:r>
          </w:p>
        </w:tc>
        <w:tc>
          <w:tcPr>
            <w:tcW w:w="280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Мигрантите кацат навсякъде, където има открити места с ливади и </w:t>
            </w:r>
            <w:r w:rsidRPr="00A8783E">
              <w:rPr>
                <w:rFonts w:ascii="Times New Roman" w:hAnsi="Times New Roman"/>
              </w:rPr>
              <w:lastRenderedPageBreak/>
              <w:t>водоеми, обрасли с храсти, редки дървета и високи треви. Есента могат да се концентрират и в селскостопанските площи. Площта е изчислена на база данните от СФ като % на местообитание N08- равнини, шубраци; N15- други обработваеми земи.</w:t>
            </w:r>
          </w:p>
        </w:tc>
        <w:tc>
          <w:tcPr>
            <w:tcW w:w="2271"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lastRenderedPageBreak/>
              <w:t xml:space="preserve">Поддържане на площта на подходящите </w:t>
            </w:r>
            <w:r w:rsidRPr="00A8783E">
              <w:rPr>
                <w:rFonts w:ascii="Times New Roman" w:hAnsi="Times New Roman"/>
              </w:rPr>
              <w:lastRenderedPageBreak/>
              <w:t>местообитания на вида в размер най-малко 202 ha.</w:t>
            </w:r>
          </w:p>
        </w:tc>
      </w:tr>
    </w:tbl>
    <w:p w:rsidR="00A8783E" w:rsidRPr="00A8783E" w:rsidRDefault="00A8783E" w:rsidP="00A8783E">
      <w:pPr>
        <w:spacing w:after="160" w:line="259" w:lineRule="auto"/>
      </w:pPr>
    </w:p>
    <w:p w:rsidR="00A8783E" w:rsidRPr="00A8783E" w:rsidRDefault="00A8783E" w:rsidP="00A8783E">
      <w:pPr>
        <w:keepNext/>
        <w:keepLines/>
        <w:spacing w:before="120" w:after="120" w:line="240" w:lineRule="auto"/>
        <w:outlineLvl w:val="1"/>
        <w:rPr>
          <w:rFonts w:ascii="Times New Roman" w:hAnsi="Times New Roman"/>
          <w:color w:val="1F497D"/>
          <w:sz w:val="28"/>
          <w:szCs w:val="28"/>
        </w:rPr>
      </w:pPr>
      <w:bookmarkStart w:id="485" w:name="_Toc89106147"/>
      <w:bookmarkStart w:id="486" w:name="_Toc98741986"/>
      <w:bookmarkStart w:id="487" w:name="_Toc98838661"/>
      <w:r w:rsidRPr="00A8783E">
        <w:rPr>
          <w:rFonts w:ascii="Times New Roman" w:hAnsi="Times New Roman"/>
          <w:color w:val="1F497D"/>
          <w:sz w:val="28"/>
          <w:szCs w:val="28"/>
        </w:rPr>
        <w:t xml:space="preserve">Специфични цели за </w:t>
      </w:r>
      <w:r w:rsidRPr="00A8783E">
        <w:rPr>
          <w:rFonts w:ascii="Times New Roman" w:hAnsi="Times New Roman"/>
          <w:color w:val="1F497D"/>
          <w:sz w:val="28"/>
          <w:szCs w:val="28"/>
          <w:lang w:val="en-GB"/>
        </w:rPr>
        <w:t>A</w:t>
      </w:r>
      <w:r w:rsidRPr="00A8783E">
        <w:rPr>
          <w:rFonts w:ascii="Times New Roman" w:hAnsi="Times New Roman"/>
          <w:color w:val="1F497D"/>
          <w:sz w:val="28"/>
          <w:szCs w:val="28"/>
        </w:rPr>
        <w:t xml:space="preserve">293 </w:t>
      </w:r>
      <w:r w:rsidRPr="00A8783E">
        <w:rPr>
          <w:rFonts w:ascii="Times New Roman" w:hAnsi="Times New Roman"/>
          <w:i/>
          <w:iCs/>
          <w:color w:val="1F497D"/>
          <w:sz w:val="28"/>
          <w:szCs w:val="28"/>
          <w:lang w:val="en-GB"/>
        </w:rPr>
        <w:t>Acrocephalus</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GB"/>
        </w:rPr>
        <w:t>melanopogon</w:t>
      </w:r>
      <w:r w:rsidRPr="00A8783E">
        <w:rPr>
          <w:rFonts w:ascii="Times New Roman" w:hAnsi="Times New Roman"/>
          <w:color w:val="1F497D"/>
          <w:sz w:val="28"/>
          <w:szCs w:val="28"/>
        </w:rPr>
        <w:t xml:space="preserve"> (мустакато шаварче)</w:t>
      </w:r>
      <w:bookmarkEnd w:id="485"/>
      <w:bookmarkEnd w:id="486"/>
      <w:bookmarkEnd w:id="487"/>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1. Кратка характеристика на вида </w:t>
      </w:r>
    </w:p>
    <w:p w:rsidR="00A8783E" w:rsidRPr="00A8783E" w:rsidRDefault="00A8783E" w:rsidP="00A8783E">
      <w:pPr>
        <w:spacing w:after="160" w:line="259" w:lineRule="auto"/>
        <w:jc w:val="both"/>
        <w:rPr>
          <w:rFonts w:ascii="Times New Roman" w:hAnsi="Times New Roman"/>
          <w:sz w:val="24"/>
          <w:szCs w:val="24"/>
        </w:rPr>
      </w:pPr>
      <w:r w:rsidRPr="00A8783E">
        <w:rPr>
          <w:rFonts w:ascii="Times New Roman" w:hAnsi="Times New Roman"/>
          <w:sz w:val="24"/>
          <w:szCs w:val="24"/>
        </w:rPr>
        <w:t>Дължина на тялото: 12-13 см. Чело и теме чернокафяви с редички от ръждиво-кафеникави петна. От клюна, над очите до страните на врата минава ярко бяла вежда, разширяваща се назад, а под нея през очите - черна ивица. Отгоре ръждивокафяво с ръждиво-червеникав оттенък по кръста и надопашието. Гръб и рамене с чернокафяви редици от широки петна. Врат, кръст и надопашие не напетнени. Махови и кормилни пера чернокафяви със светло ръждиви кантове. Гърлото и гушата са чисто бели. Гърди и страни на корема по-светло ръждиви (Нанкинов, 2009).</w:t>
      </w:r>
    </w:p>
    <w:p w:rsidR="00A8783E" w:rsidRPr="00A8783E" w:rsidRDefault="00A8783E" w:rsidP="00A8783E">
      <w:pPr>
        <w:spacing w:after="160" w:line="259"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after="160" w:line="259" w:lineRule="auto"/>
        <w:jc w:val="both"/>
        <w:rPr>
          <w:rFonts w:ascii="Times New Roman" w:hAnsi="Times New Roman"/>
          <w:sz w:val="24"/>
          <w:szCs w:val="24"/>
        </w:rPr>
      </w:pPr>
      <w:r w:rsidRPr="00A8783E">
        <w:rPr>
          <w:rFonts w:ascii="Times New Roman" w:hAnsi="Times New Roman"/>
          <w:sz w:val="24"/>
          <w:szCs w:val="24"/>
        </w:rPr>
        <w:t xml:space="preserve">Гнездящ, мигриращ и зимуващ вид.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Обитава влажните зони на страната, притежаващи тръстикови масиви, участъци с гъсти треви и храсталаци. Зимува край не замръзващи водоеми. (Нанкинов, 2009). Гнезди основно в блата, в Растителност по периферията на водоеми при надморска височина от 0 до 30 </w:t>
      </w:r>
      <w:r w:rsidRPr="00A8783E">
        <w:rPr>
          <w:rFonts w:ascii="Times New Roman" w:hAnsi="Times New Roman"/>
          <w:sz w:val="24"/>
          <w:szCs w:val="24"/>
          <w:lang w:val="en-US"/>
        </w:rPr>
        <w:t>m</w:t>
      </w:r>
      <w:r w:rsidRPr="00A8783E">
        <w:rPr>
          <w:rFonts w:ascii="Times New Roman" w:hAnsi="Times New Roman"/>
          <w:sz w:val="24"/>
          <w:szCs w:val="24"/>
        </w:rPr>
        <w:t xml:space="preserve"> (Янков отг. ред., 2007). Подходящи местообитания за гнездене на вида са – 3270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sz w:val="24"/>
          <w:szCs w:val="24"/>
        </w:rPr>
        <w:t>Безгръбначни, насекоми, през есента сочни плодове.</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color w:val="000000"/>
          <w:sz w:val="24"/>
          <w:szCs w:val="24"/>
        </w:rPr>
        <w:t xml:space="preserve">С разпръснати единични находища по Черноморското и Дунавско крайбрежия. </w:t>
      </w:r>
      <w:r w:rsidRPr="00A8783E">
        <w:rPr>
          <w:rFonts w:ascii="Times New Roman" w:hAnsi="Times New Roman"/>
          <w:sz w:val="24"/>
          <w:szCs w:val="24"/>
        </w:rPr>
        <w:t xml:space="preserve">През гнездовия период е наблюдавано по Черноморското крайбрежие, Горнотракийската низина, и в околностите на гр. София. Сигурно гнездене е установено само в Дуранкулашкото езеро чрез опръстенени през размножителния период на 2002 г. индивиди. Наблюдения през гнездовия период има и на места по р. Дунав (ез. Сребърна), както и в блатисти водоеми в Югоизточна България (Янков отг. ред., 2007). Със сигурност гнезди и в други блатисти места на България. </w:t>
      </w:r>
      <w:r w:rsidRPr="00A8783E">
        <w:rPr>
          <w:rFonts w:ascii="Times New Roman" w:hAnsi="Times New Roman"/>
          <w:color w:val="000000"/>
          <w:sz w:val="24"/>
          <w:szCs w:val="24"/>
        </w:rPr>
        <w:t>(Нанкинов, 2009).</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Природозащитен статус в България – включен в приложение 3 на ЗБР. Включен н Приложение </w:t>
      </w:r>
      <w:r w:rsidRPr="00A8783E">
        <w:rPr>
          <w:rFonts w:ascii="Times New Roman" w:hAnsi="Times New Roman"/>
          <w:color w:val="000000"/>
          <w:sz w:val="24"/>
          <w:szCs w:val="24"/>
          <w:lang w:val="en-US"/>
        </w:rPr>
        <w:t>I</w:t>
      </w:r>
      <w:r w:rsidRPr="00A8783E">
        <w:rPr>
          <w:rFonts w:ascii="Times New Roman" w:hAnsi="Times New Roman"/>
          <w:color w:val="000000"/>
          <w:sz w:val="24"/>
          <w:szCs w:val="24"/>
        </w:rPr>
        <w:t xml:space="preserve"> на Директивата за птиците.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Съгласно докладването през 2019 г. (за периода 2005 - 2018 г.), гнездящата популация е от 5 – 25 двойки, като краткосрочната тенденция (2001-2018) на популацията е неизвестна. Дългосрочната тенденция (1980 - 2018) на популацията е неизвестна. Посочени са следните заплахи и влияния: К04.</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на зоната видът е преминаващ. </w:t>
      </w:r>
      <w:r w:rsidRPr="00A8783E">
        <w:rPr>
          <w:rFonts w:ascii="Times New Roman" w:hAnsi="Times New Roman"/>
          <w:b/>
          <w:bCs/>
          <w:sz w:val="24"/>
          <w:szCs w:val="24"/>
          <w:lang w:eastAsia="bg-BG"/>
        </w:rPr>
        <w:t>Мигриращата</w:t>
      </w:r>
      <w:r w:rsidRPr="00A8783E">
        <w:rPr>
          <w:rFonts w:ascii="Times New Roman" w:hAnsi="Times New Roman"/>
          <w:sz w:val="24"/>
          <w:szCs w:val="24"/>
          <w:lang w:eastAsia="bg-BG"/>
        </w:rPr>
        <w:t xml:space="preserve"> популация се оценява на до </w:t>
      </w:r>
      <w:r w:rsidRPr="00A8783E">
        <w:rPr>
          <w:rFonts w:ascii="Times New Roman" w:hAnsi="Times New Roman"/>
          <w:b/>
          <w:bCs/>
          <w:sz w:val="24"/>
          <w:szCs w:val="24"/>
          <w:lang w:eastAsia="bg-BG"/>
        </w:rPr>
        <w:t>1 индивид</w:t>
      </w:r>
      <w:r w:rsidRPr="00A8783E">
        <w:rPr>
          <w:rFonts w:ascii="Times New Roman" w:hAnsi="Times New Roman"/>
          <w:sz w:val="24"/>
          <w:szCs w:val="24"/>
          <w:lang w:eastAsia="bg-BG"/>
        </w:rPr>
        <w:t xml:space="preserve"> (оценка „C“).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lang w:eastAsia="bg-BG"/>
        </w:rPr>
      </w:pPr>
      <w:r w:rsidRPr="00A8783E">
        <w:rPr>
          <w:rFonts w:ascii="Times New Roman" w:hAnsi="Times New Roman"/>
          <w:b/>
          <w:bCs/>
          <w:sz w:val="24"/>
          <w:szCs w:val="24"/>
          <w:lang w:eastAsia="bg-BG"/>
        </w:rPr>
        <w:t>4. Анализ на наличната информация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На 28.04.2019 г. е регистриран един екземпляр в зоната (ebird.org, D. Mitev). По време на теренните проучвания през 2021 г. видът не беше установен.</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4"/>
        <w:gridCol w:w="1188"/>
        <w:gridCol w:w="1187"/>
        <w:gridCol w:w="2414"/>
        <w:gridCol w:w="2606"/>
      </w:tblGrid>
      <w:tr w:rsidR="00A8783E" w:rsidRPr="00A8783E" w:rsidTr="005B5318">
        <w:trPr>
          <w:trHeight w:val="735"/>
          <w:tblHeader/>
          <w:jc w:val="center"/>
        </w:trPr>
        <w:tc>
          <w:tcPr>
            <w:tcW w:w="1874"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Параметър</w:t>
            </w:r>
          </w:p>
        </w:tc>
        <w:tc>
          <w:tcPr>
            <w:tcW w:w="1188"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Мерна единица </w:t>
            </w:r>
          </w:p>
        </w:tc>
        <w:tc>
          <w:tcPr>
            <w:tcW w:w="1187"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Целева стойност </w:t>
            </w:r>
          </w:p>
        </w:tc>
        <w:tc>
          <w:tcPr>
            <w:tcW w:w="2414"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Допълнителна информация </w:t>
            </w:r>
          </w:p>
        </w:tc>
        <w:tc>
          <w:tcPr>
            <w:tcW w:w="2606"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Специфични за зоната цели за опазване </w:t>
            </w:r>
          </w:p>
        </w:tc>
      </w:tr>
      <w:tr w:rsidR="00A8783E" w:rsidRPr="00A8783E" w:rsidTr="005B5318">
        <w:trPr>
          <w:trHeight w:val="604"/>
          <w:jc w:val="center"/>
        </w:trPr>
        <w:tc>
          <w:tcPr>
            <w:tcW w:w="1874"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b/>
                <w:bCs/>
                <w:color w:val="000000"/>
              </w:rPr>
              <w:t>Популация</w:t>
            </w:r>
            <w:r w:rsidRPr="00A8783E">
              <w:rPr>
                <w:rFonts w:ascii="Times New Roman" w:hAnsi="Times New Roman"/>
                <w:color w:val="000000"/>
              </w:rPr>
              <w:t>: Размер на мигриращата популация</w:t>
            </w:r>
          </w:p>
        </w:tc>
        <w:tc>
          <w:tcPr>
            <w:tcW w:w="1188"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Брой индивиди</w:t>
            </w:r>
          </w:p>
        </w:tc>
        <w:tc>
          <w:tcPr>
            <w:tcW w:w="1187"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Най-малко 1 инд.</w:t>
            </w:r>
          </w:p>
        </w:tc>
        <w:tc>
          <w:tcPr>
            <w:tcW w:w="2414"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Целевата стойност е определена от СФ. Тези данни се нуждаят от потвърждение/актуализация в резултат на адекватен мониторинг в периода октомври – март месец.</w:t>
            </w:r>
          </w:p>
        </w:tc>
        <w:tc>
          <w:tcPr>
            <w:tcW w:w="2606"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A8783E" w:rsidRPr="00A8783E" w:rsidTr="005B5318">
        <w:trPr>
          <w:trHeight w:val="604"/>
          <w:jc w:val="center"/>
        </w:trPr>
        <w:tc>
          <w:tcPr>
            <w:tcW w:w="1874" w:type="dxa"/>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Местообитание на вида: </w:t>
            </w:r>
            <w:r w:rsidRPr="00A8783E">
              <w:rPr>
                <w:rFonts w:ascii="Times New Roman" w:hAnsi="Times New Roman"/>
                <w:color w:val="000000"/>
              </w:rPr>
              <w:t>Площ на подходящите хранителни местообитания</w:t>
            </w:r>
            <w:r w:rsidRPr="00A8783E">
              <w:rPr>
                <w:rFonts w:ascii="Times New Roman" w:hAnsi="Times New Roman"/>
                <w:b/>
                <w:bCs/>
                <w:color w:val="000000"/>
              </w:rPr>
              <w:t xml:space="preserve"> </w:t>
            </w:r>
          </w:p>
        </w:tc>
        <w:tc>
          <w:tcPr>
            <w:tcW w:w="1188"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lang w:val="en-US"/>
              </w:rPr>
              <w:t>ha</w:t>
            </w:r>
          </w:p>
          <w:p w:rsidR="00A8783E" w:rsidRPr="00A8783E" w:rsidRDefault="00A8783E" w:rsidP="00A8783E">
            <w:pPr>
              <w:spacing w:after="0" w:line="240" w:lineRule="auto"/>
              <w:jc w:val="both"/>
              <w:rPr>
                <w:rFonts w:ascii="Times New Roman" w:hAnsi="Times New Roman"/>
                <w:color w:val="000000"/>
              </w:rPr>
            </w:pPr>
          </w:p>
        </w:tc>
        <w:tc>
          <w:tcPr>
            <w:tcW w:w="1187" w:type="dxa"/>
          </w:tcPr>
          <w:p w:rsidR="00A8783E" w:rsidRPr="00A8783E" w:rsidRDefault="00A8783E" w:rsidP="00A8783E">
            <w:pPr>
              <w:spacing w:after="0" w:line="240" w:lineRule="auto"/>
              <w:jc w:val="both"/>
              <w:rPr>
                <w:rFonts w:ascii="Times New Roman" w:hAnsi="Times New Roman"/>
                <w:color w:val="000000"/>
                <w:lang w:val="en-US"/>
              </w:rPr>
            </w:pPr>
            <w:r w:rsidRPr="00A8783E">
              <w:rPr>
                <w:rFonts w:ascii="Times New Roman" w:hAnsi="Times New Roman"/>
                <w:color w:val="000000"/>
              </w:rPr>
              <w:t>Най-малко 565</w:t>
            </w:r>
            <w:r w:rsidRPr="00A8783E">
              <w:rPr>
                <w:rFonts w:ascii="Times New Roman" w:hAnsi="Times New Roman"/>
                <w:color w:val="000000"/>
                <w:lang w:val="en-US"/>
              </w:rPr>
              <w:t xml:space="preserve"> </w:t>
            </w:r>
          </w:p>
        </w:tc>
        <w:tc>
          <w:tcPr>
            <w:tcW w:w="2414"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Площта е изчислена на база данните от СФ като % на местообитание N07 - мочурища, блата.</w:t>
            </w:r>
          </w:p>
        </w:tc>
        <w:tc>
          <w:tcPr>
            <w:tcW w:w="2606"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Поддържане на площта на подходящите хранителни местообитания на вида в размер най-малко 565 ha.</w:t>
            </w:r>
          </w:p>
        </w:tc>
      </w:tr>
    </w:tbl>
    <w:p w:rsidR="00A8783E" w:rsidRPr="00A8783E" w:rsidRDefault="00A8783E" w:rsidP="00A8783E">
      <w:pPr>
        <w:spacing w:before="120" w:after="120" w:line="240" w:lineRule="auto"/>
        <w:jc w:val="both"/>
        <w:rPr>
          <w:rFonts w:ascii="Times New Roman" w:hAnsi="Times New Roman"/>
          <w:b/>
          <w:bCs/>
          <w:sz w:val="24"/>
          <w:szCs w:val="24"/>
        </w:rPr>
      </w:pPr>
    </w:p>
    <w:p w:rsidR="00A8783E" w:rsidRPr="00A8783E" w:rsidRDefault="00A8783E" w:rsidP="00A8783E">
      <w:pPr>
        <w:keepNext/>
        <w:keepLines/>
        <w:spacing w:before="120" w:after="120" w:line="240" w:lineRule="auto"/>
        <w:outlineLvl w:val="1"/>
        <w:rPr>
          <w:rFonts w:ascii="Times New Roman" w:hAnsi="Times New Roman"/>
          <w:color w:val="1F497D"/>
          <w:sz w:val="28"/>
          <w:szCs w:val="28"/>
        </w:rPr>
      </w:pPr>
      <w:bookmarkStart w:id="488" w:name="_Toc89106148"/>
      <w:bookmarkStart w:id="489" w:name="_Toc98741987"/>
      <w:bookmarkStart w:id="490" w:name="_Toc98838662"/>
      <w:r w:rsidRPr="00A8783E">
        <w:rPr>
          <w:rFonts w:ascii="Times New Roman" w:hAnsi="Times New Roman"/>
          <w:color w:val="1F497D"/>
          <w:sz w:val="28"/>
          <w:szCs w:val="28"/>
        </w:rPr>
        <w:t xml:space="preserve">Специфични цели за  </w:t>
      </w:r>
      <w:r w:rsidRPr="00A8783E">
        <w:rPr>
          <w:rFonts w:ascii="Times New Roman" w:hAnsi="Times New Roman"/>
          <w:color w:val="1F497D"/>
          <w:sz w:val="28"/>
          <w:szCs w:val="28"/>
          <w:lang w:val="en-GB"/>
        </w:rPr>
        <w:t>A</w:t>
      </w:r>
      <w:r w:rsidRPr="00A8783E">
        <w:rPr>
          <w:rFonts w:ascii="Times New Roman" w:hAnsi="Times New Roman"/>
          <w:color w:val="1F497D"/>
          <w:sz w:val="28"/>
          <w:szCs w:val="28"/>
        </w:rPr>
        <w:t xml:space="preserve">307 </w:t>
      </w:r>
      <w:r w:rsidRPr="00A8783E">
        <w:rPr>
          <w:rFonts w:ascii="Times New Roman" w:hAnsi="Times New Roman"/>
          <w:i/>
          <w:iCs/>
          <w:color w:val="1F497D"/>
          <w:sz w:val="28"/>
          <w:szCs w:val="28"/>
          <w:lang w:val="en-GB"/>
        </w:rPr>
        <w:t>Sylvia</w:t>
      </w:r>
      <w:r w:rsidRPr="00A8783E">
        <w:rPr>
          <w:rFonts w:ascii="Times New Roman" w:hAnsi="Times New Roman"/>
          <w:i/>
          <w:iCs/>
          <w:color w:val="1F497D"/>
          <w:sz w:val="28"/>
          <w:szCs w:val="28"/>
        </w:rPr>
        <w:t xml:space="preserve"> </w:t>
      </w:r>
      <w:r w:rsidRPr="00A8783E">
        <w:rPr>
          <w:rFonts w:ascii="Times New Roman" w:hAnsi="Times New Roman"/>
          <w:i/>
          <w:iCs/>
          <w:color w:val="1F497D"/>
          <w:sz w:val="28"/>
          <w:szCs w:val="28"/>
          <w:lang w:val="en-GB"/>
        </w:rPr>
        <w:t>nisoria</w:t>
      </w:r>
      <w:r w:rsidRPr="00A8783E">
        <w:rPr>
          <w:rFonts w:ascii="Times New Roman" w:hAnsi="Times New Roman"/>
          <w:color w:val="1F497D"/>
          <w:sz w:val="28"/>
          <w:szCs w:val="28"/>
        </w:rPr>
        <w:t xml:space="preserve"> (ястребогушо коприварче)</w:t>
      </w:r>
      <w:bookmarkEnd w:id="488"/>
      <w:bookmarkEnd w:id="489"/>
      <w:bookmarkEnd w:id="490"/>
    </w:p>
    <w:p w:rsidR="00A8783E" w:rsidRPr="00A8783E" w:rsidRDefault="00A8783E" w:rsidP="00A8783E">
      <w:pPr>
        <w:spacing w:before="120" w:after="120" w:line="240" w:lineRule="auto"/>
        <w:rPr>
          <w:rFonts w:ascii="Times New Roman" w:hAnsi="Times New Roman"/>
          <w:b/>
          <w:bCs/>
          <w:sz w:val="24"/>
          <w:szCs w:val="24"/>
        </w:rPr>
      </w:pPr>
      <w:r w:rsidRPr="00A8783E">
        <w:rPr>
          <w:rFonts w:ascii="Times New Roman" w:hAnsi="Times New Roman"/>
          <w:b/>
          <w:bCs/>
          <w:sz w:val="24"/>
          <w:szCs w:val="24"/>
        </w:rPr>
        <w:t xml:space="preserve">1. Кратка характеристика на вида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15-16 </w:t>
      </w:r>
      <w:r w:rsidRPr="00A8783E">
        <w:rPr>
          <w:rFonts w:ascii="Times New Roman" w:hAnsi="Times New Roman"/>
          <w:sz w:val="24"/>
          <w:szCs w:val="24"/>
          <w:lang w:val="en-US"/>
        </w:rPr>
        <w:t>cm</w:t>
      </w:r>
      <w:r w:rsidRPr="00A8783E">
        <w:rPr>
          <w:rFonts w:ascii="Times New Roman" w:hAnsi="Times New Roman"/>
          <w:sz w:val="24"/>
          <w:szCs w:val="24"/>
        </w:rPr>
        <w:t>. Мъжки. Глава сиво кафеникава с белезникави пъстрини на челото, над очите и в района на ушите. Тил и гръб пепелявосиви. Плещи, кръст и надопашие сиви с тъмни и белезникави пъстрини. Първостепенни махови пера тъмно кафяви със светли тесни кантове, второстепенните и ръчни покривни пера кафяво сиви с бели върхове. Кормилни пера тъмнокафяви, с изключение на средните, всичките имат бяло петно на върха на вътрешното ветрило. Тялото отдолу бяло с напречни, люсповидни сиви ивици. Женски. Забележимо по-светло кафеникави от мъжките. Отгоре кафеникаво сивкави със светли пъстрини само над очите. Добре забележими са белезникавите пъстрини по плещите и надопашието. Отдолу мръсно бели, с редки кафеникави люсповидни петна, не образуващи напречни ивици (Нанкинов, 2009)</w:t>
      </w:r>
    </w:p>
    <w:p w:rsidR="00A8783E" w:rsidRPr="00A8783E" w:rsidRDefault="00A8783E" w:rsidP="00A8783E">
      <w:pPr>
        <w:spacing w:after="160" w:line="259" w:lineRule="auto"/>
        <w:rPr>
          <w:rFonts w:ascii="Times New Roman" w:hAnsi="Times New Roman"/>
          <w:i/>
          <w:iCs/>
          <w:sz w:val="24"/>
          <w:szCs w:val="24"/>
        </w:rPr>
      </w:pPr>
      <w:r w:rsidRPr="00A8783E">
        <w:rPr>
          <w:rFonts w:ascii="Times New Roman" w:hAnsi="Times New Roman"/>
          <w:i/>
          <w:iCs/>
          <w:sz w:val="24"/>
          <w:szCs w:val="24"/>
        </w:rPr>
        <w:lastRenderedPageBreak/>
        <w:t>Характер на пребиваване в страната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 xml:space="preserve">Гнездящ и мигриращ вид. </w:t>
      </w:r>
    </w:p>
    <w:p w:rsidR="00A8783E" w:rsidRPr="00A8783E" w:rsidRDefault="00A8783E" w:rsidP="00A8783E">
      <w:pPr>
        <w:spacing w:after="160" w:line="259" w:lineRule="auto"/>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Среща се в разнообразни места, но навсякъде е свързано с храстите и подлеса, въпреки че избягва гъстите храсталаци заемащи значителни площи. Може да бъде намерен в покрайнините на редки горски участъци, сечища, поляни и просеки, овощни градини, селски дворове (Нанкинов, 2009). Гнезди основно на по-горещи и сухи места в  Храсталаци на места с умерен климат, в частност растящите на по-ниска надморска височина храсталаци от </w:t>
      </w:r>
      <w:r w:rsidRPr="00A8783E">
        <w:rPr>
          <w:rFonts w:ascii="Times New Roman" w:hAnsi="Times New Roman"/>
          <w:i/>
          <w:sz w:val="24"/>
          <w:szCs w:val="24"/>
        </w:rPr>
        <w:t>Paliurus spina–christi</w:t>
      </w:r>
      <w:r w:rsidRPr="00A8783E">
        <w:rPr>
          <w:rFonts w:ascii="Times New Roman" w:hAnsi="Times New Roman"/>
          <w:sz w:val="24"/>
          <w:szCs w:val="24"/>
        </w:rPr>
        <w:t xml:space="preserve">, </w:t>
      </w:r>
      <w:r w:rsidRPr="00A8783E">
        <w:rPr>
          <w:rFonts w:ascii="Times New Roman" w:hAnsi="Times New Roman"/>
          <w:i/>
          <w:sz w:val="24"/>
          <w:szCs w:val="24"/>
        </w:rPr>
        <w:t>Rosa</w:t>
      </w:r>
      <w:r w:rsidRPr="00A8783E">
        <w:rPr>
          <w:rFonts w:ascii="Times New Roman" w:hAnsi="Times New Roman"/>
          <w:sz w:val="24"/>
          <w:szCs w:val="24"/>
        </w:rPr>
        <w:t xml:space="preserve"> sp., </w:t>
      </w:r>
      <w:r w:rsidRPr="00A8783E">
        <w:rPr>
          <w:rFonts w:ascii="Times New Roman" w:hAnsi="Times New Roman"/>
          <w:i/>
          <w:sz w:val="24"/>
          <w:szCs w:val="24"/>
        </w:rPr>
        <w:t xml:space="preserve">Crataegus monogina </w:t>
      </w:r>
      <w:r w:rsidRPr="00A8783E">
        <w:rPr>
          <w:rFonts w:ascii="Times New Roman" w:hAnsi="Times New Roman"/>
          <w:sz w:val="24"/>
          <w:szCs w:val="24"/>
        </w:rPr>
        <w:t xml:space="preserve">и други, понякога и в Сухолюбиви храсталаци с </w:t>
      </w:r>
      <w:r w:rsidRPr="00A8783E">
        <w:rPr>
          <w:rFonts w:ascii="Times New Roman" w:hAnsi="Times New Roman"/>
          <w:i/>
          <w:sz w:val="24"/>
          <w:szCs w:val="24"/>
        </w:rPr>
        <w:t>Juniperus oxycedrus</w:t>
      </w:r>
      <w:r w:rsidRPr="00A8783E">
        <w:rPr>
          <w:rFonts w:ascii="Times New Roman" w:hAnsi="Times New Roman"/>
          <w:sz w:val="24"/>
          <w:szCs w:val="24"/>
        </w:rPr>
        <w:t>, Carp</w:t>
      </w:r>
      <w:r w:rsidRPr="00A8783E">
        <w:rPr>
          <w:rFonts w:ascii="Times New Roman" w:hAnsi="Times New Roman"/>
          <w:i/>
          <w:sz w:val="24"/>
          <w:szCs w:val="24"/>
        </w:rPr>
        <w:t>inus orientalis, Rubus</w:t>
      </w:r>
      <w:r w:rsidRPr="00A8783E">
        <w:rPr>
          <w:rFonts w:ascii="Times New Roman" w:hAnsi="Times New Roman"/>
          <w:sz w:val="24"/>
          <w:szCs w:val="24"/>
        </w:rPr>
        <w:t xml:space="preserve"> sp. и др. (Янков отг. ред., 2007). Изследването на Ivanov et al. (1998) показва, че в нискостъблени гори от келяв габър, ясен, глог с участието на храсти от драка (между Балчик и с. Топола) ястребогушото коприварче е един от доминантните видове с плътност 5,6 дв./10 </w:t>
      </w:r>
      <w:r w:rsidRPr="00A8783E">
        <w:rPr>
          <w:rFonts w:ascii="Times New Roman" w:hAnsi="Times New Roman"/>
          <w:sz w:val="24"/>
          <w:szCs w:val="24"/>
          <w:lang w:val="en-US"/>
        </w:rPr>
        <w:t>ha</w:t>
      </w:r>
      <w:r w:rsidRPr="00A8783E">
        <w:rPr>
          <w:rFonts w:ascii="Times New Roman" w:hAnsi="Times New Roman"/>
          <w:sz w:val="24"/>
          <w:szCs w:val="24"/>
        </w:rPr>
        <w:t xml:space="preserve">. В степни местообитания с храсти вида е с по-малко плътност – 0,7 дв./10 </w:t>
      </w:r>
      <w:r w:rsidRPr="00A8783E">
        <w:rPr>
          <w:rFonts w:ascii="Times New Roman" w:hAnsi="Times New Roman"/>
          <w:sz w:val="24"/>
          <w:szCs w:val="24"/>
          <w:lang w:val="en-US"/>
        </w:rPr>
        <w:t>ha</w:t>
      </w:r>
      <w:r w:rsidRPr="00A8783E">
        <w:rPr>
          <w:rFonts w:ascii="Times New Roman" w:hAnsi="Times New Roman"/>
          <w:sz w:val="24"/>
          <w:szCs w:val="24"/>
        </w:rPr>
        <w:t>. Подходящи местообитания за гнездене на вида са 40C0 по Директива за местообитанията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sz w:val="24"/>
          <w:szCs w:val="24"/>
        </w:rPr>
        <w:t>С различни насекоми и техните ларви.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С петнисто и разпръснато разпространение на територията на цялата страна</w:t>
      </w:r>
      <w:r w:rsidRPr="00A8783E">
        <w:rPr>
          <w:rFonts w:cs="Calibri"/>
        </w:rPr>
        <w:t xml:space="preserve"> </w:t>
      </w:r>
      <w:r w:rsidRPr="00A8783E">
        <w:rPr>
          <w:rFonts w:ascii="Times New Roman" w:hAnsi="Times New Roman"/>
          <w:color w:val="000000"/>
          <w:sz w:val="24"/>
          <w:szCs w:val="24"/>
        </w:rPr>
        <w:t>по-плътно по Черноморското крайбрежие, Източните Родопи, централната част на Дунавската равнина, Ломовете и долината на Суха река в Добруджа, Софийското поле и прилежащите планински райони, долините на реките Струма и Места и други хълмисти райони и ниски планини (Янков отг. ред., 2007)</w:t>
      </w:r>
      <w:r w:rsidRPr="00A8783E">
        <w:rPr>
          <w:rFonts w:ascii="Times New Roman" w:hAnsi="Times New Roman"/>
          <w:sz w:val="24"/>
          <w:szCs w:val="24"/>
        </w:rPr>
        <w:t xml:space="preserve">, предимно в хълмистите и предпланинските райони. По долините на реките прониква до около 1000 </w:t>
      </w:r>
      <w:r w:rsidRPr="00A8783E">
        <w:rPr>
          <w:rFonts w:ascii="Times New Roman" w:hAnsi="Times New Roman"/>
          <w:sz w:val="24"/>
          <w:szCs w:val="24"/>
          <w:lang w:val="en-US"/>
        </w:rPr>
        <w:t>m</w:t>
      </w:r>
      <w:r w:rsidRPr="00A8783E">
        <w:rPr>
          <w:rFonts w:ascii="Times New Roman" w:hAnsi="Times New Roman"/>
          <w:sz w:val="24"/>
          <w:szCs w:val="24"/>
        </w:rPr>
        <w:t xml:space="preserve"> надморска височина </w:t>
      </w:r>
      <w:r w:rsidRPr="00A8783E">
        <w:rPr>
          <w:rFonts w:ascii="Times New Roman" w:hAnsi="Times New Roman"/>
          <w:color w:val="000000"/>
          <w:sz w:val="24"/>
          <w:szCs w:val="24"/>
        </w:rPr>
        <w:t>(Нанкинов, 2009.)</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Природозащитен статус в България – не е застрашен. Включен е в Приложение </w:t>
      </w:r>
      <w:r w:rsidRPr="00A8783E">
        <w:rPr>
          <w:rFonts w:ascii="Times New Roman" w:hAnsi="Times New Roman"/>
          <w:color w:val="000000"/>
          <w:sz w:val="24"/>
          <w:szCs w:val="24"/>
          <w:lang w:val="en-US"/>
        </w:rPr>
        <w:t>I</w:t>
      </w:r>
      <w:r w:rsidRPr="00A8783E">
        <w:rPr>
          <w:rFonts w:ascii="Times New Roman" w:hAnsi="Times New Roman"/>
          <w:color w:val="000000"/>
          <w:sz w:val="24"/>
          <w:szCs w:val="24"/>
        </w:rPr>
        <w:t xml:space="preserve"> на Директива за птиците.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през 2019 г. (за периода 2013 - 2018 г.), гнездящата популация е от 4500 – 15 000 двойки, като краткосрочната тенденция (2001-2018) на популацията е оценена на стабилна. Дългосрочната тенденция (1980 - 2018) на популацията е оценена на стабилна. Посочени са следните заплахи и влияния: А01, А02, С03, </w:t>
      </w:r>
      <w:r w:rsidRPr="00A8783E">
        <w:rPr>
          <w:rFonts w:ascii="Times New Roman" w:hAnsi="Times New Roman"/>
          <w:sz w:val="24"/>
          <w:szCs w:val="24"/>
          <w:lang w:val="en-US"/>
        </w:rPr>
        <w:t>F</w:t>
      </w:r>
      <w:r w:rsidRPr="00A8783E">
        <w:rPr>
          <w:rFonts w:ascii="Times New Roman" w:hAnsi="Times New Roman"/>
          <w:sz w:val="24"/>
          <w:szCs w:val="24"/>
        </w:rPr>
        <w:t>01.</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lang w:eastAsia="bg-BG"/>
        </w:rPr>
      </w:pPr>
      <w:r w:rsidRPr="00A8783E">
        <w:rPr>
          <w:rFonts w:ascii="Times New Roman" w:hAnsi="Times New Roman"/>
          <w:sz w:val="24"/>
          <w:szCs w:val="24"/>
          <w:lang w:eastAsia="bg-BG"/>
        </w:rPr>
        <w:t xml:space="preserve">Съгласно стандартния формуляр за данни СФ на зоната видът </w:t>
      </w:r>
      <w:r w:rsidRPr="00A8783E">
        <w:rPr>
          <w:rFonts w:ascii="Times New Roman" w:hAnsi="Times New Roman"/>
          <w:sz w:val="24"/>
          <w:szCs w:val="24"/>
          <w:lang w:val="en-US" w:eastAsia="bg-BG"/>
        </w:rPr>
        <w:t>e</w:t>
      </w:r>
      <w:r w:rsidRPr="00A8783E">
        <w:rPr>
          <w:rFonts w:ascii="Times New Roman" w:hAnsi="Times New Roman"/>
          <w:sz w:val="24"/>
          <w:szCs w:val="24"/>
          <w:lang w:eastAsia="bg-BG"/>
        </w:rPr>
        <w:t xml:space="preserve"> гнездящ. </w:t>
      </w:r>
      <w:r w:rsidRPr="00A8783E">
        <w:rPr>
          <w:rFonts w:ascii="Times New Roman" w:hAnsi="Times New Roman"/>
          <w:b/>
          <w:bCs/>
          <w:sz w:val="24"/>
          <w:szCs w:val="24"/>
        </w:rPr>
        <w:t>Гнездящата популация</w:t>
      </w:r>
      <w:r w:rsidRPr="00A8783E">
        <w:rPr>
          <w:rFonts w:ascii="Times New Roman" w:hAnsi="Times New Roman"/>
          <w:sz w:val="24"/>
          <w:szCs w:val="24"/>
        </w:rPr>
        <w:t xml:space="preserve"> се оценява на </w:t>
      </w:r>
      <w:r w:rsidRPr="00A8783E">
        <w:rPr>
          <w:rFonts w:ascii="Times New Roman" w:hAnsi="Times New Roman"/>
          <w:b/>
          <w:bCs/>
          <w:sz w:val="24"/>
          <w:szCs w:val="24"/>
        </w:rPr>
        <w:t>5-12 двойки</w:t>
      </w:r>
      <w:r w:rsidRPr="00A8783E">
        <w:rPr>
          <w:rFonts w:ascii="Times New Roman" w:hAnsi="Times New Roman"/>
          <w:sz w:val="24"/>
          <w:szCs w:val="24"/>
        </w:rPr>
        <w:t xml:space="preserve">, което представлява </w:t>
      </w:r>
      <w:r w:rsidRPr="00A8783E">
        <w:rPr>
          <w:rFonts w:ascii="Times New Roman" w:hAnsi="Times New Roman"/>
          <w:bCs/>
          <w:sz w:val="24"/>
          <w:szCs w:val="24"/>
        </w:rPr>
        <w:t>0,08-0,11 %</w:t>
      </w:r>
      <w:r w:rsidRPr="00A8783E">
        <w:rPr>
          <w:rFonts w:ascii="Times New Roman" w:hAnsi="Times New Roman"/>
          <w:b/>
          <w:bCs/>
          <w:sz w:val="24"/>
          <w:szCs w:val="24"/>
        </w:rPr>
        <w:t xml:space="preserve"> </w:t>
      </w:r>
      <w:r w:rsidRPr="00A8783E">
        <w:rPr>
          <w:rFonts w:ascii="Times New Roman" w:hAnsi="Times New Roman"/>
          <w:sz w:val="24"/>
          <w:szCs w:val="24"/>
        </w:rPr>
        <w:t>от националната популация (оценка „С“). Опазването на вида е добро (оценка „</w:t>
      </w:r>
      <w:r w:rsidRPr="00A8783E">
        <w:rPr>
          <w:rFonts w:ascii="Times New Roman" w:hAnsi="Times New Roman"/>
          <w:sz w:val="24"/>
          <w:szCs w:val="24"/>
          <w:lang w:val="en-US"/>
        </w:rPr>
        <w:t>B</w:t>
      </w:r>
      <w:r w:rsidRPr="00A8783E">
        <w:rPr>
          <w:rFonts w:ascii="Times New Roman" w:hAnsi="Times New Roman"/>
          <w:sz w:val="24"/>
          <w:szCs w:val="24"/>
        </w:rPr>
        <w:t>“), популацията не е изолирана в рамките на разширен ареал (оценка „С“). Общата оценка на стойността на зоната за съхранение на вида е „</w:t>
      </w:r>
      <w:r w:rsidRPr="00A8783E">
        <w:rPr>
          <w:rFonts w:ascii="Times New Roman" w:hAnsi="Times New Roman"/>
          <w:sz w:val="24"/>
          <w:szCs w:val="24"/>
          <w:lang w:val="en-US"/>
        </w:rPr>
        <w:t>C</w:t>
      </w:r>
      <w:r w:rsidRPr="00A8783E">
        <w:rPr>
          <w:rFonts w:ascii="Times New Roman" w:hAnsi="Times New Roman"/>
          <w:sz w:val="24"/>
          <w:szCs w:val="24"/>
        </w:rPr>
        <w:t>“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4. Анализ на наличната информация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w:t>
      </w:r>
      <w:r w:rsidRPr="00A8783E">
        <w:rPr>
          <w:rFonts w:ascii="Times New Roman" w:hAnsi="Times New Roman"/>
          <w:sz w:val="24"/>
          <w:szCs w:val="24"/>
          <w:lang w:val="en-US"/>
        </w:rPr>
        <w:t>Kamburova</w:t>
      </w:r>
      <w:r w:rsidRPr="00A8783E">
        <w:rPr>
          <w:rFonts w:ascii="Times New Roman" w:hAnsi="Times New Roman"/>
          <w:sz w:val="24"/>
          <w:szCs w:val="24"/>
        </w:rPr>
        <w:t xml:space="preserve"> (2005) за периода 2001-2003 г. са отчетени 6 гнездящи двойки в резерват „Сребърна“. По време на извършения мониторинг в зоната беше регистриран един пеещ мъжки екземпляр на 18.05.2021 г. Видът е бил отчетен в зоната също на </w:t>
      </w:r>
      <w:r w:rsidRPr="00A8783E">
        <w:rPr>
          <w:rFonts w:ascii="Times New Roman" w:hAnsi="Times New Roman"/>
          <w:sz w:val="24"/>
          <w:szCs w:val="24"/>
        </w:rPr>
        <w:lastRenderedPageBreak/>
        <w:t>28.04.2019 г. (2 екз.), 11.05.2018 г. (5 екз.), 19.05.2018 г. (2 екз.), 21.05.2017 г. (1 екз.) (</w:t>
      </w:r>
      <w:r w:rsidRPr="00A8783E">
        <w:rPr>
          <w:rFonts w:ascii="Times New Roman" w:hAnsi="Times New Roman"/>
          <w:sz w:val="24"/>
          <w:szCs w:val="24"/>
          <w:lang w:val="en-US"/>
        </w:rPr>
        <w:t>ebird</w:t>
      </w:r>
      <w:r w:rsidRPr="00A8783E">
        <w:rPr>
          <w:rFonts w:ascii="Times New Roman" w:hAnsi="Times New Roman"/>
          <w:sz w:val="24"/>
          <w:szCs w:val="24"/>
        </w:rPr>
        <w:t>.</w:t>
      </w:r>
      <w:r w:rsidRPr="00A8783E">
        <w:rPr>
          <w:rFonts w:ascii="Times New Roman" w:hAnsi="Times New Roman"/>
          <w:sz w:val="24"/>
          <w:szCs w:val="24"/>
          <w:lang w:val="en-US"/>
        </w:rPr>
        <w:t>org</w:t>
      </w:r>
      <w:r w:rsidRPr="00A8783E">
        <w:rPr>
          <w:rFonts w:ascii="Times New Roman" w:hAnsi="Times New Roman"/>
          <w:sz w:val="24"/>
          <w:szCs w:val="24"/>
        </w:rPr>
        <w:t xml:space="preserve">, </w:t>
      </w:r>
      <w:r w:rsidRPr="00A8783E">
        <w:rPr>
          <w:rFonts w:ascii="Times New Roman" w:hAnsi="Times New Roman"/>
          <w:sz w:val="24"/>
          <w:szCs w:val="24"/>
          <w:lang w:val="en-US"/>
        </w:rPr>
        <w:t>D</w:t>
      </w:r>
      <w:r w:rsidRPr="00A8783E">
        <w:rPr>
          <w:rFonts w:ascii="Times New Roman" w:hAnsi="Times New Roman"/>
          <w:sz w:val="24"/>
          <w:szCs w:val="24"/>
        </w:rPr>
        <w:t xml:space="preserve">. </w:t>
      </w:r>
      <w:r w:rsidRPr="00A8783E">
        <w:rPr>
          <w:rFonts w:ascii="Times New Roman" w:hAnsi="Times New Roman"/>
          <w:sz w:val="24"/>
          <w:szCs w:val="24"/>
          <w:lang w:val="en-US"/>
        </w:rPr>
        <w:t>Mitev</w:t>
      </w:r>
      <w:r w:rsidRPr="00A8783E">
        <w:rPr>
          <w:rFonts w:ascii="Times New Roman" w:hAnsi="Times New Roman"/>
          <w:sz w:val="24"/>
          <w:szCs w:val="24"/>
        </w:rPr>
        <w:t xml:space="preserve">, </w:t>
      </w:r>
      <w:r w:rsidRPr="00A8783E">
        <w:rPr>
          <w:rFonts w:ascii="Times New Roman" w:hAnsi="Times New Roman"/>
          <w:sz w:val="24"/>
          <w:szCs w:val="24"/>
          <w:lang w:val="en-US"/>
        </w:rPr>
        <w:t>S</w:t>
      </w:r>
      <w:r w:rsidRPr="00A8783E">
        <w:rPr>
          <w:rFonts w:ascii="Times New Roman" w:hAnsi="Times New Roman"/>
          <w:sz w:val="24"/>
          <w:szCs w:val="24"/>
        </w:rPr>
        <w:t xml:space="preserve">. </w:t>
      </w:r>
      <w:r w:rsidRPr="00A8783E">
        <w:rPr>
          <w:rFonts w:ascii="Times New Roman" w:hAnsi="Times New Roman"/>
          <w:sz w:val="24"/>
          <w:szCs w:val="24"/>
          <w:lang w:val="en-US"/>
        </w:rPr>
        <w:t>Gigov</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Интензификацията на селското стопанство, използването на пестициди и изкуствени торове, премахването на плетове и храсти са дейностите с най-сериозно негативно влияние върху качеството на местообитанията.</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5. Параметри за определяне на специфичните природозащитни цели за вида в зоната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9"/>
        <w:gridCol w:w="1242"/>
        <w:gridCol w:w="1132"/>
        <w:gridCol w:w="2677"/>
        <w:gridCol w:w="2376"/>
      </w:tblGrid>
      <w:tr w:rsidR="00A8783E" w:rsidRPr="00A8783E" w:rsidTr="005B5318">
        <w:trPr>
          <w:tblHeader/>
        </w:trPr>
        <w:tc>
          <w:tcPr>
            <w:tcW w:w="1859" w:type="dxa"/>
            <w:shd w:val="clear" w:color="auto" w:fill="DBE5F1"/>
            <w:vAlign w:val="center"/>
          </w:tcPr>
          <w:p w:rsidR="00A8783E" w:rsidRPr="00A8783E" w:rsidRDefault="00A8783E" w:rsidP="00A8783E">
            <w:pPr>
              <w:spacing w:after="0" w:line="240" w:lineRule="auto"/>
              <w:jc w:val="center"/>
              <w:rPr>
                <w:rFonts w:ascii="Times New Roman" w:hAnsi="Times New Roman"/>
                <w:b/>
                <w:bCs/>
              </w:rPr>
            </w:pPr>
            <w:r w:rsidRPr="00A8783E">
              <w:rPr>
                <w:rFonts w:ascii="Times New Roman" w:hAnsi="Times New Roman"/>
                <w:b/>
                <w:bCs/>
              </w:rPr>
              <w:t>Параметър</w:t>
            </w:r>
          </w:p>
        </w:tc>
        <w:tc>
          <w:tcPr>
            <w:tcW w:w="1242" w:type="dxa"/>
            <w:shd w:val="clear" w:color="auto" w:fill="DBE5F1"/>
            <w:vAlign w:val="center"/>
          </w:tcPr>
          <w:p w:rsidR="00A8783E" w:rsidRPr="00A8783E" w:rsidRDefault="00A8783E" w:rsidP="00A8783E">
            <w:pPr>
              <w:spacing w:after="0" w:line="240" w:lineRule="auto"/>
              <w:jc w:val="center"/>
              <w:rPr>
                <w:rFonts w:ascii="Times New Roman" w:hAnsi="Times New Roman"/>
                <w:b/>
                <w:bCs/>
              </w:rPr>
            </w:pPr>
            <w:r w:rsidRPr="00A8783E">
              <w:rPr>
                <w:rFonts w:ascii="Times New Roman" w:hAnsi="Times New Roman"/>
                <w:b/>
                <w:bCs/>
              </w:rPr>
              <w:t>Мерна единица</w:t>
            </w:r>
          </w:p>
        </w:tc>
        <w:tc>
          <w:tcPr>
            <w:tcW w:w="1132" w:type="dxa"/>
            <w:shd w:val="clear" w:color="auto" w:fill="DBE5F1"/>
            <w:vAlign w:val="center"/>
          </w:tcPr>
          <w:p w:rsidR="00A8783E" w:rsidRPr="00A8783E" w:rsidRDefault="00A8783E" w:rsidP="00A8783E">
            <w:pPr>
              <w:spacing w:after="0" w:line="240" w:lineRule="auto"/>
              <w:jc w:val="center"/>
              <w:rPr>
                <w:rFonts w:ascii="Times New Roman" w:hAnsi="Times New Roman"/>
                <w:b/>
                <w:bCs/>
              </w:rPr>
            </w:pPr>
            <w:r w:rsidRPr="00A8783E">
              <w:rPr>
                <w:rFonts w:ascii="Times New Roman" w:hAnsi="Times New Roman"/>
                <w:b/>
                <w:bCs/>
              </w:rPr>
              <w:t>Целева стойност</w:t>
            </w:r>
          </w:p>
        </w:tc>
        <w:tc>
          <w:tcPr>
            <w:tcW w:w="2677" w:type="dxa"/>
            <w:shd w:val="clear" w:color="auto" w:fill="DBE5F1"/>
            <w:vAlign w:val="center"/>
          </w:tcPr>
          <w:p w:rsidR="00A8783E" w:rsidRPr="00A8783E" w:rsidRDefault="00A8783E" w:rsidP="00A8783E">
            <w:pPr>
              <w:spacing w:after="0" w:line="240" w:lineRule="auto"/>
              <w:jc w:val="center"/>
              <w:rPr>
                <w:rFonts w:ascii="Times New Roman" w:hAnsi="Times New Roman"/>
                <w:b/>
                <w:bCs/>
              </w:rPr>
            </w:pPr>
            <w:r w:rsidRPr="00A8783E">
              <w:rPr>
                <w:rFonts w:ascii="Times New Roman" w:hAnsi="Times New Roman"/>
                <w:b/>
                <w:bCs/>
              </w:rPr>
              <w:t>Допълнителна информация</w:t>
            </w:r>
          </w:p>
        </w:tc>
        <w:tc>
          <w:tcPr>
            <w:tcW w:w="2376" w:type="dxa"/>
            <w:shd w:val="clear" w:color="auto" w:fill="DBE5F1"/>
            <w:vAlign w:val="center"/>
          </w:tcPr>
          <w:p w:rsidR="00A8783E" w:rsidRPr="00A8783E" w:rsidRDefault="00A8783E" w:rsidP="00A8783E">
            <w:pPr>
              <w:spacing w:after="0" w:line="240" w:lineRule="auto"/>
              <w:jc w:val="center"/>
              <w:rPr>
                <w:rFonts w:ascii="Times New Roman" w:hAnsi="Times New Roman"/>
                <w:b/>
                <w:bCs/>
              </w:rPr>
            </w:pPr>
            <w:r w:rsidRPr="00A8783E">
              <w:rPr>
                <w:rFonts w:ascii="Times New Roman" w:hAnsi="Times New Roman"/>
                <w:b/>
                <w:bCs/>
              </w:rPr>
              <w:t>Специфични за зоната цели</w:t>
            </w:r>
          </w:p>
        </w:tc>
      </w:tr>
      <w:tr w:rsidR="00A8783E" w:rsidRPr="00A8783E" w:rsidTr="005B5318">
        <w:tc>
          <w:tcPr>
            <w:tcW w:w="1859"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гнездовата популация</w:t>
            </w:r>
          </w:p>
        </w:tc>
        <w:tc>
          <w:tcPr>
            <w:tcW w:w="1242"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гнездящи двойки</w:t>
            </w:r>
          </w:p>
        </w:tc>
        <w:tc>
          <w:tcPr>
            <w:tcW w:w="1132"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Най-малко 5 двойки </w:t>
            </w:r>
          </w:p>
        </w:tc>
        <w:tc>
          <w:tcPr>
            <w:tcW w:w="267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 настоящия СФ (актуализиран през 2018 г.) са посочени 5-12 гнездящи двойки. По време на теренните проучвания през гнездовия период на 2021 г. е отчетен 1 индивид.</w:t>
            </w:r>
          </w:p>
        </w:tc>
        <w:tc>
          <w:tcPr>
            <w:tcW w:w="23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популацията на вида в зоната в размер от най-малко 5 гнездящи двойки. Необходими са бъдещи целенасочени теренни изследвания за установяване на настоящата гнездяща популация на вида в зоната.</w:t>
            </w:r>
          </w:p>
        </w:tc>
      </w:tr>
      <w:tr w:rsidR="00A8783E" w:rsidRPr="00A8783E" w:rsidTr="005B5318">
        <w:tc>
          <w:tcPr>
            <w:tcW w:w="1859"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гнездови и хранителни местообитания на вида</w:t>
            </w:r>
          </w:p>
        </w:tc>
        <w:tc>
          <w:tcPr>
            <w:tcW w:w="1242" w:type="dxa"/>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lang w:val="en-US"/>
              </w:rPr>
              <w:t>ha</w:t>
            </w:r>
          </w:p>
        </w:tc>
        <w:tc>
          <w:tcPr>
            <w:tcW w:w="1132" w:type="dxa"/>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rPr>
              <w:t>Най-малко 289</w:t>
            </w:r>
          </w:p>
        </w:tc>
        <w:tc>
          <w:tcPr>
            <w:tcW w:w="267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Гнездовото и хранителното местообитание съвпадат. Площта е изчислена на база данните от СФ като % на местообитание N08 - равнини, шубраци; N21 - негорски площи, заети с растителни видове (включително градини, лозя, трайни насаждения); N09 - Сухи ливади, степи.</w:t>
            </w:r>
          </w:p>
        </w:tc>
        <w:tc>
          <w:tcPr>
            <w:tcW w:w="237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на площта на подходящите местообитания на вида в размер най-малко 289 ha.</w:t>
            </w:r>
          </w:p>
        </w:tc>
      </w:tr>
    </w:tbl>
    <w:p w:rsidR="00A8783E" w:rsidRPr="00A8783E" w:rsidRDefault="00A8783E" w:rsidP="00A8783E">
      <w:pPr>
        <w:spacing w:before="120" w:after="120" w:line="240" w:lineRule="auto"/>
        <w:jc w:val="both"/>
        <w:rPr>
          <w:rFonts w:ascii="Times New Roman" w:hAnsi="Times New Roman"/>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val="ru-RU"/>
        </w:rPr>
      </w:pPr>
      <w:bookmarkStart w:id="491" w:name="_Toc86409813"/>
      <w:bookmarkStart w:id="492" w:name="_Toc87031390"/>
      <w:bookmarkStart w:id="493" w:name="_Toc87467278"/>
      <w:bookmarkStart w:id="494" w:name="_Toc87692195"/>
      <w:bookmarkStart w:id="495" w:name="_Toc88865739"/>
      <w:bookmarkStart w:id="496" w:name="_Toc89106149"/>
      <w:bookmarkStart w:id="497" w:name="_Toc98741988"/>
      <w:bookmarkStart w:id="498" w:name="_Toc98838663"/>
      <w:r w:rsidRPr="00A8783E">
        <w:rPr>
          <w:rFonts w:ascii="Times New Roman" w:hAnsi="Times New Roman"/>
          <w:color w:val="1F497D"/>
          <w:sz w:val="28"/>
          <w:szCs w:val="28"/>
        </w:rPr>
        <w:t>Специфични цели за</w:t>
      </w:r>
      <w:r w:rsidRPr="00A8783E">
        <w:rPr>
          <w:rFonts w:ascii="Times New Roman" w:hAnsi="Times New Roman"/>
          <w:color w:val="1F497D"/>
          <w:sz w:val="28"/>
          <w:szCs w:val="28"/>
          <w:lang w:val="ru-RU"/>
        </w:rPr>
        <w:t xml:space="preserve"> А338 </w:t>
      </w:r>
      <w:r w:rsidRPr="00A8783E">
        <w:rPr>
          <w:rFonts w:ascii="Times New Roman" w:hAnsi="Times New Roman"/>
          <w:i/>
          <w:iCs/>
          <w:color w:val="1F497D"/>
          <w:sz w:val="28"/>
          <w:szCs w:val="28"/>
          <w:lang w:val="en-US"/>
        </w:rPr>
        <w:t>Lanius</w:t>
      </w:r>
      <w:r w:rsidRPr="00A8783E">
        <w:rPr>
          <w:rFonts w:ascii="Times New Roman" w:hAnsi="Times New Roman"/>
          <w:i/>
          <w:iCs/>
          <w:color w:val="1F497D"/>
          <w:sz w:val="28"/>
          <w:szCs w:val="28"/>
          <w:lang w:val="ru-RU"/>
        </w:rPr>
        <w:t xml:space="preserve"> </w:t>
      </w:r>
      <w:r w:rsidRPr="00A8783E">
        <w:rPr>
          <w:rFonts w:ascii="Times New Roman" w:hAnsi="Times New Roman"/>
          <w:i/>
          <w:iCs/>
          <w:color w:val="1F497D"/>
          <w:sz w:val="28"/>
          <w:szCs w:val="28"/>
          <w:lang w:val="en-US"/>
        </w:rPr>
        <w:t>collurio</w:t>
      </w:r>
      <w:r w:rsidRPr="00A8783E">
        <w:rPr>
          <w:rFonts w:ascii="Times New Roman" w:hAnsi="Times New Roman"/>
          <w:color w:val="1F497D"/>
          <w:sz w:val="28"/>
          <w:szCs w:val="28"/>
          <w:lang w:val="ru-RU"/>
        </w:rPr>
        <w:t xml:space="preserve"> (червеногърба сврачка)</w:t>
      </w:r>
      <w:bookmarkEnd w:id="491"/>
      <w:bookmarkEnd w:id="492"/>
      <w:bookmarkEnd w:id="493"/>
      <w:bookmarkEnd w:id="494"/>
      <w:bookmarkEnd w:id="495"/>
      <w:bookmarkEnd w:id="496"/>
      <w:bookmarkEnd w:id="497"/>
      <w:bookmarkEnd w:id="498"/>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color w:val="000000"/>
          <w:sz w:val="24"/>
          <w:szCs w:val="24"/>
          <w:lang w:val="ru-RU"/>
        </w:rPr>
      </w:pPr>
      <w:r w:rsidRPr="00A8783E">
        <w:rPr>
          <w:rFonts w:ascii="Times New Roman" w:hAnsi="Times New Roman"/>
          <w:color w:val="000000"/>
          <w:sz w:val="24"/>
          <w:szCs w:val="24"/>
        </w:rPr>
        <w:t xml:space="preserve">Дължина на тялото: 17 </w:t>
      </w:r>
      <w:r w:rsidRPr="00A8783E">
        <w:rPr>
          <w:rFonts w:ascii="Times New Roman" w:hAnsi="Times New Roman"/>
          <w:color w:val="000000"/>
          <w:sz w:val="24"/>
          <w:szCs w:val="24"/>
          <w:lang w:val="en-US"/>
        </w:rPr>
        <w:t>cm</w:t>
      </w:r>
      <w:r w:rsidRPr="00A8783E">
        <w:rPr>
          <w:rFonts w:ascii="Times New Roman" w:hAnsi="Times New Roman"/>
          <w:color w:val="000000"/>
          <w:sz w:val="24"/>
          <w:szCs w:val="24"/>
        </w:rPr>
        <w:t xml:space="preserve">. Размах на крилата: 24-27 </w:t>
      </w:r>
      <w:r w:rsidRPr="00A8783E">
        <w:rPr>
          <w:rFonts w:ascii="Times New Roman" w:hAnsi="Times New Roman"/>
          <w:color w:val="000000"/>
          <w:sz w:val="24"/>
          <w:szCs w:val="24"/>
          <w:lang w:val="en-US"/>
        </w:rPr>
        <w:t>cm</w:t>
      </w:r>
      <w:r w:rsidRPr="00A8783E">
        <w:rPr>
          <w:rFonts w:ascii="Times New Roman" w:hAnsi="Times New Roman"/>
          <w:color w:val="000000"/>
          <w:sz w:val="24"/>
          <w:szCs w:val="24"/>
        </w:rPr>
        <w:t xml:space="preserve">. Малко по-едра от врабче. Има набито тяло, сравнително къси, закръглени крила и относително дълга опашка. Клюнът характерен, със закривен връх, подобен на този на хищна птица. Има добре изразен полов диморфизъм. Мъжкият е със сива глава и врат, кафяв гръб и черна маска през окото. Гърлото и бузите бели, гърдите и страните на тялото розови. Опашката черна с бели полета в основата. При женската главата и гърбът са кафяви със слаб или без тъмен вълновиден рисунък. Вратът обикновено сив. Долната страна бяла или жълтеникава с напречен тъмен вълновиден рисунък. Обикновено стои вертикално на избран от нея за наблюдателен пункт клон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Иванов, 2011</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color w:val="000000"/>
          <w:sz w:val="24"/>
          <w:szCs w:val="24"/>
          <w:lang w:val="ru-RU"/>
        </w:rPr>
      </w:pPr>
      <w:r w:rsidRPr="00A8783E">
        <w:rPr>
          <w:rFonts w:ascii="Times New Roman" w:hAnsi="Times New Roman"/>
          <w:color w:val="000000"/>
          <w:sz w:val="24"/>
          <w:szCs w:val="24"/>
        </w:rPr>
        <w:lastRenderedPageBreak/>
        <w:t>За България видът е гнездящ и прелетен. По време на миграция е по-многочислен по Черноморското крайбрежие</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Напролет най-рано се появява в началото на април. През есента отлита от края на август, най-късно до края на октомври. Моногамна птица. Гнезди единично. Гнездата са най-често в гъсти бодливи храсти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шипка, глог, драка, дива круша и др.</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и по-рядко по дървета на височина от 0,5 до 2 </w:t>
      </w:r>
      <w:r w:rsidRPr="00A8783E">
        <w:rPr>
          <w:rFonts w:ascii="Times New Roman" w:hAnsi="Times New Roman"/>
          <w:color w:val="000000"/>
          <w:sz w:val="24"/>
          <w:szCs w:val="24"/>
          <w:lang w:val="en-US"/>
        </w:rPr>
        <w:t>m</w:t>
      </w:r>
      <w:r w:rsidRPr="00A8783E">
        <w:rPr>
          <w:rFonts w:ascii="Times New Roman" w:hAnsi="Times New Roman"/>
          <w:color w:val="000000"/>
          <w:sz w:val="24"/>
          <w:szCs w:val="24"/>
        </w:rPr>
        <w:t xml:space="preserve"> и по-високо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Иванов, 2011</w:t>
      </w:r>
      <w:r w:rsidRPr="00A8783E">
        <w:rPr>
          <w:rFonts w:ascii="Times New Roman" w:hAnsi="Times New Roman"/>
          <w:color w:val="000000"/>
          <w:sz w:val="24"/>
          <w:szCs w:val="24"/>
          <w:lang w:val="ru-RU"/>
        </w:rPr>
        <w:t>).</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color w:val="000000"/>
          <w:sz w:val="24"/>
          <w:szCs w:val="24"/>
          <w:lang w:val="ru-RU"/>
        </w:rPr>
      </w:pPr>
      <w:r w:rsidRPr="00A8783E">
        <w:rPr>
          <w:rFonts w:ascii="Times New Roman" w:hAnsi="Times New Roman"/>
          <w:color w:val="000000"/>
          <w:sz w:val="24"/>
          <w:szCs w:val="24"/>
        </w:rPr>
        <w:t xml:space="preserve">Гнезди в открити пространства примесени с храсталаци на местата с умерен климат, сухолюбиви храсталаци, пустеещи земи, в окрайнините на разредени широколистни листопадни гори, сечища, в овощни градини, дървесни и храстови плантации, ивици дървета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полезащитни пояси</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храсти и мозайки от тях, градски паркове и градини и други обрасли с храсти и слабо посещавани места в градове, села и индустриални зони, както и в селища с разпръснати дворове (планински махали, вилни зони и т.н.)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Янков, ред.,</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2007</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Числеността в овощни градини е 2,1-2,5 дв</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/10 </w:t>
      </w:r>
      <w:r w:rsidRPr="00A8783E">
        <w:rPr>
          <w:rFonts w:ascii="Times New Roman" w:hAnsi="Times New Roman"/>
          <w:color w:val="000000"/>
          <w:sz w:val="24"/>
          <w:szCs w:val="24"/>
          <w:lang w:val="en-US"/>
        </w:rPr>
        <w:t>ha</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в насаждения от </w:t>
      </w:r>
      <w:r w:rsidRPr="00A8783E">
        <w:rPr>
          <w:rFonts w:ascii="Times New Roman" w:hAnsi="Times New Roman"/>
          <w:i/>
          <w:iCs/>
          <w:color w:val="000000"/>
          <w:sz w:val="24"/>
          <w:szCs w:val="24"/>
          <w:lang w:val="en-US"/>
        </w:rPr>
        <w:t>Robinia</w:t>
      </w:r>
      <w:r w:rsidRPr="00A8783E">
        <w:rPr>
          <w:rFonts w:ascii="Times New Roman" w:hAnsi="Times New Roman"/>
          <w:i/>
          <w:iCs/>
          <w:color w:val="000000"/>
          <w:sz w:val="24"/>
          <w:szCs w:val="24"/>
          <w:lang w:val="ru-RU"/>
        </w:rPr>
        <w:t xml:space="preserve"> </w:t>
      </w:r>
      <w:r w:rsidRPr="00A8783E">
        <w:rPr>
          <w:rFonts w:ascii="Times New Roman" w:hAnsi="Times New Roman"/>
          <w:i/>
          <w:iCs/>
          <w:color w:val="000000"/>
          <w:sz w:val="24"/>
          <w:szCs w:val="24"/>
          <w:lang w:val="en-US"/>
        </w:rPr>
        <w:t>pseudoacacia</w:t>
      </w:r>
      <w:r w:rsidRPr="00A8783E">
        <w:rPr>
          <w:rFonts w:ascii="Times New Roman" w:hAnsi="Times New Roman"/>
          <w:color w:val="000000"/>
          <w:sz w:val="24"/>
          <w:szCs w:val="24"/>
          <w:lang w:val="ru-RU"/>
        </w:rPr>
        <w:t xml:space="preserve"> – 2,7 </w:t>
      </w:r>
      <w:r w:rsidRPr="00A8783E">
        <w:rPr>
          <w:rFonts w:ascii="Times New Roman" w:hAnsi="Times New Roman"/>
          <w:color w:val="000000"/>
          <w:sz w:val="24"/>
          <w:szCs w:val="24"/>
        </w:rPr>
        <w:t xml:space="preserve">дв./10 </w:t>
      </w:r>
      <w:r w:rsidRPr="00A8783E">
        <w:rPr>
          <w:rFonts w:ascii="Times New Roman" w:hAnsi="Times New Roman"/>
          <w:color w:val="000000"/>
          <w:sz w:val="24"/>
          <w:szCs w:val="24"/>
          <w:lang w:val="en-US"/>
        </w:rPr>
        <w:t>ha</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изкуствени насаждения от черен бор </w:t>
      </w:r>
      <w:r w:rsidRPr="00A8783E">
        <w:rPr>
          <w:rFonts w:ascii="Times New Roman" w:hAnsi="Times New Roman"/>
          <w:color w:val="000000"/>
          <w:sz w:val="24"/>
          <w:szCs w:val="24"/>
          <w:lang w:val="ru-RU"/>
        </w:rPr>
        <w:t xml:space="preserve">(500-800 </w:t>
      </w:r>
      <w:r w:rsidRPr="00A8783E">
        <w:rPr>
          <w:rFonts w:ascii="Times New Roman" w:hAnsi="Times New Roman"/>
          <w:color w:val="000000"/>
          <w:sz w:val="24"/>
          <w:szCs w:val="24"/>
        </w:rPr>
        <w:t>м</w:t>
      </w:r>
      <w:r w:rsidRPr="00A8783E">
        <w:rPr>
          <w:rFonts w:ascii="Times New Roman" w:hAnsi="Times New Roman"/>
          <w:color w:val="000000"/>
          <w:sz w:val="24"/>
          <w:szCs w:val="24"/>
          <w:lang w:val="ru-RU"/>
        </w:rPr>
        <w:t xml:space="preserve">) – 2 </w:t>
      </w:r>
      <w:r w:rsidRPr="00A8783E">
        <w:rPr>
          <w:rFonts w:ascii="Times New Roman" w:hAnsi="Times New Roman"/>
          <w:color w:val="000000"/>
          <w:sz w:val="24"/>
          <w:szCs w:val="24"/>
        </w:rPr>
        <w:t xml:space="preserve">екз./10 </w:t>
      </w:r>
      <w:r w:rsidRPr="00A8783E">
        <w:rPr>
          <w:rFonts w:ascii="Times New Roman" w:hAnsi="Times New Roman"/>
          <w:color w:val="000000"/>
          <w:sz w:val="24"/>
          <w:szCs w:val="24"/>
          <w:lang w:val="en-US"/>
        </w:rPr>
        <w:t>ha</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в дъбови гори – 1-7 екз./10 </w:t>
      </w:r>
      <w:r w:rsidRPr="00A8783E">
        <w:rPr>
          <w:rFonts w:ascii="Times New Roman" w:hAnsi="Times New Roman"/>
          <w:color w:val="000000"/>
          <w:sz w:val="24"/>
          <w:szCs w:val="24"/>
          <w:lang w:val="en-US"/>
        </w:rPr>
        <w:t>km</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храсталаци с преобладаване на драка – 15 екз./10 </w:t>
      </w:r>
      <w:r w:rsidRPr="00A8783E">
        <w:rPr>
          <w:rFonts w:ascii="Times New Roman" w:hAnsi="Times New Roman"/>
          <w:color w:val="000000"/>
          <w:sz w:val="24"/>
          <w:szCs w:val="24"/>
          <w:lang w:val="en-US"/>
        </w:rPr>
        <w:t>ha</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в степни местообитания</w:t>
      </w:r>
      <w:r w:rsidRPr="00A8783E">
        <w:rPr>
          <w:rFonts w:ascii="Times New Roman" w:hAnsi="Times New Roman"/>
          <w:color w:val="000000"/>
          <w:sz w:val="24"/>
          <w:szCs w:val="24"/>
          <w:lang w:val="ru-RU"/>
        </w:rPr>
        <w:t xml:space="preserve"> – </w:t>
      </w:r>
      <w:r w:rsidRPr="00A8783E">
        <w:rPr>
          <w:rFonts w:ascii="Times New Roman" w:hAnsi="Times New Roman"/>
          <w:color w:val="000000"/>
          <w:sz w:val="24"/>
          <w:szCs w:val="24"/>
        </w:rPr>
        <w:t xml:space="preserve">0,2-0,6 дв./10 </w:t>
      </w:r>
      <w:r w:rsidRPr="00A8783E">
        <w:rPr>
          <w:rFonts w:ascii="Times New Roman" w:hAnsi="Times New Roman"/>
          <w:color w:val="000000"/>
          <w:sz w:val="24"/>
          <w:szCs w:val="24"/>
          <w:lang w:val="en-US"/>
        </w:rPr>
        <w:t>ha</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нискостеблени гори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храсталак</w:t>
      </w:r>
      <w:r w:rsidRPr="00A8783E">
        <w:rPr>
          <w:rFonts w:ascii="Times New Roman" w:hAnsi="Times New Roman"/>
          <w:color w:val="000000"/>
          <w:sz w:val="24"/>
          <w:szCs w:val="24"/>
          <w:lang w:val="ru-RU"/>
        </w:rPr>
        <w:t xml:space="preserve">) – 6,8-8,7 </w:t>
      </w:r>
      <w:r w:rsidRPr="00A8783E">
        <w:rPr>
          <w:rFonts w:ascii="Times New Roman" w:hAnsi="Times New Roman"/>
          <w:color w:val="000000"/>
          <w:sz w:val="24"/>
          <w:szCs w:val="24"/>
        </w:rPr>
        <w:t xml:space="preserve">дв./10 </w:t>
      </w:r>
      <w:r w:rsidRPr="00A8783E">
        <w:rPr>
          <w:rFonts w:ascii="Times New Roman" w:hAnsi="Times New Roman"/>
          <w:color w:val="000000"/>
          <w:sz w:val="24"/>
          <w:szCs w:val="24"/>
          <w:lang w:val="en-US"/>
        </w:rPr>
        <w:t>ha</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Иванов, 2011</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Проучване на избора на гнездови местообитания в Италия показва, че най-подходящи са обработваемите земи с жив плет и ливади с голяма надморска височина. Като в двете местообитания са регистрирани близки числености на популацията (0,27 дв./10 ha в земеделските земи и 0,30 дв./10 ha в ливадите). Всички гнезда в земеделските земи са разположени в храсти, най-често трънка (</w:t>
      </w:r>
      <w:r w:rsidRPr="00A8783E">
        <w:rPr>
          <w:rFonts w:ascii="Times New Roman" w:hAnsi="Times New Roman"/>
          <w:i/>
          <w:iCs/>
          <w:color w:val="000000"/>
          <w:sz w:val="24"/>
          <w:szCs w:val="24"/>
        </w:rPr>
        <w:t>Prunus spinosa</w:t>
      </w:r>
      <w:r w:rsidRPr="00A8783E">
        <w:rPr>
          <w:rFonts w:ascii="Times New Roman" w:hAnsi="Times New Roman"/>
          <w:color w:val="000000"/>
          <w:sz w:val="24"/>
          <w:szCs w:val="24"/>
        </w:rPr>
        <w:t>; 48,5%), шипка (</w:t>
      </w:r>
      <w:r w:rsidRPr="00A8783E">
        <w:rPr>
          <w:rFonts w:ascii="Times New Roman" w:hAnsi="Times New Roman"/>
          <w:i/>
          <w:iCs/>
          <w:color w:val="000000"/>
          <w:sz w:val="24"/>
          <w:szCs w:val="24"/>
        </w:rPr>
        <w:t>Rosa canina</w:t>
      </w:r>
      <w:r w:rsidRPr="00A8783E">
        <w:rPr>
          <w:rFonts w:ascii="Times New Roman" w:hAnsi="Times New Roman"/>
          <w:color w:val="000000"/>
          <w:sz w:val="24"/>
          <w:szCs w:val="24"/>
        </w:rPr>
        <w:t>; 25,8%), къпина (</w:t>
      </w:r>
      <w:r w:rsidRPr="00A8783E">
        <w:rPr>
          <w:rFonts w:ascii="Times New Roman" w:hAnsi="Times New Roman"/>
          <w:i/>
          <w:iCs/>
          <w:color w:val="000000"/>
          <w:sz w:val="24"/>
          <w:szCs w:val="24"/>
        </w:rPr>
        <w:t>Rubus ulmifolius</w:t>
      </w:r>
      <w:r w:rsidRPr="00A8783E">
        <w:rPr>
          <w:rFonts w:ascii="Times New Roman" w:hAnsi="Times New Roman"/>
          <w:color w:val="000000"/>
          <w:sz w:val="24"/>
          <w:szCs w:val="24"/>
        </w:rPr>
        <w:t>; 12,1%) и глог (</w:t>
      </w:r>
      <w:r w:rsidRPr="00A8783E">
        <w:rPr>
          <w:rFonts w:ascii="Times New Roman" w:hAnsi="Times New Roman"/>
          <w:i/>
          <w:iCs/>
          <w:color w:val="000000"/>
          <w:sz w:val="24"/>
          <w:szCs w:val="24"/>
        </w:rPr>
        <w:t>Crataegus monogyna</w:t>
      </w:r>
      <w:r w:rsidRPr="00A8783E">
        <w:rPr>
          <w:rFonts w:ascii="Times New Roman" w:hAnsi="Times New Roman"/>
          <w:color w:val="000000"/>
          <w:sz w:val="24"/>
          <w:szCs w:val="24"/>
        </w:rPr>
        <w:t xml:space="preserve">; 8,3%) (Morelli, 2012). Проучване от Финландия разкрива предпочитанията на местообитания на червеногърбата сврачка по време на гнездовия период и след него. Горските местообитания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редки стари борови гори</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и естествените ливади се използват еднакво по време на размножителния период, но след размножаването сврачките показват предпочитание към ливадите и обработваемите земи, докато избягват горите. Предпочитанието към ливадите във фазата след размножаването съвпада със значително по-голямото количество скакалци и щурци (</w:t>
      </w:r>
      <w:r w:rsidRPr="00A8783E">
        <w:rPr>
          <w:rFonts w:ascii="Times New Roman" w:hAnsi="Times New Roman"/>
          <w:i/>
          <w:iCs/>
          <w:color w:val="000000"/>
          <w:sz w:val="24"/>
          <w:szCs w:val="24"/>
        </w:rPr>
        <w:t>Orthoptera</w:t>
      </w:r>
      <w:r w:rsidRPr="00A8783E">
        <w:rPr>
          <w:rFonts w:ascii="Times New Roman" w:hAnsi="Times New Roman"/>
          <w:color w:val="000000"/>
          <w:sz w:val="24"/>
          <w:szCs w:val="24"/>
        </w:rPr>
        <w:t>) в това местообитание. Сврачките предпочитат местообитания за хранене, където големите насекоми са в изобилие</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US"/>
        </w:rPr>
        <w:t>Karlsson</w:t>
      </w:r>
      <w:r w:rsidRPr="00A8783E">
        <w:rPr>
          <w:rFonts w:ascii="Times New Roman" w:hAnsi="Times New Roman"/>
          <w:color w:val="000000"/>
          <w:sz w:val="24"/>
          <w:szCs w:val="24"/>
          <w:lang w:val="ru-RU"/>
        </w:rPr>
        <w:t>, 2004).</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Хранене</w:t>
      </w:r>
    </w:p>
    <w:p w:rsidR="00A8783E" w:rsidRPr="00A8783E" w:rsidRDefault="00A8783E" w:rsidP="00A8783E">
      <w:pPr>
        <w:spacing w:before="120" w:after="120" w:line="240" w:lineRule="auto"/>
        <w:jc w:val="both"/>
        <w:rPr>
          <w:rFonts w:ascii="Times New Roman" w:hAnsi="Times New Roman"/>
          <w:color w:val="000000"/>
          <w:sz w:val="24"/>
          <w:szCs w:val="24"/>
          <w:lang w:val="ru-RU"/>
        </w:rPr>
      </w:pPr>
      <w:r w:rsidRPr="00A8783E">
        <w:rPr>
          <w:rFonts w:ascii="Times New Roman" w:hAnsi="Times New Roman"/>
          <w:color w:val="000000"/>
          <w:sz w:val="24"/>
          <w:szCs w:val="24"/>
        </w:rPr>
        <w:t xml:space="preserve">Храната на възрастните птици включва насекоми, основно бръмбари, но също и други безгръбначни, малки бозайници, птици и влечуги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Иванов, 2011</w:t>
      </w:r>
      <w:r w:rsidRPr="00A8783E">
        <w:rPr>
          <w:rFonts w:ascii="Times New Roman" w:hAnsi="Times New Roman"/>
          <w:color w:val="000000"/>
          <w:sz w:val="24"/>
          <w:szCs w:val="24"/>
          <w:lang w:val="ru-RU"/>
        </w:rPr>
        <w:t>).</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Разпространен е повсеместно в цялата страна като гнезди и на около 2000 m надморска височина на Витоша и Рила.</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Числеността е сравнително равномерна и висока – в преобладаващия брой квадрати гнездят стотици двойки. По-ниска е в по-високите части на планините, в нископланински и равнинни райони с по-плътна горска покривка и такива, доминирани от земеделски култури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Янков отг. ред., 2007</w:t>
      </w:r>
      <w:r w:rsidRPr="00A8783E">
        <w:rPr>
          <w:rFonts w:ascii="Times New Roman" w:hAnsi="Times New Roman"/>
          <w:color w:val="000000"/>
          <w:sz w:val="24"/>
          <w:szCs w:val="24"/>
          <w:lang w:val="ru-RU"/>
        </w:rPr>
        <w:t>)</w:t>
      </w:r>
      <w:r w:rsidRPr="00A8783E">
        <w:rPr>
          <w:rFonts w:ascii="Times New Roman" w:hAnsi="Times New Roman"/>
          <w:color w:val="000000"/>
          <w:sz w:val="24"/>
          <w:szCs w:val="24"/>
        </w:rPr>
        <w:t>.</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Включен в Приложение 2 и 3 на ЗБР. Включен е също в Приложение 1 на Директивата за птиците. Според </w:t>
      </w:r>
      <w:r w:rsidRPr="00A8783E">
        <w:rPr>
          <w:rFonts w:ascii="Times New Roman" w:hAnsi="Times New Roman"/>
          <w:color w:val="000000"/>
          <w:sz w:val="24"/>
          <w:szCs w:val="24"/>
          <w:lang w:val="en-GB"/>
        </w:rPr>
        <w:t>IUCN</w:t>
      </w:r>
      <w:r w:rsidRPr="00A8783E">
        <w:rPr>
          <w:rFonts w:ascii="Times New Roman" w:hAnsi="Times New Roman"/>
          <w:color w:val="000000"/>
          <w:sz w:val="24"/>
          <w:szCs w:val="24"/>
        </w:rPr>
        <w:t xml:space="preserve"> – </w:t>
      </w:r>
      <w:r w:rsidRPr="00A8783E">
        <w:rPr>
          <w:rFonts w:ascii="Times New Roman" w:hAnsi="Times New Roman"/>
          <w:color w:val="000000"/>
          <w:sz w:val="24"/>
          <w:szCs w:val="24"/>
          <w:lang w:val="en-GB"/>
        </w:rPr>
        <w:t>LC</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GB"/>
        </w:rPr>
        <w:t>Least</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GB"/>
        </w:rPr>
        <w:t>Concern</w:t>
      </w:r>
      <w:r w:rsidRPr="00A8783E">
        <w:rPr>
          <w:rFonts w:ascii="Times New Roman" w:hAnsi="Times New Roman"/>
          <w:color w:val="000000"/>
          <w:sz w:val="24"/>
          <w:szCs w:val="24"/>
        </w:rPr>
        <w:t xml:space="preserve">), за територията на континентална Европа – </w:t>
      </w:r>
      <w:r w:rsidRPr="00A8783E">
        <w:rPr>
          <w:rFonts w:ascii="Times New Roman" w:hAnsi="Times New Roman"/>
          <w:color w:val="000000"/>
          <w:sz w:val="24"/>
          <w:szCs w:val="24"/>
          <w:lang w:val="en-GB"/>
        </w:rPr>
        <w:t>LC</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GB"/>
        </w:rPr>
        <w:t>Least</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GB"/>
        </w:rPr>
        <w:t>Concern</w:t>
      </w:r>
      <w:r w:rsidRPr="00A8783E">
        <w:rPr>
          <w:rFonts w:ascii="Times New Roman" w:hAnsi="Times New Roman"/>
          <w:color w:val="000000"/>
          <w:sz w:val="24"/>
          <w:szCs w:val="24"/>
        </w:rPr>
        <w:t xml:space="preserve">). Включен в </w:t>
      </w:r>
      <w:r w:rsidRPr="00A8783E">
        <w:rPr>
          <w:rFonts w:ascii="Times New Roman" w:hAnsi="Times New Roman"/>
          <w:color w:val="000000"/>
          <w:sz w:val="24"/>
          <w:szCs w:val="24"/>
          <w:lang w:val="en-GB"/>
        </w:rPr>
        <w:t>SPEC</w:t>
      </w:r>
      <w:r w:rsidRPr="00A8783E">
        <w:rPr>
          <w:rFonts w:ascii="Times New Roman" w:hAnsi="Times New Roman"/>
          <w:color w:val="000000"/>
          <w:sz w:val="24"/>
          <w:szCs w:val="24"/>
        </w:rPr>
        <w:t xml:space="preserve"> 2 </w:t>
      </w:r>
      <w:r w:rsidRPr="00A8783E">
        <w:rPr>
          <w:rFonts w:ascii="Times New Roman" w:hAnsi="Times New Roman"/>
          <w:color w:val="000000"/>
          <w:sz w:val="24"/>
          <w:szCs w:val="24"/>
          <w:lang w:val="ru-RU"/>
        </w:rPr>
        <w:t>(</w:t>
      </w:r>
      <w:r w:rsidRPr="00A8783E">
        <w:rPr>
          <w:rFonts w:ascii="Times New Roman" w:hAnsi="Times New Roman"/>
          <w:color w:val="000000"/>
          <w:sz w:val="24"/>
          <w:szCs w:val="24"/>
          <w:lang w:val="en-US"/>
        </w:rPr>
        <w:t>BirdLife</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US"/>
        </w:rPr>
        <w:t>International</w:t>
      </w:r>
      <w:r w:rsidRPr="00A8783E">
        <w:rPr>
          <w:rFonts w:ascii="Times New Roman" w:hAnsi="Times New Roman"/>
          <w:color w:val="000000"/>
          <w:sz w:val="24"/>
          <w:szCs w:val="24"/>
          <w:lang w:val="ru-RU"/>
        </w:rPr>
        <w:t>, 2017)</w:t>
      </w:r>
      <w:r w:rsidRPr="00A8783E">
        <w:rPr>
          <w:rFonts w:ascii="Times New Roman" w:hAnsi="Times New Roman"/>
          <w:color w:val="000000"/>
          <w:sz w:val="24"/>
          <w:szCs w:val="24"/>
        </w:rPr>
        <w:t xml:space="preserve">. Не е включен в Червената книга на България.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lastRenderedPageBreak/>
        <w:t>Съгласно докладването през 2019 г. (за периода 20</w:t>
      </w:r>
      <w:r w:rsidRPr="00A8783E">
        <w:rPr>
          <w:rFonts w:ascii="Times New Roman" w:hAnsi="Times New Roman"/>
          <w:color w:val="000000"/>
          <w:sz w:val="24"/>
          <w:szCs w:val="24"/>
          <w:lang w:val="ru-RU"/>
        </w:rPr>
        <w:t>13</w:t>
      </w:r>
      <w:r w:rsidRPr="00A8783E">
        <w:rPr>
          <w:rFonts w:ascii="Times New Roman" w:hAnsi="Times New Roman"/>
          <w:color w:val="000000"/>
          <w:sz w:val="24"/>
          <w:szCs w:val="24"/>
        </w:rPr>
        <w:t xml:space="preserve">-2018 г.), видът се опазва като </w:t>
      </w:r>
      <w:r w:rsidRPr="00A8783E">
        <w:rPr>
          <w:rFonts w:ascii="Times New Roman" w:hAnsi="Times New Roman"/>
          <w:b/>
          <w:bCs/>
          <w:color w:val="000000"/>
          <w:sz w:val="24"/>
          <w:szCs w:val="24"/>
        </w:rPr>
        <w:t>гнездящ</w:t>
      </w:r>
      <w:r w:rsidRPr="00A8783E">
        <w:rPr>
          <w:rFonts w:ascii="Times New Roman" w:hAnsi="Times New Roman"/>
          <w:color w:val="000000"/>
          <w:sz w:val="24"/>
          <w:szCs w:val="24"/>
        </w:rPr>
        <w:t xml:space="preserve"> с популация между </w:t>
      </w:r>
      <w:r w:rsidRPr="00A8783E">
        <w:rPr>
          <w:rFonts w:ascii="Times New Roman" w:hAnsi="Times New Roman"/>
          <w:color w:val="000000"/>
          <w:sz w:val="24"/>
          <w:szCs w:val="24"/>
          <w:lang w:val="ru-RU"/>
        </w:rPr>
        <w:t>170 000</w:t>
      </w:r>
      <w:r w:rsidRPr="00A8783E">
        <w:rPr>
          <w:rFonts w:ascii="Times New Roman" w:hAnsi="Times New Roman"/>
          <w:color w:val="000000"/>
          <w:sz w:val="24"/>
          <w:szCs w:val="24"/>
        </w:rPr>
        <w:t xml:space="preserve"> и </w:t>
      </w:r>
      <w:r w:rsidRPr="00A8783E">
        <w:rPr>
          <w:rFonts w:ascii="Times New Roman" w:hAnsi="Times New Roman"/>
          <w:color w:val="000000"/>
          <w:sz w:val="24"/>
          <w:szCs w:val="24"/>
          <w:lang w:val="ru-RU"/>
        </w:rPr>
        <w:t>380 000</w:t>
      </w:r>
      <w:r w:rsidRPr="00A8783E">
        <w:rPr>
          <w:rFonts w:ascii="Times New Roman" w:hAnsi="Times New Roman"/>
          <w:color w:val="000000"/>
          <w:sz w:val="24"/>
          <w:szCs w:val="24"/>
        </w:rPr>
        <w:t xml:space="preserve"> двойки. Краткосрочната (200</w:t>
      </w:r>
      <w:r w:rsidRPr="00A8783E">
        <w:rPr>
          <w:rFonts w:ascii="Times New Roman" w:hAnsi="Times New Roman"/>
          <w:color w:val="000000"/>
          <w:sz w:val="24"/>
          <w:szCs w:val="24"/>
          <w:lang w:val="ru-RU"/>
        </w:rPr>
        <w:t>1</w:t>
      </w:r>
      <w:r w:rsidRPr="00A8783E">
        <w:rPr>
          <w:rFonts w:ascii="Times New Roman" w:hAnsi="Times New Roman"/>
          <w:color w:val="000000"/>
          <w:sz w:val="24"/>
          <w:szCs w:val="24"/>
        </w:rPr>
        <w:t>-2018 г.) и дългосрочната (1980-2018 г.) популационни тенденции са намаляващи. Посочени са следните заплахи и въздействия: A10</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и A07.</w:t>
      </w:r>
    </w:p>
    <w:p w:rsidR="00A8783E" w:rsidRPr="00A8783E" w:rsidRDefault="00A8783E" w:rsidP="00A8783E">
      <w:pPr>
        <w:spacing w:before="120" w:after="120" w:line="240" w:lineRule="auto"/>
        <w:jc w:val="both"/>
        <w:rPr>
          <w:rFonts w:ascii="Times New Roman" w:hAnsi="Times New Roman"/>
          <w:b/>
          <w:bCs/>
          <w:color w:val="000000"/>
          <w:sz w:val="24"/>
          <w:szCs w:val="24"/>
        </w:rPr>
      </w:pPr>
      <w:bookmarkStart w:id="499" w:name="_Hlk88835410"/>
      <w:r w:rsidRPr="00A8783E">
        <w:rPr>
          <w:rFonts w:ascii="Times New Roman" w:hAnsi="Times New Roman"/>
          <w:b/>
          <w:bCs/>
          <w:color w:val="000000"/>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СФ на зоната вида е </w:t>
      </w:r>
      <w:r w:rsidRPr="00A8783E">
        <w:rPr>
          <w:rFonts w:ascii="Times New Roman" w:hAnsi="Times New Roman"/>
          <w:b/>
          <w:bCs/>
          <w:sz w:val="24"/>
          <w:szCs w:val="24"/>
        </w:rPr>
        <w:t>гнездящ</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rPr>
        <w:t>50-</w:t>
      </w:r>
      <w:r w:rsidRPr="00A8783E">
        <w:rPr>
          <w:rFonts w:ascii="Times New Roman" w:hAnsi="Times New Roman"/>
          <w:b/>
          <w:bCs/>
          <w:sz w:val="24"/>
          <w:szCs w:val="24"/>
          <w:lang w:val="ru-RU"/>
        </w:rPr>
        <w:t xml:space="preserve">65 </w:t>
      </w:r>
      <w:r w:rsidRPr="00A8783E">
        <w:rPr>
          <w:rFonts w:ascii="Times New Roman" w:hAnsi="Times New Roman"/>
          <w:b/>
          <w:bCs/>
          <w:sz w:val="24"/>
          <w:szCs w:val="24"/>
        </w:rPr>
        <w:t>двойки</w:t>
      </w:r>
      <w:r w:rsidRPr="00A8783E">
        <w:rPr>
          <w:rFonts w:ascii="Times New Roman" w:hAnsi="Times New Roman"/>
          <w:sz w:val="24"/>
          <w:szCs w:val="24"/>
        </w:rPr>
        <w:t>, което представлява 0,0</w:t>
      </w:r>
      <w:r w:rsidRPr="00A8783E">
        <w:rPr>
          <w:rFonts w:ascii="Times New Roman" w:hAnsi="Times New Roman"/>
          <w:sz w:val="24"/>
          <w:szCs w:val="24"/>
          <w:lang w:val="ru-RU"/>
        </w:rPr>
        <w:t>2</w:t>
      </w:r>
      <w:r w:rsidRPr="00A8783E">
        <w:rPr>
          <w:rFonts w:ascii="Times New Roman" w:hAnsi="Times New Roman"/>
          <w:sz w:val="24"/>
          <w:szCs w:val="24"/>
        </w:rPr>
        <w:t xml:space="preserve"> – 0,0</w:t>
      </w:r>
      <w:r w:rsidRPr="00A8783E">
        <w:rPr>
          <w:rFonts w:ascii="Times New Roman" w:hAnsi="Times New Roman"/>
          <w:sz w:val="24"/>
          <w:szCs w:val="24"/>
          <w:lang w:val="ru-RU"/>
        </w:rPr>
        <w:t>3</w:t>
      </w:r>
      <w:r w:rsidRPr="00A8783E">
        <w:rPr>
          <w:rFonts w:ascii="Times New Roman" w:hAnsi="Times New Roman"/>
          <w:sz w:val="24"/>
          <w:szCs w:val="24"/>
        </w:rPr>
        <w:t>%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Разпространен е повсеместно в цялата страна. В средна Дунавска равнина е повсеместно разпространен в подходящи местообитания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В ОВМ „Сребърна“ е посочена гнездова численост </w:t>
      </w:r>
      <w:r w:rsidRPr="00A8783E">
        <w:rPr>
          <w:rFonts w:ascii="Times New Roman" w:hAnsi="Times New Roman"/>
          <w:sz w:val="24"/>
          <w:szCs w:val="24"/>
          <w:lang w:val="ru-RU"/>
        </w:rPr>
        <w:t>1-3</w:t>
      </w:r>
      <w:r w:rsidRPr="00A8783E">
        <w:rPr>
          <w:rFonts w:ascii="Times New Roman" w:hAnsi="Times New Roman"/>
          <w:sz w:val="24"/>
          <w:szCs w:val="24"/>
        </w:rPr>
        <w:t xml:space="preserve"> дв.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отг. ред., 2007</w:t>
      </w:r>
      <w:r w:rsidRPr="00A8783E">
        <w:rPr>
          <w:rFonts w:ascii="Times New Roman" w:hAnsi="Times New Roman"/>
          <w:sz w:val="24"/>
          <w:szCs w:val="24"/>
          <w:lang w:val="ru-RU"/>
        </w:rPr>
        <w:t>)</w:t>
      </w:r>
      <w:r w:rsidRPr="00A8783E">
        <w:rPr>
          <w:rFonts w:ascii="Times New Roman" w:hAnsi="Times New Roman"/>
          <w:sz w:val="24"/>
          <w:szCs w:val="24"/>
        </w:rPr>
        <w:t xml:space="preserve">. През периода 2001-2003 г. са установени 41-54 дв. червеногърби сврачки в храстово-тревните местообитания в западната част на зоната </w:t>
      </w:r>
      <w:r w:rsidRPr="00A8783E">
        <w:rPr>
          <w:rFonts w:ascii="Times New Roman" w:hAnsi="Times New Roman"/>
          <w:sz w:val="24"/>
          <w:szCs w:val="24"/>
          <w:lang w:val="ru-RU"/>
        </w:rPr>
        <w:t>(</w:t>
      </w:r>
      <w:r w:rsidRPr="00A8783E">
        <w:rPr>
          <w:rFonts w:ascii="Times New Roman" w:hAnsi="Times New Roman"/>
          <w:sz w:val="24"/>
          <w:szCs w:val="24"/>
          <w:lang w:val="en-US"/>
        </w:rPr>
        <w:t>Kambourova</w:t>
      </w:r>
      <w:r w:rsidRPr="00A8783E">
        <w:rPr>
          <w:rFonts w:ascii="Times New Roman" w:hAnsi="Times New Roman"/>
          <w:sz w:val="24"/>
          <w:szCs w:val="24"/>
          <w:lang w:val="ru-RU"/>
        </w:rPr>
        <w:t>, 2005)</w:t>
      </w:r>
      <w:r w:rsidRPr="00A8783E">
        <w:rPr>
          <w:rFonts w:ascii="Times New Roman" w:hAnsi="Times New Roman"/>
          <w:sz w:val="24"/>
          <w:szCs w:val="24"/>
        </w:rPr>
        <w:t xml:space="preserve">. През 2014 г. са отчетени значително по-малко двойки </w:t>
      </w:r>
      <w:r w:rsidRPr="00A8783E">
        <w:rPr>
          <w:rFonts w:ascii="Times New Roman" w:hAnsi="Times New Roman"/>
          <w:sz w:val="24"/>
          <w:szCs w:val="24"/>
          <w:lang w:val="ru-RU"/>
        </w:rPr>
        <w:t>(6-10)</w:t>
      </w:r>
      <w:r w:rsidRPr="00A8783E">
        <w:rPr>
          <w:rFonts w:ascii="Times New Roman" w:hAnsi="Times New Roman"/>
          <w:sz w:val="24"/>
          <w:szCs w:val="24"/>
        </w:rPr>
        <w:t>, тъй като местообитанието, което видът обитаваше при предходното изследване вече не е напълно подходящо за вида, тъй като се е превърнало в горско – изцяло е обрасло от различни широколистни дървета и миризлива върба</w:t>
      </w:r>
      <w:r w:rsidRPr="00A8783E">
        <w:rPr>
          <w:rFonts w:ascii="Times New Roman" w:hAnsi="Times New Roman"/>
          <w:sz w:val="24"/>
          <w:szCs w:val="24"/>
          <w:lang w:val="ru-RU"/>
        </w:rPr>
        <w:t xml:space="preserve"> (</w:t>
      </w:r>
      <w:r w:rsidRPr="00A8783E">
        <w:rPr>
          <w:rFonts w:ascii="Times New Roman" w:hAnsi="Times New Roman"/>
          <w:sz w:val="24"/>
          <w:szCs w:val="24"/>
        </w:rPr>
        <w:t>Актуализиран план на ПР Сребърна, 2015</w:t>
      </w:r>
      <w:r w:rsidRPr="00A8783E">
        <w:rPr>
          <w:rFonts w:ascii="Times New Roman" w:hAnsi="Times New Roman"/>
          <w:sz w:val="24"/>
          <w:szCs w:val="24"/>
          <w:lang w:val="ru-RU"/>
        </w:rPr>
        <w:t>)</w:t>
      </w:r>
      <w:r w:rsidRPr="00A8783E">
        <w:rPr>
          <w:rFonts w:ascii="Times New Roman" w:hAnsi="Times New Roman"/>
          <w:sz w:val="24"/>
          <w:szCs w:val="24"/>
        </w:rPr>
        <w:t xml:space="preserve">. През гнездовия период на 2021 г. са отчетени общо 11 инд., което минимум отговаря на 10 дв. Червеногърбата сврачка заселва източната част на зоната, там където дървесната растителност е премахната и са се образували открити храстово-тревни местообитания. Нашите дългосрочни наблюдения показват, че за период от 20 г. местообитанията на вида в зоната намаляват, тъй като намаляват откритите храстово-тревни хабитати, подходящи за гнездене и хранене на вида. По експертни мнение понастоящем числеността в зоната е 10-50 дв.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 гнездящата популация са посочени следните заплахи и влияния (от Докладване по чл. 12, 2019 г.): A10 и A07. Тези заплахи са потенциално валидни за СЗЗ „Сребърна”, тъй като са свързани с промени в местообитанията на вида.</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5. Параметри за определяне на специфичните природозащитни цели за вида в зоната</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5"/>
        <w:gridCol w:w="1276"/>
        <w:gridCol w:w="1127"/>
        <w:gridCol w:w="2702"/>
        <w:gridCol w:w="2410"/>
      </w:tblGrid>
      <w:tr w:rsidR="00A8783E" w:rsidRPr="00A8783E" w:rsidTr="005B5318">
        <w:trPr>
          <w:tblHeader/>
          <w:jc w:val="center"/>
        </w:trPr>
        <w:tc>
          <w:tcPr>
            <w:tcW w:w="1845"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Параметър</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Мерна единица </w:t>
            </w:r>
          </w:p>
        </w:tc>
        <w:tc>
          <w:tcPr>
            <w:tcW w:w="1127"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Целева стойност </w:t>
            </w:r>
          </w:p>
        </w:tc>
        <w:tc>
          <w:tcPr>
            <w:tcW w:w="2702"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Допълнителна информация </w:t>
            </w:r>
          </w:p>
        </w:tc>
        <w:tc>
          <w:tcPr>
            <w:tcW w:w="2410"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Специфични за зоната цели за опазване </w:t>
            </w:r>
          </w:p>
        </w:tc>
      </w:tr>
      <w:tr w:rsidR="00A8783E" w:rsidRPr="00A8783E" w:rsidTr="005B5318">
        <w:trPr>
          <w:jc w:val="center"/>
        </w:trPr>
        <w:tc>
          <w:tcPr>
            <w:tcW w:w="1845"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гнездящата популация</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гнездящи двойки</w:t>
            </w:r>
          </w:p>
        </w:tc>
        <w:tc>
          <w:tcPr>
            <w:tcW w:w="112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10 дв.</w:t>
            </w:r>
          </w:p>
        </w:tc>
        <w:tc>
          <w:tcPr>
            <w:tcW w:w="270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на база СФ, теренните наблюдения през гнездовия период на 2021 г. и друга налична публикувана информация за числеността на вида в зоната.</w:t>
            </w:r>
          </w:p>
        </w:tc>
        <w:tc>
          <w:tcPr>
            <w:tcW w:w="24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10 гнездящи двойки.</w:t>
            </w:r>
          </w:p>
        </w:tc>
      </w:tr>
      <w:tr w:rsidR="00A8783E" w:rsidRPr="00A8783E" w:rsidTr="005B5318">
        <w:trPr>
          <w:trHeight w:val="2087"/>
          <w:jc w:val="center"/>
        </w:trPr>
        <w:tc>
          <w:tcPr>
            <w:tcW w:w="1845"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lastRenderedPageBreak/>
              <w:t xml:space="preserve">Местообитание на вида: </w:t>
            </w:r>
            <w:r w:rsidRPr="00A8783E">
              <w:rPr>
                <w:rFonts w:ascii="Times New Roman" w:hAnsi="Times New Roman"/>
              </w:rPr>
              <w:t>площ на подходящите</w:t>
            </w:r>
            <w:r w:rsidRPr="00A8783E">
              <w:rPr>
                <w:rFonts w:ascii="Times New Roman" w:hAnsi="Times New Roman"/>
                <w:b/>
                <w:bCs/>
              </w:rPr>
              <w:t xml:space="preserve"> </w:t>
            </w:r>
            <w:r w:rsidRPr="00A8783E">
              <w:rPr>
                <w:rFonts w:ascii="Times New Roman" w:hAnsi="Times New Roman"/>
              </w:rPr>
              <w:t xml:space="preserve">местообитания за гнездене и търсене на храна </w:t>
            </w:r>
          </w:p>
        </w:tc>
        <w:tc>
          <w:tcPr>
            <w:tcW w:w="1276"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p w:rsidR="00A8783E" w:rsidRPr="00A8783E" w:rsidRDefault="00A8783E" w:rsidP="00A8783E">
            <w:pPr>
              <w:spacing w:after="0" w:line="240" w:lineRule="auto"/>
              <w:jc w:val="both"/>
              <w:rPr>
                <w:rFonts w:ascii="Times New Roman" w:hAnsi="Times New Roman"/>
              </w:rPr>
            </w:pPr>
          </w:p>
        </w:tc>
        <w:tc>
          <w:tcPr>
            <w:tcW w:w="112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289</w:t>
            </w:r>
          </w:p>
        </w:tc>
        <w:tc>
          <w:tcPr>
            <w:tcW w:w="270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Изчислена въз основа на процентното участие на откритите и храсталачни местообитания </w:t>
            </w:r>
            <w:r w:rsidRPr="00A8783E">
              <w:rPr>
                <w:rFonts w:ascii="Times New Roman" w:hAnsi="Times New Roman"/>
                <w:lang w:val="en-US"/>
              </w:rPr>
              <w:t>N</w:t>
            </w:r>
            <w:r w:rsidRPr="00A8783E">
              <w:rPr>
                <w:rFonts w:ascii="Times New Roman" w:hAnsi="Times New Roman"/>
                <w:lang w:val="ru-RU"/>
              </w:rPr>
              <w:t>08-</w:t>
            </w:r>
            <w:r w:rsidRPr="00A8783E">
              <w:rPr>
                <w:lang w:val="ru-RU"/>
              </w:rPr>
              <w:t xml:space="preserve"> </w:t>
            </w:r>
            <w:r w:rsidRPr="00A8783E">
              <w:rPr>
                <w:rFonts w:ascii="Times New Roman" w:hAnsi="Times New Roman"/>
                <w:lang w:val="ru-RU"/>
              </w:rPr>
              <w:t>Равнини, шубраци</w:t>
            </w:r>
            <w:r w:rsidRPr="00A8783E">
              <w:rPr>
                <w:rFonts w:ascii="Times New Roman" w:hAnsi="Times New Roman"/>
              </w:rPr>
              <w:t xml:space="preserve">, </w:t>
            </w:r>
            <w:r w:rsidRPr="00A8783E">
              <w:rPr>
                <w:rFonts w:ascii="Times New Roman" w:hAnsi="Times New Roman"/>
                <w:lang w:val="en-US"/>
              </w:rPr>
              <w:t>N</w:t>
            </w:r>
            <w:r w:rsidRPr="00A8783E">
              <w:rPr>
                <w:rFonts w:ascii="Times New Roman" w:hAnsi="Times New Roman"/>
                <w:lang w:val="ru-RU"/>
              </w:rPr>
              <w:t>09-</w:t>
            </w:r>
            <w:r w:rsidRPr="00A8783E">
              <w:rPr>
                <w:lang w:val="ru-RU"/>
              </w:rPr>
              <w:t xml:space="preserve"> </w:t>
            </w:r>
            <w:r w:rsidRPr="00A8783E">
              <w:rPr>
                <w:rFonts w:ascii="Times New Roman" w:hAnsi="Times New Roman"/>
              </w:rPr>
              <w:t>Сухи ливади, степи</w:t>
            </w:r>
            <w:r w:rsidRPr="00A8783E">
              <w:rPr>
                <w:rFonts w:ascii="Times New Roman" w:hAnsi="Times New Roman"/>
                <w:lang w:val="ru-RU"/>
              </w:rPr>
              <w:t xml:space="preserve"> </w:t>
            </w:r>
            <w:r w:rsidRPr="00A8783E">
              <w:rPr>
                <w:rFonts w:ascii="Times New Roman" w:hAnsi="Times New Roman"/>
              </w:rPr>
              <w:t xml:space="preserve">и </w:t>
            </w:r>
            <w:r w:rsidRPr="00A8783E">
              <w:rPr>
                <w:rFonts w:ascii="Times New Roman" w:hAnsi="Times New Roman"/>
                <w:lang w:val="en-US"/>
              </w:rPr>
              <w:t>N</w:t>
            </w:r>
            <w:r w:rsidRPr="00A8783E">
              <w:rPr>
                <w:rFonts w:ascii="Times New Roman" w:hAnsi="Times New Roman"/>
                <w:lang w:val="ru-RU"/>
              </w:rPr>
              <w:t>21-</w:t>
            </w:r>
            <w:r w:rsidRPr="00A8783E">
              <w:rPr>
                <w:rFonts w:ascii="Times New Roman" w:hAnsi="Times New Roman"/>
              </w:rPr>
              <w:t>Негорски площи, заети с растителни видове</w:t>
            </w:r>
            <w:r w:rsidRPr="00A8783E">
              <w:rPr>
                <w:rFonts w:ascii="Times New Roman" w:hAnsi="Times New Roman"/>
                <w:lang w:val="ru-RU"/>
              </w:rPr>
              <w:t xml:space="preserve"> </w:t>
            </w:r>
            <w:r w:rsidRPr="00A8783E">
              <w:rPr>
                <w:rFonts w:ascii="Times New Roman" w:hAnsi="Times New Roman"/>
              </w:rPr>
              <w:t>в рамките на зоната. Площта на гнездовото и хранителното местообитание до голяма степен се припокриват.</w:t>
            </w:r>
          </w:p>
        </w:tc>
        <w:tc>
          <w:tcPr>
            <w:tcW w:w="24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подходящите местообитания чрез: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да не се премахват синурите и храстите покрай обработваемите земи; запазване и увеличаване на площта на храсталачните местообитания в зоната и др.</w:t>
            </w:r>
          </w:p>
        </w:tc>
      </w:tr>
      <w:tr w:rsidR="00A8783E" w:rsidRPr="00A8783E" w:rsidTr="005B5318">
        <w:trPr>
          <w:trHeight w:val="2087"/>
          <w:jc w:val="center"/>
        </w:trPr>
        <w:tc>
          <w:tcPr>
            <w:tcW w:w="1845" w:type="dxa"/>
          </w:tcPr>
          <w:p w:rsidR="00A8783E" w:rsidRPr="00A8783E" w:rsidRDefault="00A8783E" w:rsidP="00A8783E">
            <w:pPr>
              <w:spacing w:after="0" w:line="240" w:lineRule="auto"/>
              <w:jc w:val="both"/>
              <w:rPr>
                <w:rFonts w:ascii="Times New Roman" w:hAnsi="Times New Roman"/>
                <w:bCs/>
              </w:rPr>
            </w:pPr>
            <w:r w:rsidRPr="00A8783E">
              <w:rPr>
                <w:rFonts w:ascii="Times New Roman" w:hAnsi="Times New Roman"/>
                <w:b/>
                <w:bCs/>
              </w:rPr>
              <w:t xml:space="preserve">Местообитание на вида: </w:t>
            </w:r>
            <w:r w:rsidRPr="00A8783E">
              <w:rPr>
                <w:rFonts w:ascii="Times New Roman" w:hAnsi="Times New Roman"/>
                <w:bCs/>
              </w:rPr>
              <w:t xml:space="preserve">Качество </w:t>
            </w:r>
          </w:p>
          <w:p w:rsidR="00A8783E" w:rsidRPr="00A8783E" w:rsidRDefault="00A8783E" w:rsidP="00A8783E">
            <w:pPr>
              <w:spacing w:after="0" w:line="240" w:lineRule="auto"/>
              <w:rPr>
                <w:rFonts w:ascii="Times New Roman" w:hAnsi="Times New Roman"/>
                <w:bCs/>
              </w:rPr>
            </w:pPr>
            <w:r w:rsidRPr="00A8783E">
              <w:rPr>
                <w:rFonts w:ascii="Times New Roman" w:hAnsi="Times New Roman"/>
                <w:bCs/>
              </w:rPr>
              <w:t xml:space="preserve">на подходящите </w:t>
            </w:r>
          </w:p>
          <w:p w:rsidR="00A8783E" w:rsidRPr="00A8783E" w:rsidRDefault="00A8783E" w:rsidP="00A8783E">
            <w:pPr>
              <w:spacing w:after="0" w:line="240" w:lineRule="auto"/>
              <w:rPr>
                <w:rFonts w:ascii="Times New Roman" w:hAnsi="Times New Roman"/>
                <w:bCs/>
              </w:rPr>
            </w:pPr>
            <w:r w:rsidRPr="00A8783E">
              <w:rPr>
                <w:rFonts w:ascii="Times New Roman" w:hAnsi="Times New Roman"/>
                <w:bCs/>
              </w:rPr>
              <w:t xml:space="preserve">местообитания на вида в зоната – покритие с </w:t>
            </w:r>
          </w:p>
          <w:p w:rsidR="00A8783E" w:rsidRPr="00A8783E" w:rsidRDefault="00A8783E" w:rsidP="00A8783E">
            <w:pPr>
              <w:spacing w:after="0" w:line="240" w:lineRule="auto"/>
              <w:rPr>
                <w:rFonts w:ascii="Times New Roman" w:hAnsi="Times New Roman"/>
                <w:bCs/>
              </w:rPr>
            </w:pPr>
            <w:r w:rsidRPr="00A8783E">
              <w:rPr>
                <w:rFonts w:ascii="Times New Roman" w:hAnsi="Times New Roman"/>
                <w:bCs/>
              </w:rPr>
              <w:t xml:space="preserve">храстова </w:t>
            </w:r>
          </w:p>
          <w:p w:rsidR="00A8783E" w:rsidRPr="00A8783E" w:rsidRDefault="00A8783E" w:rsidP="00A8783E">
            <w:pPr>
              <w:spacing w:after="0" w:line="240" w:lineRule="auto"/>
              <w:rPr>
                <w:rFonts w:ascii="Times New Roman" w:hAnsi="Times New Roman"/>
                <w:b/>
                <w:bCs/>
              </w:rPr>
            </w:pPr>
            <w:r w:rsidRPr="00A8783E">
              <w:rPr>
                <w:rFonts w:ascii="Times New Roman" w:hAnsi="Times New Roman"/>
                <w:bCs/>
              </w:rPr>
              <w:t>растителност</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 покритие с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храстовата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растителност  </w:t>
            </w:r>
          </w:p>
        </w:tc>
        <w:tc>
          <w:tcPr>
            <w:tcW w:w="112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Между 15% и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20% покритие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с храстова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растителност</w:t>
            </w:r>
          </w:p>
        </w:tc>
        <w:tc>
          <w:tcPr>
            <w:tcW w:w="270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 подходящи местообитания на вида храстовата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растителност не трябва да е гъста, а напротив - отворено мозаечно местообитание с живи плетове и редки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храсти/дървета. Видът се нуждае от открити зони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където лови едри насекоми, дребни влечуги или дребни бозайници.</w:t>
            </w:r>
          </w:p>
        </w:tc>
        <w:tc>
          <w:tcPr>
            <w:tcW w:w="24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Да се поддържа  покритие с храстова  растителност - между  15% и 20%. </w:t>
            </w:r>
          </w:p>
          <w:p w:rsidR="00A8783E" w:rsidRPr="00A8783E" w:rsidRDefault="00A8783E" w:rsidP="00A8783E">
            <w:pPr>
              <w:spacing w:after="0" w:line="240" w:lineRule="auto"/>
              <w:jc w:val="both"/>
              <w:rPr>
                <w:rFonts w:ascii="Times New Roman" w:hAnsi="Times New Roman"/>
              </w:rPr>
            </w:pPr>
          </w:p>
        </w:tc>
      </w:tr>
    </w:tbl>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t>6. Необходимост от промени в СФ за (СЗЗ) BG0000241 „Сребърна“</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По отношение на гнездящата популация предлагаме промяна в числеността на популацията в зоната от 50-65 дв. на 10-50 дв., на базата на текущи изследвания в зоната. През гнездовия период на 2021 г. са отчетени общо 11 инд., което минимум отговаря на 10 дв. Червеногърбата сврачка заселва източната част на зоната, там където дървесната растителност е премахната и са се образували открити храстово-тревни местообитания. Нашите дългосрочни наблюдения показват, че за период от 20 г. местообитанията на вида в западната част на зоната намаляват, тъй като намаляват откритите храстово-тревни хабитати, подходящи за гнездене и хранене на вида. По експертни мнение понастоящем числеността в зоната е 10-50 дв.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0" w:type="auto"/>
            <w:gridSpan w:val="5"/>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Species</w:t>
            </w:r>
          </w:p>
        </w:tc>
        <w:tc>
          <w:tcPr>
            <w:tcW w:w="0" w:type="auto"/>
            <w:gridSpan w:val="6"/>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Population in the site</w:t>
            </w:r>
          </w:p>
        </w:tc>
        <w:tc>
          <w:tcPr>
            <w:tcW w:w="0" w:type="auto"/>
            <w:gridSpan w:val="4"/>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G</w:t>
            </w:r>
          </w:p>
        </w:tc>
        <w:tc>
          <w:tcPr>
            <w:tcW w:w="0" w:type="auto"/>
            <w:vMerge w:val="restart"/>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Code</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Scientific Name</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NP</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T</w:t>
            </w:r>
          </w:p>
        </w:tc>
        <w:tc>
          <w:tcPr>
            <w:tcW w:w="0" w:type="auto"/>
            <w:gridSpan w:val="2"/>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Size</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Unit</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Cat.</w:t>
            </w:r>
          </w:p>
        </w:tc>
        <w:tc>
          <w:tcPr>
            <w:tcW w:w="0" w:type="auto"/>
            <w:vMerge w:val="restart"/>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D.qual.</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A/B/C/D</w:t>
            </w:r>
          </w:p>
        </w:tc>
        <w:tc>
          <w:tcPr>
            <w:tcW w:w="0" w:type="auto"/>
            <w:gridSpan w:val="3"/>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Min</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Max</w:t>
            </w: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Pop.</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Con.</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Iso.</w:t>
            </w:r>
          </w:p>
        </w:tc>
        <w:tc>
          <w:tcPr>
            <w:tcW w:w="0" w:type="auto"/>
            <w:shd w:val="clear" w:color="auto" w:fill="D9D9D9"/>
            <w:vAlign w:val="center"/>
          </w:tcPr>
          <w:p w:rsidR="00A8783E" w:rsidRPr="00A8783E" w:rsidRDefault="00A8783E" w:rsidP="00A8783E">
            <w:pPr>
              <w:spacing w:after="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Glo.</w:t>
            </w:r>
          </w:p>
        </w:tc>
      </w:tr>
      <w:tr w:rsidR="00A8783E" w:rsidRPr="00A8783E" w:rsidTr="005B5318">
        <w:trPr>
          <w:trHeight w:val="295"/>
          <w:jc w:val="center"/>
        </w:trPr>
        <w:tc>
          <w:tcPr>
            <w:tcW w:w="0" w:type="auto"/>
            <w:vAlign w:val="center"/>
          </w:tcPr>
          <w:p w:rsidR="00A8783E" w:rsidRPr="00A8783E" w:rsidRDefault="00A8783E" w:rsidP="00A8783E">
            <w:pPr>
              <w:spacing w:before="120" w:after="120" w:line="259" w:lineRule="auto"/>
              <w:rPr>
                <w:rFonts w:ascii="Times New Roman" w:hAnsi="Times New Roman"/>
                <w:color w:val="000000"/>
                <w:sz w:val="20"/>
                <w:szCs w:val="20"/>
              </w:rPr>
            </w:pPr>
            <w:r w:rsidRPr="00A8783E">
              <w:rPr>
                <w:rFonts w:ascii="Times New Roman" w:hAnsi="Times New Roman"/>
                <w:color w:val="000000"/>
                <w:sz w:val="20"/>
                <w:szCs w:val="20"/>
              </w:rPr>
              <w:t>В</w:t>
            </w:r>
          </w:p>
        </w:tc>
        <w:tc>
          <w:tcPr>
            <w:tcW w:w="0" w:type="auto"/>
            <w:vAlign w:val="center"/>
          </w:tcPr>
          <w:p w:rsidR="00A8783E" w:rsidRPr="00A8783E" w:rsidRDefault="00A8783E" w:rsidP="00A8783E">
            <w:pPr>
              <w:spacing w:before="120" w:after="120" w:line="259" w:lineRule="auto"/>
              <w:rPr>
                <w:rFonts w:ascii="Times New Roman" w:hAnsi="Times New Roman"/>
                <w:color w:val="000000"/>
                <w:sz w:val="20"/>
                <w:szCs w:val="20"/>
                <w:lang w:val="en-US"/>
              </w:rPr>
            </w:pPr>
            <w:r w:rsidRPr="00A8783E">
              <w:rPr>
                <w:rFonts w:ascii="Times New Roman" w:hAnsi="Times New Roman"/>
                <w:color w:val="000000"/>
                <w:sz w:val="20"/>
                <w:szCs w:val="20"/>
              </w:rPr>
              <w:t>A</w:t>
            </w:r>
            <w:r w:rsidRPr="00A8783E">
              <w:rPr>
                <w:rFonts w:ascii="Times New Roman" w:hAnsi="Times New Roman"/>
                <w:color w:val="000000"/>
                <w:sz w:val="20"/>
                <w:szCs w:val="20"/>
                <w:lang w:val="en-US"/>
              </w:rPr>
              <w:t>338</w:t>
            </w:r>
          </w:p>
        </w:tc>
        <w:tc>
          <w:tcPr>
            <w:tcW w:w="0" w:type="auto"/>
            <w:vAlign w:val="center"/>
          </w:tcPr>
          <w:p w:rsidR="00A8783E" w:rsidRPr="00A8783E" w:rsidRDefault="00A8783E" w:rsidP="00A8783E">
            <w:pPr>
              <w:spacing w:before="120" w:after="120" w:line="259" w:lineRule="auto"/>
              <w:rPr>
                <w:rFonts w:ascii="Times New Roman" w:hAnsi="Times New Roman"/>
                <w:i/>
                <w:iCs/>
                <w:color w:val="000000"/>
                <w:sz w:val="20"/>
                <w:szCs w:val="20"/>
                <w:lang w:val="en-US"/>
              </w:rPr>
            </w:pPr>
            <w:r w:rsidRPr="00A8783E">
              <w:rPr>
                <w:rFonts w:ascii="Times New Roman" w:hAnsi="Times New Roman"/>
                <w:i/>
                <w:iCs/>
                <w:color w:val="000000"/>
                <w:sz w:val="20"/>
                <w:szCs w:val="20"/>
                <w:lang w:val="en-US"/>
              </w:rPr>
              <w:t>Lanius collurio</w:t>
            </w:r>
          </w:p>
        </w:tc>
        <w:tc>
          <w:tcPr>
            <w:tcW w:w="0" w:type="auto"/>
            <w:vAlign w:val="center"/>
          </w:tcPr>
          <w:p w:rsidR="00A8783E" w:rsidRPr="00A8783E" w:rsidRDefault="00A8783E" w:rsidP="00A8783E">
            <w:pPr>
              <w:spacing w:before="120" w:after="120" w:line="259" w:lineRule="auto"/>
              <w:rPr>
                <w:rFonts w:ascii="Times New Roman" w:hAnsi="Times New Roman"/>
                <w:b/>
                <w:bCs/>
                <w:color w:val="000000"/>
                <w:sz w:val="20"/>
                <w:szCs w:val="20"/>
              </w:rPr>
            </w:pPr>
          </w:p>
        </w:tc>
        <w:tc>
          <w:tcPr>
            <w:tcW w:w="0" w:type="auto"/>
            <w:vAlign w:val="center"/>
          </w:tcPr>
          <w:p w:rsidR="00A8783E" w:rsidRPr="00A8783E" w:rsidRDefault="00A8783E" w:rsidP="00A8783E">
            <w:pPr>
              <w:spacing w:before="120" w:after="120" w:line="259" w:lineRule="auto"/>
              <w:rPr>
                <w:rFonts w:ascii="Times New Roman" w:hAnsi="Times New Roman"/>
                <w:b/>
                <w:bCs/>
                <w:color w:val="000000"/>
                <w:sz w:val="20"/>
                <w:szCs w:val="20"/>
              </w:rPr>
            </w:pPr>
          </w:p>
        </w:tc>
        <w:tc>
          <w:tcPr>
            <w:tcW w:w="0" w:type="auto"/>
            <w:vAlign w:val="center"/>
          </w:tcPr>
          <w:p w:rsidR="00A8783E" w:rsidRPr="00A8783E" w:rsidRDefault="00A8783E" w:rsidP="00A8783E">
            <w:pPr>
              <w:spacing w:before="120" w:after="120" w:line="259"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r</w:t>
            </w:r>
          </w:p>
        </w:tc>
        <w:tc>
          <w:tcPr>
            <w:tcW w:w="0" w:type="auto"/>
            <w:vAlign w:val="center"/>
          </w:tcPr>
          <w:p w:rsidR="00A8783E" w:rsidRPr="00A8783E" w:rsidRDefault="00A8783E" w:rsidP="00A8783E">
            <w:pPr>
              <w:spacing w:before="120" w:after="120" w:line="259"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10</w:t>
            </w:r>
          </w:p>
        </w:tc>
        <w:tc>
          <w:tcPr>
            <w:tcW w:w="0" w:type="auto"/>
            <w:vAlign w:val="center"/>
          </w:tcPr>
          <w:p w:rsidR="00A8783E" w:rsidRPr="00A8783E" w:rsidRDefault="00A8783E" w:rsidP="00A8783E">
            <w:pPr>
              <w:spacing w:before="120" w:after="120" w:line="259" w:lineRule="auto"/>
              <w:rPr>
                <w:rFonts w:ascii="Times New Roman" w:hAnsi="Times New Roman"/>
                <w:b/>
                <w:bCs/>
                <w:color w:val="FF0000"/>
                <w:sz w:val="20"/>
                <w:szCs w:val="20"/>
              </w:rPr>
            </w:pPr>
            <w:r w:rsidRPr="00A8783E">
              <w:rPr>
                <w:rFonts w:ascii="Times New Roman" w:hAnsi="Times New Roman"/>
                <w:b/>
                <w:bCs/>
                <w:color w:val="FF0000"/>
                <w:sz w:val="20"/>
                <w:szCs w:val="20"/>
              </w:rPr>
              <w:t>50</w:t>
            </w:r>
          </w:p>
        </w:tc>
        <w:tc>
          <w:tcPr>
            <w:tcW w:w="0" w:type="auto"/>
            <w:vAlign w:val="center"/>
          </w:tcPr>
          <w:p w:rsidR="00A8783E" w:rsidRPr="00A8783E" w:rsidRDefault="00A8783E" w:rsidP="00A8783E">
            <w:pPr>
              <w:spacing w:before="120" w:after="120" w:line="259"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p</w:t>
            </w:r>
          </w:p>
        </w:tc>
        <w:tc>
          <w:tcPr>
            <w:tcW w:w="0" w:type="auto"/>
            <w:vAlign w:val="center"/>
          </w:tcPr>
          <w:p w:rsidR="00A8783E" w:rsidRPr="00A8783E" w:rsidRDefault="00A8783E" w:rsidP="00A8783E">
            <w:pPr>
              <w:spacing w:before="120" w:after="120" w:line="259" w:lineRule="auto"/>
              <w:rPr>
                <w:rFonts w:ascii="Times New Roman" w:hAnsi="Times New Roman"/>
                <w:color w:val="000000"/>
                <w:sz w:val="20"/>
                <w:szCs w:val="20"/>
              </w:rPr>
            </w:pPr>
          </w:p>
        </w:tc>
        <w:tc>
          <w:tcPr>
            <w:tcW w:w="0" w:type="auto"/>
            <w:vAlign w:val="center"/>
          </w:tcPr>
          <w:p w:rsidR="00A8783E" w:rsidRPr="00A8783E" w:rsidRDefault="00A8783E" w:rsidP="00A8783E">
            <w:pPr>
              <w:spacing w:before="120" w:after="120" w:line="259" w:lineRule="auto"/>
              <w:rPr>
                <w:rFonts w:ascii="Times New Roman" w:hAnsi="Times New Roman"/>
                <w:color w:val="000000"/>
                <w:sz w:val="20"/>
                <w:szCs w:val="20"/>
              </w:rPr>
            </w:pPr>
            <w:r w:rsidRPr="00A8783E">
              <w:rPr>
                <w:rFonts w:ascii="Times New Roman" w:hAnsi="Times New Roman"/>
                <w:color w:val="000000"/>
                <w:sz w:val="20"/>
                <w:szCs w:val="20"/>
              </w:rPr>
              <w:t>G</w:t>
            </w:r>
          </w:p>
        </w:tc>
        <w:tc>
          <w:tcPr>
            <w:tcW w:w="0" w:type="auto"/>
            <w:vAlign w:val="center"/>
          </w:tcPr>
          <w:p w:rsidR="00A8783E" w:rsidRPr="00A8783E" w:rsidRDefault="00A8783E" w:rsidP="00A8783E">
            <w:pPr>
              <w:spacing w:before="120" w:after="120" w:line="259"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C</w:t>
            </w:r>
          </w:p>
        </w:tc>
        <w:tc>
          <w:tcPr>
            <w:tcW w:w="0" w:type="auto"/>
            <w:vAlign w:val="center"/>
          </w:tcPr>
          <w:p w:rsidR="00A8783E" w:rsidRPr="00A8783E" w:rsidRDefault="00A8783E" w:rsidP="00A8783E">
            <w:pPr>
              <w:spacing w:before="120" w:after="120" w:line="259" w:lineRule="auto"/>
              <w:rPr>
                <w:rFonts w:ascii="Times New Roman" w:hAnsi="Times New Roman"/>
                <w:color w:val="000000"/>
                <w:sz w:val="20"/>
                <w:szCs w:val="20"/>
              </w:rPr>
            </w:pPr>
            <w:r w:rsidRPr="00A8783E">
              <w:rPr>
                <w:rFonts w:ascii="Times New Roman" w:hAnsi="Times New Roman"/>
                <w:color w:val="000000"/>
                <w:sz w:val="20"/>
                <w:szCs w:val="20"/>
              </w:rPr>
              <w:t>B</w:t>
            </w:r>
          </w:p>
        </w:tc>
        <w:tc>
          <w:tcPr>
            <w:tcW w:w="0" w:type="auto"/>
            <w:vAlign w:val="center"/>
          </w:tcPr>
          <w:p w:rsidR="00A8783E" w:rsidRPr="00A8783E" w:rsidRDefault="00A8783E" w:rsidP="00A8783E">
            <w:pPr>
              <w:spacing w:before="120" w:after="120" w:line="259" w:lineRule="auto"/>
              <w:rPr>
                <w:rFonts w:ascii="Times New Roman" w:hAnsi="Times New Roman"/>
                <w:color w:val="000000"/>
                <w:sz w:val="20"/>
                <w:szCs w:val="20"/>
              </w:rPr>
            </w:pPr>
            <w:r w:rsidRPr="00A8783E">
              <w:rPr>
                <w:rFonts w:ascii="Times New Roman" w:hAnsi="Times New Roman"/>
                <w:color w:val="000000"/>
                <w:sz w:val="20"/>
                <w:szCs w:val="20"/>
              </w:rPr>
              <w:t>C</w:t>
            </w:r>
          </w:p>
        </w:tc>
        <w:tc>
          <w:tcPr>
            <w:tcW w:w="0" w:type="auto"/>
            <w:vAlign w:val="center"/>
          </w:tcPr>
          <w:p w:rsidR="00A8783E" w:rsidRPr="00A8783E" w:rsidRDefault="00A8783E" w:rsidP="00A8783E">
            <w:pPr>
              <w:spacing w:before="120" w:after="120" w:line="259" w:lineRule="auto"/>
              <w:rPr>
                <w:rFonts w:ascii="Times New Roman" w:hAnsi="Times New Roman"/>
                <w:color w:val="000000"/>
                <w:sz w:val="20"/>
                <w:szCs w:val="20"/>
                <w:lang w:val="en-US"/>
              </w:rPr>
            </w:pPr>
            <w:r w:rsidRPr="00A8783E">
              <w:rPr>
                <w:rFonts w:ascii="Times New Roman" w:hAnsi="Times New Roman"/>
                <w:color w:val="000000"/>
                <w:sz w:val="20"/>
                <w:szCs w:val="20"/>
                <w:lang w:val="en-US"/>
              </w:rPr>
              <w:t>C</w:t>
            </w:r>
          </w:p>
        </w:tc>
      </w:tr>
      <w:bookmarkEnd w:id="499"/>
    </w:tbl>
    <w:p w:rsidR="00A8783E" w:rsidRPr="00A8783E" w:rsidRDefault="00A8783E" w:rsidP="00A8783E">
      <w:pPr>
        <w:spacing w:before="120" w:after="120" w:line="259" w:lineRule="auto"/>
        <w:jc w:val="both"/>
        <w:rPr>
          <w:rFonts w:ascii="Times New Roman" w:hAnsi="Times New Roman"/>
          <w:color w:val="000000"/>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val="ru-RU"/>
        </w:rPr>
      </w:pPr>
      <w:bookmarkStart w:id="500" w:name="_Toc87031391"/>
      <w:bookmarkStart w:id="501" w:name="_Toc87467279"/>
      <w:bookmarkStart w:id="502" w:name="_Toc87692196"/>
      <w:bookmarkStart w:id="503" w:name="_Toc88865740"/>
      <w:bookmarkStart w:id="504" w:name="_Toc89106150"/>
      <w:bookmarkStart w:id="505" w:name="_Toc98741989"/>
      <w:bookmarkStart w:id="506" w:name="_Toc98838664"/>
      <w:r w:rsidRPr="00A8783E">
        <w:rPr>
          <w:rFonts w:ascii="Times New Roman" w:hAnsi="Times New Roman"/>
          <w:color w:val="1F497D"/>
          <w:sz w:val="28"/>
          <w:szCs w:val="28"/>
        </w:rPr>
        <w:t>Специфични цели за</w:t>
      </w:r>
      <w:r w:rsidRPr="00A8783E">
        <w:rPr>
          <w:rFonts w:ascii="Times New Roman" w:hAnsi="Times New Roman"/>
          <w:color w:val="1F497D"/>
          <w:sz w:val="28"/>
          <w:szCs w:val="28"/>
          <w:lang w:val="ru-RU"/>
        </w:rPr>
        <w:t xml:space="preserve"> А339 </w:t>
      </w:r>
      <w:r w:rsidRPr="00A8783E">
        <w:rPr>
          <w:rFonts w:ascii="Times New Roman" w:hAnsi="Times New Roman"/>
          <w:i/>
          <w:iCs/>
          <w:color w:val="1F497D"/>
          <w:sz w:val="28"/>
          <w:szCs w:val="28"/>
          <w:lang w:val="en-US"/>
        </w:rPr>
        <w:t>Lanius</w:t>
      </w:r>
      <w:r w:rsidRPr="00A8783E">
        <w:rPr>
          <w:rFonts w:ascii="Times New Roman" w:hAnsi="Times New Roman"/>
          <w:i/>
          <w:iCs/>
          <w:color w:val="1F497D"/>
          <w:sz w:val="28"/>
          <w:szCs w:val="28"/>
          <w:lang w:val="ru-RU"/>
        </w:rPr>
        <w:t xml:space="preserve"> </w:t>
      </w:r>
      <w:r w:rsidRPr="00A8783E">
        <w:rPr>
          <w:rFonts w:ascii="Times New Roman" w:hAnsi="Times New Roman"/>
          <w:i/>
          <w:iCs/>
          <w:color w:val="1F497D"/>
          <w:sz w:val="28"/>
          <w:szCs w:val="28"/>
          <w:lang w:val="en-US"/>
        </w:rPr>
        <w:t>minor</w:t>
      </w:r>
      <w:r w:rsidRPr="00A8783E">
        <w:rPr>
          <w:rFonts w:ascii="Times New Roman" w:hAnsi="Times New Roman"/>
          <w:color w:val="1F497D"/>
          <w:sz w:val="28"/>
          <w:szCs w:val="28"/>
          <w:lang w:val="ru-RU"/>
        </w:rPr>
        <w:t xml:space="preserve"> (черночела сврачка)</w:t>
      </w:r>
      <w:bookmarkEnd w:id="500"/>
      <w:bookmarkEnd w:id="501"/>
      <w:bookmarkEnd w:id="502"/>
      <w:bookmarkEnd w:id="503"/>
      <w:bookmarkEnd w:id="504"/>
      <w:bookmarkEnd w:id="505"/>
      <w:bookmarkEnd w:id="506"/>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lastRenderedPageBreak/>
        <w:t xml:space="preserve">Дължина на тялото: 20 </w:t>
      </w:r>
      <w:r w:rsidRPr="00A8783E">
        <w:rPr>
          <w:rFonts w:ascii="Times New Roman" w:hAnsi="Times New Roman"/>
          <w:color w:val="000000"/>
          <w:sz w:val="24"/>
          <w:szCs w:val="24"/>
          <w:lang w:val="en-US"/>
        </w:rPr>
        <w:t>cm</w:t>
      </w:r>
      <w:r w:rsidRPr="00A8783E">
        <w:rPr>
          <w:rFonts w:ascii="Times New Roman" w:hAnsi="Times New Roman"/>
          <w:color w:val="000000"/>
          <w:sz w:val="24"/>
          <w:szCs w:val="24"/>
        </w:rPr>
        <w:t xml:space="preserve">. Размах на крилата: 32-34 </w:t>
      </w:r>
      <w:r w:rsidRPr="00A8783E">
        <w:rPr>
          <w:rFonts w:ascii="Times New Roman" w:hAnsi="Times New Roman"/>
          <w:color w:val="000000"/>
          <w:sz w:val="24"/>
          <w:szCs w:val="24"/>
          <w:lang w:val="en-US"/>
        </w:rPr>
        <w:t>cm</w:t>
      </w:r>
      <w:r w:rsidRPr="00A8783E">
        <w:rPr>
          <w:rFonts w:ascii="Times New Roman" w:hAnsi="Times New Roman"/>
          <w:color w:val="000000"/>
          <w:sz w:val="24"/>
          <w:szCs w:val="24"/>
        </w:rPr>
        <w:t xml:space="preserve">. По-дребна от сивата сврачка, с къс клюн, по-дълги крила и по-къса опашка, с широка бяла препаска през първостепенните махови пера и бял връх на опашката. Отгоре е сива, отдолу бяла, винено-розова по гърдите и страните на тялото. Има черна маска на лицето. Младите отгоре са кафяви с вълнообразни препаски, отдолу са белезникави (Иванов, 2011; Симеонов и Мичев, 1991). </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Гнездящ и мигриращ вид за страната. Пролетната миграция е през април-май, а есенната – през август-септември. Широко разпространен в цялата страна предимно в равнинните и хълмистите райони докъм 900 </w:t>
      </w:r>
      <w:r w:rsidRPr="00A8783E">
        <w:rPr>
          <w:rFonts w:ascii="Times New Roman" w:hAnsi="Times New Roman"/>
          <w:color w:val="000000"/>
          <w:sz w:val="24"/>
          <w:szCs w:val="24"/>
          <w:lang w:val="en-US"/>
        </w:rPr>
        <w:t>m</w:t>
      </w:r>
      <w:r w:rsidRPr="00A8783E">
        <w:rPr>
          <w:rFonts w:ascii="Times New Roman" w:hAnsi="Times New Roman"/>
          <w:color w:val="000000"/>
          <w:sz w:val="24"/>
          <w:szCs w:val="24"/>
        </w:rPr>
        <w:t xml:space="preserve">. Гнезди единично или в рехави групи. Разстоянието между отделните гнезда е около 100 </w:t>
      </w:r>
      <w:r w:rsidRPr="00A8783E">
        <w:rPr>
          <w:rFonts w:ascii="Times New Roman" w:hAnsi="Times New Roman"/>
          <w:color w:val="000000"/>
          <w:sz w:val="24"/>
          <w:szCs w:val="24"/>
          <w:lang w:val="en-US"/>
        </w:rPr>
        <w:t>m</w:t>
      </w:r>
      <w:r w:rsidRPr="00A8783E">
        <w:rPr>
          <w:rFonts w:ascii="Times New Roman" w:hAnsi="Times New Roman"/>
          <w:color w:val="000000"/>
          <w:sz w:val="24"/>
          <w:szCs w:val="24"/>
        </w:rPr>
        <w:t xml:space="preserve">. Гнездото обикновено се разполага високо (5-6 до 12 </w:t>
      </w:r>
      <w:r w:rsidRPr="00A8783E">
        <w:rPr>
          <w:rFonts w:ascii="Times New Roman" w:hAnsi="Times New Roman"/>
          <w:color w:val="000000"/>
          <w:sz w:val="24"/>
          <w:szCs w:val="24"/>
          <w:lang w:val="en-US"/>
        </w:rPr>
        <w:t>m</w:t>
      </w:r>
      <w:r w:rsidRPr="00A8783E">
        <w:rPr>
          <w:rFonts w:ascii="Times New Roman" w:hAnsi="Times New Roman"/>
          <w:color w:val="000000"/>
          <w:sz w:val="24"/>
          <w:szCs w:val="24"/>
        </w:rPr>
        <w:t xml:space="preserve">), в основно разклонение на дървото. Гнезди в близост до грабливи птици (царски орел, сокол орко и др.), понякога край него се разполагат и гнезда на испански врабчета. Предпочитани дървета, на които строи, са лъжеакацията, топола, дъб, ясен и др. Числеността в дъбови гори е 1 екз./10 </w:t>
      </w:r>
      <w:r w:rsidRPr="00A8783E">
        <w:rPr>
          <w:rFonts w:ascii="Times New Roman" w:hAnsi="Times New Roman"/>
          <w:color w:val="000000"/>
          <w:sz w:val="24"/>
          <w:szCs w:val="24"/>
          <w:lang w:val="en-US"/>
        </w:rPr>
        <w:t>km</w:t>
      </w:r>
      <w:r w:rsidRPr="00A8783E">
        <w:rPr>
          <w:rFonts w:ascii="Times New Roman" w:hAnsi="Times New Roman"/>
          <w:color w:val="000000"/>
          <w:sz w:val="24"/>
          <w:szCs w:val="24"/>
        </w:rPr>
        <w:t xml:space="preserve">; в степни местообитания 0,2-0,77 дв./10 </w:t>
      </w:r>
      <w:r w:rsidRPr="00A8783E">
        <w:rPr>
          <w:rFonts w:ascii="Times New Roman" w:hAnsi="Times New Roman"/>
          <w:color w:val="000000"/>
          <w:sz w:val="24"/>
          <w:szCs w:val="24"/>
          <w:lang w:val="en-US"/>
        </w:rPr>
        <w:t>ha</w:t>
      </w:r>
      <w:r w:rsidRPr="00A8783E">
        <w:rPr>
          <w:rFonts w:ascii="Times New Roman" w:hAnsi="Times New Roman"/>
          <w:color w:val="000000"/>
          <w:sz w:val="24"/>
          <w:szCs w:val="24"/>
        </w:rPr>
        <w:t xml:space="preserve">; в нискостеблени гори (храсти) 0,77 дв./10 ha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Иванов, 2011</w:t>
      </w:r>
      <w:r w:rsidRPr="00A8783E">
        <w:rPr>
          <w:rFonts w:ascii="Times New Roman" w:hAnsi="Times New Roman"/>
          <w:color w:val="000000"/>
          <w:sz w:val="24"/>
          <w:szCs w:val="24"/>
          <w:lang w:val="ru-RU"/>
        </w:rPr>
        <w:t>)</w:t>
      </w:r>
      <w:r w:rsidRPr="00A8783E">
        <w:rPr>
          <w:rFonts w:ascii="Times New Roman" w:hAnsi="Times New Roman"/>
          <w:color w:val="000000"/>
          <w:sz w:val="24"/>
          <w:szCs w:val="24"/>
        </w:rPr>
        <w:t>.</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Характеристика на местообитанието</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Гнезди в открити пространства и пасища с разпръснати редки дървета и храсти или неголеми изкуствени насаждения сред тях; окрайнини на широколистни листопадни гори, граничещи с пасища; в ивици от стари дървета край пътища, реки и в полезащитни пояси, овощни градини, дървесни и храстови плантации, особено в изоставени лозя и др. Обитава както райони с големи площи зърнени култури (посеви и други (едногодишни) тревни култури), така и участъци с екстензивно земеделие, вкл. многогодишни тревни култури, пустеещи земи, околности на градове, села и индустриални зони (Янков, отг. ред., 2007). Изследване на местообитанията на черночелата сврачка в долината Търнава Маре, Румъния показва, че предпочитани за строене на гнезда дървесни видове са основно тополи (94,1%) и върби (5,9%). Повечето от гнездата (75%) са построени средно на 1/3 от височината на дървото, в крайните части на клоните. Плътността на гнездата е 0,1 гнезда/10 </w:t>
      </w:r>
      <w:r w:rsidRPr="00A8783E">
        <w:rPr>
          <w:rFonts w:ascii="Times New Roman" w:hAnsi="Times New Roman"/>
          <w:color w:val="000000"/>
          <w:sz w:val="24"/>
          <w:szCs w:val="24"/>
          <w:lang w:val="en-US"/>
        </w:rPr>
        <w:t>ha</w:t>
      </w:r>
      <w:r w:rsidRPr="00A8783E">
        <w:rPr>
          <w:rFonts w:ascii="Times New Roman" w:hAnsi="Times New Roman"/>
          <w:color w:val="000000"/>
          <w:sz w:val="24"/>
          <w:szCs w:val="24"/>
        </w:rPr>
        <w:t xml:space="preserve">. Птиците предпочитат открити местообитания с големи обработваеми площи и тревиста растителност, с малко храсти и дървесна покривка (Moga еt al., 2010). </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Хранене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Храната включва предимно едри насекоми, главно </w:t>
      </w:r>
      <w:r w:rsidRPr="00A8783E">
        <w:rPr>
          <w:rFonts w:ascii="Times New Roman" w:hAnsi="Times New Roman"/>
          <w:i/>
          <w:iCs/>
          <w:color w:val="000000"/>
          <w:sz w:val="24"/>
          <w:szCs w:val="24"/>
        </w:rPr>
        <w:t>Coleoptera</w:t>
      </w:r>
      <w:r w:rsidRPr="00A8783E">
        <w:rPr>
          <w:rFonts w:ascii="Times New Roman" w:hAnsi="Times New Roman"/>
          <w:color w:val="000000"/>
          <w:sz w:val="24"/>
          <w:szCs w:val="24"/>
        </w:rPr>
        <w:t xml:space="preserve"> (</w:t>
      </w:r>
      <w:r w:rsidRPr="00A8783E">
        <w:rPr>
          <w:rFonts w:ascii="Times New Roman" w:hAnsi="Times New Roman"/>
          <w:i/>
          <w:iCs/>
          <w:color w:val="000000"/>
          <w:sz w:val="24"/>
          <w:szCs w:val="24"/>
        </w:rPr>
        <w:t>Carabidae, Silphidae, Curculionidae, Scarabeidae</w:t>
      </w:r>
      <w:r w:rsidRPr="00A8783E">
        <w:rPr>
          <w:rFonts w:ascii="Times New Roman" w:hAnsi="Times New Roman"/>
          <w:color w:val="000000"/>
          <w:sz w:val="24"/>
          <w:szCs w:val="24"/>
        </w:rPr>
        <w:t xml:space="preserve">), </w:t>
      </w:r>
      <w:r w:rsidRPr="00A8783E">
        <w:rPr>
          <w:rFonts w:ascii="Times New Roman" w:hAnsi="Times New Roman"/>
          <w:i/>
          <w:iCs/>
          <w:color w:val="000000"/>
          <w:sz w:val="24"/>
          <w:szCs w:val="24"/>
        </w:rPr>
        <w:t>Orthoptera</w:t>
      </w:r>
      <w:r w:rsidRPr="00A8783E">
        <w:rPr>
          <w:rFonts w:ascii="Times New Roman" w:hAnsi="Times New Roman"/>
          <w:color w:val="000000"/>
          <w:sz w:val="24"/>
          <w:szCs w:val="24"/>
        </w:rPr>
        <w:t xml:space="preserve"> (</w:t>
      </w:r>
      <w:r w:rsidRPr="00A8783E">
        <w:rPr>
          <w:rFonts w:ascii="Times New Roman" w:hAnsi="Times New Roman"/>
          <w:i/>
          <w:iCs/>
          <w:color w:val="000000"/>
          <w:sz w:val="24"/>
          <w:szCs w:val="24"/>
        </w:rPr>
        <w:t>Gryllotalpidae, Grillidae, Tettigoniidae, Acrididae</w:t>
      </w:r>
      <w:r w:rsidRPr="00A8783E">
        <w:rPr>
          <w:rFonts w:ascii="Times New Roman" w:hAnsi="Times New Roman"/>
          <w:color w:val="000000"/>
          <w:sz w:val="24"/>
          <w:szCs w:val="24"/>
        </w:rPr>
        <w:t xml:space="preserve">), </w:t>
      </w:r>
      <w:r w:rsidRPr="00A8783E">
        <w:rPr>
          <w:rFonts w:ascii="Times New Roman" w:hAnsi="Times New Roman"/>
          <w:i/>
          <w:iCs/>
          <w:color w:val="000000"/>
          <w:sz w:val="24"/>
          <w:szCs w:val="24"/>
        </w:rPr>
        <w:t>Lepidoptera</w:t>
      </w:r>
      <w:r w:rsidRPr="00A8783E">
        <w:rPr>
          <w:rFonts w:ascii="Times New Roman" w:hAnsi="Times New Roman"/>
          <w:color w:val="000000"/>
          <w:sz w:val="24"/>
          <w:szCs w:val="24"/>
        </w:rPr>
        <w:t xml:space="preserve"> (имаго и ларви) и др., които дебне от висока (1-6 </w:t>
      </w:r>
      <w:r w:rsidRPr="00A8783E">
        <w:rPr>
          <w:rFonts w:ascii="Times New Roman" w:hAnsi="Times New Roman"/>
          <w:color w:val="000000"/>
          <w:sz w:val="24"/>
          <w:szCs w:val="24"/>
          <w:lang w:val="en-US"/>
        </w:rPr>
        <w:t>m</w:t>
      </w:r>
      <w:r w:rsidRPr="00A8783E">
        <w:rPr>
          <w:rFonts w:ascii="Times New Roman" w:hAnsi="Times New Roman"/>
          <w:color w:val="000000"/>
          <w:sz w:val="24"/>
          <w:szCs w:val="24"/>
        </w:rPr>
        <w:t>) наблюдателна точка или лови в полет. По-рядко дребни бозайници (</w:t>
      </w:r>
      <w:r w:rsidRPr="00A8783E">
        <w:rPr>
          <w:rFonts w:ascii="Times New Roman" w:hAnsi="Times New Roman"/>
          <w:i/>
          <w:iCs/>
          <w:color w:val="000000"/>
          <w:sz w:val="24"/>
          <w:szCs w:val="24"/>
        </w:rPr>
        <w:t>Microtus, Mus, Crocidura</w:t>
      </w:r>
      <w:r w:rsidRPr="00A8783E">
        <w:rPr>
          <w:rFonts w:ascii="Times New Roman" w:hAnsi="Times New Roman"/>
          <w:color w:val="000000"/>
          <w:sz w:val="24"/>
          <w:szCs w:val="24"/>
        </w:rPr>
        <w:t>), птици и гущери. Също плодове: череши, черница и др. Често подобно на ветрушката трепти във въздуха, следейки за храна (Иванов, 2011).</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С петнисто и разпръснато разпространение във всички по-ниски и по-безлесни райони, по-плътно в северната и източната част на страната. Отсъства в гористите райони, в средно високите и високите части на планините. По-многочислен в Дунавската равнина, Добруджа и Югоизточна България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Янков отг. ред., 2007</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color w:val="000000"/>
          <w:sz w:val="24"/>
          <w:szCs w:val="24"/>
        </w:rPr>
        <w:t xml:space="preserve">Включен в Приложение 2 и 3 на ЗБР. Включен също в Приложение 1 на Директивата за птиците. Според </w:t>
      </w:r>
      <w:r w:rsidRPr="00A8783E">
        <w:rPr>
          <w:rFonts w:ascii="Times New Roman" w:hAnsi="Times New Roman"/>
          <w:color w:val="000000"/>
          <w:sz w:val="24"/>
          <w:szCs w:val="24"/>
          <w:lang w:val="en-GB"/>
        </w:rPr>
        <w:t>IUCN</w:t>
      </w:r>
      <w:r w:rsidRPr="00A8783E">
        <w:rPr>
          <w:rFonts w:ascii="Times New Roman" w:hAnsi="Times New Roman"/>
          <w:color w:val="000000"/>
          <w:sz w:val="24"/>
          <w:szCs w:val="24"/>
        </w:rPr>
        <w:t xml:space="preserve"> – </w:t>
      </w:r>
      <w:r w:rsidRPr="00A8783E">
        <w:rPr>
          <w:rFonts w:ascii="Times New Roman" w:hAnsi="Times New Roman"/>
          <w:color w:val="000000"/>
          <w:sz w:val="24"/>
          <w:szCs w:val="24"/>
          <w:lang w:val="en-GB"/>
        </w:rPr>
        <w:t>LC</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GB"/>
        </w:rPr>
        <w:t>Least</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GB"/>
        </w:rPr>
        <w:t>Concern</w:t>
      </w:r>
      <w:r w:rsidRPr="00A8783E">
        <w:rPr>
          <w:rFonts w:ascii="Times New Roman" w:hAnsi="Times New Roman"/>
          <w:color w:val="000000"/>
          <w:sz w:val="24"/>
          <w:szCs w:val="24"/>
        </w:rPr>
        <w:t xml:space="preserve">), за територията на континентална Европа – </w:t>
      </w:r>
      <w:r w:rsidRPr="00A8783E">
        <w:rPr>
          <w:rFonts w:ascii="Times New Roman" w:hAnsi="Times New Roman"/>
          <w:color w:val="000000"/>
          <w:sz w:val="24"/>
          <w:szCs w:val="24"/>
          <w:lang w:val="en-GB"/>
        </w:rPr>
        <w:lastRenderedPageBreak/>
        <w:t>LC</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GB"/>
        </w:rPr>
        <w:t>Least</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GB"/>
        </w:rPr>
        <w:t>Concern</w:t>
      </w:r>
      <w:r w:rsidRPr="00A8783E">
        <w:rPr>
          <w:rFonts w:ascii="Times New Roman" w:hAnsi="Times New Roman"/>
          <w:color w:val="000000"/>
          <w:sz w:val="24"/>
          <w:szCs w:val="24"/>
        </w:rPr>
        <w:t xml:space="preserve">). Включен в </w:t>
      </w:r>
      <w:r w:rsidRPr="00A8783E">
        <w:rPr>
          <w:rFonts w:ascii="Times New Roman" w:hAnsi="Times New Roman"/>
          <w:color w:val="000000"/>
          <w:sz w:val="24"/>
          <w:szCs w:val="24"/>
          <w:lang w:val="en-GB"/>
        </w:rPr>
        <w:t>SPEC</w:t>
      </w:r>
      <w:r w:rsidRPr="00A8783E">
        <w:rPr>
          <w:rFonts w:ascii="Times New Roman" w:hAnsi="Times New Roman"/>
          <w:color w:val="000000"/>
          <w:sz w:val="24"/>
          <w:szCs w:val="24"/>
        </w:rPr>
        <w:t xml:space="preserve"> 2 – намаляващ </w:t>
      </w:r>
      <w:r w:rsidRPr="00A8783E">
        <w:rPr>
          <w:rFonts w:ascii="Times New Roman" w:hAnsi="Times New Roman"/>
          <w:color w:val="000000"/>
          <w:sz w:val="24"/>
          <w:szCs w:val="24"/>
          <w:lang w:val="ru-RU"/>
        </w:rPr>
        <w:t>(</w:t>
      </w:r>
      <w:r w:rsidRPr="00A8783E">
        <w:rPr>
          <w:rFonts w:ascii="Times New Roman" w:hAnsi="Times New Roman"/>
          <w:color w:val="000000"/>
          <w:sz w:val="24"/>
          <w:szCs w:val="24"/>
          <w:lang w:val="en-US"/>
        </w:rPr>
        <w:t>BirdLife</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US"/>
        </w:rPr>
        <w:t>International</w:t>
      </w:r>
      <w:r w:rsidRPr="00A8783E">
        <w:rPr>
          <w:rFonts w:ascii="Times New Roman" w:hAnsi="Times New Roman"/>
          <w:color w:val="000000"/>
          <w:sz w:val="24"/>
          <w:szCs w:val="24"/>
          <w:lang w:val="ru-RU"/>
        </w:rPr>
        <w:t>, 2017)</w:t>
      </w:r>
      <w:r w:rsidRPr="00A8783E">
        <w:rPr>
          <w:rFonts w:ascii="Times New Roman" w:hAnsi="Times New Roman"/>
          <w:color w:val="000000"/>
          <w:sz w:val="24"/>
          <w:szCs w:val="24"/>
        </w:rPr>
        <w:t xml:space="preserve">. Не е включен в Червената книга на България. </w:t>
      </w:r>
    </w:p>
    <w:p w:rsidR="00A8783E" w:rsidRPr="00A8783E" w:rsidRDefault="00A8783E" w:rsidP="00A8783E">
      <w:pPr>
        <w:spacing w:before="120" w:after="120" w:line="240" w:lineRule="auto"/>
        <w:jc w:val="both"/>
        <w:rPr>
          <w:rFonts w:ascii="Times New Roman" w:hAnsi="Times New Roman"/>
          <w:color w:val="000000"/>
          <w:sz w:val="24"/>
          <w:szCs w:val="24"/>
          <w:lang w:val="ru-RU"/>
        </w:rPr>
      </w:pPr>
      <w:r w:rsidRPr="00A8783E">
        <w:rPr>
          <w:rFonts w:ascii="Times New Roman" w:hAnsi="Times New Roman"/>
          <w:color w:val="000000"/>
          <w:sz w:val="24"/>
          <w:szCs w:val="24"/>
        </w:rPr>
        <w:t>Съгласно докладването през 2019 г. (за периода 20</w:t>
      </w:r>
      <w:r w:rsidRPr="00A8783E">
        <w:rPr>
          <w:rFonts w:ascii="Times New Roman" w:hAnsi="Times New Roman"/>
          <w:color w:val="000000"/>
          <w:sz w:val="24"/>
          <w:szCs w:val="24"/>
          <w:lang w:val="ru-RU"/>
        </w:rPr>
        <w:t>13</w:t>
      </w:r>
      <w:r w:rsidRPr="00A8783E">
        <w:rPr>
          <w:rFonts w:ascii="Times New Roman" w:hAnsi="Times New Roman"/>
          <w:color w:val="000000"/>
          <w:sz w:val="24"/>
          <w:szCs w:val="24"/>
        </w:rPr>
        <w:t xml:space="preserve">-2018 г.), видът се опазва като </w:t>
      </w:r>
      <w:r w:rsidRPr="00A8783E">
        <w:rPr>
          <w:rFonts w:ascii="Times New Roman" w:hAnsi="Times New Roman"/>
          <w:b/>
          <w:bCs/>
          <w:color w:val="000000"/>
          <w:sz w:val="24"/>
          <w:szCs w:val="24"/>
        </w:rPr>
        <w:t>гнездящ</w:t>
      </w:r>
      <w:r w:rsidRPr="00A8783E">
        <w:rPr>
          <w:rFonts w:ascii="Times New Roman" w:hAnsi="Times New Roman"/>
          <w:color w:val="000000"/>
          <w:sz w:val="24"/>
          <w:szCs w:val="24"/>
        </w:rPr>
        <w:t xml:space="preserve"> с популация между </w:t>
      </w:r>
      <w:r w:rsidRPr="00A8783E">
        <w:rPr>
          <w:rFonts w:ascii="Times New Roman" w:hAnsi="Times New Roman"/>
          <w:color w:val="000000"/>
          <w:sz w:val="24"/>
          <w:szCs w:val="24"/>
          <w:lang w:val="ru-RU"/>
        </w:rPr>
        <w:t>6000</w:t>
      </w:r>
      <w:r w:rsidRPr="00A8783E">
        <w:rPr>
          <w:rFonts w:ascii="Times New Roman" w:hAnsi="Times New Roman"/>
          <w:color w:val="000000"/>
          <w:sz w:val="24"/>
          <w:szCs w:val="24"/>
        </w:rPr>
        <w:t xml:space="preserve"> и </w:t>
      </w:r>
      <w:r w:rsidRPr="00A8783E">
        <w:rPr>
          <w:rFonts w:ascii="Times New Roman" w:hAnsi="Times New Roman"/>
          <w:color w:val="000000"/>
          <w:sz w:val="24"/>
          <w:szCs w:val="24"/>
          <w:lang w:val="ru-RU"/>
        </w:rPr>
        <w:t>20000</w:t>
      </w:r>
      <w:r w:rsidRPr="00A8783E">
        <w:rPr>
          <w:rFonts w:ascii="Times New Roman" w:hAnsi="Times New Roman"/>
          <w:color w:val="000000"/>
          <w:sz w:val="24"/>
          <w:szCs w:val="24"/>
        </w:rPr>
        <w:t xml:space="preserve"> двойки. Краткосрочната (200</w:t>
      </w:r>
      <w:r w:rsidRPr="00A8783E">
        <w:rPr>
          <w:rFonts w:ascii="Times New Roman" w:hAnsi="Times New Roman"/>
          <w:color w:val="000000"/>
          <w:sz w:val="24"/>
          <w:szCs w:val="24"/>
          <w:lang w:val="ru-RU"/>
        </w:rPr>
        <w:t>1</w:t>
      </w:r>
      <w:r w:rsidRPr="00A8783E">
        <w:rPr>
          <w:rFonts w:ascii="Times New Roman" w:hAnsi="Times New Roman"/>
          <w:color w:val="000000"/>
          <w:sz w:val="24"/>
          <w:szCs w:val="24"/>
        </w:rPr>
        <w:t>-2018 г.) и дългосрочната (1980-2018 г.) популационни тенденции са намаляващи. Посочени са следните заплахи:</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US"/>
        </w:rPr>
        <w:t>A</w:t>
      </w:r>
      <w:r w:rsidRPr="00A8783E">
        <w:rPr>
          <w:rFonts w:ascii="Times New Roman" w:hAnsi="Times New Roman"/>
          <w:color w:val="000000"/>
          <w:sz w:val="24"/>
          <w:szCs w:val="24"/>
          <w:lang w:val="ru-RU"/>
        </w:rPr>
        <w:t>07.</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СФ на зоната вида е </w:t>
      </w:r>
      <w:r w:rsidRPr="00A8783E">
        <w:rPr>
          <w:rFonts w:ascii="Times New Roman" w:hAnsi="Times New Roman"/>
          <w:b/>
          <w:bCs/>
          <w:sz w:val="24"/>
          <w:szCs w:val="24"/>
        </w:rPr>
        <w:t>гнездящ</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lang w:val="ru-RU"/>
        </w:rPr>
        <w:t>10-20</w:t>
      </w:r>
      <w:r w:rsidRPr="00A8783E">
        <w:rPr>
          <w:rFonts w:ascii="Times New Roman" w:hAnsi="Times New Roman"/>
          <w:b/>
          <w:bCs/>
          <w:sz w:val="24"/>
          <w:szCs w:val="24"/>
        </w:rPr>
        <w:t xml:space="preserve"> двойки</w:t>
      </w:r>
      <w:r w:rsidRPr="00A8783E">
        <w:rPr>
          <w:rFonts w:ascii="Times New Roman" w:hAnsi="Times New Roman"/>
          <w:sz w:val="24"/>
          <w:szCs w:val="24"/>
        </w:rPr>
        <w:t>, което представлява 0,1 %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Широко разпространен в цялата страна предимно в равнинните и хълмистите райони докъм 900 м. В средна Дунавска равнина е чест и на места покрай реките многочислен гнездящ вид. Гнезди в открити райони с отделни тополи, в тополови (особено млади – 10 год.) насаждения, в райони с овощни дървета и храсти, но предимно в крайречните низини и долини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През периода 2001-2003 г. в Сребърна са отчетени 1-3 дв. </w:t>
      </w:r>
      <w:r w:rsidRPr="00A8783E">
        <w:rPr>
          <w:rFonts w:ascii="Times New Roman" w:hAnsi="Times New Roman"/>
          <w:sz w:val="24"/>
          <w:szCs w:val="24"/>
          <w:lang w:val="ru-RU"/>
        </w:rPr>
        <w:t>(</w:t>
      </w:r>
      <w:r w:rsidRPr="00A8783E">
        <w:rPr>
          <w:rFonts w:ascii="Times New Roman" w:hAnsi="Times New Roman"/>
          <w:sz w:val="24"/>
          <w:szCs w:val="24"/>
          <w:lang w:val="en-US"/>
        </w:rPr>
        <w:t>Kambourova</w:t>
      </w:r>
      <w:r w:rsidRPr="00A8783E">
        <w:rPr>
          <w:rFonts w:ascii="Times New Roman" w:hAnsi="Times New Roman"/>
          <w:sz w:val="24"/>
          <w:szCs w:val="24"/>
          <w:lang w:val="ru-RU"/>
        </w:rPr>
        <w:t>, 2005)</w:t>
      </w:r>
      <w:r w:rsidRPr="00A8783E">
        <w:rPr>
          <w:rFonts w:ascii="Times New Roman" w:hAnsi="Times New Roman"/>
          <w:sz w:val="24"/>
          <w:szCs w:val="24"/>
        </w:rPr>
        <w:t xml:space="preserve">. През 2014 г. са наблюдавани 2-5 дв. </w:t>
      </w:r>
      <w:r w:rsidRPr="00A8783E">
        <w:rPr>
          <w:rFonts w:ascii="Times New Roman" w:hAnsi="Times New Roman"/>
          <w:sz w:val="24"/>
          <w:szCs w:val="24"/>
          <w:lang w:val="ru-RU"/>
        </w:rPr>
        <w:t>(</w:t>
      </w:r>
      <w:r w:rsidRPr="00A8783E">
        <w:rPr>
          <w:rFonts w:ascii="Times New Roman" w:hAnsi="Times New Roman"/>
          <w:sz w:val="24"/>
          <w:szCs w:val="24"/>
        </w:rPr>
        <w:t>Актуализиран план на ПР Сребърна, 2015</w:t>
      </w:r>
      <w:r w:rsidRPr="00A8783E">
        <w:rPr>
          <w:rFonts w:ascii="Times New Roman" w:hAnsi="Times New Roman"/>
          <w:sz w:val="24"/>
          <w:szCs w:val="24"/>
          <w:lang w:val="ru-RU"/>
        </w:rPr>
        <w:t>)</w:t>
      </w:r>
      <w:r w:rsidRPr="00A8783E">
        <w:rPr>
          <w:rFonts w:ascii="Times New Roman" w:hAnsi="Times New Roman"/>
          <w:sz w:val="24"/>
          <w:szCs w:val="24"/>
        </w:rPr>
        <w:t>. Вида не беше отчетен при нашите теренни проучвания през гнездовия период на 2021 г. Необходимо е да се направи целенасочено проучване за установяване на гнездовата численост на вида в зоната.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За гнездящата популация </w:t>
      </w:r>
      <w:r w:rsidRPr="00A8783E">
        <w:rPr>
          <w:rFonts w:ascii="Times New Roman" w:hAnsi="Times New Roman"/>
          <w:sz w:val="24"/>
          <w:szCs w:val="24"/>
          <w:lang w:val="en-US"/>
        </w:rPr>
        <w:t>e</w:t>
      </w:r>
      <w:r w:rsidRPr="00A8783E">
        <w:rPr>
          <w:rFonts w:ascii="Times New Roman" w:hAnsi="Times New Roman"/>
          <w:sz w:val="24"/>
          <w:szCs w:val="24"/>
        </w:rPr>
        <w:t xml:space="preserve"> посочена следната заплахи от Докладване по чл. 12, 2019 г.: A07-Изоставяне на традиционното стопанисване/ползване на други земеделски или агро-горски системи  (всички с изключение на тревни местообитания). Тази заплаха е свързана с промени в местообитанията на вида.</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5. Параметри за определяне на специфичните природозащитни цели за вида в зоната</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7"/>
        <w:gridCol w:w="1134"/>
        <w:gridCol w:w="1276"/>
        <w:gridCol w:w="2804"/>
        <w:gridCol w:w="2445"/>
      </w:tblGrid>
      <w:tr w:rsidR="00A8783E" w:rsidRPr="00A8783E" w:rsidTr="005B5318">
        <w:trPr>
          <w:tblHeader/>
          <w:jc w:val="center"/>
        </w:trPr>
        <w:tc>
          <w:tcPr>
            <w:tcW w:w="1767"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80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44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767"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гнездовата на популацията</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гнездящи двойки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10 дв. </w:t>
            </w:r>
          </w:p>
        </w:tc>
        <w:tc>
          <w:tcPr>
            <w:tcW w:w="280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на база СФ, теренните наблюдения през гнездовия период на 2021 г. и друга налична публикувана информация за вида в зоната.</w:t>
            </w:r>
          </w:p>
        </w:tc>
        <w:tc>
          <w:tcPr>
            <w:tcW w:w="244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10 гнездящи двойки.</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Необходимо е да се направи целенасочено проучване за установяване на гнездовата численост на вида в зоната.</w:t>
            </w:r>
          </w:p>
        </w:tc>
      </w:tr>
      <w:tr w:rsidR="00A8783E" w:rsidRPr="00A8783E" w:rsidTr="005B5318">
        <w:trPr>
          <w:jc w:val="center"/>
        </w:trPr>
        <w:tc>
          <w:tcPr>
            <w:tcW w:w="176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гнездови местообитания на вида</w:t>
            </w:r>
          </w:p>
          <w:p w:rsidR="00A8783E" w:rsidRPr="00A8783E" w:rsidRDefault="00A8783E" w:rsidP="00A8783E">
            <w:pPr>
              <w:spacing w:after="0" w:line="240" w:lineRule="auto"/>
              <w:jc w:val="both"/>
              <w:rPr>
                <w:rFonts w:ascii="Times New Roman" w:hAnsi="Times New Roman"/>
                <w:b/>
                <w:bCs/>
              </w:rPr>
            </w:pP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lastRenderedPageBreak/>
              <w:t>ha</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246 </w:t>
            </w:r>
          </w:p>
        </w:tc>
        <w:tc>
          <w:tcPr>
            <w:tcW w:w="280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Вида гнезди върху дървета в окрайнини на широколистни гори. Тяхната площ не е известна. Според СФ широколистните гори </w:t>
            </w:r>
            <w:r w:rsidRPr="00A8783E">
              <w:rPr>
                <w:rFonts w:ascii="Times New Roman" w:hAnsi="Times New Roman"/>
                <w:lang w:val="ru-RU"/>
              </w:rPr>
              <w:lastRenderedPageBreak/>
              <w:t>(</w:t>
            </w:r>
            <w:r w:rsidRPr="00A8783E">
              <w:rPr>
                <w:rFonts w:ascii="Times New Roman" w:hAnsi="Times New Roman"/>
                <w:lang w:val="en-US"/>
              </w:rPr>
              <w:t>N</w:t>
            </w:r>
            <w:r w:rsidRPr="00A8783E">
              <w:rPr>
                <w:rFonts w:ascii="Times New Roman" w:hAnsi="Times New Roman"/>
                <w:lang w:val="ru-RU"/>
              </w:rPr>
              <w:t xml:space="preserve">16) </w:t>
            </w:r>
            <w:r w:rsidRPr="00A8783E">
              <w:rPr>
                <w:rFonts w:ascii="Times New Roman" w:hAnsi="Times New Roman"/>
              </w:rPr>
              <w:t>са около 246 ха. Площите са изчислени въз основа на процентното им участие в рамките на зоната от СФ.</w:t>
            </w:r>
          </w:p>
        </w:tc>
        <w:tc>
          <w:tcPr>
            <w:tcW w:w="244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Поддържане на подходящите местообитания чрез забрана за изсичане на крайречни гори.</w:t>
            </w:r>
          </w:p>
        </w:tc>
      </w:tr>
      <w:tr w:rsidR="00A8783E" w:rsidRPr="00A8783E" w:rsidTr="005B5318">
        <w:trPr>
          <w:jc w:val="center"/>
        </w:trPr>
        <w:tc>
          <w:tcPr>
            <w:tcW w:w="176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lastRenderedPageBreak/>
              <w:t xml:space="preserve">Местообитание на вида: </w:t>
            </w:r>
            <w:r w:rsidRPr="00A8783E">
              <w:rPr>
                <w:rFonts w:ascii="Times New Roman" w:hAnsi="Times New Roman"/>
              </w:rPr>
              <w:t>площ на подходящите</w:t>
            </w:r>
            <w:r w:rsidRPr="00A8783E">
              <w:rPr>
                <w:rFonts w:ascii="Times New Roman" w:hAnsi="Times New Roman"/>
                <w:b/>
                <w:bCs/>
              </w:rPr>
              <w:t xml:space="preserve"> </w:t>
            </w:r>
            <w:r w:rsidRPr="00A8783E">
              <w:rPr>
                <w:rFonts w:ascii="Times New Roman" w:hAnsi="Times New Roman"/>
              </w:rPr>
              <w:t>хранителни местообитания на вида</w:t>
            </w:r>
          </w:p>
          <w:p w:rsidR="00A8783E" w:rsidRPr="00A8783E" w:rsidRDefault="00A8783E" w:rsidP="00A8783E">
            <w:pPr>
              <w:spacing w:after="0" w:line="240" w:lineRule="auto"/>
              <w:jc w:val="both"/>
              <w:rPr>
                <w:rFonts w:ascii="Times New Roman" w:hAnsi="Times New Roman"/>
              </w:rPr>
            </w:pP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ha</w:t>
            </w:r>
          </w:p>
          <w:p w:rsidR="00A8783E" w:rsidRPr="00A8783E" w:rsidRDefault="00A8783E" w:rsidP="00A8783E">
            <w:pPr>
              <w:spacing w:after="0" w:line="240" w:lineRule="auto"/>
              <w:jc w:val="both"/>
              <w:rPr>
                <w:rFonts w:ascii="Times New Roman" w:hAnsi="Times New Roman"/>
              </w:rPr>
            </w:pPr>
          </w:p>
        </w:tc>
        <w:tc>
          <w:tcPr>
            <w:tcW w:w="1276"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rPr>
              <w:t>най-малко 28</w:t>
            </w:r>
            <w:r w:rsidRPr="00A8783E">
              <w:rPr>
                <w:rFonts w:ascii="Times New Roman" w:hAnsi="Times New Roman"/>
                <w:lang w:val="en-US"/>
              </w:rPr>
              <w:t>9</w:t>
            </w:r>
          </w:p>
        </w:tc>
        <w:tc>
          <w:tcPr>
            <w:tcW w:w="280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Изчислена въз основа на процентното участие на откритите и храсталачни местообитания </w:t>
            </w:r>
            <w:r w:rsidRPr="00A8783E">
              <w:rPr>
                <w:rFonts w:ascii="Times New Roman" w:hAnsi="Times New Roman"/>
                <w:lang w:val="en-US"/>
              </w:rPr>
              <w:t>N</w:t>
            </w:r>
            <w:r w:rsidRPr="00A8783E">
              <w:rPr>
                <w:rFonts w:ascii="Times New Roman" w:hAnsi="Times New Roman"/>
                <w:lang w:val="ru-RU"/>
              </w:rPr>
              <w:t>08- Равнини, шубраци</w:t>
            </w:r>
            <w:r w:rsidRPr="00A8783E">
              <w:rPr>
                <w:rFonts w:ascii="Times New Roman" w:hAnsi="Times New Roman"/>
              </w:rPr>
              <w:t xml:space="preserve">, </w:t>
            </w:r>
            <w:r w:rsidRPr="00A8783E">
              <w:rPr>
                <w:rFonts w:ascii="Times New Roman" w:hAnsi="Times New Roman"/>
                <w:lang w:val="en-US"/>
              </w:rPr>
              <w:t>N</w:t>
            </w:r>
            <w:r w:rsidRPr="00A8783E">
              <w:rPr>
                <w:rFonts w:ascii="Times New Roman" w:hAnsi="Times New Roman"/>
                <w:lang w:val="ru-RU"/>
              </w:rPr>
              <w:t xml:space="preserve">09- </w:t>
            </w:r>
            <w:r w:rsidRPr="00A8783E">
              <w:rPr>
                <w:rFonts w:ascii="Times New Roman" w:hAnsi="Times New Roman"/>
              </w:rPr>
              <w:t>Сухи ливади, степи</w:t>
            </w:r>
            <w:r w:rsidRPr="00A8783E">
              <w:rPr>
                <w:rFonts w:ascii="Times New Roman" w:hAnsi="Times New Roman"/>
                <w:lang w:val="ru-RU"/>
              </w:rPr>
              <w:t xml:space="preserve"> </w:t>
            </w:r>
            <w:r w:rsidRPr="00A8783E">
              <w:rPr>
                <w:rFonts w:ascii="Times New Roman" w:hAnsi="Times New Roman"/>
              </w:rPr>
              <w:t xml:space="preserve">и </w:t>
            </w:r>
            <w:r w:rsidRPr="00A8783E">
              <w:rPr>
                <w:rFonts w:ascii="Times New Roman" w:hAnsi="Times New Roman"/>
                <w:lang w:val="en-US"/>
              </w:rPr>
              <w:t>N</w:t>
            </w:r>
            <w:r w:rsidRPr="00A8783E">
              <w:rPr>
                <w:rFonts w:ascii="Times New Roman" w:hAnsi="Times New Roman"/>
                <w:lang w:val="ru-RU"/>
              </w:rPr>
              <w:t xml:space="preserve">21- </w:t>
            </w:r>
            <w:r w:rsidRPr="00A8783E">
              <w:rPr>
                <w:rFonts w:ascii="Times New Roman" w:hAnsi="Times New Roman"/>
              </w:rPr>
              <w:t>Негорски площи, заети с растителни видове</w:t>
            </w:r>
            <w:r w:rsidRPr="00A8783E">
              <w:rPr>
                <w:rFonts w:ascii="Times New Roman" w:hAnsi="Times New Roman"/>
                <w:lang w:val="ru-RU"/>
              </w:rPr>
              <w:t xml:space="preserve"> </w:t>
            </w:r>
            <w:r w:rsidRPr="00A8783E">
              <w:rPr>
                <w:rFonts w:ascii="Times New Roman" w:hAnsi="Times New Roman"/>
              </w:rPr>
              <w:t>в рамките на зоната. Площта на гнездовото и хранителното местообитание до голяма степен се припокриват.</w:t>
            </w:r>
          </w:p>
        </w:tc>
        <w:tc>
          <w:tcPr>
            <w:tcW w:w="2445" w:type="dxa"/>
          </w:tcPr>
          <w:p w:rsidR="00A8783E" w:rsidRPr="00A8783E" w:rsidRDefault="00A8783E" w:rsidP="00A8783E">
            <w:pPr>
              <w:spacing w:after="0" w:line="240" w:lineRule="auto"/>
              <w:jc w:val="both"/>
              <w:rPr>
                <w:rFonts w:ascii="Times New Roman" w:hAnsi="Times New Roman"/>
                <w:lang w:val="ru-RU"/>
              </w:rPr>
            </w:pPr>
            <w:r w:rsidRPr="00A8783E">
              <w:rPr>
                <w:rFonts w:ascii="Times New Roman" w:hAnsi="Times New Roman"/>
              </w:rPr>
              <w:t>Поддържане на подходящите местообитания чрез: да не се премахват синурите и храстите покрай обработваемите земи; запазване на храсталачните местообитания в зоната и др.</w:t>
            </w:r>
          </w:p>
        </w:tc>
      </w:tr>
    </w:tbl>
    <w:p w:rsidR="00A8783E" w:rsidRPr="00A8783E" w:rsidRDefault="00A8783E" w:rsidP="00A8783E">
      <w:pPr>
        <w:spacing w:after="160" w:line="259" w:lineRule="auto"/>
        <w:rPr>
          <w:rFonts w:ascii="Times New Roman" w:hAnsi="Times New Roman"/>
          <w:sz w:val="24"/>
          <w:szCs w:val="24"/>
          <w:lang w:val="ru-RU"/>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val="ru-RU"/>
        </w:rPr>
      </w:pPr>
      <w:bookmarkStart w:id="507" w:name="_Toc87467280"/>
      <w:bookmarkStart w:id="508" w:name="_Toc87692197"/>
      <w:bookmarkStart w:id="509" w:name="_Toc88865741"/>
      <w:bookmarkStart w:id="510" w:name="_Toc89106151"/>
      <w:bookmarkStart w:id="511" w:name="_Toc98741990"/>
      <w:bookmarkStart w:id="512" w:name="_Toc98838665"/>
      <w:r w:rsidRPr="00A8783E">
        <w:rPr>
          <w:rFonts w:ascii="Times New Roman" w:hAnsi="Times New Roman"/>
          <w:color w:val="1F497D"/>
          <w:sz w:val="28"/>
          <w:szCs w:val="28"/>
        </w:rPr>
        <w:t xml:space="preserve">Специфични цели за А379 </w:t>
      </w:r>
      <w:r w:rsidRPr="00A8783E">
        <w:rPr>
          <w:rFonts w:ascii="Times New Roman" w:hAnsi="Times New Roman"/>
          <w:i/>
          <w:iCs/>
          <w:color w:val="1F497D"/>
          <w:sz w:val="28"/>
          <w:szCs w:val="28"/>
        </w:rPr>
        <w:t xml:space="preserve">Emberiza hortulana </w:t>
      </w:r>
      <w:r w:rsidRPr="00A8783E">
        <w:rPr>
          <w:rFonts w:ascii="Times New Roman" w:hAnsi="Times New Roman"/>
          <w:color w:val="1F497D"/>
          <w:sz w:val="28"/>
          <w:szCs w:val="28"/>
        </w:rPr>
        <w:t>(градинска овесарка)</w:t>
      </w:r>
      <w:bookmarkEnd w:id="507"/>
      <w:bookmarkEnd w:id="508"/>
      <w:bookmarkEnd w:id="509"/>
      <w:bookmarkEnd w:id="510"/>
      <w:bookmarkEnd w:id="511"/>
      <w:bookmarkEnd w:id="512"/>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Дължината на тялото 15-16.5 cm, тегло 21-25 </w:t>
      </w:r>
      <w:r w:rsidRPr="00A8783E">
        <w:rPr>
          <w:rFonts w:ascii="Times New Roman" w:hAnsi="Times New Roman"/>
          <w:color w:val="000000"/>
          <w:sz w:val="24"/>
          <w:szCs w:val="24"/>
          <w:lang w:val="en-US"/>
        </w:rPr>
        <w:t>g</w:t>
      </w:r>
      <w:r w:rsidRPr="00A8783E">
        <w:rPr>
          <w:rFonts w:ascii="Times New Roman" w:hAnsi="Times New Roman"/>
          <w:color w:val="000000"/>
          <w:sz w:val="24"/>
          <w:szCs w:val="24"/>
        </w:rPr>
        <w:t xml:space="preserve">., дължина на крилото 77-96 </w:t>
      </w:r>
      <w:r w:rsidRPr="00A8783E">
        <w:rPr>
          <w:rFonts w:ascii="Times New Roman" w:hAnsi="Times New Roman"/>
          <w:color w:val="000000"/>
          <w:sz w:val="24"/>
          <w:szCs w:val="24"/>
          <w:lang w:val="en-US"/>
        </w:rPr>
        <w:t>mm</w:t>
      </w:r>
      <w:r w:rsidRPr="00A8783E">
        <w:rPr>
          <w:rFonts w:ascii="Times New Roman" w:hAnsi="Times New Roman"/>
          <w:color w:val="000000"/>
          <w:sz w:val="24"/>
          <w:szCs w:val="24"/>
        </w:rPr>
        <w:t>. Оперението е пъстро с не много отчетлив полов диморфизъм. Мъжките са с по-ярко оперение и без тъмни ивици по гърдите и корема отстрани.</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Главата и гърдите са зеленикаво-сиви,</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с жълт „мустак“ и гърло. Кремът е оранжево-кафяв. Гърбът е пъстър, кафеникав, с надлъжни тъмни резки. Клюнът е светлочервен,</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краката </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червеникавокафяви. Песента представлява повторение на една и съща строфа,</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но за този вид са характерни много регионални диалекти на пеене (Иванов, 2011; Svensson, 2013).</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Гнездящ и прелетен вид. Транзитната миграция е сравнително слабо забележима. Среща се в България от втората половина на април до края на август-началото на септември.</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Гнезди в разредени широколистни гори, в окрайнините им, из полезащитни пояси, групи дървета сред полето, в храстови местообитания –</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понякога по екотона на гората, овощни насаждения. Често и в разредени крайречни гори. Обича да има ливади и пасища наоколо с отделни храсти.</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По-многочислена е в карстови райони. Гнезди по края и в рамките на всички типове дъбови и дъбово-габърови гори. Рядко се среща и в смесени гори с участие на дъб и черен или бял бор. Среща се в равнини, в хълмисти и предпланински райони, рядко и в планински ливади с храстчета. Гнезди в ниски храстчета и дръвчета,</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понякога и на земята в основата на храст. </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Хранене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lastRenderedPageBreak/>
        <w:t>Градинската овесарка се храни с различни безгръбначни животни и семена. Хранителният спектър се оформя главно от насекоми –</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мравки, бръмбари (Curculionidae), двукрили, ципокрили, гъсеници на пеперуди. Яде също и паяци (Иванов, 2011).  </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Градинската овесарка гнезди в цялата страна. В планините в най-южните части на страната гнездовото разпространение на вида достига до около 1900-2000 м.н.в. В много райони е рядка или дори отсъства въпреки наличието на наглед оптимални местообитания.</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В други райони с аналогични характеристики на местообитанието е изобилна.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Според докладването по чл. 12 от 2019 г. </w:t>
      </w:r>
      <w:r w:rsidRPr="00A8783E">
        <w:rPr>
          <w:rFonts w:ascii="Times New Roman" w:hAnsi="Times New Roman"/>
          <w:b/>
          <w:bCs/>
          <w:color w:val="000000"/>
          <w:sz w:val="24"/>
          <w:szCs w:val="24"/>
        </w:rPr>
        <w:t>гнездовата</w:t>
      </w:r>
      <w:r w:rsidRPr="00A8783E">
        <w:rPr>
          <w:rFonts w:ascii="Times New Roman" w:hAnsi="Times New Roman"/>
          <w:color w:val="000000"/>
          <w:sz w:val="24"/>
          <w:szCs w:val="24"/>
        </w:rPr>
        <w:t xml:space="preserve"> популация e още по-висока - в рамките на 34 000–150 000 двойки.</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Не е посочена някаква изразена тенденция в числеността и разпространението на вида.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При докладването по чл.12 като заплахи за вида са посочени превръщането на пасища и степи в обработваеми земи,</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превръщането на един тип земеделски земи в друг, изоставянето на земеделски земи, развитието на пътната инфраструктура, добива на нефт и газ и съпътстващата инфраструктура. Други заплахи за градинската овесарка са химизацията в селското и горското стопанство, пожарите, реконструкциите на дъбовите гори в иглолистни култури, унищожаването на храстите за поддържане на пасищата и др.</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гнездящ</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rPr>
        <w:t>6-17 двойки</w:t>
      </w:r>
      <w:r w:rsidRPr="00A8783E">
        <w:rPr>
          <w:rFonts w:ascii="Times New Roman" w:hAnsi="Times New Roman"/>
          <w:sz w:val="24"/>
          <w:szCs w:val="24"/>
        </w:rPr>
        <w:t>, което представлява 0,01 – 0,02 %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bookmarkStart w:id="513" w:name="_Hlk88863977"/>
      <w:r w:rsidRPr="00A8783E">
        <w:rPr>
          <w:rFonts w:ascii="Times New Roman" w:hAnsi="Times New Roman"/>
          <w:sz w:val="24"/>
          <w:szCs w:val="24"/>
        </w:rPr>
        <w:t xml:space="preserve">В средна Дунавска равнина е широко разпространен и на места многочислен гнездящ вид. Най-многочислен в окрайнини на дъбови гори, храстови пояси и полски райони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В ОВМ „Сребърна“ не е посочена гнездова численост </w:t>
      </w:r>
      <w:bookmarkEnd w:id="513"/>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отг. ред., 2007</w:t>
      </w:r>
      <w:r w:rsidRPr="00A8783E">
        <w:rPr>
          <w:rFonts w:ascii="Times New Roman" w:hAnsi="Times New Roman"/>
          <w:sz w:val="24"/>
          <w:szCs w:val="24"/>
          <w:lang w:val="ru-RU"/>
        </w:rPr>
        <w:t>)</w:t>
      </w:r>
      <w:r w:rsidRPr="00A8783E">
        <w:rPr>
          <w:rFonts w:ascii="Times New Roman" w:hAnsi="Times New Roman"/>
          <w:sz w:val="24"/>
          <w:szCs w:val="24"/>
        </w:rPr>
        <w:t xml:space="preserve">. През периода 2001-2003 г. в зоната са отчетени 6-17 дв. </w:t>
      </w:r>
      <w:r w:rsidRPr="00A8783E">
        <w:rPr>
          <w:rFonts w:ascii="Times New Roman" w:hAnsi="Times New Roman"/>
          <w:sz w:val="24"/>
          <w:szCs w:val="24"/>
          <w:lang w:val="ru-RU"/>
        </w:rPr>
        <w:t>(</w:t>
      </w:r>
      <w:r w:rsidRPr="00A8783E">
        <w:rPr>
          <w:rFonts w:ascii="Times New Roman" w:hAnsi="Times New Roman"/>
          <w:sz w:val="24"/>
          <w:szCs w:val="24"/>
        </w:rPr>
        <w:t>Камбурова, 2004</w:t>
      </w:r>
      <w:r w:rsidRPr="00A8783E">
        <w:rPr>
          <w:rFonts w:ascii="Times New Roman" w:hAnsi="Times New Roman"/>
          <w:sz w:val="24"/>
          <w:szCs w:val="24"/>
          <w:lang w:val="ru-RU"/>
        </w:rPr>
        <w:t>)</w:t>
      </w:r>
      <w:r w:rsidRPr="00A8783E">
        <w:rPr>
          <w:rFonts w:ascii="Times New Roman" w:hAnsi="Times New Roman"/>
          <w:sz w:val="24"/>
          <w:szCs w:val="24"/>
        </w:rPr>
        <w:t xml:space="preserve">. Вида не беше отчетен при нашите теренни проучвания през гнездовия период на 2021 г.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За гнездящата популация са посочени следните заплахи и влияния (от Докладване по чл. 12, 2019 г.): </w:t>
      </w:r>
      <w:r w:rsidRPr="00A8783E">
        <w:rPr>
          <w:rFonts w:ascii="Times New Roman" w:hAnsi="Times New Roman"/>
          <w:sz w:val="24"/>
          <w:szCs w:val="24"/>
          <w:lang w:val="en-US"/>
        </w:rPr>
        <w:t>A</w:t>
      </w:r>
      <w:r w:rsidRPr="00A8783E">
        <w:rPr>
          <w:rFonts w:ascii="Times New Roman" w:hAnsi="Times New Roman"/>
          <w:sz w:val="24"/>
          <w:szCs w:val="24"/>
        </w:rPr>
        <w:t xml:space="preserve">01, A02, A07, </w:t>
      </w:r>
      <w:r w:rsidRPr="00A8783E">
        <w:rPr>
          <w:rFonts w:ascii="Times New Roman" w:hAnsi="Times New Roman"/>
          <w:sz w:val="24"/>
          <w:szCs w:val="24"/>
          <w:lang w:val="en-US"/>
        </w:rPr>
        <w:t>C</w:t>
      </w:r>
      <w:r w:rsidRPr="00A8783E">
        <w:rPr>
          <w:rFonts w:ascii="Times New Roman" w:hAnsi="Times New Roman"/>
          <w:sz w:val="24"/>
          <w:szCs w:val="24"/>
        </w:rPr>
        <w:t xml:space="preserve">03, </w:t>
      </w:r>
      <w:r w:rsidRPr="00A8783E">
        <w:rPr>
          <w:rFonts w:ascii="Times New Roman" w:hAnsi="Times New Roman"/>
          <w:sz w:val="24"/>
          <w:szCs w:val="24"/>
          <w:lang w:val="en-US"/>
        </w:rPr>
        <w:t>E</w:t>
      </w:r>
      <w:r w:rsidRPr="00A8783E">
        <w:rPr>
          <w:rFonts w:ascii="Times New Roman" w:hAnsi="Times New Roman"/>
          <w:sz w:val="24"/>
          <w:szCs w:val="24"/>
        </w:rPr>
        <w:t>01.</w:t>
      </w:r>
      <w:r w:rsidRPr="00A8783E">
        <w:rPr>
          <w:rFonts w:cs="Calibri"/>
        </w:rPr>
        <w:t xml:space="preserve"> </w:t>
      </w:r>
      <w:r w:rsidRPr="00A8783E">
        <w:rPr>
          <w:rFonts w:ascii="Times New Roman" w:hAnsi="Times New Roman"/>
          <w:sz w:val="24"/>
          <w:szCs w:val="24"/>
        </w:rPr>
        <w:t xml:space="preserve">От тях потенциално валидни за СЗЗ „Сребърна” могат да бъдат тези, които са свързани с промяна в ползването на земите и земеделските площи – </w:t>
      </w:r>
      <w:r w:rsidRPr="00A8783E">
        <w:rPr>
          <w:rFonts w:ascii="Times New Roman" w:hAnsi="Times New Roman"/>
          <w:sz w:val="24"/>
          <w:szCs w:val="24"/>
          <w:lang w:val="en-US"/>
        </w:rPr>
        <w:t>A</w:t>
      </w:r>
      <w:r w:rsidRPr="00A8783E">
        <w:rPr>
          <w:rFonts w:ascii="Times New Roman" w:hAnsi="Times New Roman"/>
          <w:sz w:val="24"/>
          <w:szCs w:val="24"/>
        </w:rPr>
        <w:t>01, A02, A07, тъй като в такива местообитания вида търси храна. Други потенциални заплахи за градинската овесарка са химизацията в селското и горското стопанство, унищожаването на храстите за поддържане на пасищата и др.</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5. Параметри за определяне на специфичните природозащитни цели за вида в зоната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134"/>
        <w:gridCol w:w="1134"/>
        <w:gridCol w:w="2976"/>
        <w:gridCol w:w="2410"/>
      </w:tblGrid>
      <w:tr w:rsidR="00A8783E" w:rsidRPr="00A8783E" w:rsidTr="005B5318">
        <w:trPr>
          <w:tblHeader/>
          <w:jc w:val="center"/>
        </w:trPr>
        <w:tc>
          <w:tcPr>
            <w:tcW w:w="1555"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Мерна единица </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Целева стойност </w:t>
            </w:r>
          </w:p>
        </w:tc>
        <w:tc>
          <w:tcPr>
            <w:tcW w:w="2976"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Допълнителна информация </w:t>
            </w:r>
          </w:p>
        </w:tc>
        <w:tc>
          <w:tcPr>
            <w:tcW w:w="2410"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Специфични за зоната цели за опазване </w:t>
            </w:r>
          </w:p>
        </w:tc>
      </w:tr>
      <w:tr w:rsidR="00A8783E" w:rsidRPr="00A8783E" w:rsidTr="005B5318">
        <w:trPr>
          <w:jc w:val="center"/>
        </w:trPr>
        <w:tc>
          <w:tcPr>
            <w:tcW w:w="1555"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lastRenderedPageBreak/>
              <w:t>Размер на гнездящата популация</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Брой </w:t>
            </w:r>
            <w:r w:rsidRPr="00A8783E">
              <w:rPr>
                <w:rFonts w:ascii="Times New Roman" w:hAnsi="Times New Roman"/>
              </w:rPr>
              <w:lastRenderedPageBreak/>
              <w:t>гнездящи двойки</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Най-</w:t>
            </w:r>
            <w:r w:rsidRPr="00A8783E">
              <w:rPr>
                <w:rFonts w:ascii="Times New Roman" w:hAnsi="Times New Roman"/>
              </w:rPr>
              <w:lastRenderedPageBreak/>
              <w:t xml:space="preserve">малко 6 двойки </w:t>
            </w:r>
          </w:p>
        </w:tc>
        <w:tc>
          <w:tcPr>
            <w:tcW w:w="29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Целевата стойност е </w:t>
            </w:r>
            <w:r w:rsidRPr="00A8783E">
              <w:rPr>
                <w:rFonts w:ascii="Times New Roman" w:hAnsi="Times New Roman"/>
              </w:rPr>
              <w:lastRenderedPageBreak/>
              <w:t>определена на база СФ, теренните наблюдения през гнездовия период на 2021 г. и друга публикувана информация за числеността на вида в зоната.</w:t>
            </w:r>
          </w:p>
        </w:tc>
        <w:tc>
          <w:tcPr>
            <w:tcW w:w="24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Поддържане на </w:t>
            </w:r>
            <w:r w:rsidRPr="00A8783E">
              <w:rPr>
                <w:rFonts w:ascii="Times New Roman" w:hAnsi="Times New Roman"/>
              </w:rPr>
              <w:lastRenderedPageBreak/>
              <w:t>популацията на вида в зоната в размер от най-малко 6 гнездящи двойки.</w:t>
            </w:r>
          </w:p>
        </w:tc>
      </w:tr>
      <w:tr w:rsidR="00A8783E" w:rsidRPr="00A8783E" w:rsidTr="005B5318">
        <w:trPr>
          <w:trHeight w:val="2087"/>
          <w:jc w:val="center"/>
        </w:trPr>
        <w:tc>
          <w:tcPr>
            <w:tcW w:w="155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lastRenderedPageBreak/>
              <w:t xml:space="preserve">Местообитание на вида: </w:t>
            </w:r>
            <w:r w:rsidRPr="00A8783E">
              <w:rPr>
                <w:rFonts w:ascii="Times New Roman" w:hAnsi="Times New Roman"/>
              </w:rPr>
              <w:t>площ на подходящите гнездови местообитания на вида</w:t>
            </w:r>
          </w:p>
          <w:p w:rsidR="00A8783E" w:rsidRPr="00A8783E" w:rsidRDefault="00A8783E" w:rsidP="00A8783E">
            <w:pPr>
              <w:spacing w:after="0" w:line="240" w:lineRule="auto"/>
              <w:jc w:val="both"/>
              <w:rPr>
                <w:rFonts w:ascii="Times New Roman" w:hAnsi="Times New Roman"/>
                <w:b/>
                <w:bCs/>
              </w:rPr>
            </w:pPr>
          </w:p>
        </w:tc>
        <w:tc>
          <w:tcPr>
            <w:tcW w:w="1134"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289</w:t>
            </w:r>
          </w:p>
        </w:tc>
        <w:tc>
          <w:tcPr>
            <w:tcW w:w="29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Вида гнезди в разнообразие от местообитания, така че изчислените местообитания са приблизителни. Горските местообитания в зоната са  разпокъсани и няма как да се изчислят окрайнините. Според СФ широколистните гори </w:t>
            </w:r>
            <w:r w:rsidRPr="00A8783E">
              <w:rPr>
                <w:rFonts w:ascii="Times New Roman" w:hAnsi="Times New Roman"/>
                <w:lang w:val="ru-RU"/>
              </w:rPr>
              <w:t>(</w:t>
            </w:r>
            <w:r w:rsidRPr="00A8783E">
              <w:rPr>
                <w:rFonts w:ascii="Times New Roman" w:hAnsi="Times New Roman"/>
                <w:lang w:val="en-US"/>
              </w:rPr>
              <w:t>N</w:t>
            </w:r>
            <w:r w:rsidRPr="00A8783E">
              <w:rPr>
                <w:rFonts w:ascii="Times New Roman" w:hAnsi="Times New Roman"/>
                <w:lang w:val="ru-RU"/>
              </w:rPr>
              <w:t xml:space="preserve">16) </w:t>
            </w:r>
            <w:r w:rsidRPr="00A8783E">
              <w:rPr>
                <w:rFonts w:ascii="Times New Roman" w:hAnsi="Times New Roman"/>
              </w:rPr>
              <w:t xml:space="preserve">са около 246 </w:t>
            </w:r>
            <w:r w:rsidRPr="00A8783E">
              <w:rPr>
                <w:rFonts w:ascii="Times New Roman" w:hAnsi="Times New Roman"/>
                <w:lang w:val="en-US"/>
              </w:rPr>
              <w:t>ha</w:t>
            </w:r>
            <w:r w:rsidRPr="00A8783E">
              <w:rPr>
                <w:rFonts w:ascii="Times New Roman" w:hAnsi="Times New Roman"/>
              </w:rPr>
              <w:t xml:space="preserve">. Като местообитания на вида трябва да добавим и 43 </w:t>
            </w:r>
            <w:r w:rsidRPr="00A8783E">
              <w:rPr>
                <w:rFonts w:ascii="Times New Roman" w:hAnsi="Times New Roman"/>
                <w:lang w:val="en-US"/>
              </w:rPr>
              <w:t>ha</w:t>
            </w:r>
            <w:r w:rsidRPr="00A8783E">
              <w:rPr>
                <w:rFonts w:ascii="Times New Roman" w:hAnsi="Times New Roman"/>
              </w:rPr>
              <w:t xml:space="preserve"> градини и лозя </w:t>
            </w:r>
            <w:r w:rsidRPr="00A8783E">
              <w:rPr>
                <w:rFonts w:ascii="Times New Roman" w:hAnsi="Times New Roman"/>
                <w:lang w:val="ru-RU"/>
              </w:rPr>
              <w:t>(</w:t>
            </w:r>
            <w:r w:rsidRPr="00A8783E">
              <w:rPr>
                <w:rFonts w:ascii="Times New Roman" w:hAnsi="Times New Roman"/>
                <w:lang w:val="en-US"/>
              </w:rPr>
              <w:t>N</w:t>
            </w:r>
            <w:r w:rsidRPr="00A8783E">
              <w:rPr>
                <w:rFonts w:ascii="Times New Roman" w:hAnsi="Times New Roman"/>
              </w:rPr>
              <w:t>21</w:t>
            </w:r>
            <w:r w:rsidRPr="00A8783E">
              <w:rPr>
                <w:rFonts w:ascii="Times New Roman" w:hAnsi="Times New Roman"/>
                <w:lang w:val="ru-RU"/>
              </w:rPr>
              <w:t>)</w:t>
            </w:r>
            <w:r w:rsidRPr="00A8783E">
              <w:rPr>
                <w:rFonts w:ascii="Times New Roman" w:hAnsi="Times New Roman"/>
              </w:rPr>
              <w:t>.</w:t>
            </w:r>
            <w:r w:rsidRPr="00A8783E">
              <w:rPr>
                <w:rFonts w:ascii="Times New Roman" w:hAnsi="Times New Roman"/>
                <w:lang w:val="ru-RU"/>
              </w:rPr>
              <w:t xml:space="preserve"> </w:t>
            </w:r>
            <w:r w:rsidRPr="00A8783E">
              <w:rPr>
                <w:rFonts w:ascii="Times New Roman" w:hAnsi="Times New Roman"/>
              </w:rPr>
              <w:t>Площите са изчислени въз основа на процентното им участие в рамките на зоната от СФ.</w:t>
            </w:r>
          </w:p>
        </w:tc>
        <w:tc>
          <w:tcPr>
            <w:tcW w:w="2410" w:type="dxa"/>
          </w:tcPr>
          <w:p w:rsidR="00A8783E" w:rsidRPr="00A8783E" w:rsidRDefault="00A8783E" w:rsidP="00A8783E">
            <w:pPr>
              <w:spacing w:after="0" w:line="240" w:lineRule="auto"/>
              <w:jc w:val="both"/>
              <w:rPr>
                <w:rFonts w:ascii="Times New Roman" w:hAnsi="Times New Roman"/>
                <w:lang w:val="ru-RU"/>
              </w:rPr>
            </w:pPr>
            <w:r w:rsidRPr="00A8783E">
              <w:rPr>
                <w:rFonts w:ascii="Times New Roman" w:hAnsi="Times New Roman"/>
              </w:rPr>
              <w:t xml:space="preserve">Поддържане на подходящите местообитания чрез забрана за изсичане на крайречни гори и край езерни стари дървета. </w:t>
            </w:r>
          </w:p>
        </w:tc>
      </w:tr>
      <w:tr w:rsidR="00A8783E" w:rsidRPr="00A8783E" w:rsidTr="005B5318">
        <w:trPr>
          <w:trHeight w:val="350"/>
          <w:jc w:val="center"/>
        </w:trPr>
        <w:tc>
          <w:tcPr>
            <w:tcW w:w="155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w:t>
            </w:r>
            <w:r w:rsidRPr="00A8783E">
              <w:rPr>
                <w:rFonts w:ascii="Times New Roman" w:hAnsi="Times New Roman"/>
                <w:b/>
                <w:bCs/>
              </w:rPr>
              <w:t xml:space="preserve"> </w:t>
            </w:r>
            <w:r w:rsidRPr="00A8783E">
              <w:rPr>
                <w:rFonts w:ascii="Times New Roman" w:hAnsi="Times New Roman"/>
              </w:rPr>
              <w:t>хранителни местообитания на вида</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ha</w:t>
            </w:r>
          </w:p>
          <w:p w:rsidR="00A8783E" w:rsidRPr="00A8783E" w:rsidRDefault="00A8783E" w:rsidP="00A8783E">
            <w:pPr>
              <w:spacing w:after="0" w:line="240" w:lineRule="auto"/>
              <w:jc w:val="both"/>
              <w:rPr>
                <w:rFonts w:ascii="Times New Roman" w:hAnsi="Times New Roman"/>
              </w:rPr>
            </w:pP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w:t>
            </w:r>
            <w:r w:rsidRPr="00A8783E">
              <w:rPr>
                <w:rFonts w:ascii="Times New Roman" w:hAnsi="Times New Roman"/>
                <w:lang w:val="en-US"/>
              </w:rPr>
              <w:t>318</w:t>
            </w:r>
          </w:p>
        </w:tc>
        <w:tc>
          <w:tcPr>
            <w:tcW w:w="29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Изчислена въз основа на процентното участие на откритите и храсталачни местообитания </w:t>
            </w:r>
            <w:r w:rsidRPr="00A8783E">
              <w:rPr>
                <w:rFonts w:ascii="Times New Roman" w:hAnsi="Times New Roman"/>
                <w:lang w:val="en-US"/>
              </w:rPr>
              <w:t>N</w:t>
            </w:r>
            <w:r w:rsidRPr="00A8783E">
              <w:rPr>
                <w:rFonts w:ascii="Times New Roman" w:hAnsi="Times New Roman"/>
                <w:lang w:val="ru-RU"/>
              </w:rPr>
              <w:t>08</w:t>
            </w:r>
            <w:r w:rsidRPr="00A8783E">
              <w:rPr>
                <w:rFonts w:ascii="Times New Roman" w:hAnsi="Times New Roman"/>
              </w:rPr>
              <w:t xml:space="preserve">, </w:t>
            </w:r>
            <w:r w:rsidRPr="00A8783E">
              <w:rPr>
                <w:rFonts w:ascii="Times New Roman" w:hAnsi="Times New Roman"/>
                <w:lang w:val="en-US"/>
              </w:rPr>
              <w:t>N</w:t>
            </w:r>
            <w:r w:rsidRPr="00A8783E">
              <w:rPr>
                <w:rFonts w:ascii="Times New Roman" w:hAnsi="Times New Roman"/>
                <w:lang w:val="ru-RU"/>
              </w:rPr>
              <w:t xml:space="preserve">09 </w:t>
            </w:r>
            <w:r w:rsidRPr="00A8783E">
              <w:rPr>
                <w:rFonts w:ascii="Times New Roman" w:hAnsi="Times New Roman"/>
              </w:rPr>
              <w:t>и</w:t>
            </w:r>
            <w:r w:rsidRPr="00A8783E">
              <w:rPr>
                <w:rFonts w:ascii="Times New Roman" w:hAnsi="Times New Roman"/>
                <w:lang w:val="ru-RU"/>
              </w:rPr>
              <w:t xml:space="preserve"> </w:t>
            </w:r>
            <w:r w:rsidRPr="00A8783E">
              <w:rPr>
                <w:rFonts w:ascii="Times New Roman" w:hAnsi="Times New Roman"/>
                <w:lang w:val="en-US"/>
              </w:rPr>
              <w:t>N</w:t>
            </w:r>
            <w:r w:rsidRPr="00A8783E">
              <w:rPr>
                <w:rFonts w:ascii="Times New Roman" w:hAnsi="Times New Roman"/>
                <w:lang w:val="ru-RU"/>
              </w:rPr>
              <w:t>15</w:t>
            </w:r>
            <w:r w:rsidRPr="00A8783E">
              <w:rPr>
                <w:rFonts w:ascii="Times New Roman" w:hAnsi="Times New Roman"/>
              </w:rPr>
              <w:t xml:space="preserve"> в рамките на зоната. Обича да има ливади и пасища наоколо с отделни храсти.</w:t>
            </w:r>
          </w:p>
        </w:tc>
        <w:tc>
          <w:tcPr>
            <w:tcW w:w="2410" w:type="dxa"/>
          </w:tcPr>
          <w:p w:rsidR="00A8783E" w:rsidRPr="00A8783E" w:rsidRDefault="00A8783E" w:rsidP="00A8783E">
            <w:pPr>
              <w:spacing w:after="0" w:line="240" w:lineRule="auto"/>
              <w:jc w:val="both"/>
              <w:rPr>
                <w:rFonts w:ascii="Times New Roman" w:hAnsi="Times New Roman"/>
                <w:lang w:val="ru-RU"/>
              </w:rPr>
            </w:pPr>
            <w:r w:rsidRPr="00A8783E">
              <w:rPr>
                <w:rFonts w:ascii="Times New Roman" w:hAnsi="Times New Roman"/>
              </w:rPr>
              <w:t>Поддържане на подходящите местообитания чрез: да не се премахват синурите и храстите покрай обработваемите земи; запазване на храсталачните местообитания в зоната и др.</w:t>
            </w:r>
          </w:p>
        </w:tc>
      </w:tr>
    </w:tbl>
    <w:p w:rsidR="00A8783E" w:rsidRPr="00A8783E" w:rsidRDefault="00A8783E" w:rsidP="00A8783E">
      <w:pPr>
        <w:spacing w:after="160" w:line="259" w:lineRule="auto"/>
        <w:rPr>
          <w:rFonts w:ascii="Times New Roman" w:hAnsi="Times New Roman"/>
          <w:sz w:val="24"/>
          <w:szCs w:val="24"/>
          <w:lang w:val="ru-RU"/>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514" w:name="_Toc86409815"/>
      <w:bookmarkStart w:id="515" w:name="_Toc87031392"/>
      <w:bookmarkStart w:id="516" w:name="_Toc87467281"/>
      <w:bookmarkStart w:id="517" w:name="_Toc87692198"/>
      <w:bookmarkStart w:id="518" w:name="_Toc88865742"/>
      <w:bookmarkStart w:id="519" w:name="_Toc89106152"/>
      <w:bookmarkStart w:id="520" w:name="_Toc98741991"/>
      <w:bookmarkStart w:id="521" w:name="_Toc98838666"/>
      <w:r w:rsidRPr="00A8783E">
        <w:rPr>
          <w:rFonts w:ascii="Times New Roman" w:hAnsi="Times New Roman"/>
          <w:color w:val="1F497D"/>
          <w:sz w:val="28"/>
          <w:szCs w:val="28"/>
        </w:rPr>
        <w:t>Специфични цели за А</w:t>
      </w:r>
      <w:r w:rsidRPr="00A8783E">
        <w:rPr>
          <w:rFonts w:ascii="Times New Roman" w:hAnsi="Times New Roman"/>
          <w:color w:val="1F497D"/>
          <w:sz w:val="28"/>
          <w:szCs w:val="28"/>
          <w:lang w:val="ru-RU"/>
        </w:rPr>
        <w:t>875</w:t>
      </w:r>
      <w:r w:rsidRPr="00A8783E">
        <w:rPr>
          <w:rFonts w:ascii="Times New Roman" w:hAnsi="Times New Roman"/>
          <w:color w:val="1F497D"/>
          <w:sz w:val="28"/>
          <w:szCs w:val="28"/>
        </w:rPr>
        <w:t xml:space="preserve"> </w:t>
      </w:r>
      <w:r w:rsidRPr="00A8783E">
        <w:rPr>
          <w:rFonts w:ascii="Times New Roman" w:hAnsi="Times New Roman"/>
          <w:i/>
          <w:iCs/>
          <w:color w:val="1F497D"/>
          <w:sz w:val="28"/>
          <w:szCs w:val="28"/>
          <w:lang w:val="en-GB"/>
        </w:rPr>
        <w:t>Microcarbo</w:t>
      </w:r>
      <w:r w:rsidRPr="00A8783E">
        <w:rPr>
          <w:rFonts w:ascii="Times New Roman" w:hAnsi="Times New Roman"/>
          <w:i/>
          <w:iCs/>
          <w:color w:val="1F497D"/>
          <w:sz w:val="28"/>
          <w:szCs w:val="28"/>
          <w:lang w:val="ru-RU"/>
        </w:rPr>
        <w:t xml:space="preserve"> </w:t>
      </w:r>
      <w:r w:rsidRPr="00A8783E">
        <w:rPr>
          <w:rFonts w:ascii="Times New Roman" w:hAnsi="Times New Roman"/>
          <w:i/>
          <w:iCs/>
          <w:color w:val="1F497D"/>
          <w:sz w:val="28"/>
          <w:szCs w:val="28"/>
          <w:lang w:val="en-GB"/>
        </w:rPr>
        <w:t>pygmaeus</w:t>
      </w:r>
      <w:r w:rsidRPr="00A8783E">
        <w:rPr>
          <w:rFonts w:ascii="Times New Roman" w:hAnsi="Times New Roman"/>
          <w:color w:val="1F497D"/>
          <w:sz w:val="28"/>
          <w:szCs w:val="28"/>
        </w:rPr>
        <w:t xml:space="preserve"> (малък корморан)</w:t>
      </w:r>
      <w:bookmarkEnd w:id="514"/>
      <w:bookmarkEnd w:id="515"/>
      <w:bookmarkEnd w:id="516"/>
      <w:bookmarkEnd w:id="517"/>
      <w:bookmarkEnd w:id="518"/>
      <w:bookmarkEnd w:id="519"/>
      <w:bookmarkEnd w:id="520"/>
      <w:bookmarkEnd w:id="521"/>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highlight w:val="yellow"/>
        </w:rPr>
        <w:t>1. Кратка характеристика на вида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Дължина на тялото: 45 – 55 </w:t>
      </w:r>
      <w:r w:rsidRPr="00A8783E">
        <w:rPr>
          <w:rFonts w:ascii="Times New Roman" w:hAnsi="Times New Roman"/>
          <w:color w:val="000000"/>
          <w:sz w:val="24"/>
          <w:szCs w:val="24"/>
          <w:lang w:val="en-US"/>
        </w:rPr>
        <w:t>cm</w:t>
      </w:r>
      <w:r w:rsidRPr="00A8783E">
        <w:rPr>
          <w:rFonts w:ascii="Times New Roman" w:hAnsi="Times New Roman"/>
          <w:color w:val="000000"/>
          <w:sz w:val="24"/>
          <w:szCs w:val="24"/>
        </w:rPr>
        <w:t xml:space="preserve">. Размах на крилата: 75 – 90 </w:t>
      </w:r>
      <w:r w:rsidRPr="00A8783E">
        <w:rPr>
          <w:rFonts w:ascii="Times New Roman" w:hAnsi="Times New Roman"/>
          <w:color w:val="000000"/>
          <w:sz w:val="24"/>
          <w:szCs w:val="24"/>
          <w:lang w:val="en-US"/>
        </w:rPr>
        <w:t>cm</w:t>
      </w:r>
      <w:r w:rsidRPr="00A8783E">
        <w:rPr>
          <w:rFonts w:ascii="Times New Roman" w:hAnsi="Times New Roman"/>
          <w:color w:val="000000"/>
          <w:sz w:val="24"/>
          <w:szCs w:val="24"/>
        </w:rPr>
        <w:t>. Значително по-дребен от големия корморан. Опашката е относително дълга, клюнът и шията са къси. Оперението е тъмнокафяво до черно с метален блясък. През размножителния период има бели напетнявания по главата и горната част на тялото, които липсват през останалите сезони. Младите са с бяло подбрадие и белезникави корем и гърди (Симеонов и др., 1990).</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Малкият корморан е гнездящо-прелетен, преминаващ и зимуващ вид за страната. Пролетната миграция е от началото на март до април (Симеонов и др., 1990). Най-вероятно част от местните птици отлитат да зимуват в Турция и Гърция, като същевременно над страната преминават  към  зимовищата  в  Гърция  птици  от  </w:t>
      </w:r>
      <w:r w:rsidRPr="00A8783E">
        <w:rPr>
          <w:rFonts w:ascii="Times New Roman" w:hAnsi="Times New Roman"/>
          <w:color w:val="000000"/>
          <w:sz w:val="24"/>
          <w:szCs w:val="24"/>
        </w:rPr>
        <w:lastRenderedPageBreak/>
        <w:t xml:space="preserve">Дунавската  делта  (Cramp  </w:t>
      </w:r>
      <w:r w:rsidRPr="00A8783E">
        <w:rPr>
          <w:rFonts w:ascii="Times New Roman" w:hAnsi="Times New Roman"/>
          <w:color w:val="000000"/>
          <w:sz w:val="24"/>
          <w:szCs w:val="24"/>
          <w:lang w:val="en-US"/>
        </w:rPr>
        <w:t>and</w:t>
      </w:r>
      <w:r w:rsidRPr="00A8783E">
        <w:rPr>
          <w:rFonts w:ascii="Times New Roman" w:hAnsi="Times New Roman"/>
          <w:color w:val="000000"/>
          <w:sz w:val="24"/>
          <w:szCs w:val="24"/>
        </w:rPr>
        <w:t xml:space="preserve">  Simmons,  1977). Възможно  е  част  от  тях  да  остават  да  зимуват  и  у  нас.  Понастоящем  видът  се  среща  редовно и целогодишно  в  страната.  България  се  явява  от  ключово  значение  за  зимуването  на  световната популация,  както  и  за  придвижването  на  значителна  част  от  нея  между  местата  на  гнездене  и зимуване (Иванов и Муравеев, 2002). Не извършва далечни миграции. През зимата се струпва на големи ята по поречията на не замръзващите реки и по-плитки водоеми. Поречието на р. Марица и р. Дунав, както и Бургаските влажни зони се концентрират голям брой зимуващи индивиди </w:t>
      </w:r>
      <w:r w:rsidRPr="00A8783E">
        <w:rPr>
          <w:rFonts w:ascii="Times New Roman" w:hAnsi="Times New Roman"/>
          <w:color w:val="000000"/>
          <w:sz w:val="24"/>
          <w:szCs w:val="24"/>
          <w:lang w:val="ru-RU"/>
        </w:rPr>
        <w:t>(</w:t>
      </w:r>
      <w:r w:rsidRPr="00A8783E">
        <w:rPr>
          <w:rFonts w:ascii="Times New Roman" w:hAnsi="Times New Roman"/>
          <w:color w:val="000000"/>
          <w:sz w:val="24"/>
          <w:szCs w:val="24"/>
          <w:lang w:val="en-US"/>
        </w:rPr>
        <w:t>Michev</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US"/>
        </w:rPr>
        <w:t>and</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US"/>
        </w:rPr>
        <w:t>Profirov</w:t>
      </w:r>
      <w:r w:rsidRPr="00A8783E">
        <w:rPr>
          <w:rFonts w:ascii="Times New Roman" w:hAnsi="Times New Roman"/>
          <w:color w:val="000000"/>
          <w:sz w:val="24"/>
          <w:szCs w:val="24"/>
          <w:lang w:val="ru-RU"/>
        </w:rPr>
        <w:t xml:space="preserve">, 2003; </w:t>
      </w:r>
      <w:r w:rsidRPr="00A8783E">
        <w:rPr>
          <w:rFonts w:ascii="Times New Roman" w:hAnsi="Times New Roman"/>
          <w:color w:val="000000"/>
          <w:sz w:val="24"/>
          <w:szCs w:val="24"/>
          <w:lang w:val="en-US"/>
        </w:rPr>
        <w:t>Dimitrov</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US"/>
        </w:rPr>
        <w:t>et</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US"/>
        </w:rPr>
        <w:t>al</w:t>
      </w:r>
      <w:r w:rsidRPr="00A8783E">
        <w:rPr>
          <w:rFonts w:ascii="Times New Roman" w:hAnsi="Times New Roman"/>
          <w:color w:val="000000"/>
          <w:sz w:val="24"/>
          <w:szCs w:val="24"/>
          <w:lang w:val="ru-RU"/>
        </w:rPr>
        <w:t>., 2005)</w:t>
      </w:r>
      <w:r w:rsidRPr="00A8783E">
        <w:rPr>
          <w:rFonts w:ascii="Times New Roman" w:hAnsi="Times New Roman"/>
          <w:color w:val="000000"/>
          <w:sz w:val="24"/>
          <w:szCs w:val="24"/>
        </w:rPr>
        <w:t>. Малкият  корморан  гнезди  основно  в  смесени  колонии  с  чапли  (Ardeidae),  бели  лопатарки  (</w:t>
      </w:r>
      <w:r w:rsidRPr="00A8783E">
        <w:rPr>
          <w:rFonts w:ascii="Times New Roman" w:hAnsi="Times New Roman"/>
          <w:i/>
          <w:iCs/>
          <w:color w:val="000000"/>
          <w:sz w:val="24"/>
          <w:szCs w:val="24"/>
        </w:rPr>
        <w:t>Platalea  leucorodia</w:t>
      </w:r>
      <w:r w:rsidRPr="00A8783E">
        <w:rPr>
          <w:rFonts w:ascii="Times New Roman" w:hAnsi="Times New Roman"/>
          <w:color w:val="000000"/>
          <w:sz w:val="24"/>
          <w:szCs w:val="24"/>
        </w:rPr>
        <w:t>),  блестящи  ибиси  (</w:t>
      </w:r>
      <w:r w:rsidRPr="00A8783E">
        <w:rPr>
          <w:rFonts w:ascii="Times New Roman" w:hAnsi="Times New Roman"/>
          <w:i/>
          <w:iCs/>
          <w:color w:val="000000"/>
          <w:sz w:val="24"/>
          <w:szCs w:val="24"/>
        </w:rPr>
        <w:t>Plegadis  falcinellus</w:t>
      </w:r>
      <w:r w:rsidRPr="00A8783E">
        <w:rPr>
          <w:rFonts w:ascii="Times New Roman" w:hAnsi="Times New Roman"/>
          <w:color w:val="000000"/>
          <w:sz w:val="24"/>
          <w:szCs w:val="24"/>
        </w:rPr>
        <w:t>)  и  големи  корморани  (</w:t>
      </w:r>
      <w:r w:rsidRPr="00A8783E">
        <w:rPr>
          <w:rFonts w:ascii="Times New Roman" w:hAnsi="Times New Roman"/>
          <w:i/>
          <w:iCs/>
          <w:color w:val="000000"/>
          <w:sz w:val="24"/>
          <w:szCs w:val="24"/>
        </w:rPr>
        <w:t>Phalacrocorax  carbo</w:t>
      </w:r>
      <w:r w:rsidRPr="00A8783E">
        <w:rPr>
          <w:rFonts w:ascii="Times New Roman" w:hAnsi="Times New Roman"/>
          <w:color w:val="000000"/>
          <w:sz w:val="24"/>
          <w:szCs w:val="24"/>
        </w:rPr>
        <w:t>)  (Демерджиев,  2000;  Иванов  и  Муравеев,  2002</w:t>
      </w:r>
      <w:r w:rsidRPr="00A8783E">
        <w:rPr>
          <w:rFonts w:ascii="Times New Roman" w:hAnsi="Times New Roman"/>
          <w:sz w:val="24"/>
          <w:szCs w:val="24"/>
        </w:rPr>
        <w:t xml:space="preserve">;  Николов  и  др..,  2015).  </w:t>
      </w:r>
      <w:r w:rsidRPr="00A8783E">
        <w:rPr>
          <w:rFonts w:ascii="Times New Roman" w:hAnsi="Times New Roman"/>
          <w:color w:val="000000"/>
          <w:sz w:val="24"/>
          <w:szCs w:val="24"/>
        </w:rPr>
        <w:t>Видът  е  моногамен.  Птиците  се  появяват  в  гнездовищата  си  около  края  на  април  и  началото  на  май  (Иванов  и Муравеев,  2002).</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Малкият корморан е вид приспособен към топли климатични условия, ограничен предимно в низинни сладководни и бракични  местообитания. Видът е регистриран в: открити водни територии със значително участие на дървесна растителност; сладководни или бракични блата със значително участие на тръстикови масиви; открити или бавно течащи водни територии, включително оризища, блата и наводнени ниви, където птиците могат лесно да улавят риба в плитки води; водни площи с гъста дървесна и храстова растителност, дори малки плаващи островчета от мъртва растителност (Crivelli et al., 1996). В България видът предпочита недълбоките части на сладководни и полусолени езера и блата с обширни тръстикови масиви, труднодостъпни заливни гори, язовири, оризища, рибовъдни стопанства, брегове и устия на различно големи, но бавно течащи реки, включително малки рекички, канали, участъци от морския бряг и др. Вертикалното разпространение се простира от морското равнище до около 500 m надморска височина (Иванов и Муравеев, 2002). Гнездата могат да бъдат устроени както в тръстикови масиви  (ПР „Сребърна”,  блатото при  Ченгене скеле, ЗМ „Пода”, ез. Вая  и  др.), така и по различно големи дървета (Иванов и Муравеев 2002; Николов и др., 2015). Видът гнезди на колонии. Гнездата се разполагат в плътна горска или храстова растителност във високите и средни части на дърветата. В наводнени гори гнездата се разполагат на височина 2,2-2,5 м. Когато видът е гнездил на о. Вардим птиците са разполагали гнездата си по високи стари дървета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Плачийски и др., 2014</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Предпочитаните местообитания са 1130, 1150, 1160, 3130, 3150, 91</w:t>
      </w:r>
      <w:r w:rsidRPr="00A8783E">
        <w:rPr>
          <w:rFonts w:ascii="Times New Roman" w:hAnsi="Times New Roman"/>
          <w:color w:val="000000"/>
          <w:sz w:val="24"/>
          <w:szCs w:val="24"/>
          <w:lang w:val="en-GB"/>
        </w:rPr>
        <w:t>D</w:t>
      </w:r>
      <w:r w:rsidRPr="00A8783E">
        <w:rPr>
          <w:rFonts w:ascii="Times New Roman" w:hAnsi="Times New Roman"/>
          <w:color w:val="000000"/>
          <w:sz w:val="24"/>
          <w:szCs w:val="24"/>
          <w:lang w:val="ru-RU"/>
        </w:rPr>
        <w:t>0, 91</w:t>
      </w:r>
      <w:r w:rsidRPr="00A8783E">
        <w:rPr>
          <w:rFonts w:ascii="Times New Roman" w:hAnsi="Times New Roman"/>
          <w:color w:val="000000"/>
          <w:sz w:val="24"/>
          <w:szCs w:val="24"/>
          <w:lang w:val="en-GB"/>
        </w:rPr>
        <w:t>E</w:t>
      </w:r>
      <w:r w:rsidRPr="00A8783E">
        <w:rPr>
          <w:rFonts w:ascii="Times New Roman" w:hAnsi="Times New Roman"/>
          <w:color w:val="000000"/>
          <w:sz w:val="24"/>
          <w:szCs w:val="24"/>
          <w:lang w:val="ru-RU"/>
        </w:rPr>
        <w:t xml:space="preserve">0 </w:t>
      </w:r>
      <w:r w:rsidRPr="00A8783E">
        <w:rPr>
          <w:rFonts w:ascii="Times New Roman" w:hAnsi="Times New Roman"/>
          <w:color w:val="000000"/>
          <w:sz w:val="24"/>
          <w:szCs w:val="24"/>
        </w:rPr>
        <w:t xml:space="preserve">и </w:t>
      </w:r>
      <w:r w:rsidRPr="00A8783E">
        <w:rPr>
          <w:rFonts w:ascii="Times New Roman" w:hAnsi="Times New Roman"/>
          <w:color w:val="000000"/>
          <w:sz w:val="24"/>
          <w:szCs w:val="24"/>
          <w:lang w:val="ru-RU"/>
        </w:rPr>
        <w:t>91</w:t>
      </w:r>
      <w:r w:rsidRPr="00A8783E">
        <w:rPr>
          <w:rFonts w:ascii="Times New Roman" w:hAnsi="Times New Roman"/>
          <w:color w:val="000000"/>
          <w:sz w:val="24"/>
          <w:szCs w:val="24"/>
          <w:lang w:val="en-GB"/>
        </w:rPr>
        <w:t>F</w:t>
      </w:r>
      <w:r w:rsidRPr="00A8783E">
        <w:rPr>
          <w:rFonts w:ascii="Times New Roman" w:hAnsi="Times New Roman"/>
          <w:color w:val="000000"/>
          <w:sz w:val="24"/>
          <w:szCs w:val="24"/>
          <w:lang w:val="ru-RU"/>
        </w:rPr>
        <w:t xml:space="preserve">0 </w:t>
      </w:r>
      <w:r w:rsidRPr="00A8783E">
        <w:rPr>
          <w:rFonts w:ascii="Times New Roman" w:hAnsi="Times New Roman"/>
          <w:color w:val="000000"/>
          <w:sz w:val="24"/>
          <w:szCs w:val="24"/>
        </w:rPr>
        <w:t>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Хранене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Малкият  корморан  се  храни  изключително  в  сладки  или  полусолени  води,  обикновено близо  до  брега.  Хранителният  спектър  в  България  е  непроучен,  в  други  части  на  ареала  е съставен  предимно  от  риба,  дребни  ракообразни,  по-рядко  пиявици,  дребни  бозайници  (Cramp &amp;  Simmons  1977).  В  Дунавската  делта  Andone  et  al.  (1969)  установяват  15  вида  риби  в  130 стомаха на малки корморани. Представени са: костур (</w:t>
      </w:r>
      <w:r w:rsidRPr="00A8783E">
        <w:rPr>
          <w:rFonts w:ascii="Times New Roman" w:hAnsi="Times New Roman"/>
          <w:i/>
          <w:iCs/>
          <w:color w:val="000000"/>
          <w:sz w:val="24"/>
          <w:szCs w:val="24"/>
        </w:rPr>
        <w:t>Perca fluviatilis</w:t>
      </w:r>
      <w:r w:rsidRPr="00A8783E">
        <w:rPr>
          <w:rFonts w:ascii="Times New Roman" w:hAnsi="Times New Roman"/>
          <w:color w:val="000000"/>
          <w:sz w:val="24"/>
          <w:szCs w:val="24"/>
        </w:rPr>
        <w:t>) с 18.8%, бабушка (</w:t>
      </w:r>
      <w:r w:rsidRPr="00A8783E">
        <w:rPr>
          <w:rFonts w:ascii="Times New Roman" w:hAnsi="Times New Roman"/>
          <w:i/>
          <w:iCs/>
          <w:color w:val="000000"/>
          <w:sz w:val="24"/>
          <w:szCs w:val="24"/>
        </w:rPr>
        <w:t>Rutilus rutilus</w:t>
      </w:r>
      <w:r w:rsidRPr="00A8783E">
        <w:rPr>
          <w:rFonts w:ascii="Times New Roman" w:hAnsi="Times New Roman"/>
          <w:color w:val="000000"/>
          <w:sz w:val="24"/>
          <w:szCs w:val="24"/>
        </w:rPr>
        <w:t>)  с  14.8%,  шаран  (</w:t>
      </w:r>
      <w:r w:rsidRPr="00A8783E">
        <w:rPr>
          <w:rFonts w:ascii="Times New Roman" w:hAnsi="Times New Roman"/>
          <w:i/>
          <w:iCs/>
          <w:color w:val="000000"/>
          <w:sz w:val="24"/>
          <w:szCs w:val="24"/>
        </w:rPr>
        <w:t>Cyprinus  carpio</w:t>
      </w:r>
      <w:r w:rsidRPr="00A8783E">
        <w:rPr>
          <w:rFonts w:ascii="Times New Roman" w:hAnsi="Times New Roman"/>
          <w:color w:val="000000"/>
          <w:sz w:val="24"/>
          <w:szCs w:val="24"/>
        </w:rPr>
        <w:t>)  с  10.8%,  обикновен  щипок  (</w:t>
      </w:r>
      <w:r w:rsidRPr="00A8783E">
        <w:rPr>
          <w:rFonts w:ascii="Times New Roman" w:hAnsi="Times New Roman"/>
          <w:i/>
          <w:iCs/>
          <w:color w:val="000000"/>
          <w:sz w:val="24"/>
          <w:szCs w:val="24"/>
        </w:rPr>
        <w:t>Cobitis  taenia</w:t>
      </w:r>
      <w:r w:rsidRPr="00A8783E">
        <w:rPr>
          <w:rFonts w:ascii="Times New Roman" w:hAnsi="Times New Roman"/>
          <w:color w:val="000000"/>
          <w:sz w:val="24"/>
          <w:szCs w:val="24"/>
        </w:rPr>
        <w:t>)  с  9.7%  и обикновена щука (</w:t>
      </w:r>
      <w:r w:rsidRPr="00A8783E">
        <w:rPr>
          <w:rFonts w:ascii="Times New Roman" w:hAnsi="Times New Roman"/>
          <w:i/>
          <w:iCs/>
          <w:color w:val="000000"/>
          <w:sz w:val="24"/>
          <w:szCs w:val="24"/>
        </w:rPr>
        <w:t>Esox lucius</w:t>
      </w:r>
      <w:r w:rsidRPr="00A8783E">
        <w:rPr>
          <w:rFonts w:ascii="Times New Roman" w:hAnsi="Times New Roman"/>
          <w:color w:val="000000"/>
          <w:sz w:val="24"/>
          <w:szCs w:val="24"/>
        </w:rPr>
        <w:t xml:space="preserve">) с 5.6%, като средното тегло на рибите е 15 гр. (7–71 гр.) (Cramp </w:t>
      </w:r>
      <w:r w:rsidRPr="00A8783E">
        <w:rPr>
          <w:rFonts w:ascii="Times New Roman" w:hAnsi="Times New Roman"/>
          <w:color w:val="000000"/>
          <w:sz w:val="24"/>
          <w:szCs w:val="24"/>
          <w:lang w:val="en-US"/>
        </w:rPr>
        <w:t>and</w:t>
      </w:r>
      <w:r w:rsidRPr="00A8783E">
        <w:rPr>
          <w:rFonts w:ascii="Times New Roman" w:hAnsi="Times New Roman"/>
          <w:color w:val="000000"/>
          <w:sz w:val="24"/>
          <w:szCs w:val="24"/>
        </w:rPr>
        <w:t xml:space="preserve"> Simmons</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1977; Crivelli et al. 1996).</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lastRenderedPageBreak/>
        <w:t>С групово и разпръснато разпространение по Дунавското поречие, Черноморското крайбрежие и във вътрешността на страната (Янков отг. ред., 2007). Числеността на гнездящите двойки е подложена на много големи годишни колебания, главно в зависимост от водните нива. Ежегодно гнезди в ез. Сребърна, ЗМ „Калимок-Бръшлен“, на р. Арда в гр. Кърджали, в ЗМ „Пода“ край Бургас и др.</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Включен е в приложение 2 и приложение 3 на ЗБР. Включен в приложение 1 на Директивата за птиците. Природозащитният статус на малкия корморан според </w:t>
      </w:r>
      <w:r w:rsidRPr="00A8783E">
        <w:rPr>
          <w:rFonts w:ascii="Times New Roman" w:hAnsi="Times New Roman"/>
          <w:color w:val="000000"/>
          <w:sz w:val="24"/>
          <w:szCs w:val="24"/>
          <w:lang w:val="en-GB"/>
        </w:rPr>
        <w:t>IUCN</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е</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GB"/>
        </w:rPr>
        <w:t>LC</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GB"/>
        </w:rPr>
        <w:t>Least</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GB"/>
        </w:rPr>
        <w:t>Concern</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Видът е включен </w:t>
      </w:r>
      <w:r w:rsidRPr="00A8783E">
        <w:rPr>
          <w:rFonts w:ascii="Times New Roman" w:hAnsi="Times New Roman"/>
          <w:color w:val="000000"/>
          <w:sz w:val="24"/>
          <w:szCs w:val="24"/>
          <w:lang w:val="en-GB"/>
        </w:rPr>
        <w:t>SPEC</w:t>
      </w:r>
      <w:r w:rsidRPr="00A8783E">
        <w:rPr>
          <w:rFonts w:ascii="Times New Roman" w:hAnsi="Times New Roman"/>
          <w:color w:val="000000"/>
          <w:sz w:val="24"/>
          <w:szCs w:val="24"/>
          <w:lang w:val="ru-RU"/>
        </w:rPr>
        <w:t xml:space="preserve"> 1</w:t>
      </w:r>
      <w:r w:rsidRPr="00A8783E">
        <w:rPr>
          <w:rFonts w:ascii="Times New Roman" w:hAnsi="Times New Roman"/>
          <w:color w:val="000000"/>
          <w:sz w:val="24"/>
          <w:szCs w:val="24"/>
        </w:rPr>
        <w:t xml:space="preserve">. Включен в Червената книга на България в категория „Застрашен“.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Съгласно Докладването от 2019 г. (за периода 20</w:t>
      </w:r>
      <w:r w:rsidRPr="00A8783E">
        <w:rPr>
          <w:rFonts w:ascii="Times New Roman" w:hAnsi="Times New Roman"/>
          <w:color w:val="000000"/>
          <w:sz w:val="24"/>
          <w:szCs w:val="24"/>
          <w:lang w:val="ru-RU"/>
        </w:rPr>
        <w:t>13</w:t>
      </w:r>
      <w:r w:rsidRPr="00A8783E">
        <w:rPr>
          <w:rFonts w:ascii="Times New Roman" w:hAnsi="Times New Roman"/>
          <w:color w:val="000000"/>
          <w:sz w:val="24"/>
          <w:szCs w:val="24"/>
        </w:rPr>
        <w:t xml:space="preserve"> – 2018 г.) националната </w:t>
      </w:r>
      <w:r w:rsidRPr="00A8783E">
        <w:rPr>
          <w:rFonts w:ascii="Times New Roman" w:hAnsi="Times New Roman"/>
          <w:b/>
          <w:bCs/>
          <w:color w:val="000000"/>
          <w:sz w:val="24"/>
          <w:szCs w:val="24"/>
        </w:rPr>
        <w:t>гнездяща</w:t>
      </w:r>
      <w:r w:rsidRPr="00A8783E">
        <w:rPr>
          <w:rFonts w:ascii="Times New Roman" w:hAnsi="Times New Roman"/>
          <w:color w:val="000000"/>
          <w:sz w:val="24"/>
          <w:szCs w:val="24"/>
        </w:rPr>
        <w:t xml:space="preserve"> популация на вида се оценя на </w:t>
      </w:r>
      <w:r w:rsidRPr="00A8783E">
        <w:rPr>
          <w:rFonts w:ascii="Times New Roman" w:hAnsi="Times New Roman"/>
          <w:color w:val="000000"/>
          <w:sz w:val="24"/>
          <w:szCs w:val="24"/>
          <w:lang w:val="ru-RU"/>
        </w:rPr>
        <w:t>340</w:t>
      </w:r>
      <w:r w:rsidRPr="00A8783E">
        <w:rPr>
          <w:rFonts w:ascii="Times New Roman" w:hAnsi="Times New Roman"/>
          <w:color w:val="000000"/>
          <w:sz w:val="24"/>
          <w:szCs w:val="24"/>
        </w:rPr>
        <w:t xml:space="preserve"> – </w:t>
      </w:r>
      <w:r w:rsidRPr="00A8783E">
        <w:rPr>
          <w:rFonts w:ascii="Times New Roman" w:hAnsi="Times New Roman"/>
          <w:color w:val="000000"/>
          <w:sz w:val="24"/>
          <w:szCs w:val="24"/>
          <w:lang w:val="ru-RU"/>
        </w:rPr>
        <w:t>900</w:t>
      </w:r>
      <w:r w:rsidRPr="00A8783E">
        <w:rPr>
          <w:rFonts w:ascii="Times New Roman" w:hAnsi="Times New Roman"/>
          <w:color w:val="000000"/>
          <w:sz w:val="24"/>
          <w:szCs w:val="24"/>
        </w:rPr>
        <w:t xml:space="preserve"> двойки. Краткосрочната тенденция на популацията (за периода 2000 – 2018 г.) е нарастваща, а дългосрочната (за периода 1980 – 2018 г.) – също нарастваща.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b/>
          <w:bCs/>
          <w:color w:val="000000"/>
          <w:sz w:val="24"/>
          <w:szCs w:val="24"/>
        </w:rPr>
        <w:t>Зимуващата</w:t>
      </w:r>
      <w:r w:rsidRPr="00A8783E">
        <w:rPr>
          <w:rFonts w:ascii="Times New Roman" w:hAnsi="Times New Roman"/>
          <w:color w:val="000000"/>
          <w:sz w:val="24"/>
          <w:szCs w:val="24"/>
        </w:rPr>
        <w:t xml:space="preserve"> популация</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за периода 2013 – 2018 г.</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е оценена на </w:t>
      </w:r>
      <w:r w:rsidRPr="00A8783E">
        <w:rPr>
          <w:rFonts w:ascii="Times New Roman" w:hAnsi="Times New Roman"/>
          <w:color w:val="000000"/>
          <w:sz w:val="24"/>
          <w:szCs w:val="24"/>
          <w:lang w:val="ru-RU"/>
        </w:rPr>
        <w:t>2000</w:t>
      </w:r>
      <w:r w:rsidRPr="00A8783E">
        <w:rPr>
          <w:rFonts w:ascii="Times New Roman" w:hAnsi="Times New Roman"/>
          <w:color w:val="000000"/>
          <w:sz w:val="24"/>
          <w:szCs w:val="24"/>
        </w:rPr>
        <w:t xml:space="preserve"> – 12 000 индивида. Краткосрочната тенденция на популацията (за периода 2001 – 2018 г.) е флуктуираща, а дългосрочната (за периода 1980 – 2018 г.) - нарастваща.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b/>
          <w:bCs/>
          <w:color w:val="000000"/>
          <w:sz w:val="24"/>
          <w:szCs w:val="24"/>
        </w:rPr>
        <w:t>Мигриращата</w:t>
      </w:r>
      <w:r w:rsidRPr="00A8783E">
        <w:rPr>
          <w:rFonts w:ascii="Times New Roman" w:hAnsi="Times New Roman"/>
          <w:color w:val="000000"/>
          <w:sz w:val="24"/>
          <w:szCs w:val="24"/>
        </w:rPr>
        <w:t xml:space="preserve"> национална популация (за периода 2001 – 2018 г.) е оценена на 6000 – 15 000 индивида.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За гнездящата, мигриращата и зимуващата популация са посочени следните заплахи и влияния: F02, F05, F26, G01, H01, J02, K01 и M08.</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гнездящ</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lang w:val="ru-RU"/>
        </w:rPr>
        <w:t>150</w:t>
      </w:r>
      <w:r w:rsidRPr="00A8783E">
        <w:rPr>
          <w:rFonts w:ascii="Times New Roman" w:hAnsi="Times New Roman"/>
          <w:b/>
          <w:bCs/>
          <w:sz w:val="24"/>
          <w:szCs w:val="24"/>
        </w:rPr>
        <w:t>-</w:t>
      </w:r>
      <w:r w:rsidRPr="00A8783E">
        <w:rPr>
          <w:rFonts w:ascii="Times New Roman" w:hAnsi="Times New Roman"/>
          <w:b/>
          <w:bCs/>
          <w:sz w:val="24"/>
          <w:szCs w:val="24"/>
          <w:lang w:val="ru-RU"/>
        </w:rPr>
        <w:t>350</w:t>
      </w:r>
      <w:r w:rsidRPr="00A8783E">
        <w:rPr>
          <w:rFonts w:ascii="Times New Roman" w:hAnsi="Times New Roman"/>
          <w:b/>
          <w:bCs/>
          <w:sz w:val="24"/>
          <w:szCs w:val="24"/>
        </w:rPr>
        <w:t xml:space="preserve"> двойки</w:t>
      </w:r>
      <w:r w:rsidRPr="00A8783E">
        <w:rPr>
          <w:rFonts w:ascii="Times New Roman" w:hAnsi="Times New Roman"/>
          <w:sz w:val="24"/>
          <w:szCs w:val="24"/>
        </w:rPr>
        <w:t xml:space="preserve">, което представлява </w:t>
      </w:r>
      <w:r w:rsidRPr="00A8783E">
        <w:rPr>
          <w:rFonts w:ascii="Times New Roman" w:hAnsi="Times New Roman"/>
          <w:sz w:val="24"/>
          <w:szCs w:val="24"/>
          <w:lang w:val="ru-RU"/>
        </w:rPr>
        <w:t>39</w:t>
      </w:r>
      <w:r w:rsidRPr="00A8783E">
        <w:rPr>
          <w:rFonts w:ascii="Times New Roman" w:hAnsi="Times New Roman"/>
          <w:sz w:val="24"/>
          <w:szCs w:val="24"/>
        </w:rPr>
        <w:t>–</w:t>
      </w:r>
      <w:r w:rsidRPr="00A8783E">
        <w:rPr>
          <w:rFonts w:ascii="Times New Roman" w:hAnsi="Times New Roman"/>
          <w:sz w:val="24"/>
          <w:szCs w:val="24"/>
          <w:lang w:val="ru-RU"/>
        </w:rPr>
        <w:t>44</w:t>
      </w:r>
      <w:r w:rsidRPr="00A8783E">
        <w:rPr>
          <w:rFonts w:ascii="Times New Roman" w:hAnsi="Times New Roman"/>
          <w:sz w:val="24"/>
          <w:szCs w:val="24"/>
        </w:rPr>
        <w:t xml:space="preserve">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СФ на зоната вида е също </w:t>
      </w:r>
      <w:r w:rsidRPr="00A8783E">
        <w:rPr>
          <w:rFonts w:ascii="Times New Roman" w:hAnsi="Times New Roman"/>
          <w:b/>
          <w:bCs/>
          <w:sz w:val="24"/>
          <w:szCs w:val="24"/>
        </w:rPr>
        <w:t>мигриращ</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rPr>
        <w:t>до 4251 индивид</w:t>
      </w:r>
      <w:r w:rsidRPr="00A8783E">
        <w:rPr>
          <w:rFonts w:ascii="Times New Roman" w:hAnsi="Times New Roman"/>
          <w:sz w:val="24"/>
          <w:szCs w:val="24"/>
        </w:rPr>
        <w:t>, което представлява 0–28 %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също </w:t>
      </w:r>
      <w:r w:rsidRPr="00A8783E">
        <w:rPr>
          <w:rFonts w:ascii="Times New Roman" w:hAnsi="Times New Roman"/>
          <w:b/>
          <w:bCs/>
          <w:sz w:val="24"/>
          <w:szCs w:val="24"/>
        </w:rPr>
        <w:t>зимуващ</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rPr>
        <w:t>до 2786 индивиди</w:t>
      </w:r>
      <w:r w:rsidRPr="00A8783E">
        <w:rPr>
          <w:rFonts w:ascii="Times New Roman" w:hAnsi="Times New Roman"/>
          <w:sz w:val="24"/>
          <w:szCs w:val="24"/>
        </w:rPr>
        <w:t xml:space="preserve">, което представлява </w:t>
      </w:r>
      <w:r w:rsidRPr="00A8783E">
        <w:rPr>
          <w:rFonts w:ascii="Times New Roman" w:hAnsi="Times New Roman"/>
          <w:sz w:val="24"/>
          <w:szCs w:val="24"/>
          <w:lang w:val="ru-RU"/>
        </w:rPr>
        <w:t>0</w:t>
      </w:r>
      <w:r w:rsidRPr="00A8783E">
        <w:rPr>
          <w:rFonts w:ascii="Times New Roman" w:hAnsi="Times New Roman"/>
          <w:sz w:val="24"/>
          <w:szCs w:val="24"/>
        </w:rPr>
        <w:t>–23 %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Гнездяща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 периода 2002–2012 г. ПР „Сребърна” продължава да бъде най-значимото гнездово находище на вида в страната с численост 80–300 дв.</w:t>
      </w:r>
      <w:r w:rsidRPr="00A8783E">
        <w:rPr>
          <w:rFonts w:ascii="Times New Roman" w:hAnsi="Times New Roman"/>
          <w:sz w:val="24"/>
          <w:szCs w:val="24"/>
          <w:lang w:val="ru-RU"/>
        </w:rPr>
        <w:t xml:space="preserve"> (</w:t>
      </w:r>
      <w:r w:rsidRPr="00A8783E">
        <w:rPr>
          <w:rFonts w:ascii="Times New Roman" w:hAnsi="Times New Roman"/>
          <w:sz w:val="24"/>
          <w:szCs w:val="24"/>
        </w:rPr>
        <w:t>Плачийски и др., 2014</w:t>
      </w:r>
      <w:r w:rsidRPr="00A8783E">
        <w:rPr>
          <w:rFonts w:ascii="Times New Roman" w:hAnsi="Times New Roman"/>
          <w:sz w:val="24"/>
          <w:szCs w:val="24"/>
          <w:lang w:val="ru-RU"/>
        </w:rPr>
        <w:t>)</w:t>
      </w:r>
      <w:r w:rsidRPr="00A8783E">
        <w:rPr>
          <w:rFonts w:ascii="Times New Roman" w:hAnsi="Times New Roman"/>
          <w:sz w:val="24"/>
          <w:szCs w:val="24"/>
        </w:rPr>
        <w:t xml:space="preserve">. В ОВМ „Сребърна“ са посочени 250-300 гнездящи двойки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2007</w:t>
      </w:r>
      <w:r w:rsidRPr="00A8783E">
        <w:rPr>
          <w:rFonts w:ascii="Times New Roman" w:hAnsi="Times New Roman"/>
          <w:sz w:val="24"/>
          <w:szCs w:val="24"/>
          <w:lang w:val="ru-RU"/>
        </w:rPr>
        <w:t xml:space="preserve">). </w:t>
      </w:r>
      <w:r w:rsidRPr="00A8783E">
        <w:rPr>
          <w:rFonts w:ascii="Times New Roman" w:hAnsi="Times New Roman"/>
          <w:sz w:val="24"/>
          <w:szCs w:val="24"/>
        </w:rPr>
        <w:t xml:space="preserve">През периода 2001-2005 г. гнездовата численост на вида е 80-300 дв., през 2006 г. са 215 дв., през периода 2010-2014 г. двойките варират между 100-350. Както се вижда от данните гнездовата численост се характеризира с значителни флуктуации, които зависят от различни фактори </w:t>
      </w:r>
      <w:r w:rsidRPr="00A8783E">
        <w:rPr>
          <w:rFonts w:ascii="Times New Roman" w:hAnsi="Times New Roman"/>
          <w:sz w:val="24"/>
          <w:szCs w:val="24"/>
          <w:lang w:val="ru-RU"/>
        </w:rPr>
        <w:t>(</w:t>
      </w:r>
      <w:r w:rsidRPr="00A8783E">
        <w:rPr>
          <w:rFonts w:ascii="Times New Roman" w:hAnsi="Times New Roman"/>
          <w:sz w:val="24"/>
          <w:szCs w:val="24"/>
          <w:lang w:val="en-US"/>
        </w:rPr>
        <w:t>Kambourova</w:t>
      </w:r>
      <w:r w:rsidRPr="00A8783E">
        <w:rPr>
          <w:rFonts w:ascii="Times New Roman" w:hAnsi="Times New Roman"/>
          <w:sz w:val="24"/>
          <w:szCs w:val="24"/>
          <w:lang w:val="ru-RU"/>
        </w:rPr>
        <w:t xml:space="preserve">, 2005, 2012; </w:t>
      </w:r>
      <w:r w:rsidRPr="00A8783E">
        <w:rPr>
          <w:rFonts w:ascii="Times New Roman" w:hAnsi="Times New Roman"/>
          <w:sz w:val="24"/>
          <w:szCs w:val="24"/>
        </w:rPr>
        <w:t xml:space="preserve">Актуализиран план на ПР </w:t>
      </w:r>
      <w:r w:rsidRPr="00A8783E">
        <w:rPr>
          <w:rFonts w:ascii="Times New Roman" w:hAnsi="Times New Roman"/>
          <w:sz w:val="24"/>
          <w:szCs w:val="24"/>
        </w:rPr>
        <w:lastRenderedPageBreak/>
        <w:t xml:space="preserve">Сребърна, 2015; </w:t>
      </w:r>
      <w:r w:rsidRPr="00A8783E">
        <w:rPr>
          <w:rFonts w:ascii="Times New Roman" w:hAnsi="Times New Roman"/>
          <w:sz w:val="24"/>
          <w:szCs w:val="24"/>
          <w:lang w:val="en-US"/>
        </w:rPr>
        <w:t>Shurulinkov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xml:space="preserve">., </w:t>
      </w:r>
      <w:r w:rsidRPr="00A8783E">
        <w:rPr>
          <w:rFonts w:ascii="Times New Roman" w:hAnsi="Times New Roman"/>
          <w:sz w:val="24"/>
          <w:szCs w:val="24"/>
          <w:lang w:val="en-US"/>
        </w:rPr>
        <w:t>in</w:t>
      </w:r>
      <w:r w:rsidRPr="00A8783E">
        <w:rPr>
          <w:rFonts w:ascii="Times New Roman" w:hAnsi="Times New Roman"/>
          <w:sz w:val="24"/>
          <w:szCs w:val="24"/>
          <w:lang w:val="ru-RU"/>
        </w:rPr>
        <w:t xml:space="preserve"> </w:t>
      </w:r>
      <w:r w:rsidRPr="00A8783E">
        <w:rPr>
          <w:rFonts w:ascii="Times New Roman" w:hAnsi="Times New Roman"/>
          <w:sz w:val="24"/>
          <w:szCs w:val="24"/>
          <w:lang w:val="en-US"/>
        </w:rPr>
        <w:t>Shurulinkov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2019).</w:t>
      </w:r>
      <w:r w:rsidRPr="00A8783E">
        <w:rPr>
          <w:rFonts w:ascii="Times New Roman" w:hAnsi="Times New Roman"/>
          <w:sz w:val="24"/>
          <w:szCs w:val="24"/>
        </w:rPr>
        <w:t xml:space="preserve"> През май 2017 г. в зоната са преброени общо 205 инд. (Димитров, 2018). В зоната вида гнезди върху дървета от сива върба. По време на теренните изследвания през май и юни 2021 г. бяха отчетени общо 213 инд., което означава, че в зоната гнездят поне 106 дв. Смесени колонии, в състава на които влиза и малкият корморан</w:t>
      </w:r>
      <w:r w:rsidRPr="00A8783E">
        <w:rPr>
          <w:rFonts w:ascii="Times New Roman" w:hAnsi="Times New Roman"/>
          <w:sz w:val="24"/>
          <w:szCs w:val="24"/>
          <w:lang w:val="ru-RU"/>
        </w:rPr>
        <w:t>)</w:t>
      </w:r>
      <w:r w:rsidRPr="00A8783E">
        <w:rPr>
          <w:rFonts w:ascii="Times New Roman" w:hAnsi="Times New Roman"/>
          <w:sz w:val="24"/>
          <w:szCs w:val="24"/>
        </w:rPr>
        <w:t xml:space="preserve"> бяха отчетени на две места в северната част на зоната и едно в югоизточните части.</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Зимуващата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време на Средно-зимното преброяване през 2019 г. видът е наблюдаван на 20 места по поречието на р. Дунав, като са установени общо </w:t>
      </w:r>
      <w:r w:rsidRPr="00A8783E">
        <w:rPr>
          <w:rFonts w:ascii="Times New Roman" w:hAnsi="Times New Roman"/>
          <w:sz w:val="24"/>
          <w:szCs w:val="24"/>
          <w:lang w:val="ru-RU"/>
        </w:rPr>
        <w:t>83</w:t>
      </w:r>
      <w:r w:rsidRPr="00A8783E">
        <w:rPr>
          <w:rFonts w:ascii="Times New Roman" w:hAnsi="Times New Roman"/>
          <w:sz w:val="24"/>
          <w:szCs w:val="24"/>
        </w:rPr>
        <w:t xml:space="preserve"> индивида. В зоната не са отчетени индивиди. През 2020 г. видът отново не е наблюдаван в рамките на ЗЗ „Сребърна“. В средна Дунавска равнина е многочислен по време на миграция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В ОВМ „Сребърна“ е посочена зимуваща численост 3-58 инд.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2007</w:t>
      </w:r>
      <w:r w:rsidRPr="00A8783E">
        <w:rPr>
          <w:rFonts w:ascii="Times New Roman" w:hAnsi="Times New Roman"/>
          <w:sz w:val="24"/>
          <w:szCs w:val="24"/>
          <w:lang w:val="ru-RU"/>
        </w:rPr>
        <w:t xml:space="preserve">). </w:t>
      </w:r>
      <w:r w:rsidRPr="00A8783E">
        <w:rPr>
          <w:rFonts w:ascii="Times New Roman" w:hAnsi="Times New Roman"/>
          <w:sz w:val="24"/>
          <w:szCs w:val="24"/>
        </w:rPr>
        <w:t xml:space="preserve">Според </w:t>
      </w:r>
      <w:r w:rsidRPr="00A8783E">
        <w:rPr>
          <w:rFonts w:ascii="Times New Roman" w:hAnsi="Times New Roman"/>
          <w:sz w:val="24"/>
          <w:szCs w:val="24"/>
          <w:lang w:val="en-US"/>
        </w:rPr>
        <w:t>Michev</w:t>
      </w:r>
      <w:r w:rsidRPr="00A8783E">
        <w:rPr>
          <w:rFonts w:ascii="Times New Roman" w:hAnsi="Times New Roman"/>
          <w:sz w:val="24"/>
          <w:szCs w:val="24"/>
          <w:lang w:val="ru-RU"/>
        </w:rPr>
        <w:t xml:space="preserve"> </w:t>
      </w:r>
      <w:r w:rsidRPr="00A8783E">
        <w:rPr>
          <w:rFonts w:ascii="Times New Roman" w:hAnsi="Times New Roman"/>
          <w:sz w:val="24"/>
          <w:szCs w:val="24"/>
          <w:lang w:val="en-US"/>
        </w:rPr>
        <w:t>and</w:t>
      </w:r>
      <w:r w:rsidRPr="00A8783E">
        <w:rPr>
          <w:rFonts w:ascii="Times New Roman" w:hAnsi="Times New Roman"/>
          <w:sz w:val="24"/>
          <w:szCs w:val="24"/>
          <w:lang w:val="ru-RU"/>
        </w:rPr>
        <w:t xml:space="preserve"> </w:t>
      </w:r>
      <w:r w:rsidRPr="00A8783E">
        <w:rPr>
          <w:rFonts w:ascii="Times New Roman" w:hAnsi="Times New Roman"/>
          <w:sz w:val="24"/>
          <w:szCs w:val="24"/>
          <w:lang w:val="en-US"/>
        </w:rPr>
        <w:t>Profirov</w:t>
      </w:r>
      <w:r w:rsidRPr="00A8783E">
        <w:rPr>
          <w:rFonts w:ascii="Times New Roman" w:hAnsi="Times New Roman"/>
          <w:sz w:val="24"/>
          <w:szCs w:val="24"/>
          <w:lang w:val="ru-RU"/>
        </w:rPr>
        <w:t xml:space="preserve"> (2003)</w:t>
      </w:r>
      <w:r w:rsidRPr="00A8783E">
        <w:rPr>
          <w:rFonts w:ascii="Times New Roman" w:hAnsi="Times New Roman"/>
          <w:sz w:val="24"/>
          <w:szCs w:val="24"/>
        </w:rPr>
        <w:t xml:space="preserve"> по поречието на Дунав средно зимуват 185 инд. В Сребърна малкият корморан е редовно зимуващ вид с числености между 2 и 648 инд. Според авторите зимуващата численост на вида е започнала да се увеличава, особено след 1995 г. На базата на всички тези данни смятаме, че максималната зимуваща численост за зоната е много завишена. Предлагаме да бъде посочена численост </w:t>
      </w:r>
      <w:r w:rsidRPr="00A8783E">
        <w:rPr>
          <w:rFonts w:ascii="Times New Roman" w:hAnsi="Times New Roman"/>
          <w:b/>
          <w:bCs/>
          <w:sz w:val="24"/>
          <w:szCs w:val="24"/>
        </w:rPr>
        <w:t>2-700 инд</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България миграцията на малкия корморан е недостатъчно проуче</w:t>
      </w:r>
      <w:r w:rsidRPr="00A8783E">
        <w:rPr>
          <w:rFonts w:ascii="Times New Roman" w:hAnsi="Times New Roman"/>
          <w:sz w:val="24"/>
          <w:szCs w:val="24"/>
          <w:lang w:val="ru-RU"/>
        </w:rPr>
        <w:t>на (</w:t>
      </w:r>
      <w:r w:rsidRPr="00A8783E">
        <w:rPr>
          <w:rFonts w:ascii="Times New Roman" w:hAnsi="Times New Roman"/>
          <w:sz w:val="24"/>
          <w:szCs w:val="24"/>
        </w:rPr>
        <w:t>Плачийски и др., 2014</w:t>
      </w:r>
      <w:r w:rsidRPr="00A8783E">
        <w:rPr>
          <w:rFonts w:ascii="Times New Roman" w:hAnsi="Times New Roman"/>
          <w:sz w:val="24"/>
          <w:szCs w:val="24"/>
          <w:lang w:val="ru-RU"/>
        </w:rPr>
        <w:t xml:space="preserve">). </w:t>
      </w:r>
      <w:r w:rsidRPr="00A8783E">
        <w:rPr>
          <w:rFonts w:ascii="Times New Roman" w:hAnsi="Times New Roman"/>
          <w:sz w:val="24"/>
          <w:szCs w:val="24"/>
        </w:rPr>
        <w:t xml:space="preserve">В ОВМ „Сребърна“ е посочена мигрираща численост 2-17 инд.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2007</w:t>
      </w:r>
      <w:r w:rsidRPr="00A8783E">
        <w:rPr>
          <w:rFonts w:ascii="Times New Roman" w:hAnsi="Times New Roman"/>
          <w:sz w:val="24"/>
          <w:szCs w:val="24"/>
          <w:lang w:val="ru-RU"/>
        </w:rPr>
        <w:t>).</w:t>
      </w:r>
      <w:r w:rsidRPr="00A8783E">
        <w:rPr>
          <w:rFonts w:ascii="Times New Roman" w:hAnsi="Times New Roman"/>
          <w:sz w:val="24"/>
          <w:szCs w:val="24"/>
        </w:rPr>
        <w:t xml:space="preserve"> Липсват други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Смятаме, че мигриращата численост е завишена, тъй като </w:t>
      </w:r>
      <w:r w:rsidRPr="00A8783E">
        <w:rPr>
          <w:rFonts w:ascii="Times New Roman" w:hAnsi="Times New Roman"/>
          <w:sz w:val="24"/>
          <w:szCs w:val="24"/>
          <w:lang w:val="en-US"/>
        </w:rPr>
        <w:t>Michev</w:t>
      </w:r>
      <w:r w:rsidRPr="00A8783E">
        <w:rPr>
          <w:rFonts w:ascii="Times New Roman" w:hAnsi="Times New Roman"/>
          <w:sz w:val="24"/>
          <w:szCs w:val="24"/>
          <w:lang w:val="ru-RU"/>
        </w:rPr>
        <w:t xml:space="preserve"> </w:t>
      </w:r>
      <w:r w:rsidRPr="00A8783E">
        <w:rPr>
          <w:rFonts w:ascii="Times New Roman" w:hAnsi="Times New Roman"/>
          <w:sz w:val="24"/>
          <w:szCs w:val="24"/>
          <w:lang w:val="en-US"/>
        </w:rPr>
        <w:t>and</w:t>
      </w:r>
      <w:r w:rsidRPr="00A8783E">
        <w:rPr>
          <w:rFonts w:ascii="Times New Roman" w:hAnsi="Times New Roman"/>
          <w:sz w:val="24"/>
          <w:szCs w:val="24"/>
          <w:lang w:val="ru-RU"/>
        </w:rPr>
        <w:t xml:space="preserve"> </w:t>
      </w:r>
      <w:r w:rsidRPr="00A8783E">
        <w:rPr>
          <w:rFonts w:ascii="Times New Roman" w:hAnsi="Times New Roman"/>
          <w:sz w:val="24"/>
          <w:szCs w:val="24"/>
          <w:lang w:val="en-US"/>
        </w:rPr>
        <w:t>Profirov</w:t>
      </w:r>
      <w:r w:rsidRPr="00A8783E">
        <w:rPr>
          <w:rFonts w:ascii="Times New Roman" w:hAnsi="Times New Roman"/>
          <w:sz w:val="24"/>
          <w:szCs w:val="24"/>
          <w:lang w:val="ru-RU"/>
        </w:rPr>
        <w:t xml:space="preserve"> (2003) </w:t>
      </w:r>
      <w:r w:rsidRPr="00A8783E">
        <w:rPr>
          <w:rFonts w:ascii="Times New Roman" w:hAnsi="Times New Roman"/>
          <w:sz w:val="24"/>
          <w:szCs w:val="24"/>
        </w:rPr>
        <w:t xml:space="preserve">установяват за Бургаските езера максимални числености от 2008 инд. през есента и 2862 инд. през пролетта. За средна Дунавска равнина Шурулинков и др. </w:t>
      </w:r>
      <w:r w:rsidRPr="00A8783E">
        <w:rPr>
          <w:rFonts w:ascii="Times New Roman" w:hAnsi="Times New Roman"/>
          <w:sz w:val="24"/>
          <w:szCs w:val="24"/>
          <w:lang w:val="ru-RU"/>
        </w:rPr>
        <w:t xml:space="preserve">(2005) </w:t>
      </w:r>
      <w:r w:rsidRPr="00A8783E">
        <w:rPr>
          <w:rFonts w:ascii="Times New Roman" w:hAnsi="Times New Roman"/>
          <w:sz w:val="24"/>
          <w:szCs w:val="24"/>
        </w:rPr>
        <w:t xml:space="preserve">отчита ята мигриращи малки корморани от 50-150 инд. Ето защо предлагаме числеността да бъде променена на </w:t>
      </w:r>
      <w:r w:rsidRPr="00A8783E">
        <w:rPr>
          <w:rFonts w:ascii="Times New Roman" w:hAnsi="Times New Roman"/>
          <w:b/>
          <w:bCs/>
          <w:sz w:val="24"/>
          <w:szCs w:val="24"/>
        </w:rPr>
        <w:t>2-200 инд</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За гнездящата популация са посочени следните заплахи и влияния (от Докладване по чл. 12, 2019 г.): </w:t>
      </w:r>
      <w:r w:rsidRPr="00A8783E">
        <w:rPr>
          <w:rFonts w:ascii="Times New Roman" w:hAnsi="Times New Roman"/>
          <w:sz w:val="24"/>
          <w:szCs w:val="24"/>
          <w:lang w:val="en-US"/>
        </w:rPr>
        <w:t>F</w:t>
      </w:r>
      <w:r w:rsidRPr="00A8783E">
        <w:rPr>
          <w:rFonts w:ascii="Times New Roman" w:hAnsi="Times New Roman"/>
          <w:sz w:val="24"/>
          <w:szCs w:val="24"/>
        </w:rPr>
        <w:t xml:space="preserve">02, </w:t>
      </w:r>
      <w:r w:rsidRPr="00A8783E">
        <w:rPr>
          <w:rFonts w:ascii="Times New Roman" w:hAnsi="Times New Roman"/>
          <w:sz w:val="24"/>
          <w:szCs w:val="24"/>
          <w:lang w:val="en-US"/>
        </w:rPr>
        <w:t>F</w:t>
      </w:r>
      <w:r w:rsidRPr="00A8783E">
        <w:rPr>
          <w:rFonts w:ascii="Times New Roman" w:hAnsi="Times New Roman"/>
          <w:sz w:val="24"/>
          <w:szCs w:val="24"/>
        </w:rPr>
        <w:t xml:space="preserve">05, </w:t>
      </w:r>
      <w:r w:rsidRPr="00A8783E">
        <w:rPr>
          <w:rFonts w:ascii="Times New Roman" w:hAnsi="Times New Roman"/>
          <w:sz w:val="24"/>
          <w:szCs w:val="24"/>
          <w:lang w:val="en-US"/>
        </w:rPr>
        <w:t>G</w:t>
      </w:r>
      <w:r w:rsidRPr="00A8783E">
        <w:rPr>
          <w:rFonts w:ascii="Times New Roman" w:hAnsi="Times New Roman"/>
          <w:sz w:val="24"/>
          <w:szCs w:val="24"/>
        </w:rPr>
        <w:t xml:space="preserve">01, </w:t>
      </w:r>
      <w:r w:rsidRPr="00A8783E">
        <w:rPr>
          <w:rFonts w:ascii="Times New Roman" w:hAnsi="Times New Roman"/>
          <w:sz w:val="24"/>
          <w:szCs w:val="24"/>
          <w:lang w:val="en-US"/>
        </w:rPr>
        <w:t>H</w:t>
      </w:r>
      <w:r w:rsidRPr="00A8783E">
        <w:rPr>
          <w:rFonts w:ascii="Times New Roman" w:hAnsi="Times New Roman"/>
          <w:sz w:val="24"/>
          <w:szCs w:val="24"/>
        </w:rPr>
        <w:t xml:space="preserve">01, </w:t>
      </w:r>
      <w:r w:rsidRPr="00A8783E">
        <w:rPr>
          <w:rFonts w:ascii="Times New Roman" w:hAnsi="Times New Roman"/>
          <w:sz w:val="24"/>
          <w:szCs w:val="24"/>
          <w:lang w:val="en-US"/>
        </w:rPr>
        <w:t>J</w:t>
      </w:r>
      <w:r w:rsidRPr="00A8783E">
        <w:rPr>
          <w:rFonts w:ascii="Times New Roman" w:hAnsi="Times New Roman"/>
          <w:sz w:val="24"/>
          <w:szCs w:val="24"/>
        </w:rPr>
        <w:t xml:space="preserve">02, </w:t>
      </w:r>
      <w:r w:rsidRPr="00A8783E">
        <w:rPr>
          <w:rFonts w:ascii="Times New Roman" w:hAnsi="Times New Roman"/>
          <w:sz w:val="24"/>
          <w:szCs w:val="24"/>
          <w:lang w:val="en-US"/>
        </w:rPr>
        <w:t>K</w:t>
      </w:r>
      <w:r w:rsidRPr="00A8783E">
        <w:rPr>
          <w:rFonts w:ascii="Times New Roman" w:hAnsi="Times New Roman"/>
          <w:sz w:val="24"/>
          <w:szCs w:val="24"/>
        </w:rPr>
        <w:t xml:space="preserve">01, </w:t>
      </w:r>
      <w:r w:rsidRPr="00A8783E">
        <w:rPr>
          <w:rFonts w:ascii="Times New Roman" w:hAnsi="Times New Roman"/>
          <w:sz w:val="24"/>
          <w:szCs w:val="24"/>
          <w:lang w:val="en-US"/>
        </w:rPr>
        <w:t>M</w:t>
      </w:r>
      <w:r w:rsidRPr="00A8783E">
        <w:rPr>
          <w:rFonts w:ascii="Times New Roman" w:hAnsi="Times New Roman"/>
          <w:sz w:val="24"/>
          <w:szCs w:val="24"/>
        </w:rPr>
        <w:t>08. От тях няма потенциално валидни за СЗЗ „Сребърна”. Заплахи за вида в зоната могат да бъдат риболов с мрежени уреди (G12- Прилов и инцидентно убиване (при риболовни дейности), пожари в тръстиковите масиви и безпокойство.</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color w:val="000000"/>
          <w:sz w:val="24"/>
          <w:szCs w:val="24"/>
        </w:rPr>
        <w:t xml:space="preserve"> </w:t>
      </w:r>
      <w:r w:rsidRPr="00A8783E">
        <w:rPr>
          <w:rFonts w:ascii="Times New Roman" w:hAnsi="Times New Roman"/>
          <w:b/>
          <w:bCs/>
          <w:color w:val="000000"/>
          <w:sz w:val="24"/>
          <w:szCs w:val="24"/>
        </w:rPr>
        <w:t>5.</w:t>
      </w:r>
      <w:r w:rsidRPr="00A8783E">
        <w:rPr>
          <w:rFonts w:ascii="Times New Roman" w:hAnsi="Times New Roman"/>
          <w:color w:val="000000"/>
          <w:sz w:val="24"/>
          <w:szCs w:val="24"/>
        </w:rPr>
        <w:t xml:space="preserve"> </w:t>
      </w:r>
      <w:r w:rsidRPr="00A8783E">
        <w:rPr>
          <w:rFonts w:ascii="Times New Roman" w:hAnsi="Times New Roman"/>
          <w:b/>
          <w:bCs/>
          <w:color w:val="000000"/>
          <w:sz w:val="24"/>
          <w:szCs w:val="24"/>
        </w:rPr>
        <w:t>Параметри за определяне на специфичните природозащитни цели за вида в зоната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1134"/>
        <w:gridCol w:w="1418"/>
        <w:gridCol w:w="3118"/>
        <w:gridCol w:w="2127"/>
      </w:tblGrid>
      <w:tr w:rsidR="00A8783E" w:rsidRPr="00A8783E" w:rsidTr="005B5318">
        <w:trPr>
          <w:tblHeader/>
          <w:jc w:val="center"/>
        </w:trPr>
        <w:tc>
          <w:tcPr>
            <w:tcW w:w="1559"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41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311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127" w:type="dxa"/>
            <w:shd w:val="clear" w:color="auto" w:fill="DBE5F1"/>
            <w:vAlign w:val="center"/>
          </w:tcPr>
          <w:p w:rsidR="00A8783E" w:rsidRPr="00A8783E" w:rsidRDefault="00A8783E" w:rsidP="00A8783E">
            <w:pPr>
              <w:spacing w:before="120" w:after="120" w:line="259"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trHeight w:val="606"/>
          <w:jc w:val="center"/>
        </w:trPr>
        <w:tc>
          <w:tcPr>
            <w:tcW w:w="1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Популация</w:t>
            </w:r>
            <w:r w:rsidRPr="00A8783E">
              <w:rPr>
                <w:rFonts w:ascii="Times New Roman" w:hAnsi="Times New Roman"/>
              </w:rPr>
              <w:t>: Размер гнездящата популация</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двойки</w:t>
            </w:r>
          </w:p>
        </w:tc>
        <w:tc>
          <w:tcPr>
            <w:tcW w:w="14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150 дв.</w:t>
            </w:r>
          </w:p>
        </w:tc>
        <w:tc>
          <w:tcPr>
            <w:tcW w:w="31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на база СФ, теренните наблюдения през гнездовия период на 2021 г. и друга публикувана информация за гнездовата численост на вида в зоната.</w:t>
            </w:r>
          </w:p>
        </w:tc>
        <w:tc>
          <w:tcPr>
            <w:tcW w:w="2127" w:type="dxa"/>
          </w:tcPr>
          <w:p w:rsidR="00A8783E" w:rsidRPr="00A8783E" w:rsidRDefault="00A8783E" w:rsidP="00A8783E">
            <w:pPr>
              <w:spacing w:before="120" w:after="120" w:line="259"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150 гнездящи двойки.</w:t>
            </w:r>
          </w:p>
        </w:tc>
      </w:tr>
      <w:tr w:rsidR="00A8783E" w:rsidRPr="00A8783E" w:rsidTr="005B5318">
        <w:trPr>
          <w:trHeight w:val="606"/>
          <w:jc w:val="center"/>
        </w:trPr>
        <w:tc>
          <w:tcPr>
            <w:tcW w:w="1559"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lastRenderedPageBreak/>
              <w:t xml:space="preserve">Популация: </w:t>
            </w:r>
            <w:r w:rsidRPr="00A8783E">
              <w:rPr>
                <w:rFonts w:ascii="Times New Roman" w:hAnsi="Times New Roman"/>
              </w:rPr>
              <w:t>Размер на мигриращата популация</w:t>
            </w:r>
          </w:p>
        </w:tc>
        <w:tc>
          <w:tcPr>
            <w:tcW w:w="113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индивиди</w:t>
            </w:r>
          </w:p>
        </w:tc>
        <w:tc>
          <w:tcPr>
            <w:tcW w:w="1418"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2-200 инд.</w:t>
            </w:r>
          </w:p>
        </w:tc>
        <w:tc>
          <w:tcPr>
            <w:tcW w:w="3118" w:type="dxa"/>
          </w:tcPr>
          <w:p w:rsidR="00A8783E" w:rsidRPr="00A8783E" w:rsidRDefault="00A8783E" w:rsidP="00A8783E">
            <w:pPr>
              <w:spacing w:after="0" w:line="240" w:lineRule="auto"/>
              <w:jc w:val="both"/>
              <w:rPr>
                <w:rFonts w:ascii="Times New Roman" w:hAnsi="Times New Roman"/>
                <w:lang w:val="ru-RU"/>
              </w:rPr>
            </w:pPr>
            <w:r w:rsidRPr="00A8783E">
              <w:rPr>
                <w:rFonts w:ascii="Times New Roman" w:hAnsi="Times New Roman"/>
              </w:rPr>
              <w:t>Целевата стойност е определена от СФ и други данни за вида по време на миграция. Посочените стойности в СФ според нас са завишени. Тези данни се нуждаят от потвърждение/актуализация в резултата на адекватен мониторинг в периода октомври – март месец.</w:t>
            </w:r>
          </w:p>
        </w:tc>
        <w:tc>
          <w:tcPr>
            <w:tcW w:w="2127" w:type="dxa"/>
          </w:tcPr>
          <w:p w:rsidR="00A8783E" w:rsidRPr="00A8783E" w:rsidRDefault="00A8783E" w:rsidP="00A8783E">
            <w:pPr>
              <w:spacing w:after="120" w:line="259" w:lineRule="auto"/>
              <w:rPr>
                <w:rFonts w:ascii="Times New Roman" w:hAnsi="Times New Roman"/>
              </w:rPr>
            </w:pPr>
            <w:r w:rsidRPr="00A8783E">
              <w:rPr>
                <w:rFonts w:ascii="Times New Roman" w:hAnsi="Times New Roman"/>
              </w:rPr>
              <w:t>Да се извърши целенасочен мониторинг за установяване на размера на мигриращата популация до 2025 г.</w:t>
            </w:r>
          </w:p>
        </w:tc>
      </w:tr>
      <w:tr w:rsidR="00A8783E" w:rsidRPr="00A8783E" w:rsidTr="005B5318">
        <w:trPr>
          <w:trHeight w:val="606"/>
          <w:jc w:val="center"/>
        </w:trPr>
        <w:tc>
          <w:tcPr>
            <w:tcW w:w="1559"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зимуващата популация</w:t>
            </w:r>
          </w:p>
        </w:tc>
        <w:tc>
          <w:tcPr>
            <w:tcW w:w="1134"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Брой индивиди</w:t>
            </w:r>
          </w:p>
        </w:tc>
        <w:tc>
          <w:tcPr>
            <w:tcW w:w="1418"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2 – 700 инд., в зависимост от температурата</w:t>
            </w:r>
          </w:p>
        </w:tc>
        <w:tc>
          <w:tcPr>
            <w:tcW w:w="3118"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Целевата стойност е определена на база СФ, данни от средно-зимните преброявания от 2019 и 2020 г. и друга публикувана информация за зимуването на вида в зоната. Количеството на зимуващите птици ще зависи от температурата и подходящата хранителна база за вида в СЗЗ. При средни температури през януари под 0° С</w:t>
            </w:r>
            <w:r w:rsidRPr="00A8783E">
              <w:rPr>
                <w:rFonts w:ascii="Times New Roman" w:hAnsi="Times New Roman"/>
                <w:lang w:val="ru-RU"/>
              </w:rPr>
              <w:t>,</w:t>
            </w:r>
            <w:r w:rsidRPr="00A8783E">
              <w:rPr>
                <w:rFonts w:ascii="Times New Roman" w:hAnsi="Times New Roman"/>
              </w:rPr>
              <w:t xml:space="preserve"> минималната стойност се очаква да е над 1 инд. от вида</w:t>
            </w:r>
            <w:r w:rsidRPr="00A8783E">
              <w:rPr>
                <w:rFonts w:ascii="Times New Roman" w:hAnsi="Times New Roman"/>
                <w:lang w:val="ru-RU"/>
              </w:rPr>
              <w:t>.</w:t>
            </w:r>
          </w:p>
        </w:tc>
        <w:tc>
          <w:tcPr>
            <w:tcW w:w="2127" w:type="dxa"/>
          </w:tcPr>
          <w:p w:rsidR="00A8783E" w:rsidRPr="00A8783E" w:rsidRDefault="00A8783E" w:rsidP="00A8783E">
            <w:pPr>
              <w:spacing w:after="0" w:line="240" w:lineRule="auto"/>
              <w:rPr>
                <w:rFonts w:ascii="Times New Roman" w:hAnsi="Times New Roman"/>
                <w:color w:val="0070C0"/>
              </w:rPr>
            </w:pPr>
            <w:r w:rsidRPr="00A8783E">
              <w:rPr>
                <w:rFonts w:ascii="Times New Roman" w:hAnsi="Times New Roman"/>
              </w:rPr>
              <w:t>Целевите стойности за минималната зимуваща популация на вида се очаква силно да зависят от температурите през зимата. При много ниски температури езерото замръзва и вида може да зимува само по поречието на реката.</w:t>
            </w:r>
          </w:p>
        </w:tc>
      </w:tr>
      <w:tr w:rsidR="00A8783E" w:rsidRPr="00A8783E" w:rsidTr="005B5318">
        <w:trPr>
          <w:trHeight w:val="606"/>
          <w:jc w:val="center"/>
        </w:trPr>
        <w:tc>
          <w:tcPr>
            <w:tcW w:w="1559"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гнездови местообитания на вида</w:t>
            </w:r>
          </w:p>
        </w:tc>
        <w:tc>
          <w:tcPr>
            <w:tcW w:w="1134"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4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69 - 370</w:t>
            </w:r>
          </w:p>
        </w:tc>
        <w:tc>
          <w:tcPr>
            <w:tcW w:w="31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В зоната вида гнезди върху дървета от сива върба. Те са заели до голяма степен площта на плаващите тръстикови острови. Площта на тръстиката в зоната е изчислена на 370 </w:t>
            </w:r>
            <w:r w:rsidRPr="00A8783E">
              <w:rPr>
                <w:rFonts w:ascii="Times New Roman" w:hAnsi="Times New Roman"/>
                <w:lang w:val="en-US"/>
              </w:rPr>
              <w:t>ha</w:t>
            </w:r>
            <w:r w:rsidRPr="00A8783E">
              <w:rPr>
                <w:rFonts w:ascii="Times New Roman" w:hAnsi="Times New Roman"/>
              </w:rPr>
              <w:t xml:space="preserve">., а плаващите острови, върху които също има сива върба са с площ 69 </w:t>
            </w:r>
            <w:r w:rsidRPr="00A8783E">
              <w:rPr>
                <w:rFonts w:ascii="Times New Roman" w:hAnsi="Times New Roman"/>
                <w:lang w:val="en-US"/>
              </w:rPr>
              <w:t>ha</w:t>
            </w:r>
            <w:r w:rsidRPr="00A8783E">
              <w:rPr>
                <w:rFonts w:ascii="Times New Roman" w:hAnsi="Times New Roman"/>
              </w:rPr>
              <w:t xml:space="preserve">. </w:t>
            </w:r>
          </w:p>
        </w:tc>
        <w:tc>
          <w:tcPr>
            <w:tcW w:w="2127" w:type="dxa"/>
          </w:tcPr>
          <w:p w:rsidR="00A8783E" w:rsidRPr="00A8783E" w:rsidRDefault="00A8783E" w:rsidP="00A8783E">
            <w:pPr>
              <w:spacing w:after="160" w:line="259" w:lineRule="auto"/>
              <w:jc w:val="both"/>
              <w:rPr>
                <w:rFonts w:ascii="Times New Roman" w:hAnsi="Times New Roman"/>
                <w:lang w:val="ru-RU"/>
              </w:rPr>
            </w:pPr>
            <w:r w:rsidRPr="00A8783E">
              <w:rPr>
                <w:rFonts w:ascii="Times New Roman" w:hAnsi="Times New Roman"/>
              </w:rPr>
              <w:t>Понастоящем в зоната има предостатъчно сива върба върху която да гнезди малкият корморан.</w:t>
            </w:r>
          </w:p>
        </w:tc>
      </w:tr>
      <w:tr w:rsidR="00A8783E" w:rsidRPr="00A8783E" w:rsidTr="005B5318">
        <w:trPr>
          <w:trHeight w:val="606"/>
          <w:jc w:val="center"/>
        </w:trPr>
        <w:tc>
          <w:tcPr>
            <w:tcW w:w="1559"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Местообитание на вида:</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площ на подходящите местообитания за търсене на храна</w:t>
            </w:r>
          </w:p>
        </w:tc>
        <w:tc>
          <w:tcPr>
            <w:tcW w:w="1134"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p w:rsidR="00A8783E" w:rsidRPr="00A8783E" w:rsidRDefault="00A8783E" w:rsidP="00A8783E">
            <w:pPr>
              <w:spacing w:after="0" w:line="240" w:lineRule="auto"/>
              <w:jc w:val="both"/>
              <w:rPr>
                <w:rFonts w:ascii="Times New Roman" w:hAnsi="Times New Roman"/>
              </w:rPr>
            </w:pPr>
          </w:p>
        </w:tc>
        <w:tc>
          <w:tcPr>
            <w:tcW w:w="1418"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rPr>
              <w:t xml:space="preserve">най-малко </w:t>
            </w:r>
            <w:r w:rsidRPr="00A8783E">
              <w:rPr>
                <w:rFonts w:ascii="Times New Roman" w:hAnsi="Times New Roman"/>
                <w:lang w:val="en-US"/>
              </w:rPr>
              <w:t>840</w:t>
            </w:r>
          </w:p>
        </w:tc>
        <w:tc>
          <w:tcPr>
            <w:tcW w:w="31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Изчислена на база откритите водни площи в рамките на СЗЗ. Данните са взети от СФ като % на местообитание </w:t>
            </w:r>
            <w:r w:rsidRPr="00A8783E">
              <w:rPr>
                <w:rFonts w:ascii="Times New Roman" w:hAnsi="Times New Roman"/>
                <w:lang w:val="en-GB"/>
              </w:rPr>
              <w:t>N</w:t>
            </w:r>
            <w:r w:rsidRPr="00A8783E">
              <w:rPr>
                <w:rFonts w:ascii="Times New Roman" w:hAnsi="Times New Roman"/>
                <w:lang w:val="ru-RU"/>
              </w:rPr>
              <w:t>06</w:t>
            </w:r>
            <w:r w:rsidRPr="00A8783E">
              <w:rPr>
                <w:rFonts w:ascii="Times New Roman" w:hAnsi="Times New Roman"/>
              </w:rPr>
              <w:t xml:space="preserve">– континентални водни тела </w:t>
            </w:r>
            <w:r w:rsidRPr="00A8783E">
              <w:rPr>
                <w:rFonts w:ascii="Times New Roman" w:hAnsi="Times New Roman"/>
                <w:lang w:val="ru-RU"/>
              </w:rPr>
              <w:t xml:space="preserve">(275 </w:t>
            </w:r>
            <w:r w:rsidRPr="00A8783E">
              <w:rPr>
                <w:rFonts w:ascii="Times New Roman" w:hAnsi="Times New Roman"/>
                <w:lang w:val="en-US"/>
              </w:rPr>
              <w:t>ha</w:t>
            </w:r>
            <w:r w:rsidRPr="00A8783E">
              <w:rPr>
                <w:rFonts w:ascii="Times New Roman" w:hAnsi="Times New Roman"/>
                <w:lang w:val="ru-RU"/>
              </w:rPr>
              <w:t xml:space="preserve">) </w:t>
            </w:r>
            <w:r w:rsidRPr="00A8783E">
              <w:rPr>
                <w:rFonts w:ascii="Times New Roman" w:hAnsi="Times New Roman"/>
              </w:rPr>
              <w:t xml:space="preserve">и </w:t>
            </w:r>
            <w:r w:rsidRPr="00A8783E">
              <w:rPr>
                <w:rFonts w:ascii="Times New Roman" w:hAnsi="Times New Roman"/>
                <w:lang w:val="en-US"/>
              </w:rPr>
              <w:t>N</w:t>
            </w:r>
            <w:r w:rsidRPr="00A8783E">
              <w:rPr>
                <w:rFonts w:ascii="Times New Roman" w:hAnsi="Times New Roman"/>
                <w:lang w:val="ru-RU"/>
              </w:rPr>
              <w:t>07</w:t>
            </w:r>
            <w:r w:rsidRPr="00A8783E">
              <w:rPr>
                <w:rFonts w:ascii="Times New Roman" w:hAnsi="Times New Roman"/>
              </w:rPr>
              <w:t>-мочурища и блата</w:t>
            </w:r>
            <w:r w:rsidRPr="00A8783E">
              <w:rPr>
                <w:rFonts w:ascii="Times New Roman" w:hAnsi="Times New Roman"/>
                <w:lang w:val="ru-RU"/>
              </w:rPr>
              <w:t xml:space="preserve"> (565 </w:t>
            </w:r>
            <w:r w:rsidRPr="00A8783E">
              <w:rPr>
                <w:rFonts w:ascii="Times New Roman" w:hAnsi="Times New Roman"/>
                <w:lang w:val="en-US"/>
              </w:rPr>
              <w:t>ha</w:t>
            </w:r>
            <w:r w:rsidRPr="00A8783E">
              <w:rPr>
                <w:rFonts w:ascii="Times New Roman" w:hAnsi="Times New Roman"/>
                <w:lang w:val="ru-RU"/>
              </w:rPr>
              <w:t>)</w:t>
            </w:r>
            <w:r w:rsidRPr="00A8783E">
              <w:rPr>
                <w:rFonts w:ascii="Times New Roman" w:hAnsi="Times New Roman"/>
              </w:rPr>
              <w:t>.</w:t>
            </w:r>
          </w:p>
        </w:tc>
        <w:tc>
          <w:tcPr>
            <w:tcW w:w="2127" w:type="dxa"/>
          </w:tcPr>
          <w:p w:rsidR="00A8783E" w:rsidRPr="00A8783E" w:rsidRDefault="00A8783E" w:rsidP="00A8783E">
            <w:pPr>
              <w:spacing w:after="0" w:line="240" w:lineRule="auto"/>
              <w:jc w:val="both"/>
              <w:rPr>
                <w:rFonts w:ascii="Times New Roman" w:hAnsi="Times New Roman"/>
                <w:color w:val="0070C0"/>
              </w:rPr>
            </w:pPr>
            <w:r w:rsidRPr="00A8783E">
              <w:rPr>
                <w:rFonts w:ascii="Times New Roman" w:hAnsi="Times New Roman"/>
              </w:rPr>
              <w:t>Поддържане на водното ниво в езерото, така че да има достатъчно водни огледала, в които вида да се храни.</w:t>
            </w:r>
          </w:p>
        </w:tc>
      </w:tr>
      <w:tr w:rsidR="00A8783E" w:rsidRPr="00A8783E" w:rsidTr="005B5318">
        <w:trPr>
          <w:trHeight w:val="748"/>
          <w:jc w:val="center"/>
        </w:trPr>
        <w:tc>
          <w:tcPr>
            <w:tcW w:w="1559"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Местообитание на вида</w:t>
            </w:r>
            <w:r w:rsidRPr="00A8783E">
              <w:rPr>
                <w:rFonts w:ascii="Times New Roman" w:hAnsi="Times New Roman"/>
              </w:rPr>
              <w:t>: Екологично състояние на водните тела с хранителни местообитани</w:t>
            </w:r>
            <w:r w:rsidRPr="00A8783E">
              <w:rPr>
                <w:rFonts w:ascii="Times New Roman" w:hAnsi="Times New Roman"/>
              </w:rPr>
              <w:lastRenderedPageBreak/>
              <w:t>я на вида, по биологични елементи за качество (БЕК  Риби)</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5 степенна скала за екологично състояние, </w:t>
            </w:r>
            <w:r w:rsidRPr="00A8783E">
              <w:rPr>
                <w:rFonts w:ascii="Times New Roman" w:hAnsi="Times New Roman"/>
              </w:rPr>
              <w:lastRenderedPageBreak/>
              <w:t xml:space="preserve">съгласно РДВ </w:t>
            </w:r>
          </w:p>
        </w:tc>
        <w:tc>
          <w:tcPr>
            <w:tcW w:w="14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По-висока или равна на 2 – Добро състояние</w:t>
            </w:r>
          </w:p>
        </w:tc>
        <w:tc>
          <w:tcPr>
            <w:tcW w:w="3118" w:type="dxa"/>
          </w:tcPr>
          <w:tbl>
            <w:tblPr>
              <w:tblW w:w="3457" w:type="dxa"/>
              <w:tblInd w:w="3" w:type="dxa"/>
              <w:tblLayout w:type="fixed"/>
              <w:tblCellMar>
                <w:left w:w="70" w:type="dxa"/>
                <w:right w:w="70" w:type="dxa"/>
              </w:tblCellMar>
              <w:tblLook w:val="00A0" w:firstRow="1" w:lastRow="0" w:firstColumn="1" w:lastColumn="0" w:noHBand="0" w:noVBand="0"/>
            </w:tblPr>
            <w:tblGrid>
              <w:gridCol w:w="3457"/>
            </w:tblGrid>
            <w:tr w:rsidR="00A8783E" w:rsidRPr="00A8783E" w:rsidTr="005B5318">
              <w:trPr>
                <w:trHeight w:val="286"/>
              </w:trPr>
              <w:tc>
                <w:tcPr>
                  <w:tcW w:w="3457"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86"/>
              </w:trPr>
              <w:tc>
                <w:tcPr>
                  <w:tcW w:w="3457"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w:t>
                  </w:r>
                </w:p>
              </w:tc>
            </w:tr>
            <w:tr w:rsidR="00A8783E" w:rsidRPr="00A8783E" w:rsidTr="005B5318">
              <w:trPr>
                <w:trHeight w:val="286"/>
              </w:trPr>
              <w:tc>
                <w:tcPr>
                  <w:tcW w:w="3457"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2-Добро</w:t>
                  </w:r>
                </w:p>
              </w:tc>
            </w:tr>
            <w:tr w:rsidR="00A8783E" w:rsidRPr="00A8783E" w:rsidTr="005B5318">
              <w:trPr>
                <w:trHeight w:val="286"/>
              </w:trPr>
              <w:tc>
                <w:tcPr>
                  <w:tcW w:w="3457"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3-Умерено</w:t>
                  </w:r>
                </w:p>
              </w:tc>
            </w:tr>
            <w:tr w:rsidR="00A8783E" w:rsidRPr="00A8783E" w:rsidTr="005B5318">
              <w:trPr>
                <w:trHeight w:val="286"/>
              </w:trPr>
              <w:tc>
                <w:tcPr>
                  <w:tcW w:w="3457"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4-Лошо</w:t>
                  </w:r>
                </w:p>
              </w:tc>
            </w:tr>
            <w:tr w:rsidR="00A8783E" w:rsidRPr="00A8783E" w:rsidTr="005B5318">
              <w:trPr>
                <w:trHeight w:val="286"/>
              </w:trPr>
              <w:tc>
                <w:tcPr>
                  <w:tcW w:w="345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5-Много лошо</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Екологичното състояние на водите на р. Дунав по показател Риби в пункт Силистра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rPr>
              <w:t>3</w:t>
            </w:r>
            <w:r w:rsidRPr="00A8783E">
              <w:rPr>
                <w:rFonts w:ascii="Times New Roman" w:hAnsi="Times New Roman"/>
              </w:rPr>
              <w:t xml:space="preserve">), според доклада на </w:t>
            </w:r>
            <w:r w:rsidRPr="00A8783E">
              <w:rPr>
                <w:rFonts w:ascii="Times New Roman" w:hAnsi="Times New Roman"/>
                <w:lang w:val="en-GB"/>
              </w:rPr>
              <w:t>JDS</w:t>
            </w:r>
            <w:r w:rsidRPr="00A8783E">
              <w:rPr>
                <w:rFonts w:ascii="Times New Roman" w:hAnsi="Times New Roman"/>
                <w:lang w:val="ru-RU"/>
              </w:rPr>
              <w:t>4 (2019-2020).</w:t>
            </w:r>
            <w:r w:rsidRPr="00A8783E">
              <w:rPr>
                <w:rFonts w:ascii="Times New Roman" w:hAnsi="Times New Roman"/>
              </w:rPr>
              <w:t xml:space="preserve"> Екологичното състояние на водите на ез. Сребърна по показател Риби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lang w:val="ru-RU"/>
              </w:rPr>
              <w:t>(</w:t>
            </w:r>
            <w:r w:rsidRPr="00A8783E">
              <w:rPr>
                <w:rFonts w:ascii="Times New Roman" w:hAnsi="Times New Roman"/>
                <w:b/>
                <w:bCs/>
              </w:rPr>
              <w:t>3</w:t>
            </w:r>
            <w:r w:rsidRPr="00A8783E">
              <w:rPr>
                <w:rFonts w:ascii="Times New Roman" w:hAnsi="Times New Roman"/>
                <w:lang w:val="ru-RU"/>
              </w:rPr>
              <w:t>)</w:t>
            </w:r>
            <w:r w:rsidRPr="00A8783E">
              <w:rPr>
                <w:rFonts w:ascii="Times New Roman" w:hAnsi="Times New Roman"/>
              </w:rPr>
              <w:t xml:space="preserve">, според Протокол за пробонабиране на риби в езера </w:t>
            </w:r>
            <w:r w:rsidRPr="00A8783E">
              <w:rPr>
                <w:rFonts w:ascii="Times New Roman" w:hAnsi="Times New Roman"/>
                <w:lang w:val="ru-RU"/>
              </w:rPr>
              <w:t>(</w:t>
            </w:r>
            <w:r w:rsidRPr="00A8783E">
              <w:rPr>
                <w:rFonts w:ascii="Times New Roman" w:hAnsi="Times New Roman"/>
              </w:rPr>
              <w:t>2020</w:t>
            </w:r>
            <w:r w:rsidRPr="00A8783E">
              <w:rPr>
                <w:rFonts w:ascii="Times New Roman" w:hAnsi="Times New Roman"/>
                <w:lang w:val="ru-RU"/>
              </w:rPr>
              <w:t>).</w:t>
            </w:r>
          </w:p>
        </w:tc>
        <w:tc>
          <w:tcPr>
            <w:tcW w:w="212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Подобряване на екологичното състояние на водните тела с подходящи хранителни местообитания на </w:t>
            </w:r>
            <w:r w:rsidRPr="00A8783E">
              <w:rPr>
                <w:rFonts w:ascii="Times New Roman" w:hAnsi="Times New Roman"/>
              </w:rPr>
              <w:lastRenderedPageBreak/>
              <w:t>вида, до постигане на стойност по-висока или равна на 2 – Добро състояние.</w:t>
            </w:r>
          </w:p>
        </w:tc>
      </w:tr>
    </w:tbl>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lastRenderedPageBreak/>
        <w:t>6. Необходимост от промени в СФ за (СЗЗ) BG0000241 „Сребърна“</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 xml:space="preserve">Предвид наличната информация за настоящата численост на вида в защитената зона е необходима актуализация на СФ: </w:t>
      </w:r>
    </w:p>
    <w:p w:rsidR="00A8783E" w:rsidRPr="00A8783E" w:rsidRDefault="00A8783E" w:rsidP="00A8783E">
      <w:pPr>
        <w:numPr>
          <w:ilvl w:val="0"/>
          <w:numId w:val="31"/>
        </w:numPr>
        <w:spacing w:after="120" w:line="259" w:lineRule="auto"/>
        <w:jc w:val="both"/>
        <w:rPr>
          <w:rFonts w:ascii="Times New Roman" w:hAnsi="Times New Roman"/>
          <w:sz w:val="24"/>
          <w:szCs w:val="24"/>
        </w:rPr>
      </w:pPr>
      <w:r w:rsidRPr="00A8783E">
        <w:rPr>
          <w:rFonts w:ascii="Times New Roman" w:hAnsi="Times New Roman"/>
          <w:sz w:val="24"/>
          <w:szCs w:val="24"/>
        </w:rPr>
        <w:t>Промяна на кода (</w:t>
      </w:r>
      <w:r w:rsidRPr="00A8783E">
        <w:rPr>
          <w:rFonts w:ascii="Times New Roman" w:hAnsi="Times New Roman"/>
          <w:sz w:val="24"/>
          <w:szCs w:val="24"/>
          <w:lang w:val="en-GB"/>
        </w:rPr>
        <w:t>code</w:t>
      </w:r>
      <w:r w:rsidRPr="00A8783E">
        <w:rPr>
          <w:rFonts w:ascii="Times New Roman" w:hAnsi="Times New Roman"/>
          <w:sz w:val="24"/>
          <w:szCs w:val="24"/>
          <w:lang w:val="ru-RU"/>
        </w:rPr>
        <w:t xml:space="preserve">) </w:t>
      </w:r>
      <w:r w:rsidRPr="00A8783E">
        <w:rPr>
          <w:rFonts w:ascii="Times New Roman" w:hAnsi="Times New Roman"/>
          <w:sz w:val="24"/>
          <w:szCs w:val="24"/>
        </w:rPr>
        <w:t>и научното наименование на вида (</w:t>
      </w:r>
      <w:r w:rsidRPr="00A8783E">
        <w:rPr>
          <w:rFonts w:ascii="Times New Roman" w:hAnsi="Times New Roman"/>
          <w:sz w:val="24"/>
          <w:szCs w:val="24"/>
          <w:lang w:val="en-GB"/>
        </w:rPr>
        <w:t>scientific</w:t>
      </w:r>
      <w:r w:rsidRPr="00A8783E">
        <w:rPr>
          <w:rFonts w:ascii="Times New Roman" w:hAnsi="Times New Roman"/>
          <w:sz w:val="24"/>
          <w:szCs w:val="24"/>
          <w:lang w:val="ru-RU"/>
        </w:rPr>
        <w:t xml:space="preserve"> </w:t>
      </w:r>
      <w:r w:rsidRPr="00A8783E">
        <w:rPr>
          <w:rFonts w:ascii="Times New Roman" w:hAnsi="Times New Roman"/>
          <w:sz w:val="24"/>
          <w:szCs w:val="24"/>
          <w:lang w:val="en-GB"/>
        </w:rPr>
        <w:t>name</w:t>
      </w:r>
      <w:r w:rsidRPr="00A8783E">
        <w:rPr>
          <w:rFonts w:ascii="Times New Roman" w:hAnsi="Times New Roman"/>
          <w:sz w:val="24"/>
          <w:szCs w:val="24"/>
        </w:rPr>
        <w:t>)</w:t>
      </w:r>
      <w:r w:rsidRPr="00A8783E">
        <w:rPr>
          <w:rFonts w:ascii="Times New Roman" w:hAnsi="Times New Roman"/>
          <w:sz w:val="24"/>
          <w:szCs w:val="24"/>
          <w:lang w:val="ru-RU"/>
        </w:rPr>
        <w:t>,</w:t>
      </w:r>
      <w:r w:rsidRPr="00A8783E">
        <w:rPr>
          <w:rFonts w:ascii="Times New Roman" w:hAnsi="Times New Roman"/>
          <w:sz w:val="24"/>
          <w:szCs w:val="24"/>
        </w:rPr>
        <w:t xml:space="preserve"> съобразно актуалната номенклатура от Докладването по Чл. 12 от 2019 г.</w:t>
      </w:r>
    </w:p>
    <w:p w:rsidR="00A8783E" w:rsidRPr="00A8783E" w:rsidRDefault="00A8783E" w:rsidP="00A8783E">
      <w:pPr>
        <w:numPr>
          <w:ilvl w:val="0"/>
          <w:numId w:val="31"/>
        </w:numPr>
        <w:spacing w:before="120" w:after="120" w:line="259" w:lineRule="auto"/>
        <w:jc w:val="both"/>
        <w:rPr>
          <w:rFonts w:ascii="Times New Roman" w:hAnsi="Times New Roman"/>
          <w:color w:val="0070C0"/>
          <w:sz w:val="24"/>
          <w:szCs w:val="24"/>
        </w:rPr>
      </w:pPr>
      <w:r w:rsidRPr="00A8783E">
        <w:rPr>
          <w:rFonts w:ascii="Times New Roman" w:hAnsi="Times New Roman"/>
          <w:b/>
          <w:bCs/>
          <w:sz w:val="24"/>
          <w:szCs w:val="24"/>
        </w:rPr>
        <w:t>По отношение на мигриращата популация</w:t>
      </w:r>
      <w:r w:rsidRPr="00A8783E">
        <w:rPr>
          <w:rFonts w:ascii="Times New Roman" w:hAnsi="Times New Roman"/>
          <w:sz w:val="24"/>
          <w:szCs w:val="24"/>
        </w:rPr>
        <w:t xml:space="preserve">. Смятаме, че мигриращата численост е завишена, тъй като </w:t>
      </w:r>
      <w:r w:rsidRPr="00A8783E">
        <w:rPr>
          <w:rFonts w:ascii="Times New Roman" w:hAnsi="Times New Roman"/>
          <w:sz w:val="24"/>
          <w:szCs w:val="24"/>
          <w:lang w:val="en-US"/>
        </w:rPr>
        <w:t>Michev</w:t>
      </w:r>
      <w:r w:rsidRPr="00A8783E">
        <w:rPr>
          <w:rFonts w:ascii="Times New Roman" w:hAnsi="Times New Roman"/>
          <w:sz w:val="24"/>
          <w:szCs w:val="24"/>
          <w:lang w:val="ru-RU"/>
        </w:rPr>
        <w:t xml:space="preserve"> </w:t>
      </w:r>
      <w:r w:rsidRPr="00A8783E">
        <w:rPr>
          <w:rFonts w:ascii="Times New Roman" w:hAnsi="Times New Roman"/>
          <w:sz w:val="24"/>
          <w:szCs w:val="24"/>
          <w:lang w:val="en-US"/>
        </w:rPr>
        <w:t>and</w:t>
      </w:r>
      <w:r w:rsidRPr="00A8783E">
        <w:rPr>
          <w:rFonts w:ascii="Times New Roman" w:hAnsi="Times New Roman"/>
          <w:sz w:val="24"/>
          <w:szCs w:val="24"/>
          <w:lang w:val="ru-RU"/>
        </w:rPr>
        <w:t xml:space="preserve"> </w:t>
      </w:r>
      <w:r w:rsidRPr="00A8783E">
        <w:rPr>
          <w:rFonts w:ascii="Times New Roman" w:hAnsi="Times New Roman"/>
          <w:sz w:val="24"/>
          <w:szCs w:val="24"/>
          <w:lang w:val="en-US"/>
        </w:rPr>
        <w:t>Profirov</w:t>
      </w:r>
      <w:r w:rsidRPr="00A8783E">
        <w:rPr>
          <w:rFonts w:ascii="Times New Roman" w:hAnsi="Times New Roman"/>
          <w:sz w:val="24"/>
          <w:szCs w:val="24"/>
          <w:lang w:val="ru-RU"/>
        </w:rPr>
        <w:t xml:space="preserve"> (2003) </w:t>
      </w:r>
      <w:r w:rsidRPr="00A8783E">
        <w:rPr>
          <w:rFonts w:ascii="Times New Roman" w:hAnsi="Times New Roman"/>
          <w:sz w:val="24"/>
          <w:szCs w:val="24"/>
        </w:rPr>
        <w:t xml:space="preserve">установяват за Бургаските езера максимални числености от 2008 инд. през есента и 2862 инд. през пролетта. За средна Дунавска равнина Шурулинков и др. </w:t>
      </w:r>
      <w:r w:rsidRPr="00A8783E">
        <w:rPr>
          <w:rFonts w:ascii="Times New Roman" w:hAnsi="Times New Roman"/>
          <w:sz w:val="24"/>
          <w:szCs w:val="24"/>
          <w:lang w:val="ru-RU"/>
        </w:rPr>
        <w:t xml:space="preserve">(2005) </w:t>
      </w:r>
      <w:r w:rsidRPr="00A8783E">
        <w:rPr>
          <w:rFonts w:ascii="Times New Roman" w:hAnsi="Times New Roman"/>
          <w:sz w:val="24"/>
          <w:szCs w:val="24"/>
        </w:rPr>
        <w:t xml:space="preserve">отчита ята мигриращи малки корморани от 50-150 инд. Ето защо предлагаме числеността да бъде променена на </w:t>
      </w:r>
      <w:r w:rsidRPr="00A8783E">
        <w:rPr>
          <w:rFonts w:ascii="Times New Roman" w:hAnsi="Times New Roman"/>
          <w:b/>
          <w:bCs/>
          <w:sz w:val="24"/>
          <w:szCs w:val="24"/>
        </w:rPr>
        <w:t>2-200 инд</w:t>
      </w:r>
      <w:r w:rsidRPr="00A8783E">
        <w:rPr>
          <w:rFonts w:ascii="Times New Roman" w:hAnsi="Times New Roman"/>
          <w:sz w:val="24"/>
          <w:szCs w:val="24"/>
        </w:rPr>
        <w:t>.</w:t>
      </w:r>
    </w:p>
    <w:p w:rsidR="00A8783E" w:rsidRPr="00A8783E" w:rsidRDefault="00A8783E" w:rsidP="00A8783E">
      <w:pPr>
        <w:numPr>
          <w:ilvl w:val="0"/>
          <w:numId w:val="31"/>
        </w:numPr>
        <w:spacing w:after="160" w:line="259" w:lineRule="auto"/>
        <w:jc w:val="both"/>
        <w:rPr>
          <w:rFonts w:ascii="Times New Roman" w:hAnsi="Times New Roman"/>
          <w:sz w:val="24"/>
          <w:szCs w:val="24"/>
        </w:rPr>
      </w:pPr>
      <w:r w:rsidRPr="00A8783E">
        <w:rPr>
          <w:rFonts w:ascii="Times New Roman" w:hAnsi="Times New Roman"/>
          <w:b/>
          <w:bCs/>
          <w:sz w:val="24"/>
          <w:szCs w:val="24"/>
        </w:rPr>
        <w:t>По отношение на зимуващата популация</w:t>
      </w:r>
      <w:r w:rsidRPr="00A8783E">
        <w:rPr>
          <w:rFonts w:ascii="Times New Roman" w:hAnsi="Times New Roman"/>
          <w:sz w:val="24"/>
          <w:szCs w:val="24"/>
        </w:rPr>
        <w:t xml:space="preserve">. На базата на всички данни посочени по-горе, смятаме, че максималната зимуваща численост за зоната е много завишена. Предлагаме да бъде посочена численост </w:t>
      </w:r>
      <w:r w:rsidRPr="00A8783E">
        <w:rPr>
          <w:rFonts w:ascii="Times New Roman" w:hAnsi="Times New Roman"/>
          <w:b/>
          <w:bCs/>
          <w:sz w:val="24"/>
          <w:szCs w:val="24"/>
        </w:rPr>
        <w:t>2-700 инд</w:t>
      </w:r>
      <w:r w:rsidRPr="00A8783E">
        <w:rPr>
          <w:rFonts w:ascii="Times New Roman" w:hAnsi="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
        <w:gridCol w:w="665"/>
        <w:gridCol w:w="1172"/>
        <w:gridCol w:w="333"/>
        <w:gridCol w:w="489"/>
        <w:gridCol w:w="366"/>
        <w:gridCol w:w="576"/>
        <w:gridCol w:w="609"/>
        <w:gridCol w:w="598"/>
        <w:gridCol w:w="581"/>
        <w:gridCol w:w="841"/>
        <w:gridCol w:w="953"/>
        <w:gridCol w:w="626"/>
        <w:gridCol w:w="526"/>
        <w:gridCol w:w="578"/>
      </w:tblGrid>
      <w:tr w:rsidR="00A8783E" w:rsidRPr="00A8783E" w:rsidTr="005B5318">
        <w:trPr>
          <w:jc w:val="center"/>
        </w:trPr>
        <w:tc>
          <w:tcPr>
            <w:tcW w:w="1633" w:type="pct"/>
            <w:gridSpan w:val="5"/>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Species</w:t>
            </w:r>
          </w:p>
        </w:tc>
        <w:tc>
          <w:tcPr>
            <w:tcW w:w="1922" w:type="pct"/>
            <w:gridSpan w:val="6"/>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Population in the site</w:t>
            </w:r>
          </w:p>
        </w:tc>
        <w:tc>
          <w:tcPr>
            <w:tcW w:w="1445" w:type="pct"/>
            <w:gridSpan w:val="4"/>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Site assessment</w:t>
            </w:r>
          </w:p>
        </w:tc>
      </w:tr>
      <w:tr w:rsidR="00A8783E" w:rsidRPr="00A8783E" w:rsidTr="005B5318">
        <w:trPr>
          <w:jc w:val="center"/>
        </w:trPr>
        <w:tc>
          <w:tcPr>
            <w:tcW w:w="202"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G</w:t>
            </w:r>
          </w:p>
        </w:tc>
        <w:tc>
          <w:tcPr>
            <w:tcW w:w="358"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Code</w:t>
            </w:r>
          </w:p>
        </w:tc>
        <w:tc>
          <w:tcPr>
            <w:tcW w:w="631"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Scientific Name</w:t>
            </w:r>
          </w:p>
        </w:tc>
        <w:tc>
          <w:tcPr>
            <w:tcW w:w="179"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S</w:t>
            </w:r>
          </w:p>
        </w:tc>
        <w:tc>
          <w:tcPr>
            <w:tcW w:w="262"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NP</w:t>
            </w:r>
          </w:p>
        </w:tc>
        <w:tc>
          <w:tcPr>
            <w:tcW w:w="197"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T</w:t>
            </w:r>
          </w:p>
        </w:tc>
        <w:tc>
          <w:tcPr>
            <w:tcW w:w="638" w:type="pct"/>
            <w:gridSpan w:val="2"/>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Size</w:t>
            </w:r>
          </w:p>
        </w:tc>
        <w:tc>
          <w:tcPr>
            <w:tcW w:w="322"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Unit</w:t>
            </w:r>
          </w:p>
        </w:tc>
        <w:tc>
          <w:tcPr>
            <w:tcW w:w="313"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Cat.</w:t>
            </w:r>
          </w:p>
        </w:tc>
        <w:tc>
          <w:tcPr>
            <w:tcW w:w="453"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D.qual.</w:t>
            </w:r>
          </w:p>
        </w:tc>
        <w:tc>
          <w:tcPr>
            <w:tcW w:w="513" w:type="pc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A/B/C/D</w:t>
            </w:r>
          </w:p>
        </w:tc>
        <w:tc>
          <w:tcPr>
            <w:tcW w:w="932" w:type="pct"/>
            <w:gridSpan w:val="3"/>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A/B/C</w:t>
            </w:r>
          </w:p>
        </w:tc>
      </w:tr>
      <w:tr w:rsidR="00A8783E" w:rsidRPr="00A8783E" w:rsidTr="005B5318">
        <w:trPr>
          <w:jc w:val="center"/>
        </w:trPr>
        <w:tc>
          <w:tcPr>
            <w:tcW w:w="202" w:type="pct"/>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p>
        </w:tc>
        <w:tc>
          <w:tcPr>
            <w:tcW w:w="358" w:type="pct"/>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p>
        </w:tc>
        <w:tc>
          <w:tcPr>
            <w:tcW w:w="631" w:type="pct"/>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p>
        </w:tc>
        <w:tc>
          <w:tcPr>
            <w:tcW w:w="179" w:type="pct"/>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p>
        </w:tc>
        <w:tc>
          <w:tcPr>
            <w:tcW w:w="262" w:type="pct"/>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p>
        </w:tc>
        <w:tc>
          <w:tcPr>
            <w:tcW w:w="197" w:type="pct"/>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p>
        </w:tc>
        <w:tc>
          <w:tcPr>
            <w:tcW w:w="310" w:type="pc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Min</w:t>
            </w:r>
          </w:p>
        </w:tc>
        <w:tc>
          <w:tcPr>
            <w:tcW w:w="328" w:type="pc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Max</w:t>
            </w:r>
          </w:p>
        </w:tc>
        <w:tc>
          <w:tcPr>
            <w:tcW w:w="322" w:type="pct"/>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p>
        </w:tc>
        <w:tc>
          <w:tcPr>
            <w:tcW w:w="313" w:type="pct"/>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p>
        </w:tc>
        <w:tc>
          <w:tcPr>
            <w:tcW w:w="453" w:type="pct"/>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p>
        </w:tc>
        <w:tc>
          <w:tcPr>
            <w:tcW w:w="513" w:type="pc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Pop.</w:t>
            </w:r>
          </w:p>
        </w:tc>
        <w:tc>
          <w:tcPr>
            <w:tcW w:w="337" w:type="pc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Con.</w:t>
            </w:r>
          </w:p>
        </w:tc>
        <w:tc>
          <w:tcPr>
            <w:tcW w:w="283" w:type="pc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Iso.</w:t>
            </w:r>
          </w:p>
        </w:tc>
        <w:tc>
          <w:tcPr>
            <w:tcW w:w="313" w:type="pc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20"/>
              </w:rPr>
            </w:pPr>
            <w:r w:rsidRPr="00A8783E">
              <w:rPr>
                <w:rFonts w:ascii="Times New Roman" w:hAnsi="Times New Roman"/>
                <w:b/>
                <w:bCs/>
                <w:color w:val="000000"/>
                <w:sz w:val="18"/>
                <w:szCs w:val="20"/>
              </w:rPr>
              <w:t>Glo.</w:t>
            </w:r>
          </w:p>
        </w:tc>
      </w:tr>
      <w:tr w:rsidR="00A8783E" w:rsidRPr="00A8783E" w:rsidTr="005B5318">
        <w:trPr>
          <w:trHeight w:val="295"/>
          <w:jc w:val="center"/>
        </w:trPr>
        <w:tc>
          <w:tcPr>
            <w:tcW w:w="202" w:type="pct"/>
            <w:vAlign w:val="center"/>
          </w:tcPr>
          <w:p w:rsidR="00A8783E" w:rsidRPr="00A8783E" w:rsidRDefault="00A8783E" w:rsidP="00A8783E">
            <w:pPr>
              <w:spacing w:after="0" w:line="240" w:lineRule="auto"/>
              <w:rPr>
                <w:rFonts w:ascii="Times New Roman" w:hAnsi="Times New Roman"/>
                <w:b/>
                <w:bCs/>
                <w:color w:val="000000"/>
                <w:sz w:val="20"/>
                <w:szCs w:val="20"/>
              </w:rPr>
            </w:pPr>
            <w:r w:rsidRPr="00A8783E">
              <w:rPr>
                <w:rFonts w:ascii="Times New Roman" w:hAnsi="Times New Roman"/>
                <w:b/>
                <w:bCs/>
                <w:color w:val="000000"/>
                <w:sz w:val="20"/>
                <w:szCs w:val="20"/>
              </w:rPr>
              <w:t>В</w:t>
            </w:r>
          </w:p>
        </w:tc>
        <w:tc>
          <w:tcPr>
            <w:tcW w:w="358" w:type="pct"/>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lang w:val="en-GB"/>
              </w:rPr>
              <w:t>A875</w:t>
            </w:r>
          </w:p>
        </w:tc>
        <w:tc>
          <w:tcPr>
            <w:tcW w:w="631" w:type="pct"/>
            <w:vAlign w:val="center"/>
          </w:tcPr>
          <w:p w:rsidR="00A8783E" w:rsidRPr="00A8783E" w:rsidRDefault="00A8783E" w:rsidP="00A8783E">
            <w:pPr>
              <w:spacing w:after="0" w:line="240" w:lineRule="auto"/>
              <w:rPr>
                <w:rFonts w:ascii="Times New Roman" w:hAnsi="Times New Roman"/>
                <w:i/>
                <w:iCs/>
                <w:sz w:val="20"/>
                <w:szCs w:val="20"/>
                <w:lang w:val="en-US"/>
              </w:rPr>
            </w:pPr>
            <w:r w:rsidRPr="00A8783E">
              <w:rPr>
                <w:rFonts w:ascii="Times New Roman" w:hAnsi="Times New Roman"/>
                <w:i/>
                <w:iCs/>
                <w:sz w:val="20"/>
                <w:szCs w:val="20"/>
                <w:lang w:val="en-GB"/>
              </w:rPr>
              <w:t>Microcarbo pygmaeus</w:t>
            </w:r>
          </w:p>
        </w:tc>
        <w:tc>
          <w:tcPr>
            <w:tcW w:w="179" w:type="pct"/>
            <w:vAlign w:val="center"/>
          </w:tcPr>
          <w:p w:rsidR="00A8783E" w:rsidRPr="00A8783E" w:rsidRDefault="00A8783E" w:rsidP="00A8783E">
            <w:pPr>
              <w:spacing w:after="0" w:line="240" w:lineRule="auto"/>
              <w:rPr>
                <w:rFonts w:ascii="Times New Roman" w:hAnsi="Times New Roman"/>
                <w:b/>
                <w:bCs/>
                <w:color w:val="000000"/>
                <w:sz w:val="20"/>
                <w:szCs w:val="20"/>
              </w:rPr>
            </w:pPr>
          </w:p>
        </w:tc>
        <w:tc>
          <w:tcPr>
            <w:tcW w:w="262" w:type="pct"/>
            <w:vAlign w:val="center"/>
          </w:tcPr>
          <w:p w:rsidR="00A8783E" w:rsidRPr="00A8783E" w:rsidRDefault="00A8783E" w:rsidP="00A8783E">
            <w:pPr>
              <w:spacing w:after="0" w:line="240" w:lineRule="auto"/>
              <w:rPr>
                <w:rFonts w:ascii="Times New Roman" w:hAnsi="Times New Roman"/>
                <w:b/>
                <w:bCs/>
                <w:sz w:val="20"/>
                <w:szCs w:val="20"/>
              </w:rPr>
            </w:pPr>
          </w:p>
        </w:tc>
        <w:tc>
          <w:tcPr>
            <w:tcW w:w="197"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w</w:t>
            </w:r>
          </w:p>
        </w:tc>
        <w:tc>
          <w:tcPr>
            <w:tcW w:w="310" w:type="pct"/>
            <w:vAlign w:val="center"/>
          </w:tcPr>
          <w:p w:rsidR="00A8783E" w:rsidRPr="00A8783E" w:rsidRDefault="00A8783E" w:rsidP="00A8783E">
            <w:pPr>
              <w:spacing w:after="0" w:line="240"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2</w:t>
            </w:r>
          </w:p>
        </w:tc>
        <w:tc>
          <w:tcPr>
            <w:tcW w:w="328" w:type="pct"/>
            <w:vAlign w:val="center"/>
          </w:tcPr>
          <w:p w:rsidR="00A8783E" w:rsidRPr="00A8783E" w:rsidRDefault="00A8783E" w:rsidP="00A8783E">
            <w:pPr>
              <w:spacing w:after="0" w:line="240"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700</w:t>
            </w:r>
          </w:p>
        </w:tc>
        <w:tc>
          <w:tcPr>
            <w:tcW w:w="322"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i</w:t>
            </w:r>
          </w:p>
        </w:tc>
        <w:tc>
          <w:tcPr>
            <w:tcW w:w="313" w:type="pct"/>
            <w:vAlign w:val="center"/>
          </w:tcPr>
          <w:p w:rsidR="00A8783E" w:rsidRPr="00A8783E" w:rsidRDefault="00A8783E" w:rsidP="00A8783E">
            <w:pPr>
              <w:spacing w:after="0" w:line="240" w:lineRule="auto"/>
              <w:rPr>
                <w:rFonts w:ascii="Times New Roman" w:hAnsi="Times New Roman"/>
                <w:sz w:val="20"/>
                <w:szCs w:val="20"/>
              </w:rPr>
            </w:pPr>
          </w:p>
        </w:tc>
        <w:tc>
          <w:tcPr>
            <w:tcW w:w="453" w:type="pct"/>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G</w:t>
            </w:r>
          </w:p>
        </w:tc>
        <w:tc>
          <w:tcPr>
            <w:tcW w:w="513"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c>
          <w:tcPr>
            <w:tcW w:w="337"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c>
          <w:tcPr>
            <w:tcW w:w="283" w:type="pct"/>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C</w:t>
            </w:r>
          </w:p>
        </w:tc>
        <w:tc>
          <w:tcPr>
            <w:tcW w:w="313"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r>
      <w:tr w:rsidR="00A8783E" w:rsidRPr="00A8783E" w:rsidTr="005B5318">
        <w:trPr>
          <w:trHeight w:val="295"/>
          <w:jc w:val="center"/>
        </w:trPr>
        <w:tc>
          <w:tcPr>
            <w:tcW w:w="202" w:type="pct"/>
            <w:vAlign w:val="center"/>
          </w:tcPr>
          <w:p w:rsidR="00A8783E" w:rsidRPr="00A8783E" w:rsidRDefault="00A8783E" w:rsidP="00A8783E">
            <w:pPr>
              <w:spacing w:after="0" w:line="240" w:lineRule="auto"/>
              <w:rPr>
                <w:rFonts w:ascii="Times New Roman" w:hAnsi="Times New Roman"/>
                <w:b/>
                <w:bCs/>
                <w:color w:val="000000"/>
                <w:sz w:val="20"/>
                <w:szCs w:val="20"/>
              </w:rPr>
            </w:pPr>
            <w:r w:rsidRPr="00A8783E">
              <w:rPr>
                <w:rFonts w:ascii="Times New Roman" w:hAnsi="Times New Roman"/>
                <w:b/>
                <w:bCs/>
                <w:color w:val="000000"/>
                <w:sz w:val="20"/>
                <w:szCs w:val="20"/>
              </w:rPr>
              <w:t>В</w:t>
            </w:r>
          </w:p>
        </w:tc>
        <w:tc>
          <w:tcPr>
            <w:tcW w:w="358" w:type="pct"/>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lang w:val="en-GB"/>
              </w:rPr>
              <w:t>A875</w:t>
            </w:r>
          </w:p>
        </w:tc>
        <w:tc>
          <w:tcPr>
            <w:tcW w:w="631" w:type="pct"/>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i/>
                <w:iCs/>
                <w:sz w:val="20"/>
                <w:szCs w:val="20"/>
                <w:lang w:val="en-GB"/>
              </w:rPr>
              <w:t>Microcarbo pygmaeus</w:t>
            </w:r>
          </w:p>
        </w:tc>
        <w:tc>
          <w:tcPr>
            <w:tcW w:w="179" w:type="pct"/>
            <w:vAlign w:val="center"/>
          </w:tcPr>
          <w:p w:rsidR="00A8783E" w:rsidRPr="00A8783E" w:rsidRDefault="00A8783E" w:rsidP="00A8783E">
            <w:pPr>
              <w:spacing w:after="0" w:line="240" w:lineRule="auto"/>
              <w:rPr>
                <w:rFonts w:ascii="Times New Roman" w:hAnsi="Times New Roman"/>
                <w:b/>
                <w:bCs/>
                <w:color w:val="000000"/>
                <w:sz w:val="20"/>
                <w:szCs w:val="20"/>
              </w:rPr>
            </w:pPr>
          </w:p>
        </w:tc>
        <w:tc>
          <w:tcPr>
            <w:tcW w:w="262" w:type="pct"/>
            <w:vAlign w:val="center"/>
          </w:tcPr>
          <w:p w:rsidR="00A8783E" w:rsidRPr="00A8783E" w:rsidRDefault="00A8783E" w:rsidP="00A8783E">
            <w:pPr>
              <w:spacing w:after="0" w:line="240" w:lineRule="auto"/>
              <w:rPr>
                <w:rFonts w:ascii="Times New Roman" w:hAnsi="Times New Roman"/>
                <w:b/>
                <w:bCs/>
                <w:color w:val="000000"/>
                <w:sz w:val="20"/>
                <w:szCs w:val="20"/>
              </w:rPr>
            </w:pPr>
          </w:p>
        </w:tc>
        <w:tc>
          <w:tcPr>
            <w:tcW w:w="197"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r</w:t>
            </w:r>
          </w:p>
        </w:tc>
        <w:tc>
          <w:tcPr>
            <w:tcW w:w="310" w:type="pct"/>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150</w:t>
            </w:r>
          </w:p>
        </w:tc>
        <w:tc>
          <w:tcPr>
            <w:tcW w:w="328" w:type="pct"/>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350</w:t>
            </w:r>
          </w:p>
        </w:tc>
        <w:tc>
          <w:tcPr>
            <w:tcW w:w="322"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p</w:t>
            </w:r>
          </w:p>
        </w:tc>
        <w:tc>
          <w:tcPr>
            <w:tcW w:w="313" w:type="pct"/>
            <w:vAlign w:val="center"/>
          </w:tcPr>
          <w:p w:rsidR="00A8783E" w:rsidRPr="00A8783E" w:rsidRDefault="00A8783E" w:rsidP="00A8783E">
            <w:pPr>
              <w:spacing w:after="0" w:line="240" w:lineRule="auto"/>
              <w:rPr>
                <w:rFonts w:ascii="Times New Roman" w:hAnsi="Times New Roman"/>
                <w:sz w:val="20"/>
                <w:szCs w:val="20"/>
              </w:rPr>
            </w:pPr>
          </w:p>
        </w:tc>
        <w:tc>
          <w:tcPr>
            <w:tcW w:w="453" w:type="pct"/>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G</w:t>
            </w:r>
          </w:p>
        </w:tc>
        <w:tc>
          <w:tcPr>
            <w:tcW w:w="513"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c>
          <w:tcPr>
            <w:tcW w:w="337"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c>
          <w:tcPr>
            <w:tcW w:w="283" w:type="pct"/>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C</w:t>
            </w:r>
          </w:p>
        </w:tc>
        <w:tc>
          <w:tcPr>
            <w:tcW w:w="313"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r>
      <w:tr w:rsidR="00A8783E" w:rsidRPr="00A8783E" w:rsidTr="005B5318">
        <w:trPr>
          <w:trHeight w:val="295"/>
          <w:jc w:val="center"/>
        </w:trPr>
        <w:tc>
          <w:tcPr>
            <w:tcW w:w="202" w:type="pct"/>
            <w:vAlign w:val="center"/>
          </w:tcPr>
          <w:p w:rsidR="00A8783E" w:rsidRPr="00A8783E" w:rsidRDefault="00A8783E" w:rsidP="00A8783E">
            <w:pPr>
              <w:spacing w:after="0" w:line="240" w:lineRule="auto"/>
              <w:rPr>
                <w:rFonts w:ascii="Times New Roman" w:hAnsi="Times New Roman"/>
                <w:b/>
                <w:bCs/>
                <w:color w:val="000000"/>
                <w:sz w:val="20"/>
                <w:szCs w:val="20"/>
              </w:rPr>
            </w:pPr>
            <w:r w:rsidRPr="00A8783E">
              <w:rPr>
                <w:rFonts w:ascii="Times New Roman" w:hAnsi="Times New Roman"/>
                <w:b/>
                <w:bCs/>
                <w:color w:val="000000"/>
                <w:sz w:val="20"/>
                <w:szCs w:val="20"/>
              </w:rPr>
              <w:t>В</w:t>
            </w:r>
          </w:p>
        </w:tc>
        <w:tc>
          <w:tcPr>
            <w:tcW w:w="358" w:type="pct"/>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lang w:val="en-GB"/>
              </w:rPr>
              <w:t>A875</w:t>
            </w:r>
          </w:p>
        </w:tc>
        <w:tc>
          <w:tcPr>
            <w:tcW w:w="631" w:type="pct"/>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i/>
                <w:iCs/>
                <w:sz w:val="20"/>
                <w:szCs w:val="20"/>
                <w:lang w:val="en-GB"/>
              </w:rPr>
              <w:t>Microcarbo pygmaeus</w:t>
            </w:r>
          </w:p>
        </w:tc>
        <w:tc>
          <w:tcPr>
            <w:tcW w:w="179" w:type="pct"/>
            <w:vAlign w:val="center"/>
          </w:tcPr>
          <w:p w:rsidR="00A8783E" w:rsidRPr="00A8783E" w:rsidRDefault="00A8783E" w:rsidP="00A8783E">
            <w:pPr>
              <w:spacing w:after="0" w:line="240" w:lineRule="auto"/>
              <w:rPr>
                <w:rFonts w:ascii="Times New Roman" w:hAnsi="Times New Roman"/>
                <w:b/>
                <w:bCs/>
                <w:color w:val="000000"/>
                <w:sz w:val="20"/>
                <w:szCs w:val="20"/>
              </w:rPr>
            </w:pPr>
          </w:p>
        </w:tc>
        <w:tc>
          <w:tcPr>
            <w:tcW w:w="262" w:type="pct"/>
            <w:vAlign w:val="center"/>
          </w:tcPr>
          <w:p w:rsidR="00A8783E" w:rsidRPr="00A8783E" w:rsidRDefault="00A8783E" w:rsidP="00A8783E">
            <w:pPr>
              <w:spacing w:after="0" w:line="240" w:lineRule="auto"/>
              <w:rPr>
                <w:rFonts w:ascii="Times New Roman" w:hAnsi="Times New Roman"/>
                <w:b/>
                <w:bCs/>
                <w:color w:val="000000"/>
                <w:sz w:val="20"/>
                <w:szCs w:val="20"/>
              </w:rPr>
            </w:pPr>
          </w:p>
        </w:tc>
        <w:tc>
          <w:tcPr>
            <w:tcW w:w="197"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c</w:t>
            </w:r>
          </w:p>
        </w:tc>
        <w:tc>
          <w:tcPr>
            <w:tcW w:w="310" w:type="pct"/>
            <w:vAlign w:val="center"/>
          </w:tcPr>
          <w:p w:rsidR="00A8783E" w:rsidRPr="00A8783E" w:rsidRDefault="00A8783E" w:rsidP="00A8783E">
            <w:pPr>
              <w:spacing w:after="0" w:line="240"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2</w:t>
            </w:r>
          </w:p>
        </w:tc>
        <w:tc>
          <w:tcPr>
            <w:tcW w:w="328" w:type="pct"/>
            <w:vAlign w:val="center"/>
          </w:tcPr>
          <w:p w:rsidR="00A8783E" w:rsidRPr="00A8783E" w:rsidRDefault="00A8783E" w:rsidP="00A8783E">
            <w:pPr>
              <w:spacing w:after="0" w:line="240" w:lineRule="auto"/>
              <w:rPr>
                <w:rFonts w:ascii="Times New Roman" w:hAnsi="Times New Roman"/>
                <w:b/>
                <w:bCs/>
                <w:color w:val="FF0000"/>
                <w:sz w:val="20"/>
                <w:szCs w:val="20"/>
                <w:lang w:val="en-US"/>
              </w:rPr>
            </w:pPr>
            <w:r w:rsidRPr="00A8783E">
              <w:rPr>
                <w:rFonts w:ascii="Times New Roman" w:hAnsi="Times New Roman"/>
                <w:b/>
                <w:bCs/>
                <w:color w:val="FF0000"/>
                <w:sz w:val="20"/>
                <w:szCs w:val="20"/>
                <w:lang w:val="en-US"/>
              </w:rPr>
              <w:t>200</w:t>
            </w:r>
          </w:p>
        </w:tc>
        <w:tc>
          <w:tcPr>
            <w:tcW w:w="322" w:type="pct"/>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lang w:val="en-US"/>
              </w:rPr>
              <w:t>i</w:t>
            </w:r>
          </w:p>
        </w:tc>
        <w:tc>
          <w:tcPr>
            <w:tcW w:w="313" w:type="pct"/>
            <w:vAlign w:val="center"/>
          </w:tcPr>
          <w:p w:rsidR="00A8783E" w:rsidRPr="00A8783E" w:rsidRDefault="00A8783E" w:rsidP="00A8783E">
            <w:pPr>
              <w:spacing w:after="0" w:line="240" w:lineRule="auto"/>
              <w:rPr>
                <w:rFonts w:ascii="Times New Roman" w:hAnsi="Times New Roman"/>
                <w:sz w:val="20"/>
                <w:szCs w:val="20"/>
              </w:rPr>
            </w:pPr>
          </w:p>
        </w:tc>
        <w:tc>
          <w:tcPr>
            <w:tcW w:w="453"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G</w:t>
            </w:r>
          </w:p>
        </w:tc>
        <w:tc>
          <w:tcPr>
            <w:tcW w:w="513"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c>
          <w:tcPr>
            <w:tcW w:w="337"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c>
          <w:tcPr>
            <w:tcW w:w="283" w:type="pct"/>
            <w:vAlign w:val="center"/>
          </w:tcPr>
          <w:p w:rsidR="00A8783E" w:rsidRPr="00A8783E" w:rsidRDefault="00A8783E" w:rsidP="00A8783E">
            <w:pPr>
              <w:spacing w:after="0" w:line="240" w:lineRule="auto"/>
              <w:rPr>
                <w:rFonts w:ascii="Times New Roman" w:hAnsi="Times New Roman"/>
                <w:sz w:val="20"/>
                <w:szCs w:val="20"/>
              </w:rPr>
            </w:pPr>
            <w:r w:rsidRPr="00A8783E">
              <w:rPr>
                <w:rFonts w:ascii="Times New Roman" w:hAnsi="Times New Roman"/>
                <w:sz w:val="20"/>
                <w:szCs w:val="20"/>
              </w:rPr>
              <w:t>C</w:t>
            </w:r>
          </w:p>
        </w:tc>
        <w:tc>
          <w:tcPr>
            <w:tcW w:w="313" w:type="pct"/>
            <w:vAlign w:val="center"/>
          </w:tcPr>
          <w:p w:rsidR="00A8783E" w:rsidRPr="00A8783E" w:rsidRDefault="00A8783E" w:rsidP="00A8783E">
            <w:pPr>
              <w:spacing w:after="0" w:line="240" w:lineRule="auto"/>
              <w:rPr>
                <w:rFonts w:ascii="Times New Roman" w:hAnsi="Times New Roman"/>
                <w:sz w:val="20"/>
                <w:szCs w:val="20"/>
                <w:lang w:val="en-US"/>
              </w:rPr>
            </w:pPr>
            <w:r w:rsidRPr="00A8783E">
              <w:rPr>
                <w:rFonts w:ascii="Times New Roman" w:hAnsi="Times New Roman"/>
                <w:sz w:val="20"/>
                <w:szCs w:val="20"/>
                <w:lang w:val="en-US"/>
              </w:rPr>
              <w:t>A</w:t>
            </w:r>
          </w:p>
        </w:tc>
      </w:tr>
    </w:tbl>
    <w:p w:rsidR="00A8783E" w:rsidRPr="00A8783E" w:rsidRDefault="00A8783E" w:rsidP="00A8783E">
      <w:pPr>
        <w:spacing w:before="120" w:after="120" w:line="259" w:lineRule="auto"/>
        <w:jc w:val="both"/>
        <w:rPr>
          <w:rFonts w:ascii="Times New Roman" w:hAnsi="Times New Roman"/>
          <w:color w:val="000000"/>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522" w:name="_Toc87467282"/>
      <w:bookmarkStart w:id="523" w:name="_Toc87692199"/>
      <w:bookmarkStart w:id="524" w:name="_Toc88865743"/>
      <w:bookmarkStart w:id="525" w:name="_Toc89106153"/>
      <w:bookmarkStart w:id="526" w:name="_Toc98741992"/>
      <w:bookmarkStart w:id="527" w:name="_Toc98838667"/>
      <w:r w:rsidRPr="00A8783E">
        <w:rPr>
          <w:rFonts w:ascii="Times New Roman" w:hAnsi="Times New Roman"/>
          <w:color w:val="1F497D"/>
          <w:sz w:val="28"/>
          <w:szCs w:val="28"/>
        </w:rPr>
        <w:t>Специфични цели за А</w:t>
      </w:r>
      <w:r w:rsidRPr="00A8783E">
        <w:rPr>
          <w:rFonts w:ascii="Times New Roman" w:hAnsi="Times New Roman"/>
          <w:color w:val="1F497D"/>
          <w:sz w:val="28"/>
          <w:szCs w:val="28"/>
          <w:lang w:val="ru-RU"/>
        </w:rPr>
        <w:t>396</w:t>
      </w:r>
      <w:r w:rsidRPr="00A8783E">
        <w:rPr>
          <w:rFonts w:ascii="Times New Roman" w:hAnsi="Times New Roman"/>
          <w:color w:val="1F497D"/>
          <w:sz w:val="28"/>
          <w:szCs w:val="28"/>
        </w:rPr>
        <w:t xml:space="preserve"> </w:t>
      </w:r>
      <w:r w:rsidRPr="00A8783E">
        <w:rPr>
          <w:rFonts w:ascii="Times New Roman" w:hAnsi="Times New Roman"/>
          <w:i/>
          <w:iCs/>
          <w:color w:val="1F497D"/>
          <w:sz w:val="28"/>
          <w:szCs w:val="28"/>
          <w:lang w:val="en-GB"/>
        </w:rPr>
        <w:t>Branta</w:t>
      </w:r>
      <w:r w:rsidRPr="00A8783E">
        <w:rPr>
          <w:rFonts w:ascii="Times New Roman" w:hAnsi="Times New Roman"/>
          <w:i/>
          <w:iCs/>
          <w:color w:val="1F497D"/>
          <w:sz w:val="28"/>
          <w:szCs w:val="28"/>
          <w:lang w:val="ru-RU"/>
        </w:rPr>
        <w:t xml:space="preserve"> </w:t>
      </w:r>
      <w:r w:rsidRPr="00A8783E">
        <w:rPr>
          <w:rFonts w:ascii="Times New Roman" w:hAnsi="Times New Roman"/>
          <w:i/>
          <w:iCs/>
          <w:color w:val="1F497D"/>
          <w:sz w:val="28"/>
          <w:szCs w:val="28"/>
          <w:lang w:val="en-GB"/>
        </w:rPr>
        <w:t>ruficollis</w:t>
      </w:r>
      <w:r w:rsidRPr="00A8783E">
        <w:rPr>
          <w:rFonts w:ascii="Times New Roman" w:hAnsi="Times New Roman"/>
          <w:color w:val="1F497D"/>
          <w:sz w:val="28"/>
          <w:szCs w:val="28"/>
        </w:rPr>
        <w:t xml:space="preserve"> (червеногуша гъска)</w:t>
      </w:r>
      <w:bookmarkEnd w:id="522"/>
      <w:bookmarkEnd w:id="523"/>
      <w:bookmarkEnd w:id="524"/>
      <w:bookmarkEnd w:id="525"/>
      <w:bookmarkEnd w:id="526"/>
      <w:bookmarkEnd w:id="527"/>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Дължина на тялото 54 - 60 </w:t>
      </w:r>
      <w:r w:rsidRPr="00A8783E">
        <w:rPr>
          <w:rFonts w:ascii="Times New Roman" w:hAnsi="Times New Roman"/>
          <w:color w:val="000000"/>
          <w:sz w:val="24"/>
          <w:szCs w:val="24"/>
          <w:lang w:val="en-US"/>
        </w:rPr>
        <w:t>cm</w:t>
      </w:r>
      <w:r w:rsidRPr="00A8783E">
        <w:rPr>
          <w:rFonts w:ascii="Times New Roman" w:hAnsi="Times New Roman"/>
          <w:color w:val="000000"/>
          <w:sz w:val="24"/>
          <w:szCs w:val="24"/>
        </w:rPr>
        <w:t xml:space="preserve">., размах на крилете около 110 – 125 </w:t>
      </w:r>
      <w:r w:rsidRPr="00A8783E">
        <w:rPr>
          <w:rFonts w:ascii="Times New Roman" w:hAnsi="Times New Roman"/>
          <w:color w:val="000000"/>
          <w:sz w:val="24"/>
          <w:szCs w:val="24"/>
          <w:lang w:val="en-US"/>
        </w:rPr>
        <w:t>cm</w:t>
      </w:r>
      <w:r w:rsidRPr="00A8783E">
        <w:rPr>
          <w:rFonts w:ascii="Times New Roman" w:hAnsi="Times New Roman"/>
          <w:color w:val="000000"/>
          <w:sz w:val="24"/>
          <w:szCs w:val="24"/>
        </w:rPr>
        <w:t>. Червеногушата гъска (</w:t>
      </w:r>
      <w:r w:rsidRPr="00A8783E">
        <w:rPr>
          <w:rFonts w:ascii="Times New Roman" w:hAnsi="Times New Roman"/>
          <w:i/>
          <w:iCs/>
          <w:color w:val="000000"/>
          <w:sz w:val="24"/>
          <w:szCs w:val="24"/>
        </w:rPr>
        <w:t>Branta ruficollis</w:t>
      </w:r>
      <w:r w:rsidRPr="00A8783E">
        <w:rPr>
          <w:rFonts w:ascii="Times New Roman" w:hAnsi="Times New Roman"/>
          <w:color w:val="000000"/>
          <w:sz w:val="24"/>
          <w:szCs w:val="24"/>
        </w:rPr>
        <w:t xml:space="preserve">) е най-дребната гъска, обитаваща Западна Палеарктика и е лесно различима от останалите видове по пъстрото си оперение, оцветено в черно, бяло и ръждиво-червено.  При възрастните главата отгоре, гърбът, крилата и корема са черни, шията, гърдите и бузите - червено-кафяви, а юздичката, тясната ивица отстрани на </w:t>
      </w:r>
      <w:r w:rsidRPr="00A8783E">
        <w:rPr>
          <w:rFonts w:ascii="Times New Roman" w:hAnsi="Times New Roman"/>
          <w:color w:val="000000"/>
          <w:sz w:val="24"/>
          <w:szCs w:val="24"/>
        </w:rPr>
        <w:lastRenderedPageBreak/>
        <w:t xml:space="preserve">шията и подопашката - бели. Червеното бузно петно е малко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или липсващо при някои</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неярко и оставящо широка бяла ивица около него. Видът има специфично разпространение в световен мащаб, характеризиращо се със значителна локализация. Гнездовищата са разположени на територията на Русия, в тундрата на полуостровите Таймир, Ямал и Гидан, намиращи се източно от планината Урал. Счита се, че основната част от популацията (около 70%) гнезди на полуостров Таймир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Петков </w:t>
      </w:r>
      <w:r w:rsidRPr="00A8783E">
        <w:rPr>
          <w:rFonts w:ascii="Times New Roman" w:hAnsi="Times New Roman"/>
          <w:color w:val="000000"/>
          <w:sz w:val="24"/>
          <w:szCs w:val="24"/>
          <w:lang w:val="ru-RU"/>
        </w:rPr>
        <w:t>и</w:t>
      </w:r>
      <w:r w:rsidRPr="00A8783E">
        <w:rPr>
          <w:rFonts w:ascii="Times New Roman" w:hAnsi="Times New Roman"/>
          <w:color w:val="000000"/>
          <w:sz w:val="24"/>
          <w:szCs w:val="24"/>
        </w:rPr>
        <w:t xml:space="preserve"> Илиев, 2014</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Гнезди на малки колонии в арктическата тундра до крайбрежия или покрай устия на реки, често заедно с хищни птици като защита от полярни лисици и други наземни хищници.</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Червеногушата гъска е мигриращ и зимуващ вид в България (Нанкинов и др., 1997). Проучванията  сочат, че България може да се счита за най-южната част от ареала на червеногушата гъска и тук популацията долита да презимува. Първите птици се появяват в края на октомври – началото на ноември. Последните екземпляри напускат страната към края на март. През целия зимен период видът е много мобилен и често извършва непериодични миграции, които до голяма степен са предопределени от метеорологичните условия и/или състоянието на хранителния ресурс и на фактора безпокойство. Основно птиците мигрират от Румъния към България и обратно. На територията на страната по-кратки или по-далечни миграции могат да бъдат наблюдавани най-вече при лоши климатични условия при рязко значително снижаване на температурите и обилен снеговалеж, като птиците се придвижват от районите на северните крайбрежни езера край Дуранкулак и Шабла на юг по крайбрежието (Петков и Илиев, 2014). Миграции на юг от България са много рядко явление, но има съобщение за наблюдение на около 2000 екз. през студената зима на 1984/1985 г. в Северна Гърция (Heredia et al., 1996). Пролетният прелет започва през февруари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Нанкинов и др., 1997</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Често образува смесени ята и с други видове гъски. </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В България се среща основно през зимата, и е свързана с не замръзващи влажни зони (за нощуване и водопой) и просторни открити места, засети най-вече с есенни посеви на житни култури, с пониците на които се храни. Червеногушата гъска у нас има специфични изисквания по отношение на местообитанията за  нощуване и за хранене и тяхното съчетаване. За </w:t>
      </w:r>
      <w:r w:rsidRPr="00A8783E">
        <w:rPr>
          <w:rFonts w:ascii="Times New Roman" w:hAnsi="Times New Roman"/>
          <w:b/>
          <w:bCs/>
          <w:color w:val="000000"/>
          <w:sz w:val="24"/>
          <w:szCs w:val="24"/>
        </w:rPr>
        <w:t>нощуване</w:t>
      </w:r>
      <w:r w:rsidRPr="00A8783E">
        <w:rPr>
          <w:rFonts w:ascii="Times New Roman" w:hAnsi="Times New Roman"/>
          <w:color w:val="000000"/>
          <w:sz w:val="24"/>
          <w:szCs w:val="24"/>
        </w:rPr>
        <w:t xml:space="preserve"> птиците се нуждаят от обширни сладководни водоеми, като предпочитат такива със стоящи води и значителни открити водни огледала, макар и с обраствания от тръстика по периферията. Задължително условие е водоемът да е не замръзнал, да е с минимално присъствие на човека и безпокойство (т.е. основното, което видът търси там, е сигурност през нощта), както и да е в близост до земеделски площи, засети през есента със зърнени култури. В някои случаи птиците могат да нощуват в отчасти бракични води, течащи води и в морето, но това най-вероятно е принудителен избор. Хранителните местообитания са открити площи с поникнали зърнени култури на равнинен терен, осигуряващи достатъчна видимост и възможност птиците отдалеч да забележат евентуален неприятел. В значителна степен пригодността на хранителните  местообитания зависи  както от състоянието на самите култури, така и от наличието, дебелината и трайността на снежната покривка (Петков и Илиев, 2014). Предпочитаните местообитания са 1130, 1150, 1160, 3130, 3140 и 3150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Хранене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Червеногушата гъска е растителнояден вид. У нас основен хранителен ресурс се явяват листата на посевите от зимна пшеница  (Dereliev  et al., 2000)  подобно на съседните </w:t>
      </w:r>
      <w:r w:rsidRPr="00A8783E">
        <w:rPr>
          <w:rFonts w:ascii="Times New Roman" w:hAnsi="Times New Roman"/>
          <w:color w:val="000000"/>
          <w:sz w:val="24"/>
          <w:szCs w:val="24"/>
        </w:rPr>
        <w:lastRenderedPageBreak/>
        <w:t>райони на зимуване в Румъния (Hulea, 2002). Видът се храни и с по-калорични храни като царевични зърна, като това е най-често в началото на зимата, когато все още има останали малки количества от тях след събирането на реколтата (Петков и Илиев, 2014). Наблюдавано е червеногуши гъски да се хранят в края на зимата с листа от глухарче (</w:t>
      </w:r>
      <w:r w:rsidRPr="00A8783E">
        <w:rPr>
          <w:rFonts w:ascii="Times New Roman" w:hAnsi="Times New Roman"/>
          <w:i/>
          <w:iCs/>
          <w:color w:val="000000"/>
          <w:sz w:val="24"/>
          <w:szCs w:val="24"/>
        </w:rPr>
        <w:t>Taraxacum officinale</w:t>
      </w:r>
      <w:r w:rsidRPr="00A8783E">
        <w:rPr>
          <w:rFonts w:ascii="Times New Roman" w:hAnsi="Times New Roman"/>
          <w:color w:val="000000"/>
          <w:sz w:val="24"/>
          <w:szCs w:val="24"/>
        </w:rPr>
        <w:t>) и ежова главица (</w:t>
      </w:r>
      <w:r w:rsidRPr="00A8783E">
        <w:rPr>
          <w:rFonts w:ascii="Times New Roman" w:hAnsi="Times New Roman"/>
          <w:i/>
          <w:iCs/>
          <w:color w:val="000000"/>
          <w:sz w:val="24"/>
          <w:szCs w:val="24"/>
        </w:rPr>
        <w:t>Dactylis glomerata</w:t>
      </w:r>
      <w:r w:rsidRPr="00A8783E">
        <w:rPr>
          <w:rFonts w:ascii="Times New Roman" w:hAnsi="Times New Roman"/>
          <w:color w:val="000000"/>
          <w:sz w:val="24"/>
          <w:szCs w:val="24"/>
        </w:rPr>
        <w:t>) (Dereliev et al., 2000), както и люцерна (Medicago) (Д. Митев – лично съобщ.).</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Понастоящем се среща ежегодно в страната със значителна част от общия си брой и България се явява от ключово значение за презимуването на световната популация. Понастоящем видът у нас се среща основно в Североизточна България (Добруджа), където се придържа в района на Шабленския езерен комплекс (Шабленски езеро, Езерецко езеро и лагуната Шабленска  тузла)  и  на  Дуранкулашкото  езеро, както в района на Бургаските езера. В по-ниска численост и нередовно вида се среща и в района на езерото Сребърна, Свищовско-Беленската низина и други места по Черноморското ни крайбрежие, река Дунав и някои вътрешни водоеми (</w:t>
      </w:r>
      <w:r w:rsidRPr="00A8783E">
        <w:rPr>
          <w:rFonts w:ascii="Times New Roman" w:hAnsi="Times New Roman"/>
          <w:color w:val="000000"/>
          <w:sz w:val="24"/>
          <w:szCs w:val="24"/>
          <w:lang w:val="en-US"/>
        </w:rPr>
        <w:t>Kostadinova</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US"/>
        </w:rPr>
        <w:t>and</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Dereliev</w:t>
      </w:r>
      <w:r w:rsidRPr="00A8783E">
        <w:rPr>
          <w:rFonts w:ascii="Times New Roman" w:hAnsi="Times New Roman"/>
          <w:color w:val="000000"/>
          <w:sz w:val="24"/>
          <w:szCs w:val="24"/>
        </w:rPr>
        <w:t xml:space="preserve">, 2001; Michev </w:t>
      </w:r>
      <w:r w:rsidRPr="00A8783E">
        <w:rPr>
          <w:rFonts w:ascii="Times New Roman" w:hAnsi="Times New Roman"/>
          <w:color w:val="000000"/>
          <w:sz w:val="24"/>
          <w:szCs w:val="24"/>
          <w:lang w:val="en-US"/>
        </w:rPr>
        <w:t>and</w:t>
      </w:r>
      <w:r w:rsidRPr="00A8783E">
        <w:rPr>
          <w:rFonts w:ascii="Times New Roman" w:hAnsi="Times New Roman"/>
          <w:color w:val="000000"/>
          <w:sz w:val="24"/>
          <w:szCs w:val="24"/>
        </w:rPr>
        <w:t xml:space="preserve"> Profirov, 2003).</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Включен е в Приложение 1 на Директивата за птиците, както и в Приложения 2 и 3 на ЗБР. Природозащитният статус на червеногушата гъска според </w:t>
      </w:r>
      <w:r w:rsidRPr="00A8783E">
        <w:rPr>
          <w:rFonts w:ascii="Times New Roman" w:hAnsi="Times New Roman"/>
          <w:color w:val="000000"/>
          <w:sz w:val="24"/>
          <w:szCs w:val="24"/>
          <w:lang w:val="en-GB"/>
        </w:rPr>
        <w:t>IUCN</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е</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GB"/>
        </w:rPr>
        <w:t>VU</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GB"/>
        </w:rPr>
        <w:t>Vulnerable</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Видът е включен в </w:t>
      </w:r>
      <w:r w:rsidRPr="00A8783E">
        <w:rPr>
          <w:rFonts w:ascii="Times New Roman" w:hAnsi="Times New Roman"/>
          <w:color w:val="000000"/>
          <w:sz w:val="24"/>
          <w:szCs w:val="24"/>
          <w:lang w:val="en-GB"/>
        </w:rPr>
        <w:t>SPEC</w:t>
      </w:r>
      <w:r w:rsidRPr="00A8783E">
        <w:rPr>
          <w:rFonts w:ascii="Times New Roman" w:hAnsi="Times New Roman"/>
          <w:color w:val="000000"/>
          <w:sz w:val="24"/>
          <w:szCs w:val="24"/>
          <w:lang w:val="ru-RU"/>
        </w:rPr>
        <w:t xml:space="preserve"> 1</w:t>
      </w:r>
      <w:r w:rsidRPr="00A8783E">
        <w:rPr>
          <w:rFonts w:ascii="Times New Roman" w:hAnsi="Times New Roman"/>
          <w:color w:val="000000"/>
          <w:sz w:val="24"/>
          <w:szCs w:val="24"/>
        </w:rPr>
        <w:t xml:space="preserve">. Включен е в Червената книга на Р България в категория „Уязвим“.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Съгласно Докладването от 2019 г. (за периода 2013 – 2018 г.) националната </w:t>
      </w:r>
      <w:r w:rsidRPr="00A8783E">
        <w:rPr>
          <w:rFonts w:ascii="Times New Roman" w:hAnsi="Times New Roman"/>
          <w:b/>
          <w:bCs/>
          <w:color w:val="000000"/>
          <w:sz w:val="24"/>
          <w:szCs w:val="24"/>
        </w:rPr>
        <w:t>зимуващата</w:t>
      </w:r>
      <w:r w:rsidRPr="00A8783E">
        <w:rPr>
          <w:rFonts w:ascii="Times New Roman" w:hAnsi="Times New Roman"/>
          <w:color w:val="000000"/>
          <w:sz w:val="24"/>
          <w:szCs w:val="24"/>
        </w:rPr>
        <w:t xml:space="preserve"> популация е оценена на 2500 – 50 000 индивида. Краткосрочната тенденция на зимуващата популацията (за периода 2000 – 2018 г.) е намаляваща, а дългосрочната (за периода 1980 – 2018 г.) – също намаляваща. Посочени са следните заплахи и влияния: A02, A06, C02, C03, D01, E01, F03, F05, G02 и XE.</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СФ </w:t>
      </w:r>
      <w:r w:rsidRPr="00A8783E">
        <w:rPr>
          <w:rFonts w:ascii="Times New Roman" w:hAnsi="Times New Roman"/>
          <w:b/>
          <w:bCs/>
          <w:sz w:val="24"/>
          <w:szCs w:val="24"/>
        </w:rPr>
        <w:t xml:space="preserve">зимуващата </w:t>
      </w:r>
      <w:r w:rsidRPr="00A8783E">
        <w:rPr>
          <w:rFonts w:ascii="Times New Roman" w:hAnsi="Times New Roman"/>
          <w:sz w:val="24"/>
          <w:szCs w:val="24"/>
        </w:rPr>
        <w:t xml:space="preserve">популация на вида се оценява на </w:t>
      </w:r>
      <w:r w:rsidRPr="00A8783E">
        <w:rPr>
          <w:rFonts w:ascii="Times New Roman" w:hAnsi="Times New Roman"/>
          <w:b/>
          <w:bCs/>
          <w:sz w:val="24"/>
          <w:szCs w:val="24"/>
        </w:rPr>
        <w:t xml:space="preserve">до </w:t>
      </w:r>
      <w:r w:rsidRPr="00A8783E">
        <w:rPr>
          <w:rFonts w:ascii="Times New Roman" w:hAnsi="Times New Roman"/>
          <w:b/>
          <w:bCs/>
          <w:sz w:val="24"/>
          <w:szCs w:val="24"/>
          <w:lang w:val="ru-RU"/>
        </w:rPr>
        <w:t>6</w:t>
      </w:r>
      <w:r w:rsidRPr="00A8783E">
        <w:rPr>
          <w:rFonts w:ascii="Times New Roman" w:hAnsi="Times New Roman"/>
          <w:b/>
          <w:bCs/>
          <w:sz w:val="24"/>
          <w:szCs w:val="24"/>
        </w:rPr>
        <w:t>0 индивида</w:t>
      </w:r>
      <w:r w:rsidRPr="00A8783E">
        <w:rPr>
          <w:rFonts w:ascii="Times New Roman" w:hAnsi="Times New Roman"/>
          <w:sz w:val="24"/>
          <w:szCs w:val="24"/>
        </w:rPr>
        <w:t>, което е 0</w:t>
      </w:r>
      <w:r w:rsidRPr="00A8783E">
        <w:rPr>
          <w:rFonts w:ascii="Times New Roman" w:hAnsi="Times New Roman"/>
          <w:sz w:val="24"/>
          <w:szCs w:val="24"/>
          <w:lang w:val="ru-RU"/>
        </w:rPr>
        <w:t>-</w:t>
      </w:r>
      <w:r w:rsidRPr="00A8783E">
        <w:rPr>
          <w:rFonts w:ascii="Times New Roman" w:hAnsi="Times New Roman"/>
          <w:sz w:val="24"/>
          <w:szCs w:val="24"/>
        </w:rPr>
        <w:t>0,12 % от националната зимуваща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Cs/>
          <w:sz w:val="24"/>
          <w:szCs w:val="24"/>
        </w:rPr>
        <w:t>Според СФ</w:t>
      </w:r>
      <w:r w:rsidRPr="00A8783E">
        <w:rPr>
          <w:rFonts w:ascii="Times New Roman" w:hAnsi="Times New Roman"/>
          <w:b/>
          <w:bCs/>
          <w:sz w:val="24"/>
          <w:szCs w:val="24"/>
        </w:rPr>
        <w:t xml:space="preserve"> мигриращата </w:t>
      </w:r>
      <w:r w:rsidRPr="00A8783E">
        <w:rPr>
          <w:rFonts w:ascii="Times New Roman" w:hAnsi="Times New Roman"/>
          <w:bCs/>
          <w:sz w:val="24"/>
          <w:szCs w:val="24"/>
        </w:rPr>
        <w:t>популация на вида се оценява на</w:t>
      </w:r>
      <w:r w:rsidRPr="00A8783E">
        <w:rPr>
          <w:rFonts w:ascii="Times New Roman" w:hAnsi="Times New Roman"/>
          <w:b/>
          <w:bCs/>
          <w:sz w:val="24"/>
          <w:szCs w:val="24"/>
        </w:rPr>
        <w:t xml:space="preserve"> 458</w:t>
      </w:r>
      <w:r w:rsidRPr="00A8783E">
        <w:rPr>
          <w:rFonts w:ascii="Times New Roman" w:hAnsi="Times New Roman"/>
          <w:b/>
          <w:bCs/>
          <w:sz w:val="24"/>
          <w:szCs w:val="24"/>
          <w:lang w:val="ru-RU"/>
        </w:rPr>
        <w:t>-</w:t>
      </w:r>
      <w:r w:rsidRPr="00A8783E">
        <w:rPr>
          <w:rFonts w:ascii="Times New Roman" w:hAnsi="Times New Roman"/>
          <w:b/>
          <w:bCs/>
          <w:sz w:val="24"/>
          <w:szCs w:val="24"/>
        </w:rPr>
        <w:t>1729 индивида</w:t>
      </w:r>
      <w:r w:rsidRPr="00A8783E">
        <w:rPr>
          <w:rFonts w:ascii="Times New Roman" w:hAnsi="Times New Roman"/>
          <w:b/>
          <w:bCs/>
          <w:sz w:val="24"/>
          <w:szCs w:val="24"/>
          <w:lang w:val="ru-RU"/>
        </w:rPr>
        <w:t xml:space="preserve"> </w:t>
      </w:r>
      <w:r w:rsidRPr="00A8783E">
        <w:rPr>
          <w:rFonts w:ascii="Times New Roman" w:hAnsi="Times New Roman"/>
          <w:sz w:val="24"/>
          <w:szCs w:val="24"/>
        </w:rPr>
        <w:t>(оценка „С“). Според докладването по чл. 12 от 2019 г. мигриращата национална популация не е определена.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Зимуваща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време на Средно-зимното преброяване през 2019 г. видът е наблюдаван на 3 места по поречието на р. Дунав, като са установени общо 132 индивида. При Сребърна вида не е установен. През 2020 г. червеногушата гъска е установена само на едно място по поречието на Дунав и отново при зоната не са отчетени индивиди. В ОВМ „Сребърна“ вида е със зимуваща численост 12-1000 инд.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2007</w:t>
      </w:r>
      <w:r w:rsidRPr="00A8783E">
        <w:rPr>
          <w:rFonts w:ascii="Times New Roman" w:hAnsi="Times New Roman"/>
          <w:sz w:val="24"/>
          <w:szCs w:val="24"/>
          <w:lang w:val="ru-RU"/>
        </w:rPr>
        <w:t xml:space="preserve">). </w:t>
      </w:r>
      <w:r w:rsidRPr="00A8783E">
        <w:rPr>
          <w:rFonts w:ascii="Times New Roman" w:hAnsi="Times New Roman"/>
          <w:sz w:val="24"/>
          <w:szCs w:val="24"/>
        </w:rPr>
        <w:t xml:space="preserve">Данните на </w:t>
      </w:r>
      <w:r w:rsidRPr="00A8783E">
        <w:rPr>
          <w:rFonts w:ascii="Times New Roman" w:hAnsi="Times New Roman"/>
          <w:sz w:val="24"/>
          <w:szCs w:val="24"/>
          <w:lang w:val="en-US"/>
        </w:rPr>
        <w:t>Michev</w:t>
      </w:r>
      <w:r w:rsidRPr="00A8783E">
        <w:rPr>
          <w:rFonts w:ascii="Times New Roman" w:hAnsi="Times New Roman"/>
          <w:sz w:val="24"/>
          <w:szCs w:val="24"/>
          <w:lang w:val="ru-RU"/>
        </w:rPr>
        <w:t xml:space="preserve"> </w:t>
      </w:r>
      <w:r w:rsidRPr="00A8783E">
        <w:rPr>
          <w:rFonts w:ascii="Times New Roman" w:hAnsi="Times New Roman"/>
          <w:sz w:val="24"/>
          <w:szCs w:val="24"/>
          <w:lang w:val="en-US"/>
        </w:rPr>
        <w:t>and</w:t>
      </w:r>
      <w:r w:rsidRPr="00A8783E">
        <w:rPr>
          <w:rFonts w:ascii="Times New Roman" w:hAnsi="Times New Roman"/>
          <w:sz w:val="24"/>
          <w:szCs w:val="24"/>
          <w:lang w:val="ru-RU"/>
        </w:rPr>
        <w:t xml:space="preserve"> </w:t>
      </w:r>
      <w:r w:rsidRPr="00A8783E">
        <w:rPr>
          <w:rFonts w:ascii="Times New Roman" w:hAnsi="Times New Roman"/>
          <w:sz w:val="24"/>
          <w:szCs w:val="24"/>
          <w:lang w:val="en-US"/>
        </w:rPr>
        <w:t>Profirov</w:t>
      </w:r>
      <w:r w:rsidRPr="00A8783E">
        <w:rPr>
          <w:rFonts w:ascii="Times New Roman" w:hAnsi="Times New Roman"/>
          <w:sz w:val="24"/>
          <w:szCs w:val="24"/>
          <w:lang w:val="ru-RU"/>
        </w:rPr>
        <w:t xml:space="preserve"> (2003) </w:t>
      </w:r>
      <w:r w:rsidRPr="00A8783E">
        <w:rPr>
          <w:rFonts w:ascii="Times New Roman" w:hAnsi="Times New Roman"/>
          <w:sz w:val="24"/>
          <w:szCs w:val="24"/>
        </w:rPr>
        <w:t xml:space="preserve">показват, че червеногушата гъска е била рядък зимуващ вид по поречието на Дунав и най-често е била наблюдавана в ез. Сребърна, </w:t>
      </w:r>
      <w:r w:rsidRPr="00A8783E">
        <w:rPr>
          <w:rFonts w:ascii="Times New Roman" w:hAnsi="Times New Roman"/>
          <w:sz w:val="24"/>
          <w:szCs w:val="24"/>
        </w:rPr>
        <w:lastRenderedPageBreak/>
        <w:t xml:space="preserve">като през периода 1977-2001 г. е с числености 1-77 инд. През периода 1997-2001 г. е отчетена само през 1999 г. с численост 1 индивид. Данните от </w:t>
      </w:r>
      <w:r w:rsidRPr="00A8783E">
        <w:rPr>
          <w:rFonts w:ascii="Times New Roman" w:hAnsi="Times New Roman"/>
          <w:sz w:val="24"/>
          <w:szCs w:val="24"/>
          <w:lang w:val="en-US"/>
        </w:rPr>
        <w:t>eBird</w:t>
      </w:r>
      <w:r w:rsidRPr="00A8783E">
        <w:rPr>
          <w:rFonts w:ascii="Times New Roman" w:hAnsi="Times New Roman"/>
          <w:sz w:val="24"/>
          <w:szCs w:val="24"/>
          <w:lang w:val="ru-RU"/>
        </w:rPr>
        <w:t xml:space="preserve"> </w:t>
      </w:r>
      <w:r w:rsidRPr="00A8783E">
        <w:rPr>
          <w:rFonts w:ascii="Times New Roman" w:hAnsi="Times New Roman"/>
          <w:sz w:val="24"/>
          <w:szCs w:val="24"/>
        </w:rPr>
        <w:t xml:space="preserve">показват, че на 31.01.2018 г. в зоната са отчетени 100 инд. Според Плана за действие за опазване на вида, зимуващата популация на червеногушата гъска в Сребърна е 50-500 инд. </w:t>
      </w:r>
      <w:r w:rsidRPr="00A8783E">
        <w:rPr>
          <w:rFonts w:ascii="Times New Roman" w:hAnsi="Times New Roman"/>
          <w:sz w:val="24"/>
          <w:szCs w:val="24"/>
          <w:lang w:val="ru-RU"/>
        </w:rPr>
        <w:t>(</w:t>
      </w:r>
      <w:r w:rsidRPr="00A8783E">
        <w:rPr>
          <w:rFonts w:ascii="Times New Roman" w:hAnsi="Times New Roman"/>
          <w:sz w:val="24"/>
          <w:szCs w:val="24"/>
        </w:rPr>
        <w:t>Петков и Илиев, 2014</w:t>
      </w:r>
      <w:r w:rsidRPr="00A8783E">
        <w:rPr>
          <w:rFonts w:ascii="Times New Roman" w:hAnsi="Times New Roman"/>
          <w:sz w:val="24"/>
          <w:szCs w:val="24"/>
          <w:lang w:val="ru-RU"/>
        </w:rPr>
        <w:t>)</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color w:val="0070C0"/>
          <w:sz w:val="24"/>
          <w:szCs w:val="24"/>
        </w:rPr>
      </w:pPr>
      <w:r w:rsidRPr="00A8783E">
        <w:rPr>
          <w:rFonts w:ascii="Times New Roman" w:hAnsi="Times New Roman"/>
          <w:sz w:val="24"/>
          <w:szCs w:val="24"/>
        </w:rPr>
        <w:t xml:space="preserve">В ОВМ „Сребърна“ не е посочена мигрираща численост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2007</w:t>
      </w:r>
      <w:r w:rsidRPr="00A8783E">
        <w:rPr>
          <w:rFonts w:ascii="Times New Roman" w:hAnsi="Times New Roman"/>
          <w:sz w:val="24"/>
          <w:szCs w:val="24"/>
          <w:lang w:val="ru-RU"/>
        </w:rPr>
        <w:t>).</w:t>
      </w:r>
      <w:r w:rsidRPr="00A8783E">
        <w:rPr>
          <w:rFonts w:ascii="Times New Roman" w:hAnsi="Times New Roman"/>
          <w:sz w:val="24"/>
          <w:szCs w:val="24"/>
        </w:rPr>
        <w:t xml:space="preserve"> Според Плана за действие за опазване на вида, мигриращата популация на червеногушата гъска в Сребърна е 458-1729 инд. </w:t>
      </w:r>
      <w:r w:rsidRPr="00A8783E">
        <w:rPr>
          <w:rFonts w:ascii="Times New Roman" w:hAnsi="Times New Roman"/>
          <w:sz w:val="24"/>
          <w:szCs w:val="24"/>
          <w:lang w:val="ru-RU"/>
        </w:rPr>
        <w:t>(</w:t>
      </w:r>
      <w:r w:rsidRPr="00A8783E">
        <w:rPr>
          <w:rFonts w:ascii="Times New Roman" w:hAnsi="Times New Roman"/>
          <w:sz w:val="24"/>
          <w:szCs w:val="24"/>
        </w:rPr>
        <w:t>Петков и Илиев, 2014</w:t>
      </w:r>
      <w:r w:rsidRPr="00A8783E">
        <w:rPr>
          <w:rFonts w:ascii="Times New Roman" w:hAnsi="Times New Roman"/>
          <w:sz w:val="24"/>
          <w:szCs w:val="24"/>
          <w:lang w:val="ru-RU"/>
        </w:rPr>
        <w:t>)</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b/>
          <w:bCs/>
          <w:color w:val="000000"/>
          <w:sz w:val="24"/>
          <w:szCs w:val="24"/>
        </w:rPr>
        <w:t>5. Цели за подобряване/поддържане на стабилна/нарастваща тенденция на популацията на вида в зоната</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134"/>
        <w:gridCol w:w="1134"/>
        <w:gridCol w:w="3119"/>
        <w:gridCol w:w="2135"/>
      </w:tblGrid>
      <w:tr w:rsidR="00A8783E" w:rsidRPr="00A8783E" w:rsidTr="005B5318">
        <w:trPr>
          <w:tblHeader/>
          <w:jc w:val="center"/>
        </w:trPr>
        <w:tc>
          <w:tcPr>
            <w:tcW w:w="1838"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Мерна единица </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Целева стойност </w:t>
            </w:r>
          </w:p>
        </w:tc>
        <w:tc>
          <w:tcPr>
            <w:tcW w:w="3119"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Допълнителна информация </w:t>
            </w:r>
          </w:p>
        </w:tc>
        <w:tc>
          <w:tcPr>
            <w:tcW w:w="2135"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Специфични за зоната цели за опазване </w:t>
            </w:r>
          </w:p>
        </w:tc>
      </w:tr>
      <w:tr w:rsidR="00A8783E" w:rsidRPr="00A8783E" w:rsidTr="005B5318">
        <w:trPr>
          <w:trHeight w:val="606"/>
          <w:jc w:val="center"/>
        </w:trPr>
        <w:tc>
          <w:tcPr>
            <w:tcW w:w="1838"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b/>
                <w:color w:val="000000"/>
              </w:rPr>
              <w:t>Популация</w:t>
            </w:r>
            <w:r w:rsidRPr="00A8783E">
              <w:rPr>
                <w:rFonts w:ascii="Times New Roman" w:hAnsi="Times New Roman"/>
                <w:color w:val="000000"/>
              </w:rPr>
              <w:t>: Размер на зимуващата популация</w:t>
            </w:r>
          </w:p>
        </w:tc>
        <w:tc>
          <w:tcPr>
            <w:tcW w:w="1134"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Брой индивиди</w:t>
            </w:r>
          </w:p>
        </w:tc>
        <w:tc>
          <w:tcPr>
            <w:tcW w:w="1134"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Най-малко 50 инд.</w:t>
            </w:r>
          </w:p>
        </w:tc>
        <w:tc>
          <w:tcPr>
            <w:tcW w:w="3119" w:type="dxa"/>
          </w:tcPr>
          <w:p w:rsidR="00A8783E" w:rsidRPr="00A8783E" w:rsidRDefault="00A8783E" w:rsidP="00A8783E">
            <w:pPr>
              <w:spacing w:after="0" w:line="240" w:lineRule="auto"/>
              <w:jc w:val="both"/>
              <w:rPr>
                <w:rFonts w:ascii="Times New Roman" w:hAnsi="Times New Roman"/>
                <w:color w:val="000000"/>
                <w:sz w:val="20"/>
                <w:szCs w:val="20"/>
              </w:rPr>
            </w:pPr>
            <w:r w:rsidRPr="00A8783E">
              <w:rPr>
                <w:rFonts w:ascii="Times New Roman" w:hAnsi="Times New Roman"/>
                <w:color w:val="000000"/>
              </w:rPr>
              <w:t>Целевата стойност е определена от СФ</w:t>
            </w:r>
            <w:r w:rsidRPr="00A8783E">
              <w:rPr>
                <w:rFonts w:ascii="Times New Roman" w:hAnsi="Times New Roman"/>
                <w:color w:val="000000"/>
                <w:lang w:val="ru-RU"/>
              </w:rPr>
              <w:t xml:space="preserve">, </w:t>
            </w:r>
            <w:r w:rsidRPr="00A8783E">
              <w:rPr>
                <w:rFonts w:ascii="Times New Roman" w:hAnsi="Times New Roman"/>
                <w:color w:val="000000"/>
              </w:rPr>
              <w:t xml:space="preserve">данните от СЗП 2019 и 2020 г. и </w:t>
            </w:r>
            <w:r w:rsidRPr="00A8783E">
              <w:rPr>
                <w:rFonts w:ascii="Times New Roman" w:hAnsi="Times New Roman"/>
              </w:rPr>
              <w:t xml:space="preserve">Плана за действие за опазване на вида </w:t>
            </w:r>
            <w:r w:rsidRPr="00A8783E">
              <w:rPr>
                <w:rFonts w:ascii="Times New Roman" w:hAnsi="Times New Roman"/>
                <w:lang w:val="ru-RU"/>
              </w:rPr>
              <w:t>(</w:t>
            </w:r>
            <w:r w:rsidRPr="00A8783E">
              <w:rPr>
                <w:rFonts w:ascii="Times New Roman" w:hAnsi="Times New Roman"/>
              </w:rPr>
              <w:t>Петков и Илиев, 2014</w:t>
            </w:r>
            <w:r w:rsidRPr="00A8783E">
              <w:rPr>
                <w:rFonts w:ascii="Times New Roman" w:hAnsi="Times New Roman"/>
                <w:lang w:val="ru-RU"/>
              </w:rPr>
              <w:t>)</w:t>
            </w:r>
            <w:r w:rsidRPr="00A8783E">
              <w:rPr>
                <w:rFonts w:ascii="Times New Roman" w:hAnsi="Times New Roman"/>
              </w:rPr>
              <w:t>.</w:t>
            </w:r>
          </w:p>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Тези данни се нуждаят от потвърждение и допълване в резултата на адекватен мониторинг в периода октомври – февруари месец.</w:t>
            </w:r>
          </w:p>
        </w:tc>
        <w:tc>
          <w:tcPr>
            <w:tcW w:w="2135"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Да се извърши целенасочен мониторинг всяка година за установяване на размера на зимуващата популация до 2025 г.</w:t>
            </w:r>
          </w:p>
        </w:tc>
      </w:tr>
      <w:tr w:rsidR="00A8783E" w:rsidRPr="00A8783E" w:rsidTr="005B5318">
        <w:trPr>
          <w:trHeight w:val="606"/>
          <w:jc w:val="center"/>
        </w:trPr>
        <w:tc>
          <w:tcPr>
            <w:tcW w:w="1838" w:type="dxa"/>
          </w:tcPr>
          <w:p w:rsidR="00A8783E" w:rsidRPr="00A8783E" w:rsidRDefault="00A8783E" w:rsidP="00A8783E">
            <w:pPr>
              <w:spacing w:after="0" w:line="240" w:lineRule="auto"/>
              <w:jc w:val="both"/>
              <w:rPr>
                <w:rFonts w:ascii="Times New Roman" w:hAnsi="Times New Roman"/>
                <w:b/>
                <w:color w:val="000000"/>
              </w:rPr>
            </w:pPr>
            <w:r w:rsidRPr="00A8783E">
              <w:rPr>
                <w:rFonts w:ascii="Times New Roman" w:hAnsi="Times New Roman"/>
                <w:b/>
                <w:color w:val="000000"/>
              </w:rPr>
              <w:t xml:space="preserve">Популация: </w:t>
            </w:r>
            <w:r w:rsidRPr="00A8783E">
              <w:rPr>
                <w:rFonts w:ascii="Times New Roman" w:hAnsi="Times New Roman"/>
                <w:color w:val="000000"/>
              </w:rPr>
              <w:t>Размер на мигриращата популация</w:t>
            </w:r>
          </w:p>
        </w:tc>
        <w:tc>
          <w:tcPr>
            <w:tcW w:w="1134"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Брой индивиди</w:t>
            </w:r>
          </w:p>
        </w:tc>
        <w:tc>
          <w:tcPr>
            <w:tcW w:w="1134"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Най-малко 458</w:t>
            </w:r>
          </w:p>
        </w:tc>
        <w:tc>
          <w:tcPr>
            <w:tcW w:w="3119"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Определена на база на СФ. Тези данни се нуждаят от потвърждение и допълване в резултата на адекватен мониторинг.</w:t>
            </w:r>
          </w:p>
        </w:tc>
        <w:tc>
          <w:tcPr>
            <w:tcW w:w="2135"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Да се извърши целенасочен мониторинг всяка година за установяване на размера на мигриращата популация до 2025 г.</w:t>
            </w:r>
          </w:p>
        </w:tc>
      </w:tr>
      <w:tr w:rsidR="00A8783E" w:rsidRPr="00A8783E" w:rsidTr="005B5318">
        <w:trPr>
          <w:trHeight w:val="606"/>
          <w:jc w:val="center"/>
        </w:trPr>
        <w:tc>
          <w:tcPr>
            <w:tcW w:w="1838" w:type="dxa"/>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Местообитание на вида: </w:t>
            </w:r>
            <w:r w:rsidRPr="00A8783E">
              <w:rPr>
                <w:rFonts w:ascii="Times New Roman" w:hAnsi="Times New Roman"/>
                <w:color w:val="000000"/>
              </w:rPr>
              <w:t>Площ на подходящите хранителни местообитания</w:t>
            </w:r>
            <w:r w:rsidRPr="00A8783E">
              <w:rPr>
                <w:rFonts w:ascii="Times New Roman" w:hAnsi="Times New Roman"/>
                <w:b/>
                <w:bCs/>
                <w:color w:val="000000"/>
              </w:rPr>
              <w:t xml:space="preserve"> </w:t>
            </w:r>
            <w:r w:rsidRPr="00A8783E">
              <w:rPr>
                <w:rFonts w:ascii="Times New Roman" w:hAnsi="Times New Roman"/>
                <w:color w:val="000000"/>
              </w:rPr>
              <w:t>използвани през деня</w:t>
            </w:r>
          </w:p>
        </w:tc>
        <w:tc>
          <w:tcPr>
            <w:tcW w:w="1134"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lang w:val="en-US"/>
              </w:rPr>
              <w:t>ha</w:t>
            </w:r>
          </w:p>
          <w:p w:rsidR="00A8783E" w:rsidRPr="00A8783E" w:rsidRDefault="00A8783E" w:rsidP="00A8783E">
            <w:pPr>
              <w:spacing w:after="0" w:line="240" w:lineRule="auto"/>
              <w:jc w:val="both"/>
              <w:rPr>
                <w:rFonts w:ascii="Times New Roman" w:hAnsi="Times New Roman"/>
                <w:color w:val="000000"/>
              </w:rPr>
            </w:pPr>
          </w:p>
        </w:tc>
        <w:tc>
          <w:tcPr>
            <w:tcW w:w="1134"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 xml:space="preserve">най-малко 72 </w:t>
            </w:r>
          </w:p>
        </w:tc>
        <w:tc>
          <w:tcPr>
            <w:tcW w:w="3119"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 xml:space="preserve">Изчислена на база местообитание </w:t>
            </w:r>
            <w:r w:rsidRPr="00A8783E">
              <w:rPr>
                <w:rFonts w:ascii="Times New Roman" w:hAnsi="Times New Roman"/>
                <w:color w:val="000000"/>
                <w:lang w:val="en-US"/>
              </w:rPr>
              <w:t>N</w:t>
            </w:r>
            <w:r w:rsidRPr="00A8783E">
              <w:rPr>
                <w:rFonts w:ascii="Times New Roman" w:hAnsi="Times New Roman"/>
                <w:color w:val="000000"/>
                <w:lang w:val="ru-RU"/>
              </w:rPr>
              <w:t>15</w:t>
            </w:r>
            <w:r w:rsidRPr="00A8783E">
              <w:rPr>
                <w:rFonts w:ascii="Times New Roman" w:hAnsi="Times New Roman"/>
                <w:color w:val="000000"/>
              </w:rPr>
              <w:t xml:space="preserve">-Други обработваеми зиме в рамките на СЗЗ. Данните са взети от СФ като % на местообитание </w:t>
            </w:r>
            <w:r w:rsidRPr="00A8783E">
              <w:rPr>
                <w:rFonts w:ascii="Times New Roman" w:hAnsi="Times New Roman"/>
                <w:color w:val="000000"/>
                <w:lang w:val="en-GB"/>
              </w:rPr>
              <w:t>N</w:t>
            </w:r>
            <w:r w:rsidRPr="00A8783E">
              <w:rPr>
                <w:rFonts w:ascii="Times New Roman" w:hAnsi="Times New Roman"/>
                <w:color w:val="000000"/>
              </w:rPr>
              <w:t>15.</w:t>
            </w:r>
            <w:r w:rsidRPr="00A8783E">
              <w:rPr>
                <w:rFonts w:ascii="Times New Roman" w:hAnsi="Times New Roman"/>
                <w:color w:val="000000"/>
                <w:lang w:val="ru-RU"/>
              </w:rPr>
              <w:t xml:space="preserve"> </w:t>
            </w:r>
            <w:r w:rsidRPr="00A8783E">
              <w:rPr>
                <w:rFonts w:ascii="Times New Roman" w:hAnsi="Times New Roman"/>
                <w:color w:val="000000"/>
              </w:rPr>
              <w:t>Червеногушата гъска се храни и в обширни зърнени култури извън зоната, тъй като такива почти липсват в нея.</w:t>
            </w:r>
          </w:p>
        </w:tc>
        <w:tc>
          <w:tcPr>
            <w:tcW w:w="2135"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Повече подходящи местообитания за търсене на храна се намират извън зоната.</w:t>
            </w:r>
          </w:p>
        </w:tc>
      </w:tr>
      <w:tr w:rsidR="00A8783E" w:rsidRPr="00A8783E" w:rsidTr="005B5318">
        <w:trPr>
          <w:trHeight w:val="606"/>
          <w:jc w:val="center"/>
        </w:trPr>
        <w:tc>
          <w:tcPr>
            <w:tcW w:w="1838" w:type="dxa"/>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Местообитание на вида: </w:t>
            </w:r>
            <w:r w:rsidRPr="00A8783E">
              <w:rPr>
                <w:rFonts w:ascii="Times New Roman" w:hAnsi="Times New Roman"/>
                <w:color w:val="000000"/>
              </w:rPr>
              <w:t>Площ на подходящите  местообитания</w:t>
            </w:r>
            <w:r w:rsidRPr="00A8783E">
              <w:rPr>
                <w:rFonts w:ascii="Times New Roman" w:hAnsi="Times New Roman"/>
                <w:b/>
                <w:bCs/>
                <w:color w:val="000000"/>
              </w:rPr>
              <w:t xml:space="preserve"> </w:t>
            </w:r>
            <w:r w:rsidRPr="00A8783E">
              <w:rPr>
                <w:rFonts w:ascii="Times New Roman" w:hAnsi="Times New Roman"/>
                <w:color w:val="000000"/>
              </w:rPr>
              <w:t>за пренощуване</w:t>
            </w:r>
          </w:p>
        </w:tc>
        <w:tc>
          <w:tcPr>
            <w:tcW w:w="1134" w:type="dxa"/>
          </w:tcPr>
          <w:p w:rsidR="00A8783E" w:rsidRPr="00A8783E" w:rsidRDefault="00A8783E" w:rsidP="00A8783E">
            <w:pPr>
              <w:spacing w:after="0" w:line="240" w:lineRule="auto"/>
              <w:jc w:val="both"/>
              <w:rPr>
                <w:rFonts w:ascii="Times New Roman" w:hAnsi="Times New Roman"/>
                <w:color w:val="000000"/>
                <w:lang w:val="en-US"/>
              </w:rPr>
            </w:pPr>
            <w:r w:rsidRPr="00A8783E">
              <w:rPr>
                <w:rFonts w:ascii="Times New Roman" w:hAnsi="Times New Roman"/>
                <w:color w:val="000000"/>
                <w:lang w:val="en-US"/>
              </w:rPr>
              <w:t>ha</w:t>
            </w:r>
          </w:p>
        </w:tc>
        <w:tc>
          <w:tcPr>
            <w:tcW w:w="1134"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 xml:space="preserve">най-малко 840 </w:t>
            </w:r>
          </w:p>
        </w:tc>
        <w:tc>
          <w:tcPr>
            <w:tcW w:w="3119"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 xml:space="preserve">Площта е изчислена на база % участие на местообитание </w:t>
            </w:r>
            <w:r w:rsidRPr="00A8783E">
              <w:rPr>
                <w:rFonts w:ascii="Times New Roman" w:hAnsi="Times New Roman"/>
                <w:color w:val="000000"/>
                <w:lang w:val="en-US"/>
              </w:rPr>
              <w:t>N</w:t>
            </w:r>
            <w:r w:rsidRPr="00A8783E">
              <w:rPr>
                <w:rFonts w:ascii="Times New Roman" w:hAnsi="Times New Roman"/>
                <w:color w:val="000000"/>
                <w:lang w:val="ru-RU"/>
              </w:rPr>
              <w:t>06-</w:t>
            </w:r>
            <w:r w:rsidRPr="00A8783E">
              <w:rPr>
                <w:rFonts w:ascii="Times New Roman" w:hAnsi="Times New Roman"/>
                <w:color w:val="000000"/>
              </w:rPr>
              <w:t xml:space="preserve">вътрешни водни тела и </w:t>
            </w:r>
            <w:r w:rsidRPr="00A8783E">
              <w:rPr>
                <w:rFonts w:ascii="Times New Roman" w:hAnsi="Times New Roman"/>
                <w:color w:val="000000"/>
                <w:lang w:val="en-US"/>
              </w:rPr>
              <w:t>N</w:t>
            </w:r>
            <w:r w:rsidRPr="00A8783E">
              <w:rPr>
                <w:rFonts w:ascii="Times New Roman" w:hAnsi="Times New Roman"/>
                <w:color w:val="000000"/>
                <w:lang w:val="ru-RU"/>
              </w:rPr>
              <w:t>07-</w:t>
            </w:r>
            <w:r w:rsidRPr="00A8783E">
              <w:rPr>
                <w:rFonts w:ascii="Times New Roman" w:hAnsi="Times New Roman"/>
                <w:color w:val="000000"/>
              </w:rPr>
              <w:t>мочурища и блата в зоната.</w:t>
            </w:r>
            <w:r w:rsidRPr="00A8783E">
              <w:rPr>
                <w:rFonts w:ascii="Times New Roman" w:hAnsi="Times New Roman"/>
                <w:color w:val="000000"/>
                <w:lang w:val="ru-RU"/>
              </w:rPr>
              <w:t xml:space="preserve"> </w:t>
            </w:r>
            <w:r w:rsidRPr="00A8783E">
              <w:rPr>
                <w:rFonts w:ascii="Times New Roman" w:hAnsi="Times New Roman"/>
                <w:color w:val="000000"/>
              </w:rPr>
              <w:t xml:space="preserve">Вида използва за престой по време на зимата за пренощуване езерото, когато то не е замръзнало напълно и вероятно пясъчни коси в </w:t>
            </w:r>
            <w:r w:rsidRPr="00A8783E">
              <w:rPr>
                <w:rFonts w:ascii="Times New Roman" w:hAnsi="Times New Roman"/>
                <w:color w:val="000000"/>
              </w:rPr>
              <w:lastRenderedPageBreak/>
              <w:t xml:space="preserve">реката, когато то е замръзнало. </w:t>
            </w:r>
          </w:p>
        </w:tc>
        <w:tc>
          <w:tcPr>
            <w:tcW w:w="2135"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lastRenderedPageBreak/>
              <w:t>Поддържане на подходящите местообитания за пренощуване на вида в зоната чрез поддържане на водното ниво в езерото.</w:t>
            </w:r>
          </w:p>
          <w:p w:rsidR="00A8783E" w:rsidRPr="00A8783E" w:rsidRDefault="00A8783E" w:rsidP="00A8783E">
            <w:pPr>
              <w:spacing w:after="0" w:line="240" w:lineRule="auto"/>
              <w:jc w:val="both"/>
              <w:rPr>
                <w:rFonts w:ascii="Times New Roman" w:hAnsi="Times New Roman"/>
                <w:color w:val="000000"/>
              </w:rPr>
            </w:pPr>
          </w:p>
        </w:tc>
      </w:tr>
    </w:tbl>
    <w:p w:rsidR="00A8783E" w:rsidRPr="00A8783E" w:rsidRDefault="00A8783E" w:rsidP="00A8783E">
      <w:pPr>
        <w:spacing w:before="120" w:after="120" w:line="240" w:lineRule="auto"/>
        <w:jc w:val="both"/>
        <w:rPr>
          <w:rFonts w:ascii="Times New Roman" w:hAnsi="Times New Roman"/>
          <w:b/>
          <w:bCs/>
          <w:color w:val="000000"/>
          <w:sz w:val="24"/>
          <w:szCs w:val="24"/>
        </w:rPr>
      </w:pP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color w:val="000000"/>
          <w:sz w:val="24"/>
          <w:szCs w:val="24"/>
        </w:rPr>
        <w:t>6. Необходимост от промени в СФ за (СЗЗ) BG0000241 „Сребърна“</w:t>
      </w:r>
    </w:p>
    <w:p w:rsidR="00A8783E" w:rsidRPr="00A8783E" w:rsidRDefault="00A8783E" w:rsidP="00A8783E">
      <w:pPr>
        <w:spacing w:before="120" w:after="120" w:line="240" w:lineRule="auto"/>
        <w:ind w:left="142"/>
        <w:jc w:val="both"/>
        <w:rPr>
          <w:rFonts w:ascii="Times New Roman" w:hAnsi="Times New Roman"/>
          <w:sz w:val="24"/>
          <w:szCs w:val="24"/>
        </w:rPr>
      </w:pPr>
      <w:r w:rsidRPr="00A8783E">
        <w:rPr>
          <w:rFonts w:ascii="Times New Roman" w:hAnsi="Times New Roman"/>
          <w:sz w:val="24"/>
          <w:szCs w:val="24"/>
        </w:rPr>
        <w:t xml:space="preserve">По отношение на зимуващата популация. На базата на Плана за действие за опазване на вида </w:t>
      </w:r>
      <w:r w:rsidRPr="00A8783E">
        <w:rPr>
          <w:rFonts w:ascii="Times New Roman" w:hAnsi="Times New Roman"/>
          <w:sz w:val="24"/>
          <w:szCs w:val="24"/>
          <w:lang w:val="ru-RU"/>
        </w:rPr>
        <w:t>(</w:t>
      </w:r>
      <w:r w:rsidRPr="00A8783E">
        <w:rPr>
          <w:rFonts w:ascii="Times New Roman" w:hAnsi="Times New Roman"/>
          <w:sz w:val="24"/>
          <w:szCs w:val="24"/>
        </w:rPr>
        <w:t>Петков и Илиев, 2014</w:t>
      </w:r>
      <w:r w:rsidRPr="00A8783E">
        <w:rPr>
          <w:rFonts w:ascii="Times New Roman" w:hAnsi="Times New Roman"/>
          <w:sz w:val="24"/>
          <w:szCs w:val="24"/>
          <w:lang w:val="ru-RU"/>
        </w:rPr>
        <w:t>)</w:t>
      </w:r>
      <w:r w:rsidRPr="00A8783E">
        <w:rPr>
          <w:rFonts w:ascii="Times New Roman" w:hAnsi="Times New Roman"/>
          <w:sz w:val="24"/>
          <w:szCs w:val="24"/>
        </w:rPr>
        <w:t>, предлагаме да се промени зимуващата численост на вида в зоната от 0-60 инд. на 50-500 инд.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
        <w:gridCol w:w="616"/>
        <w:gridCol w:w="1421"/>
        <w:gridCol w:w="317"/>
        <w:gridCol w:w="456"/>
        <w:gridCol w:w="346"/>
        <w:gridCol w:w="537"/>
        <w:gridCol w:w="576"/>
        <w:gridCol w:w="557"/>
        <w:gridCol w:w="541"/>
        <w:gridCol w:w="777"/>
        <w:gridCol w:w="877"/>
        <w:gridCol w:w="582"/>
        <w:gridCol w:w="492"/>
        <w:gridCol w:w="542"/>
      </w:tblGrid>
      <w:tr w:rsidR="00A8783E" w:rsidRPr="00A8783E" w:rsidTr="005B5318">
        <w:trPr>
          <w:trHeight w:val="425"/>
          <w:jc w:val="center"/>
        </w:trPr>
        <w:tc>
          <w:tcPr>
            <w:tcW w:w="0" w:type="auto"/>
            <w:gridSpan w:val="5"/>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Species</w:t>
            </w:r>
          </w:p>
        </w:tc>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G</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Code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Scientific Name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NP</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T</w:t>
            </w:r>
          </w:p>
        </w:tc>
        <w:tc>
          <w:tcPr>
            <w:tcW w:w="0" w:type="auto"/>
            <w:gridSpan w:val="2"/>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D.qual.</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Iso.</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18"/>
                <w:szCs w:val="18"/>
              </w:rPr>
            </w:pPr>
            <w:r w:rsidRPr="00A8783E">
              <w:rPr>
                <w:rFonts w:ascii="Times New Roman" w:hAnsi="Times New Roman"/>
                <w:b/>
                <w:bCs/>
                <w:color w:val="000000"/>
                <w:sz w:val="18"/>
                <w:szCs w:val="18"/>
              </w:rPr>
              <w:t>Glo.</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rPr>
                <w:rFonts w:ascii="Times New Roman" w:hAnsi="Times New Roman"/>
                <w:b/>
                <w:bCs/>
                <w:color w:val="000000"/>
                <w:sz w:val="18"/>
                <w:szCs w:val="18"/>
              </w:rPr>
            </w:pPr>
            <w:r w:rsidRPr="00A8783E">
              <w:rPr>
                <w:rFonts w:ascii="Times New Roman" w:hAnsi="Times New Roman"/>
                <w:b/>
                <w:bCs/>
                <w:color w:val="000000"/>
                <w:sz w:val="18"/>
                <w:szCs w:val="18"/>
              </w:rPr>
              <w:t>В</w:t>
            </w:r>
          </w:p>
        </w:tc>
        <w:tc>
          <w:tcPr>
            <w:tcW w:w="0" w:type="auto"/>
            <w:vAlign w:val="center"/>
          </w:tcPr>
          <w:p w:rsidR="00A8783E" w:rsidRPr="00A8783E" w:rsidRDefault="00A8783E" w:rsidP="00A8783E">
            <w:pPr>
              <w:spacing w:after="0" w:line="240" w:lineRule="auto"/>
              <w:rPr>
                <w:rFonts w:ascii="Times New Roman" w:hAnsi="Times New Roman"/>
                <w:sz w:val="18"/>
                <w:szCs w:val="18"/>
              </w:rPr>
            </w:pPr>
            <w:r w:rsidRPr="00A8783E">
              <w:rPr>
                <w:rFonts w:ascii="Times New Roman" w:hAnsi="Times New Roman"/>
                <w:sz w:val="18"/>
                <w:szCs w:val="18"/>
                <w:lang w:val="en-GB"/>
              </w:rPr>
              <w:t>A</w:t>
            </w:r>
            <w:r w:rsidRPr="00A8783E">
              <w:rPr>
                <w:rFonts w:ascii="Times New Roman" w:hAnsi="Times New Roman"/>
                <w:sz w:val="18"/>
                <w:szCs w:val="18"/>
              </w:rPr>
              <w:t>396</w:t>
            </w:r>
          </w:p>
        </w:tc>
        <w:tc>
          <w:tcPr>
            <w:tcW w:w="0" w:type="auto"/>
            <w:vAlign w:val="center"/>
          </w:tcPr>
          <w:p w:rsidR="00A8783E" w:rsidRPr="00A8783E" w:rsidRDefault="00A8783E" w:rsidP="00A8783E">
            <w:pPr>
              <w:spacing w:after="0" w:line="240" w:lineRule="auto"/>
              <w:rPr>
                <w:rFonts w:ascii="Times New Roman" w:hAnsi="Times New Roman"/>
                <w:i/>
                <w:iCs/>
                <w:sz w:val="18"/>
                <w:szCs w:val="18"/>
                <w:lang w:val="en-US"/>
              </w:rPr>
            </w:pPr>
            <w:r w:rsidRPr="00A8783E">
              <w:rPr>
                <w:rFonts w:ascii="Times New Roman" w:hAnsi="Times New Roman"/>
                <w:i/>
                <w:iCs/>
                <w:sz w:val="18"/>
                <w:szCs w:val="18"/>
                <w:lang w:val="en-US"/>
              </w:rPr>
              <w:t>Branta ruficollis</w:t>
            </w:r>
          </w:p>
        </w:tc>
        <w:tc>
          <w:tcPr>
            <w:tcW w:w="0" w:type="auto"/>
            <w:vAlign w:val="center"/>
          </w:tcPr>
          <w:p w:rsidR="00A8783E" w:rsidRPr="00A8783E" w:rsidRDefault="00A8783E" w:rsidP="00A8783E">
            <w:pPr>
              <w:spacing w:after="0" w:line="240" w:lineRule="auto"/>
              <w:rPr>
                <w:rFonts w:ascii="Times New Roman" w:hAnsi="Times New Roman"/>
                <w:b/>
                <w:bCs/>
                <w:color w:val="000000"/>
                <w:sz w:val="18"/>
                <w:szCs w:val="18"/>
              </w:rPr>
            </w:pPr>
          </w:p>
        </w:tc>
        <w:tc>
          <w:tcPr>
            <w:tcW w:w="0" w:type="auto"/>
            <w:vAlign w:val="center"/>
          </w:tcPr>
          <w:p w:rsidR="00A8783E" w:rsidRPr="00A8783E" w:rsidRDefault="00A8783E" w:rsidP="00A8783E">
            <w:pPr>
              <w:spacing w:after="0" w:line="240" w:lineRule="auto"/>
              <w:rPr>
                <w:rFonts w:ascii="Times New Roman" w:hAnsi="Times New Roman"/>
                <w:b/>
                <w:bCs/>
                <w:sz w:val="18"/>
                <w:szCs w:val="18"/>
              </w:rPr>
            </w:pPr>
          </w:p>
        </w:tc>
        <w:tc>
          <w:tcPr>
            <w:tcW w:w="0" w:type="auto"/>
            <w:vAlign w:val="center"/>
          </w:tcPr>
          <w:p w:rsidR="00A8783E" w:rsidRPr="00A8783E" w:rsidRDefault="00A8783E" w:rsidP="00A8783E">
            <w:pPr>
              <w:spacing w:after="0" w:line="240" w:lineRule="auto"/>
              <w:rPr>
                <w:rFonts w:ascii="Times New Roman" w:hAnsi="Times New Roman"/>
                <w:sz w:val="18"/>
                <w:szCs w:val="18"/>
                <w:lang w:val="en-US"/>
              </w:rPr>
            </w:pPr>
            <w:r w:rsidRPr="00A8783E">
              <w:rPr>
                <w:rFonts w:ascii="Times New Roman" w:hAnsi="Times New Roman"/>
                <w:sz w:val="18"/>
                <w:szCs w:val="18"/>
                <w:lang w:val="en-US"/>
              </w:rPr>
              <w:t>w</w:t>
            </w:r>
          </w:p>
        </w:tc>
        <w:tc>
          <w:tcPr>
            <w:tcW w:w="0" w:type="auto"/>
            <w:vAlign w:val="center"/>
          </w:tcPr>
          <w:p w:rsidR="00A8783E" w:rsidRPr="00A8783E" w:rsidRDefault="00A8783E" w:rsidP="00A8783E">
            <w:pPr>
              <w:spacing w:after="0" w:line="240" w:lineRule="auto"/>
              <w:rPr>
                <w:rFonts w:ascii="Times New Roman" w:hAnsi="Times New Roman"/>
                <w:b/>
                <w:bCs/>
                <w:color w:val="FF0000"/>
                <w:sz w:val="18"/>
                <w:szCs w:val="18"/>
                <w:lang w:val="en-US"/>
              </w:rPr>
            </w:pPr>
            <w:r w:rsidRPr="00A8783E">
              <w:rPr>
                <w:rFonts w:ascii="Times New Roman" w:hAnsi="Times New Roman"/>
                <w:b/>
                <w:bCs/>
                <w:color w:val="FF0000"/>
                <w:sz w:val="18"/>
                <w:szCs w:val="18"/>
                <w:lang w:val="en-US"/>
              </w:rPr>
              <w:t>50</w:t>
            </w:r>
          </w:p>
        </w:tc>
        <w:tc>
          <w:tcPr>
            <w:tcW w:w="0" w:type="auto"/>
            <w:vAlign w:val="center"/>
          </w:tcPr>
          <w:p w:rsidR="00A8783E" w:rsidRPr="00A8783E" w:rsidRDefault="00A8783E" w:rsidP="00A8783E">
            <w:pPr>
              <w:spacing w:after="0" w:line="240" w:lineRule="auto"/>
              <w:rPr>
                <w:rFonts w:ascii="Times New Roman" w:hAnsi="Times New Roman"/>
                <w:b/>
                <w:bCs/>
                <w:color w:val="FF0000"/>
                <w:sz w:val="18"/>
                <w:szCs w:val="18"/>
                <w:lang w:val="en-US"/>
              </w:rPr>
            </w:pPr>
            <w:r w:rsidRPr="00A8783E">
              <w:rPr>
                <w:rFonts w:ascii="Times New Roman" w:hAnsi="Times New Roman"/>
                <w:b/>
                <w:bCs/>
                <w:color w:val="FF0000"/>
                <w:sz w:val="18"/>
                <w:szCs w:val="18"/>
                <w:lang w:val="en-US"/>
              </w:rPr>
              <w:t>500</w:t>
            </w:r>
          </w:p>
        </w:tc>
        <w:tc>
          <w:tcPr>
            <w:tcW w:w="0" w:type="auto"/>
            <w:vAlign w:val="center"/>
          </w:tcPr>
          <w:p w:rsidR="00A8783E" w:rsidRPr="00A8783E" w:rsidRDefault="00A8783E" w:rsidP="00A8783E">
            <w:pPr>
              <w:spacing w:after="0" w:line="240" w:lineRule="auto"/>
              <w:rPr>
                <w:rFonts w:ascii="Times New Roman" w:hAnsi="Times New Roman"/>
                <w:sz w:val="18"/>
                <w:szCs w:val="18"/>
                <w:lang w:val="en-US"/>
              </w:rPr>
            </w:pPr>
            <w:r w:rsidRPr="00A8783E">
              <w:rPr>
                <w:rFonts w:ascii="Times New Roman" w:hAnsi="Times New Roman"/>
                <w:sz w:val="18"/>
                <w:szCs w:val="18"/>
                <w:lang w:val="en-US"/>
              </w:rPr>
              <w:t>i</w:t>
            </w:r>
          </w:p>
        </w:tc>
        <w:tc>
          <w:tcPr>
            <w:tcW w:w="0" w:type="auto"/>
            <w:vAlign w:val="center"/>
          </w:tcPr>
          <w:p w:rsidR="00A8783E" w:rsidRPr="00A8783E" w:rsidRDefault="00A8783E" w:rsidP="00A8783E">
            <w:pPr>
              <w:spacing w:after="0" w:line="240" w:lineRule="auto"/>
              <w:rPr>
                <w:rFonts w:ascii="Times New Roman" w:hAnsi="Times New Roman"/>
                <w:sz w:val="18"/>
                <w:szCs w:val="18"/>
              </w:rPr>
            </w:pPr>
          </w:p>
        </w:tc>
        <w:tc>
          <w:tcPr>
            <w:tcW w:w="0" w:type="auto"/>
            <w:vAlign w:val="center"/>
          </w:tcPr>
          <w:p w:rsidR="00A8783E" w:rsidRPr="00A8783E" w:rsidRDefault="00A8783E" w:rsidP="00A8783E">
            <w:pPr>
              <w:spacing w:after="0" w:line="240" w:lineRule="auto"/>
              <w:rPr>
                <w:rFonts w:ascii="Times New Roman" w:hAnsi="Times New Roman"/>
                <w:sz w:val="18"/>
                <w:szCs w:val="18"/>
              </w:rPr>
            </w:pPr>
            <w:r w:rsidRPr="00A8783E">
              <w:rPr>
                <w:rFonts w:ascii="Times New Roman" w:hAnsi="Times New Roman"/>
                <w:sz w:val="18"/>
                <w:szCs w:val="18"/>
              </w:rPr>
              <w:t>G</w:t>
            </w:r>
          </w:p>
        </w:tc>
        <w:tc>
          <w:tcPr>
            <w:tcW w:w="0" w:type="auto"/>
            <w:vAlign w:val="center"/>
          </w:tcPr>
          <w:p w:rsidR="00A8783E" w:rsidRPr="00A8783E" w:rsidRDefault="00A8783E" w:rsidP="00A8783E">
            <w:pPr>
              <w:spacing w:after="0" w:line="240" w:lineRule="auto"/>
              <w:rPr>
                <w:rFonts w:ascii="Times New Roman" w:hAnsi="Times New Roman"/>
                <w:sz w:val="18"/>
                <w:szCs w:val="18"/>
                <w:lang w:val="en-US"/>
              </w:rPr>
            </w:pPr>
            <w:r w:rsidRPr="00A8783E">
              <w:rPr>
                <w:rFonts w:ascii="Times New Roman" w:hAnsi="Times New Roman"/>
                <w:sz w:val="18"/>
                <w:szCs w:val="18"/>
                <w:lang w:val="en-US"/>
              </w:rPr>
              <w:t>C</w:t>
            </w:r>
          </w:p>
        </w:tc>
        <w:tc>
          <w:tcPr>
            <w:tcW w:w="0" w:type="auto"/>
            <w:vAlign w:val="center"/>
          </w:tcPr>
          <w:p w:rsidR="00A8783E" w:rsidRPr="00A8783E" w:rsidRDefault="00A8783E" w:rsidP="00A8783E">
            <w:pPr>
              <w:spacing w:after="0" w:line="240" w:lineRule="auto"/>
              <w:rPr>
                <w:rFonts w:ascii="Times New Roman" w:hAnsi="Times New Roman"/>
                <w:sz w:val="18"/>
                <w:szCs w:val="18"/>
                <w:lang w:val="en-US"/>
              </w:rPr>
            </w:pPr>
            <w:r w:rsidRPr="00A8783E">
              <w:rPr>
                <w:rFonts w:ascii="Times New Roman" w:hAnsi="Times New Roman"/>
                <w:sz w:val="18"/>
                <w:szCs w:val="18"/>
                <w:lang w:val="en-US"/>
              </w:rPr>
              <w:t>A</w:t>
            </w:r>
          </w:p>
        </w:tc>
        <w:tc>
          <w:tcPr>
            <w:tcW w:w="0" w:type="auto"/>
            <w:vAlign w:val="center"/>
          </w:tcPr>
          <w:p w:rsidR="00A8783E" w:rsidRPr="00A8783E" w:rsidRDefault="00A8783E" w:rsidP="00A8783E">
            <w:pPr>
              <w:spacing w:after="0" w:line="240" w:lineRule="auto"/>
              <w:rPr>
                <w:rFonts w:ascii="Times New Roman" w:hAnsi="Times New Roman"/>
                <w:sz w:val="18"/>
                <w:szCs w:val="18"/>
                <w:lang w:val="en-US"/>
              </w:rPr>
            </w:pPr>
            <w:r w:rsidRPr="00A8783E">
              <w:rPr>
                <w:rFonts w:ascii="Times New Roman" w:hAnsi="Times New Roman"/>
                <w:sz w:val="18"/>
                <w:szCs w:val="18"/>
                <w:lang w:val="en-US"/>
              </w:rPr>
              <w:t>C</w:t>
            </w:r>
          </w:p>
        </w:tc>
        <w:tc>
          <w:tcPr>
            <w:tcW w:w="0" w:type="auto"/>
            <w:vAlign w:val="center"/>
          </w:tcPr>
          <w:p w:rsidR="00A8783E" w:rsidRPr="00A8783E" w:rsidRDefault="00A8783E" w:rsidP="00A8783E">
            <w:pPr>
              <w:spacing w:after="0" w:line="240" w:lineRule="auto"/>
              <w:rPr>
                <w:rFonts w:ascii="Times New Roman" w:hAnsi="Times New Roman"/>
                <w:sz w:val="18"/>
                <w:szCs w:val="18"/>
                <w:lang w:val="en-US"/>
              </w:rPr>
            </w:pPr>
            <w:r w:rsidRPr="00A8783E">
              <w:rPr>
                <w:rFonts w:ascii="Times New Roman" w:hAnsi="Times New Roman"/>
                <w:sz w:val="18"/>
                <w:szCs w:val="18"/>
                <w:lang w:val="en-US"/>
              </w:rPr>
              <w:t>A</w:t>
            </w:r>
          </w:p>
        </w:tc>
      </w:tr>
      <w:tr w:rsidR="00A8783E" w:rsidRPr="00A8783E" w:rsidTr="005B5318">
        <w:trPr>
          <w:trHeight w:val="295"/>
          <w:jc w:val="center"/>
        </w:trPr>
        <w:tc>
          <w:tcPr>
            <w:tcW w:w="0" w:type="auto"/>
            <w:vAlign w:val="center"/>
          </w:tcPr>
          <w:p w:rsidR="00A8783E" w:rsidRPr="00A8783E" w:rsidRDefault="00A8783E" w:rsidP="00A8783E">
            <w:pPr>
              <w:spacing w:after="0" w:line="240" w:lineRule="auto"/>
              <w:rPr>
                <w:rFonts w:ascii="Times New Roman" w:hAnsi="Times New Roman"/>
                <w:b/>
                <w:bCs/>
                <w:color w:val="000000"/>
                <w:sz w:val="18"/>
                <w:szCs w:val="18"/>
              </w:rPr>
            </w:pPr>
            <w:r w:rsidRPr="00A8783E">
              <w:rPr>
                <w:rFonts w:ascii="Times New Roman" w:hAnsi="Times New Roman"/>
                <w:b/>
                <w:bCs/>
                <w:color w:val="000000"/>
                <w:sz w:val="18"/>
                <w:szCs w:val="18"/>
              </w:rPr>
              <w:t>В</w:t>
            </w:r>
          </w:p>
        </w:tc>
        <w:tc>
          <w:tcPr>
            <w:tcW w:w="0" w:type="auto"/>
            <w:vAlign w:val="center"/>
          </w:tcPr>
          <w:p w:rsidR="00A8783E" w:rsidRPr="00A8783E" w:rsidRDefault="00A8783E" w:rsidP="00A8783E">
            <w:pPr>
              <w:spacing w:after="0" w:line="240" w:lineRule="auto"/>
              <w:rPr>
                <w:rFonts w:ascii="Times New Roman" w:hAnsi="Times New Roman"/>
                <w:sz w:val="18"/>
                <w:szCs w:val="18"/>
              </w:rPr>
            </w:pPr>
            <w:r w:rsidRPr="00A8783E">
              <w:rPr>
                <w:rFonts w:ascii="Times New Roman" w:hAnsi="Times New Roman"/>
                <w:sz w:val="18"/>
                <w:szCs w:val="18"/>
                <w:lang w:val="en-GB"/>
              </w:rPr>
              <w:t>A</w:t>
            </w:r>
            <w:r w:rsidRPr="00A8783E">
              <w:rPr>
                <w:rFonts w:ascii="Times New Roman" w:hAnsi="Times New Roman"/>
                <w:sz w:val="18"/>
                <w:szCs w:val="18"/>
              </w:rPr>
              <w:t>396</w:t>
            </w:r>
          </w:p>
        </w:tc>
        <w:tc>
          <w:tcPr>
            <w:tcW w:w="0" w:type="auto"/>
            <w:vAlign w:val="center"/>
          </w:tcPr>
          <w:p w:rsidR="00A8783E" w:rsidRPr="00A8783E" w:rsidRDefault="00A8783E" w:rsidP="00A8783E">
            <w:pPr>
              <w:spacing w:after="0" w:line="240" w:lineRule="auto"/>
              <w:rPr>
                <w:rFonts w:ascii="Times New Roman" w:hAnsi="Times New Roman"/>
                <w:i/>
                <w:iCs/>
                <w:sz w:val="18"/>
                <w:szCs w:val="18"/>
                <w:lang w:val="en-US"/>
              </w:rPr>
            </w:pPr>
            <w:r w:rsidRPr="00A8783E">
              <w:rPr>
                <w:rFonts w:ascii="Times New Roman" w:hAnsi="Times New Roman"/>
                <w:i/>
                <w:iCs/>
                <w:sz w:val="18"/>
                <w:szCs w:val="18"/>
                <w:lang w:val="en-US"/>
              </w:rPr>
              <w:t>Branta ruficollis</w:t>
            </w:r>
          </w:p>
        </w:tc>
        <w:tc>
          <w:tcPr>
            <w:tcW w:w="0" w:type="auto"/>
            <w:vAlign w:val="center"/>
          </w:tcPr>
          <w:p w:rsidR="00A8783E" w:rsidRPr="00A8783E" w:rsidRDefault="00A8783E" w:rsidP="00A8783E">
            <w:pPr>
              <w:spacing w:after="0" w:line="240" w:lineRule="auto"/>
              <w:rPr>
                <w:rFonts w:ascii="Times New Roman" w:hAnsi="Times New Roman"/>
                <w:b/>
                <w:bCs/>
                <w:color w:val="000000"/>
                <w:sz w:val="18"/>
                <w:szCs w:val="18"/>
              </w:rPr>
            </w:pPr>
          </w:p>
        </w:tc>
        <w:tc>
          <w:tcPr>
            <w:tcW w:w="0" w:type="auto"/>
            <w:vAlign w:val="center"/>
          </w:tcPr>
          <w:p w:rsidR="00A8783E" w:rsidRPr="00A8783E" w:rsidRDefault="00A8783E" w:rsidP="00A8783E">
            <w:pPr>
              <w:spacing w:after="0" w:line="240" w:lineRule="auto"/>
              <w:rPr>
                <w:rFonts w:ascii="Times New Roman" w:hAnsi="Times New Roman"/>
                <w:b/>
                <w:bCs/>
                <w:color w:val="000000"/>
                <w:sz w:val="18"/>
                <w:szCs w:val="18"/>
              </w:rPr>
            </w:pPr>
          </w:p>
        </w:tc>
        <w:tc>
          <w:tcPr>
            <w:tcW w:w="0" w:type="auto"/>
            <w:vAlign w:val="center"/>
          </w:tcPr>
          <w:p w:rsidR="00A8783E" w:rsidRPr="00A8783E" w:rsidRDefault="00A8783E" w:rsidP="00A8783E">
            <w:pPr>
              <w:spacing w:after="0" w:line="240" w:lineRule="auto"/>
              <w:rPr>
                <w:rFonts w:ascii="Times New Roman" w:hAnsi="Times New Roman"/>
                <w:sz w:val="18"/>
                <w:szCs w:val="18"/>
                <w:lang w:val="en-US"/>
              </w:rPr>
            </w:pPr>
            <w:r w:rsidRPr="00A8783E">
              <w:rPr>
                <w:rFonts w:ascii="Times New Roman" w:hAnsi="Times New Roman"/>
                <w:sz w:val="18"/>
                <w:szCs w:val="18"/>
                <w:lang w:val="en-US"/>
              </w:rPr>
              <w:t>c</w:t>
            </w:r>
          </w:p>
        </w:tc>
        <w:tc>
          <w:tcPr>
            <w:tcW w:w="0" w:type="auto"/>
            <w:vAlign w:val="center"/>
          </w:tcPr>
          <w:p w:rsidR="00A8783E" w:rsidRPr="00A8783E" w:rsidRDefault="00A8783E" w:rsidP="00A8783E">
            <w:pPr>
              <w:spacing w:after="0" w:line="240" w:lineRule="auto"/>
              <w:rPr>
                <w:rFonts w:ascii="Times New Roman" w:hAnsi="Times New Roman"/>
                <w:sz w:val="18"/>
                <w:szCs w:val="18"/>
              </w:rPr>
            </w:pPr>
            <w:r w:rsidRPr="00A8783E">
              <w:rPr>
                <w:rFonts w:ascii="Times New Roman" w:hAnsi="Times New Roman"/>
                <w:sz w:val="18"/>
                <w:szCs w:val="18"/>
              </w:rPr>
              <w:t>458</w:t>
            </w:r>
          </w:p>
        </w:tc>
        <w:tc>
          <w:tcPr>
            <w:tcW w:w="0" w:type="auto"/>
            <w:vAlign w:val="center"/>
          </w:tcPr>
          <w:p w:rsidR="00A8783E" w:rsidRPr="00A8783E" w:rsidRDefault="00A8783E" w:rsidP="00A8783E">
            <w:pPr>
              <w:spacing w:after="0" w:line="240" w:lineRule="auto"/>
              <w:rPr>
                <w:rFonts w:ascii="Times New Roman" w:hAnsi="Times New Roman"/>
                <w:sz w:val="18"/>
                <w:szCs w:val="18"/>
                <w:lang w:val="en-US"/>
              </w:rPr>
            </w:pPr>
            <w:r w:rsidRPr="00A8783E">
              <w:rPr>
                <w:rFonts w:ascii="Times New Roman" w:hAnsi="Times New Roman"/>
                <w:sz w:val="18"/>
                <w:szCs w:val="18"/>
                <w:lang w:val="en-US"/>
              </w:rPr>
              <w:t>1729</w:t>
            </w:r>
          </w:p>
        </w:tc>
        <w:tc>
          <w:tcPr>
            <w:tcW w:w="0" w:type="auto"/>
            <w:vAlign w:val="center"/>
          </w:tcPr>
          <w:p w:rsidR="00A8783E" w:rsidRPr="00A8783E" w:rsidRDefault="00A8783E" w:rsidP="00A8783E">
            <w:pPr>
              <w:spacing w:after="0" w:line="240" w:lineRule="auto"/>
              <w:rPr>
                <w:rFonts w:ascii="Times New Roman" w:hAnsi="Times New Roman"/>
                <w:sz w:val="18"/>
                <w:szCs w:val="18"/>
                <w:lang w:val="en-US"/>
              </w:rPr>
            </w:pPr>
            <w:r w:rsidRPr="00A8783E">
              <w:rPr>
                <w:rFonts w:ascii="Times New Roman" w:hAnsi="Times New Roman"/>
                <w:sz w:val="18"/>
                <w:szCs w:val="18"/>
                <w:lang w:val="en-US"/>
              </w:rPr>
              <w:t>i</w:t>
            </w:r>
          </w:p>
        </w:tc>
        <w:tc>
          <w:tcPr>
            <w:tcW w:w="0" w:type="auto"/>
            <w:vAlign w:val="center"/>
          </w:tcPr>
          <w:p w:rsidR="00A8783E" w:rsidRPr="00A8783E" w:rsidRDefault="00A8783E" w:rsidP="00A8783E">
            <w:pPr>
              <w:spacing w:after="0" w:line="240" w:lineRule="auto"/>
              <w:rPr>
                <w:rFonts w:ascii="Times New Roman" w:hAnsi="Times New Roman"/>
                <w:sz w:val="18"/>
                <w:szCs w:val="18"/>
              </w:rPr>
            </w:pPr>
          </w:p>
        </w:tc>
        <w:tc>
          <w:tcPr>
            <w:tcW w:w="0" w:type="auto"/>
            <w:vAlign w:val="center"/>
          </w:tcPr>
          <w:p w:rsidR="00A8783E" w:rsidRPr="00A8783E" w:rsidRDefault="00A8783E" w:rsidP="00A8783E">
            <w:pPr>
              <w:spacing w:after="0" w:line="240" w:lineRule="auto"/>
              <w:rPr>
                <w:rFonts w:ascii="Times New Roman" w:hAnsi="Times New Roman"/>
                <w:sz w:val="18"/>
                <w:szCs w:val="18"/>
              </w:rPr>
            </w:pPr>
            <w:r w:rsidRPr="00A8783E">
              <w:rPr>
                <w:rFonts w:ascii="Times New Roman" w:hAnsi="Times New Roman"/>
                <w:sz w:val="18"/>
                <w:szCs w:val="18"/>
              </w:rPr>
              <w:t>G</w:t>
            </w:r>
          </w:p>
        </w:tc>
        <w:tc>
          <w:tcPr>
            <w:tcW w:w="0" w:type="auto"/>
            <w:vAlign w:val="center"/>
          </w:tcPr>
          <w:p w:rsidR="00A8783E" w:rsidRPr="00A8783E" w:rsidRDefault="00A8783E" w:rsidP="00A8783E">
            <w:pPr>
              <w:spacing w:after="0" w:line="240" w:lineRule="auto"/>
              <w:rPr>
                <w:rFonts w:ascii="Times New Roman" w:hAnsi="Times New Roman"/>
                <w:sz w:val="18"/>
                <w:szCs w:val="18"/>
                <w:lang w:val="en-US"/>
              </w:rPr>
            </w:pPr>
            <w:r w:rsidRPr="00A8783E">
              <w:rPr>
                <w:rFonts w:ascii="Times New Roman" w:hAnsi="Times New Roman"/>
                <w:sz w:val="18"/>
                <w:szCs w:val="18"/>
                <w:lang w:val="en-US"/>
              </w:rPr>
              <w:t>C</w:t>
            </w:r>
          </w:p>
        </w:tc>
        <w:tc>
          <w:tcPr>
            <w:tcW w:w="0" w:type="auto"/>
            <w:vAlign w:val="center"/>
          </w:tcPr>
          <w:p w:rsidR="00A8783E" w:rsidRPr="00A8783E" w:rsidRDefault="00A8783E" w:rsidP="00A8783E">
            <w:pPr>
              <w:spacing w:after="0" w:line="240" w:lineRule="auto"/>
              <w:rPr>
                <w:rFonts w:ascii="Times New Roman" w:hAnsi="Times New Roman"/>
                <w:sz w:val="18"/>
                <w:szCs w:val="18"/>
                <w:lang w:val="en-US"/>
              </w:rPr>
            </w:pPr>
            <w:r w:rsidRPr="00A8783E">
              <w:rPr>
                <w:rFonts w:ascii="Times New Roman" w:hAnsi="Times New Roman"/>
                <w:sz w:val="18"/>
                <w:szCs w:val="18"/>
                <w:lang w:val="en-US"/>
              </w:rPr>
              <w:t>A</w:t>
            </w:r>
          </w:p>
        </w:tc>
        <w:tc>
          <w:tcPr>
            <w:tcW w:w="0" w:type="auto"/>
            <w:vAlign w:val="center"/>
          </w:tcPr>
          <w:p w:rsidR="00A8783E" w:rsidRPr="00A8783E" w:rsidRDefault="00A8783E" w:rsidP="00A8783E">
            <w:pPr>
              <w:spacing w:after="0" w:line="240" w:lineRule="auto"/>
              <w:rPr>
                <w:rFonts w:ascii="Times New Roman" w:hAnsi="Times New Roman"/>
                <w:sz w:val="18"/>
                <w:szCs w:val="18"/>
                <w:lang w:val="en-US"/>
              </w:rPr>
            </w:pPr>
            <w:r w:rsidRPr="00A8783E">
              <w:rPr>
                <w:rFonts w:ascii="Times New Roman" w:hAnsi="Times New Roman"/>
                <w:sz w:val="18"/>
                <w:szCs w:val="18"/>
                <w:lang w:val="en-US"/>
              </w:rPr>
              <w:t>C</w:t>
            </w:r>
          </w:p>
        </w:tc>
        <w:tc>
          <w:tcPr>
            <w:tcW w:w="0" w:type="auto"/>
            <w:vAlign w:val="center"/>
          </w:tcPr>
          <w:p w:rsidR="00A8783E" w:rsidRPr="00A8783E" w:rsidRDefault="00A8783E" w:rsidP="00A8783E">
            <w:pPr>
              <w:spacing w:after="0" w:line="240" w:lineRule="auto"/>
              <w:rPr>
                <w:rFonts w:ascii="Times New Roman" w:hAnsi="Times New Roman"/>
                <w:sz w:val="18"/>
                <w:szCs w:val="18"/>
                <w:lang w:val="en-US"/>
              </w:rPr>
            </w:pPr>
            <w:r w:rsidRPr="00A8783E">
              <w:rPr>
                <w:rFonts w:ascii="Times New Roman" w:hAnsi="Times New Roman"/>
                <w:sz w:val="18"/>
                <w:szCs w:val="18"/>
                <w:lang w:val="en-US"/>
              </w:rPr>
              <w:t>A</w:t>
            </w:r>
          </w:p>
        </w:tc>
      </w:tr>
    </w:tbl>
    <w:p w:rsidR="00A8783E" w:rsidRPr="00A8783E" w:rsidRDefault="00A8783E" w:rsidP="00A8783E">
      <w:pPr>
        <w:spacing w:after="160" w:line="259" w:lineRule="auto"/>
        <w:rPr>
          <w:rFonts w:ascii="Times New Roman" w:hAnsi="Times New Roman"/>
          <w:sz w:val="24"/>
          <w:szCs w:val="24"/>
          <w:lang w:val="en-US"/>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val="en-US"/>
        </w:rPr>
      </w:pPr>
      <w:bookmarkStart w:id="528" w:name="_Toc87467283"/>
      <w:bookmarkStart w:id="529" w:name="_Toc87692200"/>
      <w:bookmarkStart w:id="530" w:name="_Toc87981163"/>
      <w:bookmarkStart w:id="531" w:name="_Toc88865744"/>
      <w:bookmarkStart w:id="532" w:name="_Toc89106154"/>
      <w:bookmarkStart w:id="533" w:name="_Toc98741993"/>
      <w:bookmarkStart w:id="534" w:name="_Toc98838668"/>
      <w:r w:rsidRPr="00A8783E">
        <w:rPr>
          <w:rFonts w:ascii="Times New Roman" w:hAnsi="Times New Roman"/>
          <w:color w:val="1F497D"/>
          <w:sz w:val="28"/>
          <w:szCs w:val="28"/>
        </w:rPr>
        <w:t xml:space="preserve">Специфични цели за </w:t>
      </w:r>
      <w:r w:rsidRPr="00A8783E">
        <w:rPr>
          <w:rFonts w:ascii="Times New Roman" w:hAnsi="Times New Roman"/>
          <w:color w:val="1F497D"/>
          <w:sz w:val="28"/>
          <w:szCs w:val="28"/>
          <w:lang w:val="en-US"/>
        </w:rPr>
        <w:t xml:space="preserve">A397 </w:t>
      </w:r>
      <w:r w:rsidRPr="00A8783E">
        <w:rPr>
          <w:rFonts w:ascii="Times New Roman" w:hAnsi="Times New Roman"/>
          <w:i/>
          <w:iCs/>
          <w:color w:val="1F497D"/>
          <w:sz w:val="28"/>
          <w:szCs w:val="28"/>
          <w:lang w:val="en-US"/>
        </w:rPr>
        <w:t>T</w:t>
      </w:r>
      <w:r w:rsidRPr="00A8783E">
        <w:rPr>
          <w:rFonts w:ascii="Times New Roman" w:hAnsi="Times New Roman"/>
          <w:i/>
          <w:iCs/>
          <w:color w:val="1F497D"/>
          <w:sz w:val="28"/>
          <w:szCs w:val="28"/>
        </w:rPr>
        <w:t xml:space="preserve">adorna ferruginea </w:t>
      </w:r>
      <w:r w:rsidRPr="00A8783E">
        <w:rPr>
          <w:rFonts w:ascii="Times New Roman" w:hAnsi="Times New Roman"/>
          <w:color w:val="1F497D"/>
          <w:sz w:val="28"/>
          <w:szCs w:val="28"/>
        </w:rPr>
        <w:t>(червен ангъч)</w:t>
      </w:r>
      <w:bookmarkEnd w:id="528"/>
      <w:bookmarkEnd w:id="529"/>
      <w:bookmarkEnd w:id="530"/>
      <w:bookmarkEnd w:id="531"/>
      <w:bookmarkEnd w:id="532"/>
      <w:bookmarkEnd w:id="533"/>
      <w:bookmarkEnd w:id="534"/>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Дължината на тялото 55-67 cm, размах на крилата: 121 – 145 cm. (Cramp </w:t>
      </w:r>
      <w:r w:rsidRPr="00A8783E">
        <w:rPr>
          <w:rFonts w:ascii="Times New Roman" w:hAnsi="Times New Roman"/>
          <w:color w:val="000000"/>
          <w:sz w:val="24"/>
          <w:szCs w:val="24"/>
          <w:lang w:val="en-US"/>
        </w:rPr>
        <w:t>and</w:t>
      </w:r>
      <w:r w:rsidRPr="00A8783E">
        <w:rPr>
          <w:rFonts w:ascii="Times New Roman" w:hAnsi="Times New Roman"/>
          <w:color w:val="000000"/>
          <w:sz w:val="24"/>
          <w:szCs w:val="24"/>
        </w:rPr>
        <w:t xml:space="preserve"> Simmons 1977; Svensson</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2013). Цялото оперение е ръждиво-червеникаво, с по-светла глава и шия. Крилата са бели,</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а маховите пера са черни. Крилното огледало е тъмнозелено.</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Клюнът и краката са тъмносиви. Мъжките се отличават от женските по наличието на черен пръстен на шията. Доста гласовит, алармира дори и при най-малка опасност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Нанкинов и др., 1997).</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Червеният ангъч у нас е гнездящ, прелетен вид, а също преминаващ по време на миграция и зимуващ. Зимува редовно у нас и в по-голям брой едва от 5-6 години насам (Shurulinkov et al., 2020). През прелета и зимата обикновено се среща на ята, често самостоятелни, а понякога смесени с патици от род </w:t>
      </w:r>
      <w:r w:rsidRPr="00A8783E">
        <w:rPr>
          <w:rFonts w:ascii="Times New Roman" w:hAnsi="Times New Roman"/>
          <w:i/>
          <w:iCs/>
          <w:color w:val="000000"/>
          <w:sz w:val="24"/>
          <w:szCs w:val="24"/>
        </w:rPr>
        <w:t>Anas</w:t>
      </w:r>
      <w:r w:rsidRPr="00A8783E">
        <w:rPr>
          <w:rFonts w:ascii="Times New Roman" w:hAnsi="Times New Roman"/>
          <w:color w:val="000000"/>
          <w:sz w:val="24"/>
          <w:szCs w:val="24"/>
        </w:rPr>
        <w:t xml:space="preserve">, бели неми лебеди или гъски. </w:t>
      </w:r>
      <w:r w:rsidRPr="00A8783E">
        <w:rPr>
          <w:rFonts w:ascii="Times New Roman" w:hAnsi="Times New Roman"/>
          <w:b/>
          <w:bCs/>
          <w:color w:val="000000"/>
          <w:sz w:val="24"/>
          <w:szCs w:val="24"/>
        </w:rPr>
        <w:t xml:space="preserve">Нощува във водоемите, а през деня често се храни в пасища и ниви. </w:t>
      </w:r>
      <w:r w:rsidRPr="00A8783E">
        <w:rPr>
          <w:rFonts w:ascii="Times New Roman" w:hAnsi="Times New Roman"/>
          <w:color w:val="000000"/>
          <w:sz w:val="24"/>
          <w:szCs w:val="24"/>
        </w:rPr>
        <w:t>Пролетната миграция е от началото на февруари до средата на април. Есенната миграция е от септември до началото на декември</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Нанкинов и др., 1997).</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Гнездовото местообитание на вида са различни солени, бракични и сладководни плитководни водоеми. Обикновено гнезди в малки и средно големи язовири с голи брегове и наличие на земни откоси подходящи за дълбаене на дупки в близост. Най-много обича водоеми сред степни местообитания. В Добруджа обитава и покрай малки рекички в суходолията. Среща се и в богати на храна басейни на свинекомплекси и други селскостопански сгради и ферми. Гнезди в земни или скални дупки, често на лисици или язовци. По време на миграция и зимуване се среща във всякакви типове влажни зони -  язовири, езера, блата, разливи, влажни ливади, степи. В р. Дунав предпочита пясъчните коси. Най-големи концентрации – докъм 300-450 инд., се наблюдават по време на есенната миграция в крайморските влажни зони (особено в Атанасовското езеро) и в някои язовири в Източна България (Shurulinkov et al., 2020; Нанкинов и др., 1997).</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lastRenderedPageBreak/>
        <w:t>Хранене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Червеният ангъч се храни главно със зелени части на ливадни треви, семена на културни растения, с дребни водни безгръбначни животни - скакалци, червеи, ракообразни (</w:t>
      </w:r>
      <w:r w:rsidRPr="00A8783E">
        <w:rPr>
          <w:rFonts w:ascii="Times New Roman" w:hAnsi="Times New Roman"/>
          <w:i/>
          <w:iCs/>
          <w:color w:val="000000"/>
          <w:sz w:val="24"/>
          <w:szCs w:val="24"/>
        </w:rPr>
        <w:t>Artemia, Gammarus</w:t>
      </w:r>
      <w:r w:rsidRPr="00A8783E">
        <w:rPr>
          <w:rFonts w:ascii="Times New Roman" w:hAnsi="Times New Roman"/>
          <w:color w:val="000000"/>
          <w:sz w:val="24"/>
          <w:szCs w:val="24"/>
        </w:rPr>
        <w:t xml:space="preserve">), мекотели, рядко и с дребни гръбначни – жабчета и рибки (Cramp </w:t>
      </w:r>
      <w:r w:rsidRPr="00A8783E">
        <w:rPr>
          <w:rFonts w:ascii="Times New Roman" w:hAnsi="Times New Roman"/>
          <w:color w:val="000000"/>
          <w:sz w:val="24"/>
          <w:szCs w:val="24"/>
          <w:lang w:val="en-US"/>
        </w:rPr>
        <w:t>and</w:t>
      </w:r>
      <w:r w:rsidRPr="00A8783E">
        <w:rPr>
          <w:rFonts w:ascii="Times New Roman" w:hAnsi="Times New Roman"/>
          <w:color w:val="000000"/>
          <w:sz w:val="24"/>
          <w:szCs w:val="24"/>
        </w:rPr>
        <w:t xml:space="preserve"> Simmons 1977; Нанкинов и др., 1997).</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Като гнездящ вид има доста ограничен ареал у нас и е малоброен, но през последните години увеличава числеността си и разпространението си (Shurulinkov et al., 2020). Гнездови находища има само в Източна България – край Атанасовското езеро и в редица язовири в Бургаска, Сливенска, Ямболска, Хасковска, Добричка, Варненска, Шуменска, Търговищка, Силистренска и Разградска области (Янков ред., 2007; Зехтинджиев и др., 2015; Shurulinkov et al., 2020). В миналото –до 80-те години на 20-ти век е гнездил и по р. Дунав на запад до Никопол и до с. Бръшляница, Плевенско (Нанкинов и др., 1997; Шурулинков и др., 2005), но няма по-нови данни доказващи гнезденето му там. Червеният ангъч зимува в Източна България, като концентрациите му достигат до около 100 и повече индивида. Най-големи ята остават да зимуват в Югоизточна България – в районите на Бургас, Карнобат и Средец. По време на миграция червените ангъчи преминават през много водоеми в Източна и Централна България. Както отбелязахме по-горе през есенната миграция са наблюдавани и най-големите концентрации на този вид в България.</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Според докладването по чл.</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12 от 2019 г. </w:t>
      </w:r>
      <w:r w:rsidRPr="00A8783E">
        <w:rPr>
          <w:rFonts w:ascii="Times New Roman" w:hAnsi="Times New Roman"/>
          <w:b/>
          <w:bCs/>
          <w:color w:val="000000"/>
          <w:sz w:val="24"/>
          <w:szCs w:val="24"/>
        </w:rPr>
        <w:t>гнездовата</w:t>
      </w:r>
      <w:r w:rsidRPr="00A8783E">
        <w:rPr>
          <w:rFonts w:ascii="Times New Roman" w:hAnsi="Times New Roman"/>
          <w:color w:val="000000"/>
          <w:sz w:val="24"/>
          <w:szCs w:val="24"/>
        </w:rPr>
        <w:t xml:space="preserve"> популация се оценява на 40-120 двойки. Според докладването числеността на вида се увеличава в краткосрочен план, но е намаляла в дългосрочен, а разпространението и в двата периода намалява. Според нас в краткосрочен план, след 2005 г. има увеличение както на числеността така и на разпространението на вида (виж и Shurulinkov et al., 2020).</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Числеността на </w:t>
      </w:r>
      <w:r w:rsidRPr="00A8783E">
        <w:rPr>
          <w:rFonts w:ascii="Times New Roman" w:hAnsi="Times New Roman"/>
          <w:b/>
          <w:bCs/>
          <w:color w:val="000000"/>
          <w:sz w:val="24"/>
          <w:szCs w:val="24"/>
        </w:rPr>
        <w:t>зимуващите</w:t>
      </w:r>
      <w:r w:rsidRPr="00A8783E">
        <w:rPr>
          <w:rFonts w:ascii="Times New Roman" w:hAnsi="Times New Roman"/>
          <w:color w:val="000000"/>
          <w:sz w:val="24"/>
          <w:szCs w:val="24"/>
        </w:rPr>
        <w:t xml:space="preserve"> у нас червени ангъчи според докладването по чл. 12 е между 20 и 360 инд. Краткосрочната тенденция е неизвестна, с флуктуации, а дългосрочната – на увеличение. Всъщност и двете тенденции са положителни. </w:t>
      </w:r>
    </w:p>
    <w:p w:rsidR="00A8783E" w:rsidRPr="00A8783E" w:rsidRDefault="00A8783E" w:rsidP="00A8783E">
      <w:pPr>
        <w:spacing w:before="120" w:after="120" w:line="240" w:lineRule="auto"/>
        <w:jc w:val="both"/>
        <w:rPr>
          <w:rFonts w:ascii="Times New Roman" w:hAnsi="Times New Roman"/>
          <w:color w:val="000000"/>
          <w:sz w:val="24"/>
          <w:szCs w:val="24"/>
          <w:lang w:val="ru-RU"/>
        </w:rPr>
      </w:pPr>
      <w:r w:rsidRPr="00A8783E">
        <w:rPr>
          <w:rFonts w:ascii="Times New Roman" w:hAnsi="Times New Roman"/>
          <w:color w:val="000000"/>
          <w:sz w:val="24"/>
          <w:szCs w:val="24"/>
        </w:rPr>
        <w:t>Включен в Приложения 2 и 3 на ЗБР и Приложение 1</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 xml:space="preserve">на Директивата за птиците. Според </w:t>
      </w:r>
      <w:r w:rsidRPr="00A8783E">
        <w:rPr>
          <w:rFonts w:ascii="Times New Roman" w:hAnsi="Times New Roman"/>
          <w:color w:val="000000"/>
          <w:sz w:val="24"/>
          <w:szCs w:val="24"/>
          <w:lang w:val="en-GB"/>
        </w:rPr>
        <w:t>IUCN</w:t>
      </w:r>
      <w:r w:rsidRPr="00A8783E">
        <w:rPr>
          <w:rFonts w:ascii="Times New Roman" w:hAnsi="Times New Roman"/>
          <w:color w:val="000000"/>
          <w:sz w:val="24"/>
          <w:szCs w:val="24"/>
        </w:rPr>
        <w:t xml:space="preserve"> видът </w:t>
      </w:r>
      <w:r w:rsidRPr="00A8783E">
        <w:rPr>
          <w:rFonts w:ascii="Times New Roman" w:hAnsi="Times New Roman"/>
          <w:color w:val="000000"/>
          <w:sz w:val="24"/>
          <w:szCs w:val="24"/>
          <w:lang w:val="en-US"/>
        </w:rPr>
        <w:t>e</w:t>
      </w:r>
      <w:r w:rsidRPr="00A8783E">
        <w:rPr>
          <w:rFonts w:ascii="Times New Roman" w:hAnsi="Times New Roman"/>
          <w:color w:val="000000"/>
          <w:sz w:val="24"/>
          <w:szCs w:val="24"/>
        </w:rPr>
        <w:t xml:space="preserve"> Незастрашен LC (Least Concern), за територията на континентална Европа. SPEC </w:t>
      </w:r>
      <w:r w:rsidRPr="00A8783E">
        <w:rPr>
          <w:rFonts w:ascii="Times New Roman" w:hAnsi="Times New Roman"/>
          <w:color w:val="000000"/>
          <w:sz w:val="24"/>
          <w:szCs w:val="24"/>
          <w:lang w:val="ru-RU"/>
        </w:rPr>
        <w:t>3</w:t>
      </w:r>
      <w:r w:rsidRPr="00A8783E">
        <w:rPr>
          <w:rFonts w:ascii="Times New Roman" w:hAnsi="Times New Roman"/>
          <w:color w:val="000000"/>
          <w:sz w:val="24"/>
          <w:szCs w:val="24"/>
        </w:rPr>
        <w:t xml:space="preserve"> категория BirdLife International 2017). Включен в Червената книга на България в категория критично застрашен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CR</w:t>
      </w:r>
      <w:r w:rsidRPr="00A8783E">
        <w:rPr>
          <w:rFonts w:ascii="Times New Roman" w:hAnsi="Times New Roman"/>
          <w:color w:val="000000"/>
          <w:sz w:val="24"/>
          <w:szCs w:val="24"/>
          <w:lang w:val="ru-RU"/>
        </w:rPr>
        <w:t>)</w:t>
      </w:r>
      <w:r w:rsidRPr="00A8783E">
        <w:rPr>
          <w:rFonts w:ascii="Times New Roman" w:hAnsi="Times New Roman"/>
          <w:color w:val="000000"/>
          <w:sz w:val="24"/>
          <w:szCs w:val="24"/>
        </w:rPr>
        <w:t>.</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В Червената книга на България (Зехтинджиев и др., 2015) като </w:t>
      </w:r>
      <w:r w:rsidRPr="00A8783E">
        <w:rPr>
          <w:rFonts w:ascii="Times New Roman" w:hAnsi="Times New Roman"/>
          <w:b/>
          <w:bCs/>
          <w:color w:val="000000"/>
          <w:sz w:val="24"/>
          <w:szCs w:val="24"/>
        </w:rPr>
        <w:t>заплахи</w:t>
      </w:r>
      <w:r w:rsidRPr="00A8783E">
        <w:rPr>
          <w:rFonts w:ascii="Times New Roman" w:hAnsi="Times New Roman"/>
          <w:color w:val="000000"/>
          <w:sz w:val="24"/>
          <w:szCs w:val="24"/>
        </w:rPr>
        <w:t xml:space="preserve"> за червения ангъч са посочени загубата и деградацията на хабитати, отстрела и колекционерството. Други заплахи за вида са осушаването на язовирите, включително през гнездовия период, бракуването на язовири, преследването на птиците в рибовъдни стопанства и рибовъдни язовири. При докладването по чл. 12 са посочени промени в предназначението на земите, вкл. промяната на една култура с друга, както и развитието на спортно-туристическа инфраструктура. За зимния период като заплаха се посочват модификациите на хидрологичната мрежа, тоест корекциите на реки, изправянето на речните корита, строителството на ВЕЦ и бентове, отводняването на реките за напояване и др.</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(СЗЗ)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w:t>
      </w:r>
      <w:r w:rsidRPr="00A8783E">
        <w:rPr>
          <w:rFonts w:ascii="Times New Roman" w:hAnsi="Times New Roman"/>
          <w:b/>
          <w:bCs/>
          <w:sz w:val="24"/>
          <w:szCs w:val="24"/>
        </w:rPr>
        <w:t>гнездящ</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rPr>
        <w:t>0-</w:t>
      </w:r>
      <w:r w:rsidRPr="00A8783E">
        <w:rPr>
          <w:rFonts w:ascii="Times New Roman" w:hAnsi="Times New Roman"/>
          <w:b/>
          <w:bCs/>
          <w:sz w:val="24"/>
          <w:szCs w:val="24"/>
          <w:lang w:val="ru-RU"/>
        </w:rPr>
        <w:t>4</w:t>
      </w:r>
      <w:r w:rsidRPr="00A8783E">
        <w:rPr>
          <w:rFonts w:ascii="Times New Roman" w:hAnsi="Times New Roman"/>
          <w:b/>
          <w:bCs/>
          <w:sz w:val="24"/>
          <w:szCs w:val="24"/>
        </w:rPr>
        <w:t xml:space="preserve"> двойки</w:t>
      </w:r>
      <w:r w:rsidRPr="00A8783E">
        <w:rPr>
          <w:rFonts w:ascii="Times New Roman" w:hAnsi="Times New Roman"/>
          <w:sz w:val="24"/>
          <w:szCs w:val="24"/>
        </w:rPr>
        <w:t>, което представлява 0-</w:t>
      </w:r>
      <w:r w:rsidRPr="00A8783E">
        <w:rPr>
          <w:rFonts w:ascii="Times New Roman" w:hAnsi="Times New Roman"/>
          <w:sz w:val="24"/>
          <w:szCs w:val="24"/>
          <w:lang w:val="ru-RU"/>
        </w:rPr>
        <w:t>3</w:t>
      </w:r>
      <w:r w:rsidRPr="00A8783E">
        <w:rPr>
          <w:rFonts w:ascii="Times New Roman" w:hAnsi="Times New Roman"/>
          <w:sz w:val="24"/>
          <w:szCs w:val="24"/>
        </w:rPr>
        <w:t xml:space="preserve"> % от националната популация </w:t>
      </w:r>
      <w:r w:rsidRPr="00A8783E">
        <w:rPr>
          <w:rFonts w:ascii="Times New Roman" w:hAnsi="Times New Roman"/>
          <w:sz w:val="24"/>
          <w:szCs w:val="24"/>
        </w:rPr>
        <w:lastRenderedPageBreak/>
        <w:t>(оценка „</w:t>
      </w:r>
      <w:r w:rsidRPr="00A8783E">
        <w:rPr>
          <w:rFonts w:ascii="Times New Roman" w:hAnsi="Times New Roman"/>
          <w:sz w:val="24"/>
          <w:szCs w:val="24"/>
          <w:lang w:val="ru-RU"/>
        </w:rPr>
        <w:t xml:space="preserve"> </w:t>
      </w:r>
      <w:r w:rsidRPr="00A8783E">
        <w:rPr>
          <w:rFonts w:ascii="Times New Roman" w:hAnsi="Times New Roman"/>
          <w:sz w:val="24"/>
          <w:szCs w:val="24"/>
        </w:rPr>
        <w:t>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вида е и </w:t>
      </w:r>
      <w:r w:rsidRPr="00A8783E">
        <w:rPr>
          <w:rFonts w:ascii="Times New Roman" w:hAnsi="Times New Roman"/>
          <w:b/>
          <w:bCs/>
          <w:sz w:val="24"/>
          <w:szCs w:val="24"/>
        </w:rPr>
        <w:t>мигриращ</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rPr>
        <w:t>1-17 индивиди</w:t>
      </w:r>
      <w:r w:rsidRPr="00A8783E">
        <w:rPr>
          <w:rFonts w:ascii="Times New Roman" w:hAnsi="Times New Roman"/>
          <w:sz w:val="24"/>
          <w:szCs w:val="24"/>
        </w:rPr>
        <w:t>. Няма цялостна оценка за мигриращата популация на вида в страната. Оценката на популацията е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Гнездяща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миналото е гнездил по р. Дунав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Понастоящем вида гнезди във влажни зони в източните части на Дунавското ни крайбрежие, но през периода 2006-2013 г. видът не е наблюдаван в Сребърна </w:t>
      </w:r>
      <w:r w:rsidRPr="00A8783E">
        <w:rPr>
          <w:rFonts w:ascii="Times New Roman" w:hAnsi="Times New Roman"/>
          <w:sz w:val="24"/>
          <w:szCs w:val="24"/>
          <w:lang w:val="ru-RU"/>
        </w:rPr>
        <w:t>(</w:t>
      </w:r>
      <w:r w:rsidRPr="00A8783E">
        <w:rPr>
          <w:rFonts w:ascii="Times New Roman" w:hAnsi="Times New Roman"/>
          <w:sz w:val="24"/>
          <w:szCs w:val="24"/>
          <w:lang w:val="en-US"/>
        </w:rPr>
        <w:t>Shurulinkov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w:t>
      </w:r>
      <w:r w:rsidRPr="00A8783E">
        <w:rPr>
          <w:rFonts w:ascii="Times New Roman" w:hAnsi="Times New Roman"/>
          <w:sz w:val="24"/>
          <w:szCs w:val="24"/>
        </w:rPr>
        <w:t>,</w:t>
      </w:r>
      <w:r w:rsidRPr="00A8783E">
        <w:rPr>
          <w:rFonts w:ascii="Times New Roman" w:hAnsi="Times New Roman"/>
          <w:sz w:val="24"/>
          <w:szCs w:val="24"/>
          <w:lang w:val="ru-RU"/>
        </w:rPr>
        <w:t xml:space="preserve"> 2019)</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 xml:space="preserve">В ОВМ „Сребърна“ червеният ангъч е с гнездова численост 4 дв. </w:t>
      </w:r>
      <w:r w:rsidRPr="00A8783E">
        <w:rPr>
          <w:rFonts w:ascii="Times New Roman" w:hAnsi="Times New Roman"/>
          <w:sz w:val="24"/>
          <w:szCs w:val="24"/>
          <w:lang w:val="ru-RU"/>
        </w:rPr>
        <w:t>(</w:t>
      </w:r>
      <w:r w:rsidRPr="00A8783E">
        <w:rPr>
          <w:rFonts w:ascii="Times New Roman" w:hAnsi="Times New Roman"/>
          <w:sz w:val="24"/>
          <w:szCs w:val="24"/>
        </w:rPr>
        <w:t>Петков и др. в Костадинова и Граматиков, 2007</w:t>
      </w:r>
      <w:r w:rsidRPr="00A8783E">
        <w:rPr>
          <w:rFonts w:ascii="Times New Roman" w:hAnsi="Times New Roman"/>
          <w:sz w:val="24"/>
          <w:szCs w:val="24"/>
          <w:lang w:val="ru-RU"/>
        </w:rPr>
        <w:t xml:space="preserve">). </w:t>
      </w:r>
      <w:r w:rsidRPr="00A8783E">
        <w:rPr>
          <w:rFonts w:ascii="Times New Roman" w:hAnsi="Times New Roman"/>
          <w:sz w:val="24"/>
          <w:szCs w:val="24"/>
        </w:rPr>
        <w:t>Червеният ангъч гнезди рядко в резервата. По данни на Мичев (1999, in litt.) в Сребърна нередовно гнездят 2-5 двойки, като птиците предпочитат ерозираните и карстови брегове на река Сребърненска. През май 2002 г. са наблюдавани 7 птици в югоизточните части на резервата (местността „Кълнежа“) и през май 2003 г. е отчетена една двойка на същото място, но по-късно малки не са наблюдавани</w:t>
      </w:r>
      <w:r w:rsidRPr="00A8783E">
        <w:rPr>
          <w:rFonts w:ascii="Times New Roman" w:hAnsi="Times New Roman"/>
          <w:sz w:val="24"/>
          <w:szCs w:val="24"/>
          <w:lang w:val="ru-RU"/>
        </w:rPr>
        <w:t xml:space="preserve"> (</w:t>
      </w:r>
      <w:r w:rsidRPr="00A8783E">
        <w:rPr>
          <w:rFonts w:ascii="Times New Roman" w:hAnsi="Times New Roman"/>
          <w:sz w:val="24"/>
          <w:szCs w:val="24"/>
        </w:rPr>
        <w:t>Иванова, 2014 в Актуализиран план на ПР Сребърна</w:t>
      </w:r>
      <w:r w:rsidRPr="00A8783E">
        <w:rPr>
          <w:rFonts w:ascii="Times New Roman" w:hAnsi="Times New Roman"/>
          <w:sz w:val="24"/>
          <w:szCs w:val="24"/>
          <w:lang w:val="ru-RU"/>
        </w:rPr>
        <w:t>)</w:t>
      </w:r>
      <w:r w:rsidRPr="00A8783E">
        <w:rPr>
          <w:rFonts w:ascii="Times New Roman" w:hAnsi="Times New Roman"/>
          <w:sz w:val="24"/>
          <w:szCs w:val="24"/>
        </w:rPr>
        <w:t xml:space="preserve">. На 20.05.2021 г. в южните части на зоната са наблюдавани 3 индивид, което означава, че вида вероятно гнезди с численост 1-2 дв. На 06.06.2019 г. на същото място в зоната е отчетен 1 инд. През 2020 г. в зоната са отчетени 2 дв. червени ангъчи в южната част на езерото и още 2 дв. в местността „Кълнежа“ </w:t>
      </w:r>
      <w:r w:rsidRPr="00A8783E">
        <w:rPr>
          <w:rFonts w:ascii="Times New Roman" w:hAnsi="Times New Roman"/>
          <w:sz w:val="24"/>
          <w:szCs w:val="24"/>
          <w:lang w:val="ru-RU"/>
        </w:rPr>
        <w:t>(</w:t>
      </w:r>
      <w:r w:rsidRPr="00A8783E">
        <w:rPr>
          <w:rFonts w:ascii="Times New Roman" w:hAnsi="Times New Roman"/>
          <w:sz w:val="24"/>
          <w:szCs w:val="24"/>
        </w:rPr>
        <w:t>югоизточните части на зоната</w:t>
      </w:r>
      <w:r w:rsidRPr="00A8783E">
        <w:rPr>
          <w:rFonts w:ascii="Times New Roman" w:hAnsi="Times New Roman"/>
          <w:sz w:val="24"/>
          <w:szCs w:val="24"/>
          <w:lang w:val="ru-RU"/>
        </w:rPr>
        <w:t>)</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Данните показват, че през последните 3 години червеният ангъч гнезди редовно в зоната с численост 2-4 дв.</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A8783E">
        <w:rPr>
          <w:rFonts w:ascii="Times New Roman" w:hAnsi="Times New Roman"/>
          <w:sz w:val="24"/>
          <w:szCs w:val="24"/>
          <w:lang w:val="ru-RU"/>
        </w:rPr>
        <w:t xml:space="preserve"> </w:t>
      </w:r>
      <w:r w:rsidRPr="00A8783E">
        <w:rPr>
          <w:rFonts w:ascii="Times New Roman" w:hAnsi="Times New Roman"/>
          <w:sz w:val="24"/>
          <w:szCs w:val="24"/>
        </w:rPr>
        <w:t xml:space="preserve">Понастоящем броят на мигриращите и зимуващите индивиди на червения ангъч в страната се увеличават, като най-многочислен е той в Атанасовското езеро </w:t>
      </w:r>
      <w:r w:rsidRPr="00A8783E">
        <w:rPr>
          <w:rFonts w:ascii="Times New Roman" w:hAnsi="Times New Roman"/>
          <w:sz w:val="24"/>
          <w:szCs w:val="24"/>
          <w:lang w:val="ru-RU"/>
        </w:rPr>
        <w:t>(</w:t>
      </w:r>
      <w:r w:rsidRPr="00A8783E">
        <w:rPr>
          <w:rFonts w:ascii="Times New Roman" w:hAnsi="Times New Roman"/>
          <w:sz w:val="24"/>
          <w:szCs w:val="24"/>
          <w:lang w:val="en-US"/>
        </w:rPr>
        <w:t>Shurulinkov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2020)</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От всички посочени заплахи за вида от докладването по чл. 12 през 2019 г.</w:t>
      </w:r>
      <w:r w:rsidRPr="00A8783E">
        <w:rPr>
          <w:rFonts w:ascii="Times New Roman" w:hAnsi="Times New Roman"/>
          <w:sz w:val="24"/>
          <w:szCs w:val="24"/>
          <w:lang w:val="ru-RU"/>
        </w:rPr>
        <w:t xml:space="preserve"> </w:t>
      </w:r>
      <w:r w:rsidRPr="00A8783E">
        <w:rPr>
          <w:rFonts w:ascii="Times New Roman" w:hAnsi="Times New Roman"/>
          <w:sz w:val="24"/>
          <w:szCs w:val="24"/>
        </w:rPr>
        <w:t>нито една няма отношение към ЗЗ Сребърна. Заплахата за вида в зоната е обрастването с инвазивни видове дървета и храсти на хълмовете около езерото.</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134"/>
        <w:gridCol w:w="1276"/>
        <w:gridCol w:w="2410"/>
        <w:gridCol w:w="2556"/>
      </w:tblGrid>
      <w:tr w:rsidR="00A8783E" w:rsidRPr="00A8783E" w:rsidTr="005B5318">
        <w:trPr>
          <w:tblHeader/>
          <w:jc w:val="center"/>
        </w:trPr>
        <w:tc>
          <w:tcPr>
            <w:tcW w:w="169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41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55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696"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гнездящата популацията</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гнездящи двойки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 дв.</w:t>
            </w:r>
          </w:p>
        </w:tc>
        <w:tc>
          <w:tcPr>
            <w:tcW w:w="24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Определена на база СФ, теренните проучвания през 2021 г. и други налични данни за гнезденето на вида в зоната.</w:t>
            </w:r>
          </w:p>
        </w:tc>
        <w:tc>
          <w:tcPr>
            <w:tcW w:w="255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1 гн. дв.</w:t>
            </w:r>
          </w:p>
        </w:tc>
      </w:tr>
      <w:tr w:rsidR="00A8783E" w:rsidRPr="00A8783E" w:rsidTr="005B5318">
        <w:trPr>
          <w:jc w:val="center"/>
        </w:trPr>
        <w:tc>
          <w:tcPr>
            <w:tcW w:w="1696"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 xml:space="preserve">Размер на </w:t>
            </w:r>
            <w:r w:rsidRPr="00A8783E">
              <w:rPr>
                <w:rFonts w:ascii="Times New Roman" w:hAnsi="Times New Roman"/>
              </w:rPr>
              <w:lastRenderedPageBreak/>
              <w:t>мигрираща популацията</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Брой индивиди</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1 - 17 инд.</w:t>
            </w:r>
          </w:p>
        </w:tc>
        <w:tc>
          <w:tcPr>
            <w:tcW w:w="2410"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Целевата стойност е определена от СФ. </w:t>
            </w:r>
            <w:r w:rsidRPr="00A8783E">
              <w:rPr>
                <w:rFonts w:ascii="Times New Roman" w:hAnsi="Times New Roman"/>
              </w:rPr>
              <w:lastRenderedPageBreak/>
              <w:t xml:space="preserve">Тези данни се нуждаят от потвърждение/актуализация в резултата на адекватен мониторинг в периода октомври – март месец. </w:t>
            </w:r>
          </w:p>
        </w:tc>
        <w:tc>
          <w:tcPr>
            <w:tcW w:w="255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Междинна цел до 2025 г.: провеждане на </w:t>
            </w:r>
            <w:r w:rsidRPr="00A8783E">
              <w:rPr>
                <w:rFonts w:ascii="Times New Roman" w:hAnsi="Times New Roman"/>
              </w:rPr>
              <w:lastRenderedPageBreak/>
              <w:t>проучване за установяване на текущата мигрираща численост на вида в зоната.</w:t>
            </w:r>
          </w:p>
        </w:tc>
      </w:tr>
      <w:tr w:rsidR="00A8783E" w:rsidRPr="00A8783E" w:rsidTr="005B5318">
        <w:trPr>
          <w:jc w:val="center"/>
        </w:trPr>
        <w:tc>
          <w:tcPr>
            <w:tcW w:w="169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lastRenderedPageBreak/>
              <w:t xml:space="preserve">Местообитание на вида: </w:t>
            </w:r>
            <w:r w:rsidRPr="00A8783E">
              <w:rPr>
                <w:rFonts w:ascii="Times New Roman" w:hAnsi="Times New Roman"/>
              </w:rPr>
              <w:t>площ</w:t>
            </w:r>
            <w:r w:rsidRPr="00A8783E">
              <w:rPr>
                <w:rFonts w:ascii="Times New Roman" w:hAnsi="Times New Roman"/>
                <w:b/>
                <w:bCs/>
              </w:rPr>
              <w:t xml:space="preserve"> </w:t>
            </w:r>
            <w:r w:rsidRPr="00A8783E">
              <w:rPr>
                <w:rFonts w:ascii="Times New Roman" w:hAnsi="Times New Roman"/>
              </w:rPr>
              <w:t>на подходящите гнездови  местообитания</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ha</w:t>
            </w:r>
          </w:p>
        </w:tc>
        <w:tc>
          <w:tcPr>
            <w:tcW w:w="1276" w:type="dxa"/>
          </w:tcPr>
          <w:p w:rsidR="00A8783E" w:rsidRPr="00A8783E" w:rsidRDefault="00A8783E" w:rsidP="00A8783E">
            <w:pPr>
              <w:spacing w:after="0" w:line="240" w:lineRule="auto"/>
              <w:jc w:val="both"/>
              <w:rPr>
                <w:rFonts w:ascii="Times New Roman" w:hAnsi="Times New Roman"/>
                <w:sz w:val="20"/>
                <w:szCs w:val="20"/>
              </w:rPr>
            </w:pPr>
            <w:r w:rsidRPr="00A8783E">
              <w:rPr>
                <w:rFonts w:ascii="Times New Roman" w:hAnsi="Times New Roman"/>
                <w:sz w:val="20"/>
                <w:szCs w:val="20"/>
              </w:rPr>
              <w:t>Неизвестна</w:t>
            </w:r>
          </w:p>
        </w:tc>
        <w:tc>
          <w:tcPr>
            <w:tcW w:w="24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Вида гнезди във сладководни влажни зони с наличие на земни откоси в близост. Площта на наличните земни откоси в зоната не може да бъде определена понастоящем.</w:t>
            </w:r>
          </w:p>
        </w:tc>
        <w:tc>
          <w:tcPr>
            <w:tcW w:w="255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установяване на наличието на земни откоси в зоната подходящи за гнездене на вида в зоната.</w:t>
            </w:r>
          </w:p>
        </w:tc>
      </w:tr>
      <w:tr w:rsidR="00A8783E" w:rsidRPr="00A8783E" w:rsidTr="005B5318">
        <w:trPr>
          <w:jc w:val="center"/>
        </w:trPr>
        <w:tc>
          <w:tcPr>
            <w:tcW w:w="169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 xml:space="preserve">Местообитание на вида: площ </w:t>
            </w:r>
            <w:r w:rsidRPr="00A8783E">
              <w:rPr>
                <w:rFonts w:ascii="Times New Roman" w:hAnsi="Times New Roman"/>
              </w:rPr>
              <w:t>на  подходящите хранителни местообитания</w:t>
            </w:r>
          </w:p>
          <w:p w:rsidR="00A8783E" w:rsidRPr="00A8783E" w:rsidRDefault="00A8783E" w:rsidP="00A8783E">
            <w:pPr>
              <w:spacing w:after="0" w:line="240" w:lineRule="auto"/>
              <w:jc w:val="both"/>
              <w:rPr>
                <w:rFonts w:ascii="Times New Roman" w:hAnsi="Times New Roman"/>
              </w:rPr>
            </w:pP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ha</w:t>
            </w:r>
          </w:p>
        </w:tc>
        <w:tc>
          <w:tcPr>
            <w:tcW w:w="1276"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 xml:space="preserve">най-малко 840 </w:t>
            </w:r>
          </w:p>
        </w:tc>
        <w:tc>
          <w:tcPr>
            <w:tcW w:w="2410"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 xml:space="preserve">Площта е изчислена на база % участие на местообитание </w:t>
            </w:r>
            <w:r w:rsidRPr="00A8783E">
              <w:rPr>
                <w:rFonts w:ascii="Times New Roman" w:hAnsi="Times New Roman"/>
                <w:color w:val="000000"/>
                <w:lang w:val="en-US"/>
              </w:rPr>
              <w:t>N</w:t>
            </w:r>
            <w:r w:rsidRPr="00A8783E">
              <w:rPr>
                <w:rFonts w:ascii="Times New Roman" w:hAnsi="Times New Roman"/>
                <w:color w:val="000000"/>
                <w:lang w:val="ru-RU"/>
              </w:rPr>
              <w:t>06-</w:t>
            </w:r>
            <w:r w:rsidRPr="00A8783E">
              <w:rPr>
                <w:rFonts w:ascii="Times New Roman" w:hAnsi="Times New Roman"/>
                <w:color w:val="000000"/>
              </w:rPr>
              <w:t xml:space="preserve">вътрешни водни тела и </w:t>
            </w:r>
            <w:r w:rsidRPr="00A8783E">
              <w:rPr>
                <w:rFonts w:ascii="Times New Roman" w:hAnsi="Times New Roman"/>
                <w:color w:val="000000"/>
                <w:lang w:val="en-US"/>
              </w:rPr>
              <w:t>N</w:t>
            </w:r>
            <w:r w:rsidRPr="00A8783E">
              <w:rPr>
                <w:rFonts w:ascii="Times New Roman" w:hAnsi="Times New Roman"/>
                <w:color w:val="000000"/>
                <w:lang w:val="ru-RU"/>
              </w:rPr>
              <w:t>07-</w:t>
            </w:r>
            <w:r w:rsidRPr="00A8783E">
              <w:rPr>
                <w:rFonts w:ascii="Times New Roman" w:hAnsi="Times New Roman"/>
                <w:color w:val="000000"/>
              </w:rPr>
              <w:t>мочурища и блата в зоната.</w:t>
            </w:r>
            <w:r w:rsidRPr="00A8783E">
              <w:rPr>
                <w:rFonts w:ascii="Times New Roman" w:hAnsi="Times New Roman"/>
                <w:color w:val="000000"/>
                <w:lang w:val="ru-RU"/>
              </w:rPr>
              <w:t xml:space="preserve"> </w:t>
            </w:r>
          </w:p>
        </w:tc>
        <w:tc>
          <w:tcPr>
            <w:tcW w:w="2556"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Поддържане и увеличаване на площта на подходящите хранителни местообитания на вида чрез поддържане на водното ниво в езерото по такъв начин, че в южните и югоизточните части на зоната да се образуват водни огледала.</w:t>
            </w:r>
          </w:p>
        </w:tc>
      </w:tr>
    </w:tbl>
    <w:p w:rsidR="00A8783E" w:rsidRPr="00A8783E" w:rsidRDefault="00A8783E" w:rsidP="00A8783E">
      <w:pPr>
        <w:spacing w:before="120" w:after="120" w:line="259" w:lineRule="auto"/>
        <w:jc w:val="both"/>
        <w:rPr>
          <w:rFonts w:ascii="Times New Roman" w:hAnsi="Times New Roman"/>
          <w:b/>
          <w:bCs/>
          <w:sz w:val="24"/>
          <w:szCs w:val="24"/>
        </w:rPr>
      </w:pPr>
      <w:r w:rsidRPr="00A8783E">
        <w:rPr>
          <w:rFonts w:ascii="Times New Roman" w:hAnsi="Times New Roman"/>
          <w:b/>
          <w:bCs/>
          <w:sz w:val="24"/>
          <w:szCs w:val="24"/>
        </w:rPr>
        <w:t>6. Необходимост от промени в СФ за (СЗЗ) BG0000241 „Сребърна“</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По отношение на гнездовата популация предлагаме да се актуализира минималната численост от 0 на 1 дв. на база на предоставената по-горе информация.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
        <w:gridCol w:w="674"/>
        <w:gridCol w:w="1079"/>
        <w:gridCol w:w="334"/>
        <w:gridCol w:w="492"/>
        <w:gridCol w:w="359"/>
        <w:gridCol w:w="583"/>
        <w:gridCol w:w="617"/>
        <w:gridCol w:w="606"/>
        <w:gridCol w:w="589"/>
        <w:gridCol w:w="854"/>
        <w:gridCol w:w="966"/>
        <w:gridCol w:w="633"/>
        <w:gridCol w:w="531"/>
        <w:gridCol w:w="589"/>
      </w:tblGrid>
      <w:tr w:rsidR="00A8783E" w:rsidRPr="00A8783E" w:rsidTr="005B5318">
        <w:trPr>
          <w:jc w:val="center"/>
        </w:trPr>
        <w:tc>
          <w:tcPr>
            <w:tcW w:w="1594" w:type="pct"/>
            <w:gridSpan w:val="5"/>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Species</w:t>
            </w:r>
          </w:p>
        </w:tc>
        <w:tc>
          <w:tcPr>
            <w:tcW w:w="1941" w:type="pct"/>
            <w:gridSpan w:val="6"/>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Population in the site</w:t>
            </w:r>
          </w:p>
        </w:tc>
        <w:tc>
          <w:tcPr>
            <w:tcW w:w="1465" w:type="pct"/>
            <w:gridSpan w:val="4"/>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Site assessment</w:t>
            </w:r>
          </w:p>
        </w:tc>
      </w:tr>
      <w:tr w:rsidR="00A8783E" w:rsidRPr="00A8783E" w:rsidTr="005B5318">
        <w:trPr>
          <w:jc w:val="center"/>
        </w:trPr>
        <w:tc>
          <w:tcPr>
            <w:tcW w:w="205" w:type="pct"/>
            <w:vMerge w:val="restart"/>
            <w:shd w:val="clear" w:color="auto" w:fill="D9D9D9"/>
            <w:vAlign w:val="center"/>
          </w:tcPr>
          <w:p w:rsidR="00A8783E" w:rsidRPr="00A8783E" w:rsidRDefault="00A8783E" w:rsidP="00A8783E">
            <w:pPr>
              <w:spacing w:before="120" w:after="120" w:line="259" w:lineRule="auto"/>
              <w:jc w:val="both"/>
              <w:rPr>
                <w:rFonts w:ascii="Times New Roman" w:hAnsi="Times New Roman"/>
                <w:b/>
                <w:bCs/>
                <w:sz w:val="18"/>
                <w:szCs w:val="18"/>
              </w:rPr>
            </w:pPr>
            <w:r w:rsidRPr="00A8783E">
              <w:rPr>
                <w:rFonts w:ascii="Times New Roman" w:hAnsi="Times New Roman"/>
                <w:b/>
                <w:bCs/>
                <w:sz w:val="18"/>
                <w:szCs w:val="18"/>
              </w:rPr>
              <w:t>G</w:t>
            </w:r>
          </w:p>
        </w:tc>
        <w:tc>
          <w:tcPr>
            <w:tcW w:w="363" w:type="pct"/>
            <w:vMerge w:val="restart"/>
            <w:shd w:val="clear" w:color="auto" w:fill="D9D9D9"/>
            <w:vAlign w:val="center"/>
          </w:tcPr>
          <w:p w:rsidR="00A8783E" w:rsidRPr="00A8783E" w:rsidRDefault="00A8783E" w:rsidP="00A8783E">
            <w:pPr>
              <w:spacing w:before="120" w:after="120" w:line="259" w:lineRule="auto"/>
              <w:jc w:val="both"/>
              <w:rPr>
                <w:rFonts w:ascii="Times New Roman" w:hAnsi="Times New Roman"/>
                <w:b/>
                <w:bCs/>
                <w:sz w:val="18"/>
                <w:szCs w:val="18"/>
              </w:rPr>
            </w:pPr>
            <w:r w:rsidRPr="00A8783E">
              <w:rPr>
                <w:rFonts w:ascii="Times New Roman" w:hAnsi="Times New Roman"/>
                <w:b/>
                <w:bCs/>
                <w:sz w:val="18"/>
                <w:szCs w:val="18"/>
              </w:rPr>
              <w:t>Code</w:t>
            </w:r>
          </w:p>
        </w:tc>
        <w:tc>
          <w:tcPr>
            <w:tcW w:w="581"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Scientific Name</w:t>
            </w:r>
          </w:p>
        </w:tc>
        <w:tc>
          <w:tcPr>
            <w:tcW w:w="180"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S</w:t>
            </w:r>
          </w:p>
        </w:tc>
        <w:tc>
          <w:tcPr>
            <w:tcW w:w="265"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NP</w:t>
            </w:r>
          </w:p>
        </w:tc>
        <w:tc>
          <w:tcPr>
            <w:tcW w:w="193"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T</w:t>
            </w:r>
          </w:p>
        </w:tc>
        <w:tc>
          <w:tcPr>
            <w:tcW w:w="646" w:type="pct"/>
            <w:gridSpan w:val="2"/>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Size</w:t>
            </w:r>
          </w:p>
        </w:tc>
        <w:tc>
          <w:tcPr>
            <w:tcW w:w="326"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Unit</w:t>
            </w:r>
          </w:p>
        </w:tc>
        <w:tc>
          <w:tcPr>
            <w:tcW w:w="317"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Cat.</w:t>
            </w:r>
          </w:p>
        </w:tc>
        <w:tc>
          <w:tcPr>
            <w:tcW w:w="460" w:type="pct"/>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D.qual.</w:t>
            </w:r>
          </w:p>
        </w:tc>
        <w:tc>
          <w:tcPr>
            <w:tcW w:w="520" w:type="pc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A/B/C/D</w:t>
            </w:r>
          </w:p>
        </w:tc>
        <w:tc>
          <w:tcPr>
            <w:tcW w:w="945" w:type="pct"/>
            <w:gridSpan w:val="3"/>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A/B/C</w:t>
            </w:r>
          </w:p>
        </w:tc>
      </w:tr>
      <w:tr w:rsidR="00A8783E" w:rsidRPr="00A8783E" w:rsidTr="005B5318">
        <w:trPr>
          <w:jc w:val="center"/>
        </w:trPr>
        <w:tc>
          <w:tcPr>
            <w:tcW w:w="205" w:type="pct"/>
            <w:vMerge/>
            <w:shd w:val="clear" w:color="auto" w:fill="D9D9D9"/>
            <w:vAlign w:val="center"/>
          </w:tcPr>
          <w:p w:rsidR="00A8783E" w:rsidRPr="00A8783E" w:rsidRDefault="00A8783E" w:rsidP="00A8783E">
            <w:pPr>
              <w:spacing w:before="120" w:after="120" w:line="259" w:lineRule="auto"/>
              <w:jc w:val="both"/>
              <w:rPr>
                <w:rFonts w:ascii="Times New Roman" w:hAnsi="Times New Roman"/>
                <w:b/>
                <w:bCs/>
                <w:sz w:val="18"/>
                <w:szCs w:val="18"/>
              </w:rPr>
            </w:pPr>
          </w:p>
        </w:tc>
        <w:tc>
          <w:tcPr>
            <w:tcW w:w="363" w:type="pct"/>
            <w:vMerge/>
            <w:shd w:val="clear" w:color="auto" w:fill="D9D9D9"/>
            <w:vAlign w:val="center"/>
          </w:tcPr>
          <w:p w:rsidR="00A8783E" w:rsidRPr="00A8783E" w:rsidRDefault="00A8783E" w:rsidP="00A8783E">
            <w:pPr>
              <w:spacing w:before="120" w:after="120" w:line="259" w:lineRule="auto"/>
              <w:jc w:val="both"/>
              <w:rPr>
                <w:rFonts w:ascii="Times New Roman" w:hAnsi="Times New Roman"/>
                <w:b/>
                <w:bCs/>
                <w:sz w:val="18"/>
                <w:szCs w:val="18"/>
              </w:rPr>
            </w:pPr>
          </w:p>
        </w:tc>
        <w:tc>
          <w:tcPr>
            <w:tcW w:w="581" w:type="pct"/>
            <w:vMerge/>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p>
        </w:tc>
        <w:tc>
          <w:tcPr>
            <w:tcW w:w="180" w:type="pct"/>
            <w:vMerge/>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p>
        </w:tc>
        <w:tc>
          <w:tcPr>
            <w:tcW w:w="265" w:type="pct"/>
            <w:vMerge/>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p>
        </w:tc>
        <w:tc>
          <w:tcPr>
            <w:tcW w:w="193" w:type="pct"/>
            <w:vMerge/>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p>
        </w:tc>
        <w:tc>
          <w:tcPr>
            <w:tcW w:w="314" w:type="pc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Min</w:t>
            </w:r>
          </w:p>
        </w:tc>
        <w:tc>
          <w:tcPr>
            <w:tcW w:w="332" w:type="pc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Max</w:t>
            </w:r>
          </w:p>
        </w:tc>
        <w:tc>
          <w:tcPr>
            <w:tcW w:w="326" w:type="pct"/>
            <w:vMerge/>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p>
        </w:tc>
        <w:tc>
          <w:tcPr>
            <w:tcW w:w="317" w:type="pct"/>
            <w:vMerge/>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p>
        </w:tc>
        <w:tc>
          <w:tcPr>
            <w:tcW w:w="460" w:type="pct"/>
            <w:vMerge/>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p>
        </w:tc>
        <w:tc>
          <w:tcPr>
            <w:tcW w:w="520" w:type="pc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Pop.</w:t>
            </w:r>
          </w:p>
        </w:tc>
        <w:tc>
          <w:tcPr>
            <w:tcW w:w="341" w:type="pc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Con.</w:t>
            </w:r>
          </w:p>
        </w:tc>
        <w:tc>
          <w:tcPr>
            <w:tcW w:w="286" w:type="pc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Iso.</w:t>
            </w:r>
          </w:p>
        </w:tc>
        <w:tc>
          <w:tcPr>
            <w:tcW w:w="317" w:type="pct"/>
            <w:shd w:val="clear" w:color="auto" w:fill="D9D9D9"/>
            <w:vAlign w:val="center"/>
          </w:tcPr>
          <w:p w:rsidR="00A8783E" w:rsidRPr="00A8783E" w:rsidRDefault="00A8783E" w:rsidP="00A8783E">
            <w:pPr>
              <w:spacing w:after="0" w:line="240" w:lineRule="auto"/>
              <w:jc w:val="both"/>
              <w:rPr>
                <w:rFonts w:ascii="Times New Roman" w:hAnsi="Times New Roman"/>
                <w:b/>
                <w:bCs/>
                <w:sz w:val="18"/>
                <w:szCs w:val="18"/>
              </w:rPr>
            </w:pPr>
            <w:r w:rsidRPr="00A8783E">
              <w:rPr>
                <w:rFonts w:ascii="Times New Roman" w:hAnsi="Times New Roman"/>
                <w:b/>
                <w:bCs/>
                <w:sz w:val="18"/>
                <w:szCs w:val="18"/>
              </w:rPr>
              <w:t>Glo.</w:t>
            </w:r>
          </w:p>
        </w:tc>
      </w:tr>
      <w:tr w:rsidR="00A8783E" w:rsidRPr="00A8783E" w:rsidTr="005B5318">
        <w:trPr>
          <w:jc w:val="center"/>
        </w:trPr>
        <w:tc>
          <w:tcPr>
            <w:tcW w:w="205" w:type="pct"/>
            <w:vAlign w:val="center"/>
          </w:tcPr>
          <w:p w:rsidR="00A8783E" w:rsidRPr="00A8783E" w:rsidRDefault="00A8783E" w:rsidP="00A8783E">
            <w:pPr>
              <w:spacing w:before="120" w:after="120" w:line="259" w:lineRule="auto"/>
              <w:jc w:val="center"/>
              <w:rPr>
                <w:rFonts w:ascii="Times New Roman" w:hAnsi="Times New Roman"/>
                <w:b/>
                <w:bCs/>
                <w:sz w:val="18"/>
                <w:szCs w:val="18"/>
              </w:rPr>
            </w:pPr>
            <w:r w:rsidRPr="00A8783E">
              <w:rPr>
                <w:rFonts w:ascii="Times New Roman" w:hAnsi="Times New Roman"/>
                <w:b/>
                <w:bCs/>
                <w:sz w:val="18"/>
                <w:szCs w:val="18"/>
              </w:rPr>
              <w:t>В</w:t>
            </w:r>
          </w:p>
        </w:tc>
        <w:tc>
          <w:tcPr>
            <w:tcW w:w="363" w:type="pct"/>
            <w:vAlign w:val="center"/>
          </w:tcPr>
          <w:p w:rsidR="00A8783E" w:rsidRPr="00A8783E" w:rsidRDefault="00A8783E" w:rsidP="00A8783E">
            <w:pPr>
              <w:spacing w:before="120" w:after="120" w:line="259" w:lineRule="auto"/>
              <w:jc w:val="center"/>
              <w:rPr>
                <w:rFonts w:ascii="Times New Roman" w:hAnsi="Times New Roman"/>
                <w:sz w:val="18"/>
                <w:szCs w:val="18"/>
                <w:lang w:val="en-US"/>
              </w:rPr>
            </w:pPr>
            <w:r w:rsidRPr="00A8783E">
              <w:rPr>
                <w:rFonts w:ascii="Times New Roman" w:hAnsi="Times New Roman"/>
                <w:sz w:val="18"/>
                <w:szCs w:val="18"/>
                <w:lang w:val="en-US"/>
              </w:rPr>
              <w:t>A397</w:t>
            </w:r>
          </w:p>
        </w:tc>
        <w:tc>
          <w:tcPr>
            <w:tcW w:w="581" w:type="pct"/>
            <w:vAlign w:val="center"/>
          </w:tcPr>
          <w:p w:rsidR="00A8783E" w:rsidRPr="00A8783E" w:rsidRDefault="00A8783E" w:rsidP="00A8783E">
            <w:pPr>
              <w:spacing w:after="0" w:line="240" w:lineRule="auto"/>
              <w:jc w:val="center"/>
              <w:rPr>
                <w:rFonts w:ascii="Times New Roman" w:hAnsi="Times New Roman"/>
                <w:i/>
                <w:iCs/>
                <w:sz w:val="18"/>
                <w:szCs w:val="18"/>
                <w:lang w:val="en-US"/>
              </w:rPr>
            </w:pPr>
            <w:r w:rsidRPr="00A8783E">
              <w:rPr>
                <w:rFonts w:ascii="Times New Roman" w:hAnsi="Times New Roman"/>
                <w:i/>
                <w:iCs/>
                <w:sz w:val="18"/>
                <w:szCs w:val="18"/>
                <w:lang w:val="en-US"/>
              </w:rPr>
              <w:t>Tadorna ferruginea</w:t>
            </w:r>
          </w:p>
        </w:tc>
        <w:tc>
          <w:tcPr>
            <w:tcW w:w="180" w:type="pct"/>
            <w:vAlign w:val="center"/>
          </w:tcPr>
          <w:p w:rsidR="00A8783E" w:rsidRPr="00A8783E" w:rsidRDefault="00A8783E" w:rsidP="00A8783E">
            <w:pPr>
              <w:spacing w:after="0" w:line="240" w:lineRule="auto"/>
              <w:jc w:val="center"/>
              <w:rPr>
                <w:rFonts w:ascii="Times New Roman" w:hAnsi="Times New Roman"/>
                <w:b/>
                <w:bCs/>
                <w:color w:val="0070C0"/>
                <w:sz w:val="18"/>
                <w:szCs w:val="18"/>
              </w:rPr>
            </w:pPr>
          </w:p>
        </w:tc>
        <w:tc>
          <w:tcPr>
            <w:tcW w:w="265" w:type="pct"/>
            <w:vAlign w:val="center"/>
          </w:tcPr>
          <w:p w:rsidR="00A8783E" w:rsidRPr="00A8783E" w:rsidRDefault="00A8783E" w:rsidP="00A8783E">
            <w:pPr>
              <w:spacing w:after="0" w:line="240" w:lineRule="auto"/>
              <w:jc w:val="center"/>
              <w:rPr>
                <w:rFonts w:ascii="Times New Roman" w:hAnsi="Times New Roman"/>
                <w:b/>
                <w:bCs/>
                <w:color w:val="0070C0"/>
                <w:sz w:val="18"/>
                <w:szCs w:val="18"/>
              </w:rPr>
            </w:pPr>
          </w:p>
        </w:tc>
        <w:tc>
          <w:tcPr>
            <w:tcW w:w="193" w:type="pct"/>
            <w:vAlign w:val="center"/>
          </w:tcPr>
          <w:p w:rsidR="00A8783E" w:rsidRPr="00A8783E" w:rsidRDefault="00A8783E" w:rsidP="00A8783E">
            <w:pPr>
              <w:spacing w:after="0" w:line="240" w:lineRule="auto"/>
              <w:jc w:val="center"/>
              <w:rPr>
                <w:rFonts w:ascii="Times New Roman" w:hAnsi="Times New Roman"/>
                <w:sz w:val="18"/>
                <w:szCs w:val="18"/>
                <w:lang w:val="en-US"/>
              </w:rPr>
            </w:pPr>
            <w:r w:rsidRPr="00A8783E">
              <w:rPr>
                <w:rFonts w:ascii="Times New Roman" w:hAnsi="Times New Roman"/>
                <w:sz w:val="18"/>
                <w:szCs w:val="18"/>
                <w:lang w:val="en-US"/>
              </w:rPr>
              <w:t>c</w:t>
            </w:r>
          </w:p>
        </w:tc>
        <w:tc>
          <w:tcPr>
            <w:tcW w:w="314" w:type="pct"/>
            <w:vAlign w:val="center"/>
          </w:tcPr>
          <w:p w:rsidR="00A8783E" w:rsidRPr="00A8783E" w:rsidRDefault="00A8783E" w:rsidP="00A8783E">
            <w:pPr>
              <w:spacing w:after="0" w:line="240" w:lineRule="auto"/>
              <w:jc w:val="center"/>
              <w:rPr>
                <w:rFonts w:ascii="Times New Roman" w:hAnsi="Times New Roman"/>
                <w:sz w:val="18"/>
                <w:szCs w:val="18"/>
              </w:rPr>
            </w:pPr>
            <w:r w:rsidRPr="00A8783E">
              <w:rPr>
                <w:rFonts w:ascii="Times New Roman" w:hAnsi="Times New Roman"/>
                <w:sz w:val="18"/>
                <w:szCs w:val="18"/>
              </w:rPr>
              <w:t>1</w:t>
            </w:r>
          </w:p>
        </w:tc>
        <w:tc>
          <w:tcPr>
            <w:tcW w:w="332" w:type="pct"/>
            <w:vAlign w:val="center"/>
          </w:tcPr>
          <w:p w:rsidR="00A8783E" w:rsidRPr="00A8783E" w:rsidRDefault="00A8783E" w:rsidP="00A8783E">
            <w:pPr>
              <w:spacing w:after="0" w:line="240" w:lineRule="auto"/>
              <w:jc w:val="center"/>
              <w:rPr>
                <w:rFonts w:ascii="Times New Roman" w:hAnsi="Times New Roman"/>
                <w:sz w:val="18"/>
                <w:szCs w:val="18"/>
              </w:rPr>
            </w:pPr>
            <w:r w:rsidRPr="00A8783E">
              <w:rPr>
                <w:rFonts w:ascii="Times New Roman" w:hAnsi="Times New Roman"/>
                <w:sz w:val="18"/>
                <w:szCs w:val="18"/>
              </w:rPr>
              <w:t>17</w:t>
            </w:r>
          </w:p>
        </w:tc>
        <w:tc>
          <w:tcPr>
            <w:tcW w:w="326" w:type="pct"/>
            <w:vAlign w:val="center"/>
          </w:tcPr>
          <w:p w:rsidR="00A8783E" w:rsidRPr="00A8783E" w:rsidRDefault="00A8783E" w:rsidP="00A8783E">
            <w:pPr>
              <w:spacing w:after="0" w:line="240" w:lineRule="auto"/>
              <w:jc w:val="center"/>
              <w:rPr>
                <w:rFonts w:ascii="Times New Roman" w:hAnsi="Times New Roman"/>
                <w:sz w:val="18"/>
                <w:szCs w:val="18"/>
                <w:lang w:val="en-US"/>
              </w:rPr>
            </w:pPr>
            <w:r w:rsidRPr="00A8783E">
              <w:rPr>
                <w:rFonts w:ascii="Times New Roman" w:hAnsi="Times New Roman"/>
                <w:sz w:val="18"/>
                <w:szCs w:val="18"/>
                <w:lang w:val="en-US"/>
              </w:rPr>
              <w:t>i</w:t>
            </w:r>
          </w:p>
        </w:tc>
        <w:tc>
          <w:tcPr>
            <w:tcW w:w="317" w:type="pct"/>
            <w:vAlign w:val="center"/>
          </w:tcPr>
          <w:p w:rsidR="00A8783E" w:rsidRPr="00A8783E" w:rsidRDefault="00A8783E" w:rsidP="00A8783E">
            <w:pPr>
              <w:spacing w:after="0" w:line="240" w:lineRule="auto"/>
              <w:jc w:val="center"/>
              <w:rPr>
                <w:rFonts w:ascii="Times New Roman" w:hAnsi="Times New Roman"/>
                <w:sz w:val="18"/>
                <w:szCs w:val="18"/>
                <w:lang w:val="en-US"/>
              </w:rPr>
            </w:pPr>
          </w:p>
        </w:tc>
        <w:tc>
          <w:tcPr>
            <w:tcW w:w="460" w:type="pct"/>
            <w:vAlign w:val="center"/>
          </w:tcPr>
          <w:p w:rsidR="00A8783E" w:rsidRPr="00A8783E" w:rsidRDefault="00A8783E" w:rsidP="00A8783E">
            <w:pPr>
              <w:spacing w:after="0" w:line="240" w:lineRule="auto"/>
              <w:jc w:val="center"/>
              <w:rPr>
                <w:rFonts w:ascii="Times New Roman" w:hAnsi="Times New Roman"/>
                <w:sz w:val="18"/>
                <w:szCs w:val="18"/>
                <w:lang w:val="en-US"/>
              </w:rPr>
            </w:pPr>
            <w:r w:rsidRPr="00A8783E">
              <w:rPr>
                <w:rFonts w:ascii="Times New Roman" w:hAnsi="Times New Roman"/>
                <w:sz w:val="18"/>
                <w:szCs w:val="18"/>
                <w:lang w:val="en-US"/>
              </w:rPr>
              <w:t>G</w:t>
            </w:r>
          </w:p>
        </w:tc>
        <w:tc>
          <w:tcPr>
            <w:tcW w:w="520" w:type="pct"/>
            <w:vAlign w:val="center"/>
          </w:tcPr>
          <w:p w:rsidR="00A8783E" w:rsidRPr="00A8783E" w:rsidRDefault="00A8783E" w:rsidP="00A8783E">
            <w:pPr>
              <w:spacing w:after="0" w:line="240" w:lineRule="auto"/>
              <w:jc w:val="center"/>
              <w:rPr>
                <w:rFonts w:ascii="Times New Roman" w:hAnsi="Times New Roman"/>
                <w:sz w:val="18"/>
                <w:szCs w:val="18"/>
                <w:lang w:val="en-US"/>
              </w:rPr>
            </w:pPr>
            <w:r w:rsidRPr="00A8783E">
              <w:rPr>
                <w:rFonts w:ascii="Times New Roman" w:hAnsi="Times New Roman"/>
                <w:sz w:val="18"/>
                <w:szCs w:val="18"/>
                <w:lang w:val="en-US"/>
              </w:rPr>
              <w:t>B</w:t>
            </w:r>
          </w:p>
        </w:tc>
        <w:tc>
          <w:tcPr>
            <w:tcW w:w="341" w:type="pct"/>
            <w:vAlign w:val="center"/>
          </w:tcPr>
          <w:p w:rsidR="00A8783E" w:rsidRPr="00A8783E" w:rsidRDefault="00A8783E" w:rsidP="00A8783E">
            <w:pPr>
              <w:spacing w:after="0" w:line="240" w:lineRule="auto"/>
              <w:jc w:val="center"/>
              <w:rPr>
                <w:rFonts w:ascii="Times New Roman" w:hAnsi="Times New Roman"/>
                <w:sz w:val="18"/>
                <w:szCs w:val="18"/>
                <w:lang w:val="en-US"/>
              </w:rPr>
            </w:pPr>
            <w:r w:rsidRPr="00A8783E">
              <w:rPr>
                <w:rFonts w:ascii="Times New Roman" w:hAnsi="Times New Roman"/>
                <w:sz w:val="18"/>
                <w:szCs w:val="18"/>
                <w:lang w:val="en-US"/>
              </w:rPr>
              <w:t>B</w:t>
            </w:r>
          </w:p>
        </w:tc>
        <w:tc>
          <w:tcPr>
            <w:tcW w:w="286" w:type="pct"/>
            <w:vAlign w:val="center"/>
          </w:tcPr>
          <w:p w:rsidR="00A8783E" w:rsidRPr="00A8783E" w:rsidRDefault="00A8783E" w:rsidP="00A8783E">
            <w:pPr>
              <w:spacing w:after="0" w:line="240" w:lineRule="auto"/>
              <w:jc w:val="center"/>
              <w:rPr>
                <w:rFonts w:ascii="Times New Roman" w:hAnsi="Times New Roman"/>
                <w:sz w:val="18"/>
                <w:szCs w:val="18"/>
              </w:rPr>
            </w:pPr>
            <w:r w:rsidRPr="00A8783E">
              <w:rPr>
                <w:rFonts w:ascii="Times New Roman" w:hAnsi="Times New Roman"/>
                <w:sz w:val="18"/>
                <w:szCs w:val="18"/>
                <w:lang w:val="en-US"/>
              </w:rPr>
              <w:t>C</w:t>
            </w:r>
          </w:p>
        </w:tc>
        <w:tc>
          <w:tcPr>
            <w:tcW w:w="317" w:type="pct"/>
            <w:vAlign w:val="center"/>
          </w:tcPr>
          <w:p w:rsidR="00A8783E" w:rsidRPr="00A8783E" w:rsidRDefault="00A8783E" w:rsidP="00A8783E">
            <w:pPr>
              <w:spacing w:after="0" w:line="240" w:lineRule="auto"/>
              <w:jc w:val="center"/>
              <w:rPr>
                <w:rFonts w:ascii="Times New Roman" w:hAnsi="Times New Roman"/>
                <w:sz w:val="18"/>
                <w:szCs w:val="18"/>
                <w:lang w:val="en-US"/>
              </w:rPr>
            </w:pPr>
            <w:r w:rsidRPr="00A8783E">
              <w:rPr>
                <w:rFonts w:ascii="Times New Roman" w:hAnsi="Times New Roman"/>
                <w:sz w:val="18"/>
                <w:szCs w:val="18"/>
                <w:lang w:val="en-US"/>
              </w:rPr>
              <w:t>B</w:t>
            </w:r>
          </w:p>
        </w:tc>
      </w:tr>
      <w:tr w:rsidR="00A8783E" w:rsidRPr="00A8783E" w:rsidTr="005B5318">
        <w:trPr>
          <w:jc w:val="center"/>
        </w:trPr>
        <w:tc>
          <w:tcPr>
            <w:tcW w:w="205" w:type="pct"/>
            <w:vAlign w:val="center"/>
          </w:tcPr>
          <w:p w:rsidR="00A8783E" w:rsidRPr="00A8783E" w:rsidRDefault="00A8783E" w:rsidP="00A8783E">
            <w:pPr>
              <w:spacing w:before="120" w:after="120" w:line="259" w:lineRule="auto"/>
              <w:jc w:val="center"/>
              <w:rPr>
                <w:rFonts w:ascii="Times New Roman" w:hAnsi="Times New Roman"/>
                <w:b/>
                <w:bCs/>
                <w:color w:val="000000"/>
                <w:sz w:val="18"/>
                <w:szCs w:val="18"/>
              </w:rPr>
            </w:pPr>
            <w:r w:rsidRPr="00A8783E">
              <w:rPr>
                <w:rFonts w:ascii="Times New Roman" w:hAnsi="Times New Roman"/>
                <w:b/>
                <w:bCs/>
                <w:color w:val="000000"/>
                <w:sz w:val="18"/>
                <w:szCs w:val="18"/>
              </w:rPr>
              <w:t>В</w:t>
            </w:r>
          </w:p>
        </w:tc>
        <w:tc>
          <w:tcPr>
            <w:tcW w:w="363" w:type="pct"/>
            <w:vAlign w:val="center"/>
          </w:tcPr>
          <w:p w:rsidR="00A8783E" w:rsidRPr="00A8783E" w:rsidRDefault="00A8783E" w:rsidP="00A8783E">
            <w:pPr>
              <w:spacing w:before="120" w:after="120" w:line="259" w:lineRule="auto"/>
              <w:jc w:val="center"/>
              <w:rPr>
                <w:rFonts w:ascii="Times New Roman" w:hAnsi="Times New Roman"/>
                <w:sz w:val="18"/>
                <w:szCs w:val="18"/>
                <w:lang w:val="en-US"/>
              </w:rPr>
            </w:pPr>
            <w:r w:rsidRPr="00A8783E">
              <w:rPr>
                <w:rFonts w:ascii="Times New Roman" w:hAnsi="Times New Roman"/>
                <w:sz w:val="18"/>
                <w:szCs w:val="18"/>
                <w:lang w:val="en-US"/>
              </w:rPr>
              <w:t>A397</w:t>
            </w:r>
          </w:p>
        </w:tc>
        <w:tc>
          <w:tcPr>
            <w:tcW w:w="581" w:type="pct"/>
            <w:vAlign w:val="center"/>
          </w:tcPr>
          <w:p w:rsidR="00A8783E" w:rsidRPr="00A8783E" w:rsidRDefault="00A8783E" w:rsidP="00A8783E">
            <w:pPr>
              <w:spacing w:after="0" w:line="240" w:lineRule="auto"/>
              <w:jc w:val="center"/>
              <w:rPr>
                <w:rFonts w:ascii="Times New Roman" w:hAnsi="Times New Roman"/>
                <w:i/>
                <w:iCs/>
                <w:sz w:val="18"/>
                <w:szCs w:val="18"/>
                <w:lang w:val="en-US"/>
              </w:rPr>
            </w:pPr>
            <w:r w:rsidRPr="00A8783E">
              <w:rPr>
                <w:rFonts w:ascii="Times New Roman" w:hAnsi="Times New Roman"/>
                <w:i/>
                <w:iCs/>
                <w:sz w:val="18"/>
                <w:szCs w:val="18"/>
                <w:lang w:val="en-US"/>
              </w:rPr>
              <w:t>Tadorna ferruginea</w:t>
            </w:r>
          </w:p>
        </w:tc>
        <w:tc>
          <w:tcPr>
            <w:tcW w:w="180" w:type="pct"/>
            <w:vAlign w:val="center"/>
          </w:tcPr>
          <w:p w:rsidR="00A8783E" w:rsidRPr="00A8783E" w:rsidRDefault="00A8783E" w:rsidP="00A8783E">
            <w:pPr>
              <w:spacing w:after="0" w:line="240" w:lineRule="auto"/>
              <w:jc w:val="center"/>
              <w:rPr>
                <w:rFonts w:ascii="Times New Roman" w:hAnsi="Times New Roman"/>
                <w:b/>
                <w:bCs/>
                <w:color w:val="FF0000"/>
                <w:sz w:val="18"/>
                <w:szCs w:val="18"/>
              </w:rPr>
            </w:pPr>
          </w:p>
        </w:tc>
        <w:tc>
          <w:tcPr>
            <w:tcW w:w="265" w:type="pct"/>
            <w:vAlign w:val="center"/>
          </w:tcPr>
          <w:p w:rsidR="00A8783E" w:rsidRPr="00A8783E" w:rsidRDefault="00A8783E" w:rsidP="00A8783E">
            <w:pPr>
              <w:spacing w:after="0" w:line="240" w:lineRule="auto"/>
              <w:jc w:val="center"/>
              <w:rPr>
                <w:rFonts w:ascii="Times New Roman" w:hAnsi="Times New Roman"/>
                <w:b/>
                <w:bCs/>
                <w:color w:val="FF0000"/>
                <w:sz w:val="18"/>
                <w:szCs w:val="18"/>
              </w:rPr>
            </w:pPr>
          </w:p>
        </w:tc>
        <w:tc>
          <w:tcPr>
            <w:tcW w:w="193" w:type="pct"/>
            <w:vAlign w:val="center"/>
          </w:tcPr>
          <w:p w:rsidR="00A8783E" w:rsidRPr="00A8783E" w:rsidRDefault="00A8783E" w:rsidP="00A8783E">
            <w:pPr>
              <w:spacing w:after="0" w:line="240" w:lineRule="auto"/>
              <w:jc w:val="center"/>
              <w:rPr>
                <w:rFonts w:ascii="Times New Roman" w:hAnsi="Times New Roman"/>
                <w:sz w:val="18"/>
                <w:szCs w:val="18"/>
                <w:lang w:val="en-US"/>
              </w:rPr>
            </w:pPr>
            <w:r w:rsidRPr="00A8783E">
              <w:rPr>
                <w:rFonts w:ascii="Times New Roman" w:hAnsi="Times New Roman"/>
                <w:sz w:val="18"/>
                <w:szCs w:val="18"/>
                <w:lang w:val="en-US"/>
              </w:rPr>
              <w:t>r</w:t>
            </w:r>
          </w:p>
        </w:tc>
        <w:tc>
          <w:tcPr>
            <w:tcW w:w="314" w:type="pct"/>
            <w:vAlign w:val="center"/>
          </w:tcPr>
          <w:p w:rsidR="00A8783E" w:rsidRPr="00A8783E" w:rsidRDefault="00A8783E" w:rsidP="00A8783E">
            <w:pPr>
              <w:spacing w:after="0" w:line="240" w:lineRule="auto"/>
              <w:jc w:val="center"/>
              <w:rPr>
                <w:rFonts w:ascii="Times New Roman" w:hAnsi="Times New Roman"/>
                <w:b/>
                <w:bCs/>
                <w:sz w:val="18"/>
                <w:szCs w:val="18"/>
                <w:lang w:val="en-US"/>
              </w:rPr>
            </w:pPr>
            <w:r w:rsidRPr="00A8783E">
              <w:rPr>
                <w:rFonts w:ascii="Times New Roman" w:hAnsi="Times New Roman"/>
                <w:b/>
                <w:bCs/>
                <w:color w:val="FF0000"/>
                <w:sz w:val="18"/>
                <w:szCs w:val="18"/>
                <w:lang w:val="en-US"/>
              </w:rPr>
              <w:t>1</w:t>
            </w:r>
          </w:p>
        </w:tc>
        <w:tc>
          <w:tcPr>
            <w:tcW w:w="332" w:type="pct"/>
            <w:vAlign w:val="center"/>
          </w:tcPr>
          <w:p w:rsidR="00A8783E" w:rsidRPr="00A8783E" w:rsidRDefault="00A8783E" w:rsidP="00A8783E">
            <w:pPr>
              <w:spacing w:after="0" w:line="240" w:lineRule="auto"/>
              <w:jc w:val="center"/>
              <w:rPr>
                <w:rFonts w:ascii="Times New Roman" w:hAnsi="Times New Roman"/>
                <w:sz w:val="18"/>
                <w:szCs w:val="18"/>
              </w:rPr>
            </w:pPr>
            <w:r w:rsidRPr="00A8783E">
              <w:rPr>
                <w:rFonts w:ascii="Times New Roman" w:hAnsi="Times New Roman"/>
                <w:sz w:val="18"/>
                <w:szCs w:val="18"/>
              </w:rPr>
              <w:t>4</w:t>
            </w:r>
          </w:p>
        </w:tc>
        <w:tc>
          <w:tcPr>
            <w:tcW w:w="326" w:type="pct"/>
            <w:vAlign w:val="center"/>
          </w:tcPr>
          <w:p w:rsidR="00A8783E" w:rsidRPr="00A8783E" w:rsidRDefault="00A8783E" w:rsidP="00A8783E">
            <w:pPr>
              <w:spacing w:after="0" w:line="240" w:lineRule="auto"/>
              <w:jc w:val="center"/>
              <w:rPr>
                <w:rFonts w:ascii="Times New Roman" w:hAnsi="Times New Roman"/>
                <w:sz w:val="18"/>
                <w:szCs w:val="18"/>
                <w:lang w:val="en-US"/>
              </w:rPr>
            </w:pPr>
            <w:r w:rsidRPr="00A8783E">
              <w:rPr>
                <w:rFonts w:ascii="Times New Roman" w:hAnsi="Times New Roman"/>
                <w:sz w:val="18"/>
                <w:szCs w:val="18"/>
                <w:lang w:val="en-US"/>
              </w:rPr>
              <w:t>p</w:t>
            </w:r>
          </w:p>
        </w:tc>
        <w:tc>
          <w:tcPr>
            <w:tcW w:w="317" w:type="pct"/>
            <w:vAlign w:val="center"/>
          </w:tcPr>
          <w:p w:rsidR="00A8783E" w:rsidRPr="00A8783E" w:rsidRDefault="00A8783E" w:rsidP="00A8783E">
            <w:pPr>
              <w:spacing w:after="0" w:line="240" w:lineRule="auto"/>
              <w:jc w:val="center"/>
              <w:rPr>
                <w:rFonts w:ascii="Times New Roman" w:hAnsi="Times New Roman"/>
                <w:color w:val="FF0000"/>
                <w:sz w:val="18"/>
                <w:szCs w:val="18"/>
                <w:lang w:val="en-US"/>
              </w:rPr>
            </w:pPr>
          </w:p>
        </w:tc>
        <w:tc>
          <w:tcPr>
            <w:tcW w:w="460" w:type="pct"/>
            <w:vAlign w:val="center"/>
          </w:tcPr>
          <w:p w:rsidR="00A8783E" w:rsidRPr="00A8783E" w:rsidRDefault="00A8783E" w:rsidP="00A8783E">
            <w:pPr>
              <w:spacing w:after="0" w:line="240" w:lineRule="auto"/>
              <w:jc w:val="center"/>
              <w:rPr>
                <w:rFonts w:ascii="Times New Roman" w:hAnsi="Times New Roman"/>
                <w:color w:val="FF0000"/>
                <w:sz w:val="18"/>
                <w:szCs w:val="18"/>
                <w:lang w:val="en-US"/>
              </w:rPr>
            </w:pPr>
            <w:r w:rsidRPr="00A8783E">
              <w:rPr>
                <w:rFonts w:ascii="Times New Roman" w:hAnsi="Times New Roman"/>
                <w:sz w:val="18"/>
                <w:szCs w:val="18"/>
                <w:lang w:val="en-US"/>
              </w:rPr>
              <w:t>G</w:t>
            </w:r>
          </w:p>
        </w:tc>
        <w:tc>
          <w:tcPr>
            <w:tcW w:w="520" w:type="pct"/>
            <w:vAlign w:val="center"/>
          </w:tcPr>
          <w:p w:rsidR="00A8783E" w:rsidRPr="00A8783E" w:rsidRDefault="00A8783E" w:rsidP="00A8783E">
            <w:pPr>
              <w:spacing w:after="0" w:line="240" w:lineRule="auto"/>
              <w:jc w:val="center"/>
              <w:rPr>
                <w:rFonts w:ascii="Times New Roman" w:hAnsi="Times New Roman"/>
                <w:sz w:val="18"/>
                <w:szCs w:val="18"/>
              </w:rPr>
            </w:pPr>
            <w:r w:rsidRPr="00A8783E">
              <w:rPr>
                <w:rFonts w:ascii="Times New Roman" w:hAnsi="Times New Roman"/>
                <w:sz w:val="18"/>
                <w:szCs w:val="18"/>
              </w:rPr>
              <w:t>В</w:t>
            </w:r>
          </w:p>
        </w:tc>
        <w:tc>
          <w:tcPr>
            <w:tcW w:w="341" w:type="pct"/>
            <w:vAlign w:val="center"/>
          </w:tcPr>
          <w:p w:rsidR="00A8783E" w:rsidRPr="00A8783E" w:rsidRDefault="00A8783E" w:rsidP="00A8783E">
            <w:pPr>
              <w:spacing w:after="0" w:line="240" w:lineRule="auto"/>
              <w:jc w:val="center"/>
              <w:rPr>
                <w:rFonts w:ascii="Times New Roman" w:hAnsi="Times New Roman"/>
                <w:sz w:val="18"/>
                <w:szCs w:val="18"/>
              </w:rPr>
            </w:pPr>
            <w:r w:rsidRPr="00A8783E">
              <w:rPr>
                <w:rFonts w:ascii="Times New Roman" w:hAnsi="Times New Roman"/>
                <w:sz w:val="18"/>
                <w:szCs w:val="18"/>
              </w:rPr>
              <w:t>В</w:t>
            </w:r>
          </w:p>
        </w:tc>
        <w:tc>
          <w:tcPr>
            <w:tcW w:w="286" w:type="pct"/>
            <w:vAlign w:val="center"/>
          </w:tcPr>
          <w:p w:rsidR="00A8783E" w:rsidRPr="00A8783E" w:rsidRDefault="00A8783E" w:rsidP="00A8783E">
            <w:pPr>
              <w:spacing w:after="0" w:line="240" w:lineRule="auto"/>
              <w:jc w:val="center"/>
              <w:rPr>
                <w:rFonts w:ascii="Times New Roman" w:hAnsi="Times New Roman"/>
                <w:sz w:val="18"/>
                <w:szCs w:val="18"/>
              </w:rPr>
            </w:pPr>
            <w:r w:rsidRPr="00A8783E">
              <w:rPr>
                <w:rFonts w:ascii="Times New Roman" w:hAnsi="Times New Roman"/>
                <w:sz w:val="18"/>
                <w:szCs w:val="18"/>
                <w:lang w:val="en-US"/>
              </w:rPr>
              <w:t>C</w:t>
            </w:r>
          </w:p>
        </w:tc>
        <w:tc>
          <w:tcPr>
            <w:tcW w:w="317" w:type="pct"/>
            <w:vAlign w:val="center"/>
          </w:tcPr>
          <w:p w:rsidR="00A8783E" w:rsidRPr="00A8783E" w:rsidRDefault="00A8783E" w:rsidP="00A8783E">
            <w:pPr>
              <w:spacing w:after="0" w:line="240" w:lineRule="auto"/>
              <w:jc w:val="center"/>
              <w:rPr>
                <w:rFonts w:ascii="Times New Roman" w:hAnsi="Times New Roman"/>
                <w:sz w:val="18"/>
                <w:szCs w:val="18"/>
              </w:rPr>
            </w:pPr>
            <w:r w:rsidRPr="00A8783E">
              <w:rPr>
                <w:rFonts w:ascii="Times New Roman" w:hAnsi="Times New Roman"/>
                <w:sz w:val="18"/>
                <w:szCs w:val="18"/>
              </w:rPr>
              <w:t>В</w:t>
            </w:r>
          </w:p>
        </w:tc>
      </w:tr>
    </w:tbl>
    <w:p w:rsidR="00A8783E" w:rsidRPr="00A8783E" w:rsidRDefault="00A8783E" w:rsidP="00A8783E">
      <w:pPr>
        <w:spacing w:after="160" w:line="259" w:lineRule="auto"/>
        <w:rPr>
          <w:rFonts w:ascii="Times New Roman" w:hAnsi="Times New Roman"/>
          <w:sz w:val="24"/>
          <w:szCs w:val="24"/>
          <w:lang w:val="en-US"/>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535" w:name="_Toc86409816"/>
      <w:bookmarkStart w:id="536" w:name="_Toc87467284"/>
      <w:bookmarkStart w:id="537" w:name="_Toc87692201"/>
      <w:bookmarkStart w:id="538" w:name="_Toc88865745"/>
      <w:bookmarkStart w:id="539" w:name="_Toc89106155"/>
      <w:bookmarkStart w:id="540" w:name="_Toc98741994"/>
      <w:bookmarkStart w:id="541" w:name="_Toc98838669"/>
      <w:r w:rsidRPr="00A8783E">
        <w:rPr>
          <w:rFonts w:ascii="Times New Roman" w:hAnsi="Times New Roman"/>
          <w:color w:val="1F497D"/>
          <w:sz w:val="28"/>
          <w:szCs w:val="28"/>
        </w:rPr>
        <w:t>Специфични цели за А</w:t>
      </w:r>
      <w:r w:rsidRPr="00A8783E">
        <w:rPr>
          <w:rFonts w:ascii="Times New Roman" w:hAnsi="Times New Roman"/>
          <w:color w:val="1F497D"/>
          <w:sz w:val="28"/>
          <w:szCs w:val="28"/>
          <w:lang w:val="ru-RU"/>
        </w:rPr>
        <w:t>402</w:t>
      </w:r>
      <w:r w:rsidRPr="00A8783E">
        <w:rPr>
          <w:rFonts w:ascii="Times New Roman" w:hAnsi="Times New Roman"/>
          <w:color w:val="1F497D"/>
          <w:sz w:val="28"/>
          <w:szCs w:val="28"/>
        </w:rPr>
        <w:t xml:space="preserve"> </w:t>
      </w:r>
      <w:r w:rsidRPr="00A8783E">
        <w:rPr>
          <w:rFonts w:ascii="Times New Roman" w:hAnsi="Times New Roman"/>
          <w:i/>
          <w:iCs/>
          <w:color w:val="1F497D"/>
          <w:sz w:val="28"/>
          <w:szCs w:val="28"/>
          <w:lang w:val="en-GB"/>
        </w:rPr>
        <w:t>Accipiter</w:t>
      </w:r>
      <w:r w:rsidRPr="00A8783E">
        <w:rPr>
          <w:rFonts w:ascii="Times New Roman" w:hAnsi="Times New Roman"/>
          <w:i/>
          <w:iCs/>
          <w:color w:val="1F497D"/>
          <w:sz w:val="28"/>
          <w:szCs w:val="28"/>
          <w:lang w:val="ru-RU"/>
        </w:rPr>
        <w:t xml:space="preserve"> </w:t>
      </w:r>
      <w:r w:rsidRPr="00A8783E">
        <w:rPr>
          <w:rFonts w:ascii="Times New Roman" w:hAnsi="Times New Roman"/>
          <w:i/>
          <w:iCs/>
          <w:color w:val="1F497D"/>
          <w:sz w:val="28"/>
          <w:szCs w:val="28"/>
          <w:lang w:val="en-GB"/>
        </w:rPr>
        <w:t>brevipes</w:t>
      </w:r>
      <w:r w:rsidRPr="00A8783E">
        <w:rPr>
          <w:rFonts w:ascii="Times New Roman" w:hAnsi="Times New Roman"/>
          <w:color w:val="1F497D"/>
          <w:sz w:val="28"/>
          <w:szCs w:val="28"/>
        </w:rPr>
        <w:t xml:space="preserve"> (Късопръст ястреб)</w:t>
      </w:r>
      <w:bookmarkEnd w:id="535"/>
      <w:bookmarkEnd w:id="536"/>
      <w:bookmarkEnd w:id="537"/>
      <w:bookmarkEnd w:id="538"/>
      <w:bookmarkEnd w:id="539"/>
      <w:bookmarkEnd w:id="540"/>
      <w:bookmarkEnd w:id="541"/>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Дължина на тялото: 30 – 37 </w:t>
      </w:r>
      <w:r w:rsidRPr="00A8783E">
        <w:rPr>
          <w:rFonts w:ascii="Times New Roman" w:hAnsi="Times New Roman"/>
          <w:color w:val="000000"/>
          <w:sz w:val="24"/>
          <w:szCs w:val="24"/>
          <w:lang w:val="en-US"/>
        </w:rPr>
        <w:t>cm</w:t>
      </w:r>
      <w:r w:rsidRPr="00A8783E">
        <w:rPr>
          <w:rFonts w:ascii="Times New Roman" w:hAnsi="Times New Roman"/>
          <w:color w:val="000000"/>
          <w:sz w:val="24"/>
          <w:szCs w:val="24"/>
        </w:rPr>
        <w:t xml:space="preserve">. Размах на крилата: 63 – 76 </w:t>
      </w:r>
      <w:r w:rsidRPr="00A8783E">
        <w:rPr>
          <w:rFonts w:ascii="Times New Roman" w:hAnsi="Times New Roman"/>
          <w:color w:val="000000"/>
          <w:sz w:val="24"/>
          <w:szCs w:val="24"/>
          <w:lang w:val="en-US"/>
        </w:rPr>
        <w:t>cm</w:t>
      </w:r>
      <w:r w:rsidRPr="00A8783E">
        <w:rPr>
          <w:rFonts w:ascii="Times New Roman" w:hAnsi="Times New Roman"/>
          <w:color w:val="000000"/>
          <w:sz w:val="24"/>
          <w:szCs w:val="24"/>
        </w:rPr>
        <w:t>. Подобен на малкия ястреб, но за разлика от него има черни върхове на крилата, които го правят лесен за определяне. Ирисът е тъмен. Бузите също. Има полов и възрастов диморфизъм. Младите са тъмнокафяви отгоре с леко по-тъмни върхове на крилата. Отдолу са с надлъжни капковидни ивици и петна по страните на тялото и отдолу по крилото. С ясна вертикална ивица на гърлото</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(Симеонов и др., 1990).</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lastRenderedPageBreak/>
        <w:t>Характер на пребиваване в страната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В България късопръстият ястреб е гнездящо-прелетен и преминаващ вид. Пролетната миграция е през април-май, а есенната – през август-септември. Зимува в Африка. Гнезди по дървета. Гнездото е рехаво, разположено близо до ствола на височина 6-12 м.</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(Симеонов и др., 1990).</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i/>
          <w:iCs/>
          <w:color w:val="000000"/>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Късопръстият ястреб се среща в разредени широколистни гори, залесени речни долини, групи дървета сред открити пространства (Симеонов и др. 1990). Ловува и в открити терени, и в селскостопански площи</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Изследване направено в Русия (</w:t>
      </w:r>
      <w:r w:rsidRPr="00A8783E">
        <w:rPr>
          <w:rFonts w:ascii="Times New Roman" w:hAnsi="Times New Roman"/>
          <w:color w:val="000000"/>
          <w:sz w:val="24"/>
          <w:szCs w:val="24"/>
          <w:lang w:val="ru-RU"/>
        </w:rPr>
        <w:t>Федосов</w:t>
      </w:r>
      <w:r w:rsidRPr="00A8783E">
        <w:rPr>
          <w:rFonts w:ascii="Times New Roman" w:hAnsi="Times New Roman"/>
          <w:color w:val="000000"/>
          <w:sz w:val="24"/>
          <w:szCs w:val="24"/>
        </w:rPr>
        <w:t>, 2013</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показва, че дървесната растителност на гнездовите участъци, непременно са в съседство с открити пространства, тъй като основната храна на късопръстия ястреб – гущери</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предпочита слънчеви, добре затоплени зони. Някои от предпочитаните местообитания са 91Е0, 91</w:t>
      </w:r>
      <w:r w:rsidRPr="00A8783E">
        <w:rPr>
          <w:rFonts w:ascii="Times New Roman" w:hAnsi="Times New Roman"/>
          <w:color w:val="000000"/>
          <w:sz w:val="24"/>
          <w:szCs w:val="24"/>
          <w:lang w:val="en-GB"/>
        </w:rPr>
        <w:t>F</w:t>
      </w:r>
      <w:r w:rsidRPr="00A8783E">
        <w:rPr>
          <w:rFonts w:ascii="Times New Roman" w:hAnsi="Times New Roman"/>
          <w:color w:val="000000"/>
          <w:sz w:val="24"/>
          <w:szCs w:val="24"/>
        </w:rPr>
        <w:t>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Хранене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Храни се с дребни пойни птици (основно врабчета), мишевидни гризачи, гущери и насекоми. </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Видът е с ясно изразена привързаност към речни долини, която определя цялостното му разпространение в страната (Янков отг. ред., 2007). У нас се среща основно по поречията на големите реки Арда, Марица, Тунджа, Струма, Дунав, техните притоци и по Черноморието.</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Включен е в Приложение 1 на Директивата за птиците, както и в Приложения 2 и 3 на ЗБР. Природозащитният статус на късопръстият ястреб според </w:t>
      </w:r>
      <w:r w:rsidRPr="00A8783E">
        <w:rPr>
          <w:rFonts w:ascii="Times New Roman" w:hAnsi="Times New Roman"/>
          <w:color w:val="000000"/>
          <w:sz w:val="24"/>
          <w:szCs w:val="24"/>
          <w:lang w:val="en-GB"/>
        </w:rPr>
        <w:t>IUCN</w:t>
      </w:r>
      <w:r w:rsidRPr="00A8783E">
        <w:rPr>
          <w:rFonts w:ascii="Times New Roman" w:hAnsi="Times New Roman"/>
          <w:color w:val="000000"/>
          <w:sz w:val="24"/>
          <w:szCs w:val="24"/>
        </w:rPr>
        <w:t xml:space="preserve"> е </w:t>
      </w:r>
      <w:r w:rsidRPr="00A8783E">
        <w:rPr>
          <w:rFonts w:ascii="Times New Roman" w:hAnsi="Times New Roman"/>
          <w:color w:val="000000"/>
          <w:sz w:val="24"/>
          <w:szCs w:val="24"/>
          <w:lang w:val="en-GB"/>
        </w:rPr>
        <w:t>LC</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GB"/>
        </w:rPr>
        <w:t>Least</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GB"/>
        </w:rPr>
        <w:t>Concern</w:t>
      </w:r>
      <w:r w:rsidRPr="00A8783E">
        <w:rPr>
          <w:rFonts w:ascii="Times New Roman" w:hAnsi="Times New Roman"/>
          <w:color w:val="000000"/>
          <w:sz w:val="24"/>
          <w:szCs w:val="24"/>
        </w:rPr>
        <w:t xml:space="preserve">). Видът е включен в </w:t>
      </w:r>
      <w:r w:rsidRPr="00A8783E">
        <w:rPr>
          <w:rFonts w:ascii="Times New Roman" w:hAnsi="Times New Roman"/>
          <w:color w:val="000000"/>
          <w:sz w:val="24"/>
          <w:szCs w:val="24"/>
          <w:lang w:val="en-GB"/>
        </w:rPr>
        <w:t>SPEC</w:t>
      </w:r>
      <w:r w:rsidRPr="00A8783E">
        <w:rPr>
          <w:rFonts w:ascii="Times New Roman" w:hAnsi="Times New Roman"/>
          <w:color w:val="000000"/>
          <w:sz w:val="24"/>
          <w:szCs w:val="24"/>
          <w:lang w:val="ru-RU"/>
        </w:rPr>
        <w:t xml:space="preserve"> 2</w:t>
      </w:r>
      <w:r w:rsidRPr="00A8783E">
        <w:rPr>
          <w:rFonts w:ascii="Times New Roman" w:hAnsi="Times New Roman"/>
          <w:color w:val="000000"/>
          <w:sz w:val="24"/>
          <w:szCs w:val="24"/>
        </w:rPr>
        <w:t xml:space="preserve">. Включен е в Червената книга на Р България в категория „Уязвим“.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Съгласно Докладването от 2019 г. (за периода 2005 – 2018 г.) националната </w:t>
      </w:r>
      <w:r w:rsidRPr="00A8783E">
        <w:rPr>
          <w:rFonts w:ascii="Times New Roman" w:hAnsi="Times New Roman"/>
          <w:b/>
          <w:bCs/>
          <w:color w:val="000000"/>
          <w:sz w:val="24"/>
          <w:szCs w:val="24"/>
        </w:rPr>
        <w:t>гнездяща</w:t>
      </w:r>
      <w:r w:rsidRPr="00A8783E">
        <w:rPr>
          <w:rFonts w:ascii="Times New Roman" w:hAnsi="Times New Roman"/>
          <w:color w:val="000000"/>
          <w:sz w:val="24"/>
          <w:szCs w:val="24"/>
        </w:rPr>
        <w:t xml:space="preserve"> популация на вида се оценя на 190 – 470 двойки. Краткосрочната тенденция на популацията (за периода 2001 – 2018 г.) е стабилна, а дългосрочната (за периода 1980 – 2018 г.) – нарастваща.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b/>
          <w:bCs/>
          <w:color w:val="000000"/>
          <w:sz w:val="24"/>
          <w:szCs w:val="24"/>
        </w:rPr>
        <w:t>Мигриращата</w:t>
      </w:r>
      <w:r w:rsidRPr="00A8783E">
        <w:rPr>
          <w:rFonts w:ascii="Times New Roman" w:hAnsi="Times New Roman"/>
          <w:color w:val="000000"/>
          <w:sz w:val="24"/>
          <w:szCs w:val="24"/>
        </w:rPr>
        <w:t xml:space="preserve"> национална популация (за периода 2001 – 2018 г.) е оценена на 1100 – 1200 индивида.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За гнездящата и мигриращата популация са посочени следните заплахи и влияния: A02, B02, F03, D02 и A08. </w:t>
      </w:r>
    </w:p>
    <w:p w:rsidR="00A8783E" w:rsidRPr="00A8783E" w:rsidRDefault="00A8783E" w:rsidP="00A8783E">
      <w:pPr>
        <w:spacing w:before="120" w:after="120" w:line="240" w:lineRule="auto"/>
        <w:jc w:val="both"/>
        <w:rPr>
          <w:rFonts w:ascii="Times New Roman" w:hAnsi="Times New Roman"/>
          <w:b/>
          <w:bCs/>
          <w:color w:val="000000"/>
          <w:sz w:val="24"/>
          <w:szCs w:val="24"/>
        </w:rPr>
      </w:pPr>
      <w:bookmarkStart w:id="542" w:name="_Hlk88831124"/>
      <w:r w:rsidRPr="00A8783E">
        <w:rPr>
          <w:rFonts w:ascii="Times New Roman" w:hAnsi="Times New Roman"/>
          <w:b/>
          <w:bCs/>
          <w:color w:val="000000"/>
          <w:sz w:val="24"/>
          <w:szCs w:val="24"/>
        </w:rPr>
        <w:t>3. Състояние в специална защитена зона (СЗЗ) BG0000241 „Сребърна“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Съгласно Стандартния формуляр за данни видът се опазва в зоната като </w:t>
      </w:r>
      <w:r w:rsidRPr="00A8783E">
        <w:rPr>
          <w:rFonts w:ascii="Times New Roman" w:hAnsi="Times New Roman"/>
          <w:b/>
          <w:bCs/>
          <w:color w:val="000000"/>
          <w:sz w:val="24"/>
          <w:szCs w:val="24"/>
        </w:rPr>
        <w:t>гнездящ</w:t>
      </w:r>
      <w:r w:rsidRPr="00A8783E">
        <w:rPr>
          <w:rFonts w:ascii="Times New Roman" w:hAnsi="Times New Roman"/>
          <w:color w:val="000000"/>
          <w:sz w:val="24"/>
          <w:szCs w:val="24"/>
        </w:rPr>
        <w:t xml:space="preserve"> с численост </w:t>
      </w:r>
      <w:r w:rsidRPr="00A8783E">
        <w:rPr>
          <w:rFonts w:ascii="Times New Roman" w:hAnsi="Times New Roman"/>
          <w:b/>
          <w:bCs/>
          <w:color w:val="000000"/>
          <w:sz w:val="24"/>
          <w:szCs w:val="24"/>
        </w:rPr>
        <w:t>1 двойки</w:t>
      </w:r>
      <w:r w:rsidRPr="00A8783E">
        <w:rPr>
          <w:rFonts w:ascii="Times New Roman" w:hAnsi="Times New Roman"/>
          <w:color w:val="000000"/>
          <w:sz w:val="24"/>
          <w:szCs w:val="24"/>
        </w:rPr>
        <w:t xml:space="preserve">, което е 0,2-0,5 % от националната мигрираща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оценка „С“</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Късопръстият ястреб е рядък гнездящ вид по поречието на р. Дунав. Обитава крайречни гори и групи от дървета разположени всред пасища и земеделски земи. </w:t>
      </w:r>
      <w:r w:rsidRPr="00A8783E">
        <w:rPr>
          <w:rFonts w:ascii="Times New Roman" w:hAnsi="Times New Roman"/>
          <w:color w:val="000000"/>
          <w:sz w:val="24"/>
          <w:szCs w:val="24"/>
        </w:rPr>
        <w:lastRenderedPageBreak/>
        <w:t>Отчетени са общо 35-60 дв. (</w:t>
      </w:r>
      <w:r w:rsidRPr="00A8783E">
        <w:rPr>
          <w:rFonts w:ascii="Times New Roman" w:hAnsi="Times New Roman"/>
          <w:color w:val="000000"/>
          <w:sz w:val="24"/>
          <w:szCs w:val="24"/>
          <w:lang w:val="en-US"/>
        </w:rPr>
        <w:t>Cheshmedzhiev</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et</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al</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in</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Shurulinkov</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et</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US"/>
        </w:rPr>
        <w:t>al</w:t>
      </w:r>
      <w:r w:rsidRPr="00A8783E">
        <w:rPr>
          <w:rFonts w:ascii="Times New Roman" w:hAnsi="Times New Roman"/>
          <w:color w:val="000000"/>
          <w:sz w:val="24"/>
          <w:szCs w:val="24"/>
        </w:rPr>
        <w:t xml:space="preserve">., 2019). Вида не е съобщен за ОВМ „Сребърна“ </w:t>
      </w:r>
      <w:r w:rsidRPr="00A8783E">
        <w:rPr>
          <w:rFonts w:ascii="Times New Roman" w:hAnsi="Times New Roman"/>
          <w:color w:val="000000"/>
          <w:sz w:val="24"/>
          <w:szCs w:val="24"/>
          <w:lang w:val="ru-RU"/>
        </w:rPr>
        <w:t>(</w:t>
      </w:r>
      <w:r w:rsidRPr="00A8783E">
        <w:rPr>
          <w:rFonts w:ascii="Times New Roman" w:hAnsi="Times New Roman"/>
          <w:color w:val="000000"/>
          <w:sz w:val="24"/>
          <w:szCs w:val="24"/>
        </w:rPr>
        <w:t>Петков и др. в Костадинова и Граматиков, 2007</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Данните от </w:t>
      </w:r>
      <w:r w:rsidRPr="00A8783E">
        <w:rPr>
          <w:rFonts w:ascii="Times New Roman" w:hAnsi="Times New Roman"/>
          <w:color w:val="000000"/>
          <w:sz w:val="24"/>
          <w:szCs w:val="24"/>
          <w:lang w:val="en-US"/>
        </w:rPr>
        <w:t>eBird</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показват, че вида е наблюдаван на 03.06.2007 г. с численост 1 инд. Вида е нередовно гнездящ в зоната.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От посочените в докладването по чл. 12 заплахи A02, </w:t>
      </w:r>
      <w:r w:rsidRPr="00A8783E">
        <w:rPr>
          <w:rFonts w:ascii="Times New Roman" w:hAnsi="Times New Roman"/>
          <w:b/>
          <w:bCs/>
          <w:color w:val="000000"/>
          <w:sz w:val="24"/>
          <w:szCs w:val="24"/>
        </w:rPr>
        <w:t>B02</w:t>
      </w:r>
      <w:r w:rsidRPr="00A8783E">
        <w:rPr>
          <w:rFonts w:ascii="Times New Roman" w:hAnsi="Times New Roman"/>
          <w:color w:val="000000"/>
          <w:sz w:val="24"/>
          <w:szCs w:val="24"/>
        </w:rPr>
        <w:t xml:space="preserve">, F03, D02 и A08 единствено </w:t>
      </w:r>
      <w:r w:rsidRPr="00A8783E">
        <w:rPr>
          <w:rFonts w:ascii="Times New Roman" w:hAnsi="Times New Roman"/>
          <w:color w:val="000000"/>
          <w:sz w:val="24"/>
          <w:szCs w:val="24"/>
          <w:lang w:val="en-US"/>
        </w:rPr>
        <w:t>B</w:t>
      </w:r>
      <w:r w:rsidRPr="00A8783E">
        <w:rPr>
          <w:rFonts w:ascii="Times New Roman" w:hAnsi="Times New Roman"/>
          <w:color w:val="000000"/>
          <w:sz w:val="24"/>
          <w:szCs w:val="24"/>
          <w:lang w:val="ru-RU"/>
        </w:rPr>
        <w:t>02-</w:t>
      </w:r>
      <w:r w:rsidRPr="00A8783E">
        <w:rPr>
          <w:rFonts w:ascii="Times New Roman" w:hAnsi="Times New Roman"/>
          <w:sz w:val="24"/>
          <w:szCs w:val="24"/>
        </w:rPr>
        <w:t>„</w:t>
      </w:r>
      <w:r w:rsidRPr="00A8783E">
        <w:rPr>
          <w:rFonts w:ascii="Times New Roman" w:hAnsi="Times New Roman"/>
          <w:color w:val="000000"/>
          <w:sz w:val="24"/>
          <w:szCs w:val="24"/>
        </w:rPr>
        <w:t>Превръщане на едни видове гори в други, включително монокултури“</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има отношение към зоната.</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5. Параметри за определяне на специфичните природозащитни цели за вида в зоната</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1134"/>
        <w:gridCol w:w="1422"/>
        <w:gridCol w:w="3110"/>
        <w:gridCol w:w="2277"/>
      </w:tblGrid>
      <w:tr w:rsidR="00A8783E" w:rsidRPr="00A8783E" w:rsidTr="005B5318">
        <w:trPr>
          <w:tblHeader/>
          <w:jc w:val="center"/>
        </w:trPr>
        <w:tc>
          <w:tcPr>
            <w:tcW w:w="1559"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Мерна единица </w:t>
            </w:r>
          </w:p>
        </w:tc>
        <w:tc>
          <w:tcPr>
            <w:tcW w:w="1422"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Целева стойност </w:t>
            </w:r>
          </w:p>
        </w:tc>
        <w:tc>
          <w:tcPr>
            <w:tcW w:w="3110"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Допълнителна информация </w:t>
            </w:r>
          </w:p>
        </w:tc>
        <w:tc>
          <w:tcPr>
            <w:tcW w:w="2277" w:type="dxa"/>
            <w:shd w:val="clear" w:color="auto" w:fill="DBE5F1"/>
            <w:vAlign w:val="center"/>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Специфични за зоната цели за опазване </w:t>
            </w:r>
          </w:p>
        </w:tc>
      </w:tr>
      <w:tr w:rsidR="00A8783E" w:rsidRPr="00A8783E" w:rsidTr="005B5318">
        <w:trPr>
          <w:jc w:val="center"/>
        </w:trPr>
        <w:tc>
          <w:tcPr>
            <w:tcW w:w="1559" w:type="dxa"/>
          </w:tcPr>
          <w:p w:rsidR="00A8783E" w:rsidRPr="00A8783E" w:rsidRDefault="00A8783E" w:rsidP="00A8783E">
            <w:pPr>
              <w:spacing w:after="0" w:line="240" w:lineRule="auto"/>
              <w:jc w:val="both"/>
              <w:rPr>
                <w:rFonts w:ascii="Times New Roman" w:hAnsi="Times New Roman"/>
                <w:b/>
                <w:bCs/>
                <w:color w:val="000000"/>
              </w:rPr>
            </w:pPr>
            <w:r w:rsidRPr="00A8783E">
              <w:rPr>
                <w:rFonts w:ascii="Times New Roman" w:hAnsi="Times New Roman"/>
                <w:b/>
                <w:bCs/>
                <w:color w:val="000000"/>
              </w:rPr>
              <w:t xml:space="preserve">Популация: </w:t>
            </w:r>
            <w:r w:rsidRPr="00A8783E">
              <w:rPr>
                <w:rFonts w:ascii="Times New Roman" w:hAnsi="Times New Roman"/>
                <w:color w:val="000000"/>
              </w:rPr>
              <w:t>Размер на гнездящата популацията</w:t>
            </w:r>
          </w:p>
        </w:tc>
        <w:tc>
          <w:tcPr>
            <w:tcW w:w="1134"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Брой индивиди</w:t>
            </w:r>
          </w:p>
        </w:tc>
        <w:tc>
          <w:tcPr>
            <w:tcW w:w="1422"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Най-малко 1 дв.</w:t>
            </w:r>
          </w:p>
        </w:tc>
        <w:tc>
          <w:tcPr>
            <w:tcW w:w="31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Определена на база СФ, теренните проучвания през 2021 г. и други налични данни за гнезденето на вида в зоната.</w:t>
            </w:r>
          </w:p>
        </w:tc>
        <w:tc>
          <w:tcPr>
            <w:tcW w:w="227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популацията на вида в зоната в размер от най-малко 1 гн. дв. чрез поддържане на местообитанията.</w:t>
            </w:r>
          </w:p>
        </w:tc>
      </w:tr>
      <w:tr w:rsidR="00A8783E" w:rsidRPr="00A8783E" w:rsidTr="005B5318">
        <w:trPr>
          <w:jc w:val="center"/>
        </w:trPr>
        <w:tc>
          <w:tcPr>
            <w:tcW w:w="1559"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гнездови местообитания на вида</w:t>
            </w:r>
          </w:p>
        </w:tc>
        <w:tc>
          <w:tcPr>
            <w:tcW w:w="1134"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42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246</w:t>
            </w:r>
          </w:p>
        </w:tc>
        <w:tc>
          <w:tcPr>
            <w:tcW w:w="31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Определена на база % участие на местообитание </w:t>
            </w:r>
            <w:r w:rsidRPr="00A8783E">
              <w:rPr>
                <w:rFonts w:ascii="Times New Roman" w:hAnsi="Times New Roman"/>
                <w:lang w:val="en-US"/>
              </w:rPr>
              <w:t>N</w:t>
            </w:r>
            <w:r w:rsidRPr="00A8783E">
              <w:rPr>
                <w:rFonts w:ascii="Times New Roman" w:hAnsi="Times New Roman"/>
                <w:lang w:val="ru-RU"/>
              </w:rPr>
              <w:t>16</w:t>
            </w:r>
            <w:r w:rsidRPr="00A8783E">
              <w:rPr>
                <w:rFonts w:ascii="Times New Roman" w:hAnsi="Times New Roman"/>
              </w:rPr>
              <w:t>-широколистни листопадни гори в зоната.</w:t>
            </w:r>
          </w:p>
        </w:tc>
        <w:tc>
          <w:tcPr>
            <w:tcW w:w="227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площта на подходящите гнездови местообитания на вида в защитената зона, в размер на най-малко 246 ha.</w:t>
            </w:r>
          </w:p>
        </w:tc>
      </w:tr>
      <w:tr w:rsidR="00A8783E" w:rsidRPr="00A8783E" w:rsidTr="005B5318">
        <w:trPr>
          <w:jc w:val="center"/>
        </w:trPr>
        <w:tc>
          <w:tcPr>
            <w:tcW w:w="1559" w:type="dxa"/>
          </w:tcPr>
          <w:p w:rsidR="00A8783E" w:rsidRPr="00A8783E" w:rsidRDefault="00A8783E" w:rsidP="00A8783E">
            <w:pPr>
              <w:spacing w:after="0" w:line="240" w:lineRule="auto"/>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хранителни местообитания на вида</w:t>
            </w:r>
          </w:p>
        </w:tc>
        <w:tc>
          <w:tcPr>
            <w:tcW w:w="1134" w:type="dxa"/>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lang w:val="en-US"/>
              </w:rPr>
              <w:t>ha</w:t>
            </w:r>
          </w:p>
        </w:tc>
        <w:tc>
          <w:tcPr>
            <w:tcW w:w="1422" w:type="dxa"/>
          </w:tcPr>
          <w:p w:rsidR="00A8783E" w:rsidRPr="00A8783E" w:rsidRDefault="00A8783E" w:rsidP="00A8783E">
            <w:pPr>
              <w:spacing w:after="0" w:line="240" w:lineRule="auto"/>
              <w:rPr>
                <w:rFonts w:ascii="Times New Roman" w:hAnsi="Times New Roman"/>
                <w:lang w:val="en-GB"/>
              </w:rPr>
            </w:pPr>
            <w:r w:rsidRPr="00A8783E">
              <w:rPr>
                <w:rFonts w:ascii="Times New Roman" w:hAnsi="Times New Roman"/>
              </w:rPr>
              <w:t xml:space="preserve">Най-малко 318 </w:t>
            </w:r>
            <w:r w:rsidRPr="00A8783E">
              <w:rPr>
                <w:rFonts w:ascii="Times New Roman" w:hAnsi="Times New Roman"/>
                <w:lang w:val="en-GB"/>
              </w:rPr>
              <w:t>ha</w:t>
            </w:r>
          </w:p>
        </w:tc>
        <w:tc>
          <w:tcPr>
            <w:tcW w:w="3110"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Изчислена въз основа на процентното участие на откритите и храсталачни местообитания </w:t>
            </w:r>
            <w:r w:rsidRPr="00A8783E">
              <w:rPr>
                <w:rFonts w:ascii="Times New Roman" w:hAnsi="Times New Roman"/>
                <w:lang w:val="en-US"/>
              </w:rPr>
              <w:t>N</w:t>
            </w:r>
            <w:r w:rsidRPr="00A8783E">
              <w:rPr>
                <w:rFonts w:ascii="Times New Roman" w:hAnsi="Times New Roman"/>
                <w:lang w:val="ru-RU"/>
              </w:rPr>
              <w:t>08</w:t>
            </w:r>
            <w:r w:rsidRPr="00A8783E">
              <w:rPr>
                <w:rFonts w:ascii="Times New Roman" w:hAnsi="Times New Roman"/>
              </w:rPr>
              <w:t xml:space="preserve">-равнини и шубраци, </w:t>
            </w:r>
            <w:r w:rsidRPr="00A8783E">
              <w:rPr>
                <w:rFonts w:ascii="Times New Roman" w:hAnsi="Times New Roman"/>
                <w:lang w:val="en-US"/>
              </w:rPr>
              <w:t>N</w:t>
            </w:r>
            <w:r w:rsidRPr="00A8783E">
              <w:rPr>
                <w:rFonts w:ascii="Times New Roman" w:hAnsi="Times New Roman"/>
                <w:lang w:val="ru-RU"/>
              </w:rPr>
              <w:t>09</w:t>
            </w:r>
            <w:r w:rsidRPr="00A8783E">
              <w:rPr>
                <w:rFonts w:ascii="Times New Roman" w:hAnsi="Times New Roman"/>
              </w:rPr>
              <w:t>-сухи ливади, степи</w:t>
            </w:r>
            <w:r w:rsidRPr="00A8783E">
              <w:rPr>
                <w:rFonts w:ascii="Times New Roman" w:hAnsi="Times New Roman"/>
                <w:lang w:val="ru-RU"/>
              </w:rPr>
              <w:t xml:space="preserve"> и </w:t>
            </w:r>
            <w:r w:rsidRPr="00A8783E">
              <w:rPr>
                <w:rFonts w:ascii="Times New Roman" w:hAnsi="Times New Roman"/>
                <w:lang w:val="en-US"/>
              </w:rPr>
              <w:t>N</w:t>
            </w:r>
            <w:r w:rsidRPr="00A8783E">
              <w:rPr>
                <w:rFonts w:ascii="Times New Roman" w:hAnsi="Times New Roman"/>
                <w:lang w:val="ru-RU"/>
              </w:rPr>
              <w:t>15</w:t>
            </w:r>
            <w:r w:rsidRPr="00A8783E">
              <w:rPr>
                <w:rFonts w:ascii="Times New Roman" w:hAnsi="Times New Roman"/>
              </w:rPr>
              <w:t>-други обработваеми земи в рамките на зоната. Вида използва разнообразни</w:t>
            </w:r>
            <w:r w:rsidRPr="00A8783E">
              <w:rPr>
                <w:rFonts w:ascii="Times New Roman" w:hAnsi="Times New Roman"/>
                <w:lang w:val="ru-RU"/>
              </w:rPr>
              <w:t xml:space="preserve"> </w:t>
            </w:r>
            <w:r w:rsidRPr="00A8783E">
              <w:rPr>
                <w:rFonts w:ascii="Times New Roman" w:hAnsi="Times New Roman"/>
              </w:rPr>
              <w:t>открити местообитания като пасища и обработваеми земи за търсене на плячка, вероятно често и извън зоната.</w:t>
            </w:r>
          </w:p>
        </w:tc>
        <w:tc>
          <w:tcPr>
            <w:tcW w:w="227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подходящите местообитания за търсене на храна на вида в зоната чрез поддържане на откритите местообитания в зоната чрез опасване или косене.</w:t>
            </w:r>
          </w:p>
        </w:tc>
      </w:tr>
    </w:tbl>
    <w:p w:rsidR="00A8783E" w:rsidRPr="00A8783E" w:rsidRDefault="00A8783E" w:rsidP="00A8783E">
      <w:pPr>
        <w:spacing w:before="120" w:after="120" w:line="259" w:lineRule="auto"/>
        <w:jc w:val="both"/>
        <w:rPr>
          <w:rFonts w:ascii="Times New Roman" w:hAnsi="Times New Roman"/>
          <w:b/>
          <w:bCs/>
          <w:color w:val="000000"/>
          <w:sz w:val="24"/>
          <w:szCs w:val="24"/>
        </w:rPr>
      </w:pPr>
      <w:r w:rsidRPr="00A8783E">
        <w:rPr>
          <w:rFonts w:ascii="Times New Roman" w:hAnsi="Times New Roman"/>
          <w:b/>
          <w:bCs/>
          <w:color w:val="000000"/>
          <w:sz w:val="24"/>
          <w:szCs w:val="24"/>
        </w:rPr>
        <w:t>6. Необходимост от промени в СФ за (СЗЗ) BG0000241 „Сребърна“</w:t>
      </w:r>
    </w:p>
    <w:p w:rsidR="00A8783E" w:rsidRPr="00A8783E" w:rsidRDefault="00A8783E" w:rsidP="00A8783E">
      <w:pPr>
        <w:spacing w:before="120" w:after="120" w:line="259" w:lineRule="auto"/>
        <w:jc w:val="both"/>
        <w:rPr>
          <w:rFonts w:ascii="Times New Roman" w:hAnsi="Times New Roman"/>
          <w:color w:val="000000"/>
          <w:sz w:val="24"/>
          <w:szCs w:val="24"/>
        </w:rPr>
      </w:pPr>
      <w:r w:rsidRPr="00A8783E">
        <w:rPr>
          <w:rFonts w:ascii="Times New Roman" w:hAnsi="Times New Roman"/>
          <w:color w:val="000000"/>
          <w:sz w:val="24"/>
          <w:szCs w:val="24"/>
        </w:rPr>
        <w:t>По отношение на гнездящата популация предлагаме като минимална численост да се посочи 0 инд. вместо отново 1 инд., тъй като не гнезди редовно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0" w:type="auto"/>
            <w:gridSpan w:val="5"/>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Species</w:t>
            </w:r>
          </w:p>
        </w:tc>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G</w:t>
            </w:r>
          </w:p>
        </w:tc>
        <w:tc>
          <w:tcPr>
            <w:tcW w:w="0" w:type="auto"/>
            <w:vMerge w:val="restart"/>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Code</w:t>
            </w:r>
          </w:p>
        </w:tc>
        <w:tc>
          <w:tcPr>
            <w:tcW w:w="0" w:type="auto"/>
            <w:vMerge w:val="restart"/>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Scientific Name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NP</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T</w:t>
            </w:r>
          </w:p>
        </w:tc>
        <w:tc>
          <w:tcPr>
            <w:tcW w:w="0" w:type="auto"/>
            <w:gridSpan w:val="2"/>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D.qual.</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Iso.</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Glo.</w:t>
            </w:r>
          </w:p>
        </w:tc>
      </w:tr>
      <w:tr w:rsidR="00A8783E" w:rsidRPr="00A8783E" w:rsidTr="005B5318">
        <w:trPr>
          <w:jc w:val="center"/>
        </w:trPr>
        <w:tc>
          <w:tcPr>
            <w:tcW w:w="0" w:type="auto"/>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В</w:t>
            </w:r>
          </w:p>
        </w:tc>
        <w:tc>
          <w:tcPr>
            <w:tcW w:w="0" w:type="auto"/>
            <w:vAlign w:val="center"/>
          </w:tcPr>
          <w:p w:rsidR="00A8783E" w:rsidRPr="00A8783E" w:rsidRDefault="00A8783E" w:rsidP="00A8783E">
            <w:pPr>
              <w:spacing w:before="120" w:after="120" w:line="259" w:lineRule="auto"/>
              <w:jc w:val="both"/>
              <w:rPr>
                <w:rFonts w:ascii="Times New Roman" w:hAnsi="Times New Roman"/>
                <w:color w:val="000000"/>
                <w:sz w:val="20"/>
                <w:szCs w:val="20"/>
                <w:lang w:val="en-US"/>
              </w:rPr>
            </w:pPr>
            <w:r w:rsidRPr="00A8783E">
              <w:rPr>
                <w:rFonts w:ascii="Times New Roman" w:hAnsi="Times New Roman"/>
                <w:color w:val="000000"/>
                <w:sz w:val="20"/>
                <w:szCs w:val="20"/>
                <w:lang w:val="en-US"/>
              </w:rPr>
              <w:t>A402</w:t>
            </w:r>
          </w:p>
        </w:tc>
        <w:tc>
          <w:tcPr>
            <w:tcW w:w="0" w:type="auto"/>
            <w:vAlign w:val="center"/>
          </w:tcPr>
          <w:p w:rsidR="00A8783E" w:rsidRPr="00A8783E" w:rsidRDefault="00A8783E" w:rsidP="00A8783E">
            <w:pPr>
              <w:spacing w:before="120" w:after="120" w:line="259" w:lineRule="auto"/>
              <w:jc w:val="both"/>
              <w:rPr>
                <w:rFonts w:ascii="Times New Roman" w:hAnsi="Times New Roman"/>
                <w:i/>
                <w:iCs/>
                <w:color w:val="000000"/>
                <w:sz w:val="20"/>
                <w:szCs w:val="20"/>
                <w:lang w:val="en-US"/>
              </w:rPr>
            </w:pPr>
            <w:r w:rsidRPr="00A8783E">
              <w:rPr>
                <w:rFonts w:ascii="Times New Roman" w:hAnsi="Times New Roman"/>
                <w:i/>
                <w:iCs/>
                <w:color w:val="000000"/>
                <w:sz w:val="20"/>
                <w:szCs w:val="20"/>
                <w:lang w:val="en-US"/>
              </w:rPr>
              <w:t>Accipiter brevipes</w:t>
            </w: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rPr>
            </w:pP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rPr>
            </w:pP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lang w:val="en-US"/>
              </w:rPr>
            </w:pPr>
            <w:r w:rsidRPr="00A8783E">
              <w:rPr>
                <w:rFonts w:ascii="Times New Roman" w:hAnsi="Times New Roman"/>
                <w:color w:val="000000"/>
                <w:sz w:val="20"/>
                <w:szCs w:val="20"/>
                <w:lang w:val="en-US"/>
              </w:rPr>
              <w:t>r</w:t>
            </w:r>
          </w:p>
        </w:tc>
        <w:tc>
          <w:tcPr>
            <w:tcW w:w="0" w:type="auto"/>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FF0000"/>
                <w:sz w:val="20"/>
                <w:szCs w:val="20"/>
              </w:rPr>
              <w:t>0</w:t>
            </w: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rPr>
            </w:pPr>
            <w:r w:rsidRPr="00A8783E">
              <w:rPr>
                <w:rFonts w:ascii="Times New Roman" w:hAnsi="Times New Roman"/>
                <w:color w:val="000000"/>
                <w:sz w:val="20"/>
                <w:szCs w:val="20"/>
              </w:rPr>
              <w:t>1</w:t>
            </w: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lang w:val="en-US"/>
              </w:rPr>
            </w:pPr>
            <w:r w:rsidRPr="00A8783E">
              <w:rPr>
                <w:rFonts w:ascii="Times New Roman" w:hAnsi="Times New Roman"/>
                <w:color w:val="000000"/>
                <w:sz w:val="20"/>
                <w:szCs w:val="20"/>
                <w:lang w:val="en-US"/>
              </w:rPr>
              <w:t>p</w:t>
            </w: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lang w:val="en-US"/>
              </w:rPr>
            </w:pP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lang w:val="en-US"/>
              </w:rPr>
            </w:pPr>
            <w:r w:rsidRPr="00A8783E">
              <w:rPr>
                <w:rFonts w:ascii="Times New Roman" w:hAnsi="Times New Roman"/>
                <w:color w:val="000000"/>
                <w:sz w:val="20"/>
                <w:szCs w:val="20"/>
                <w:lang w:val="en-US"/>
              </w:rPr>
              <w:t>G</w:t>
            </w: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rPr>
            </w:pPr>
            <w:r w:rsidRPr="00A8783E">
              <w:rPr>
                <w:rFonts w:ascii="Times New Roman" w:hAnsi="Times New Roman"/>
                <w:color w:val="000000"/>
                <w:sz w:val="20"/>
                <w:szCs w:val="20"/>
                <w:lang w:val="en-US"/>
              </w:rPr>
              <w:t>C</w:t>
            </w: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rPr>
            </w:pPr>
            <w:r w:rsidRPr="00A8783E">
              <w:rPr>
                <w:rFonts w:ascii="Times New Roman" w:hAnsi="Times New Roman"/>
                <w:color w:val="000000"/>
                <w:sz w:val="20"/>
                <w:szCs w:val="20"/>
                <w:lang w:val="en-US"/>
              </w:rPr>
              <w:t>B</w:t>
            </w: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rPr>
            </w:pPr>
            <w:r w:rsidRPr="00A8783E">
              <w:rPr>
                <w:rFonts w:ascii="Times New Roman" w:hAnsi="Times New Roman"/>
                <w:color w:val="000000"/>
                <w:sz w:val="20"/>
                <w:szCs w:val="20"/>
                <w:lang w:val="en-US"/>
              </w:rPr>
              <w:t>C</w:t>
            </w: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rPr>
            </w:pPr>
            <w:r w:rsidRPr="00A8783E">
              <w:rPr>
                <w:rFonts w:ascii="Times New Roman" w:hAnsi="Times New Roman"/>
                <w:color w:val="000000"/>
                <w:sz w:val="20"/>
                <w:szCs w:val="20"/>
                <w:lang w:val="en-US"/>
              </w:rPr>
              <w:t>C</w:t>
            </w:r>
          </w:p>
        </w:tc>
      </w:tr>
      <w:bookmarkEnd w:id="542"/>
    </w:tbl>
    <w:p w:rsidR="00A8783E" w:rsidRPr="00A8783E" w:rsidRDefault="00A8783E" w:rsidP="00A8783E">
      <w:pPr>
        <w:spacing w:before="120" w:after="120" w:line="259" w:lineRule="auto"/>
        <w:jc w:val="both"/>
        <w:rPr>
          <w:rFonts w:ascii="Times New Roman" w:hAnsi="Times New Roman"/>
          <w:color w:val="000000"/>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lang w:val="ru-RU"/>
        </w:rPr>
      </w:pPr>
      <w:bookmarkStart w:id="543" w:name="_Toc88865746"/>
      <w:bookmarkStart w:id="544" w:name="_Toc89106156"/>
      <w:bookmarkStart w:id="545" w:name="_Toc98741995"/>
      <w:bookmarkStart w:id="546" w:name="_Toc98838670"/>
      <w:bookmarkStart w:id="547" w:name="_Toc87467286"/>
      <w:bookmarkStart w:id="548" w:name="_Toc87692203"/>
      <w:r w:rsidRPr="00A8783E">
        <w:rPr>
          <w:rFonts w:ascii="Times New Roman" w:hAnsi="Times New Roman"/>
          <w:color w:val="1F497D"/>
          <w:sz w:val="28"/>
          <w:szCs w:val="28"/>
        </w:rPr>
        <w:lastRenderedPageBreak/>
        <w:t>Специфични цели за А</w:t>
      </w:r>
      <w:r w:rsidRPr="00A8783E">
        <w:rPr>
          <w:rFonts w:ascii="Times New Roman" w:hAnsi="Times New Roman"/>
          <w:color w:val="1F497D"/>
          <w:sz w:val="28"/>
          <w:szCs w:val="28"/>
          <w:lang w:val="ru-RU"/>
        </w:rPr>
        <w:t>403</w:t>
      </w:r>
      <w:r w:rsidRPr="00A8783E">
        <w:rPr>
          <w:rFonts w:ascii="Times New Roman" w:hAnsi="Times New Roman"/>
          <w:color w:val="1F497D"/>
          <w:sz w:val="28"/>
          <w:szCs w:val="28"/>
        </w:rPr>
        <w:t xml:space="preserve"> </w:t>
      </w:r>
      <w:r w:rsidRPr="00A8783E">
        <w:rPr>
          <w:rFonts w:ascii="Times New Roman" w:hAnsi="Times New Roman"/>
          <w:i/>
          <w:iCs/>
          <w:color w:val="1F497D"/>
          <w:sz w:val="28"/>
          <w:szCs w:val="28"/>
          <w:lang w:val="en-GB"/>
        </w:rPr>
        <w:t>Buteo</w:t>
      </w:r>
      <w:r w:rsidRPr="00A8783E">
        <w:rPr>
          <w:rFonts w:ascii="Times New Roman" w:hAnsi="Times New Roman"/>
          <w:i/>
          <w:iCs/>
          <w:color w:val="1F497D"/>
          <w:sz w:val="28"/>
          <w:szCs w:val="28"/>
          <w:lang w:val="ru-RU"/>
        </w:rPr>
        <w:t xml:space="preserve"> </w:t>
      </w:r>
      <w:r w:rsidRPr="00A8783E">
        <w:rPr>
          <w:rFonts w:ascii="Times New Roman" w:hAnsi="Times New Roman"/>
          <w:i/>
          <w:iCs/>
          <w:color w:val="1F497D"/>
          <w:sz w:val="28"/>
          <w:szCs w:val="28"/>
          <w:lang w:val="en-GB"/>
        </w:rPr>
        <w:t>rufinus</w:t>
      </w:r>
      <w:r w:rsidRPr="00A8783E">
        <w:rPr>
          <w:rFonts w:ascii="Times New Roman" w:hAnsi="Times New Roman"/>
          <w:i/>
          <w:iCs/>
          <w:color w:val="1F497D"/>
          <w:sz w:val="28"/>
          <w:szCs w:val="28"/>
          <w:lang w:val="ru-RU"/>
        </w:rPr>
        <w:t xml:space="preserve"> </w:t>
      </w:r>
      <w:r w:rsidRPr="00A8783E">
        <w:rPr>
          <w:rFonts w:ascii="Times New Roman" w:hAnsi="Times New Roman"/>
          <w:color w:val="1F497D"/>
          <w:sz w:val="28"/>
          <w:szCs w:val="28"/>
          <w:lang w:val="ru-RU"/>
        </w:rPr>
        <w:t>(белоопашат мишелов)</w:t>
      </w:r>
      <w:bookmarkEnd w:id="543"/>
      <w:bookmarkEnd w:id="544"/>
      <w:bookmarkEnd w:id="545"/>
      <w:bookmarkEnd w:id="546"/>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Дължината на тялото 50-65 cm, тегло 590-1760 </w:t>
      </w:r>
      <w:r w:rsidRPr="00A8783E">
        <w:rPr>
          <w:rFonts w:ascii="Times New Roman" w:hAnsi="Times New Roman"/>
          <w:sz w:val="24"/>
          <w:szCs w:val="24"/>
          <w:lang w:val="en-US"/>
        </w:rPr>
        <w:t>g</w:t>
      </w:r>
      <w:r w:rsidRPr="00A8783E">
        <w:rPr>
          <w:rFonts w:ascii="Times New Roman" w:hAnsi="Times New Roman"/>
          <w:sz w:val="24"/>
          <w:szCs w:val="24"/>
        </w:rPr>
        <w:t xml:space="preserve">., размах на крилата – 126 – 155 cm. (Cramp and Simmons eds., 1980; Svensson 2013). Има три цветови фази на оперението –тъмна, светла и ръждива. Последните две са застъпени у нас. Птиците от светлата фаза имат светложълто до жълтеникаво ръждиво оперение. Ръждивите птици са по-тъмноръждиво кафяви. При всички опашката е светложълта, белезникава, едноцветна. “Гащите“ са тъмнокафяви до черни. Профилът на крилата в полет е V-образен. Краката са жълти.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Гнезди на скали и на дървета, по-рядко и на стълбове на далекопроводи (метални). Гнездата на дървета са на единични или ивици дървета сред полето, най-често са на тополи. Защитен вид, включен в Червената книга на България, в категория „Уязвим“.</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Постоянен, но младите извършват значителни скитания. При по-студени зими вероятно и възрастните мигрират на къси разстояния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Гнезди в открити местообитания – степи, ливади, ниви с единични или групи дървета и храсти пръснати сред  тях. Често пъти в хълмисти области с мозаично пръснати храсти и единични дървета. Обича степни и ливадни местообитания в близост до скалисти речни каньони, скални венци, суходолия и др. скални форми където устройва гнездата си. Понякога гнезди в каменни кариери.  Избягва гъсти и компактни горски комплекси или ако се среща там е винаги в периферията им. Среща се както в низините така и в хълмисти и предпланински райони, до около 900 </w:t>
      </w:r>
      <w:r w:rsidRPr="00A8783E">
        <w:rPr>
          <w:rFonts w:ascii="Times New Roman" w:hAnsi="Times New Roman"/>
          <w:sz w:val="24"/>
          <w:szCs w:val="24"/>
          <w:lang w:val="en-US"/>
        </w:rPr>
        <w:t>m</w:t>
      </w:r>
      <w:r w:rsidRPr="00A8783E">
        <w:rPr>
          <w:rFonts w:ascii="Times New Roman" w:hAnsi="Times New Roman"/>
          <w:sz w:val="24"/>
          <w:szCs w:val="24"/>
        </w:rPr>
        <w:t xml:space="preserve"> надморска височина. По време на миграция, скитане и зимуване се среща във всякакви типове открити местообитания, често недалеч от гнездото си.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Белоопашатият мишелов има твърде широк хранителен спектър. Храни се с дребни бозайници – лалугери, хомяци, полевки, слепи кучета, къртици и др., с влечуги – змии и гущери, с различни видове врабчоподобни птици, жаби,  едри насекоми (Cramp, Simmons eds.1980; Симеонов и др., 1990).</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Белоопашатият мишелов гнезди в цялата страна, с изключение на високопланинските райони и на обширните компактни горски масиви в Странджа, Лудогорието и някои части на Западна България. Най-висока численост има в Горнотракийската низина, Дунавската равнина, Поломието, Добруджа, Сакар, Източните Родопи (Шурулинков и др., 2005; Янков ред. 2007; Стойчев и др., 2008; Ватев и др. в Червена книга на Р България, 2015; Даскалова и др., 2020). Според Червената книга на България у нас гнездят 800 – 1000 двойки (Ватев и др. 2015). Тази оценка е направена през 2011 г. и се отнася за периода 2005 – 2010 г. </w:t>
      </w:r>
    </w:p>
    <w:p w:rsidR="00A8783E" w:rsidRPr="00A8783E" w:rsidRDefault="00A8783E" w:rsidP="00A8783E">
      <w:pPr>
        <w:spacing w:before="120" w:after="120" w:line="240" w:lineRule="auto"/>
        <w:jc w:val="both"/>
        <w:rPr>
          <w:rFonts w:ascii="Times New Roman" w:hAnsi="Times New Roman"/>
          <w:color w:val="FF0000"/>
          <w:sz w:val="24"/>
          <w:szCs w:val="24"/>
        </w:rPr>
      </w:pPr>
      <w:r w:rsidRPr="00A8783E">
        <w:rPr>
          <w:rFonts w:ascii="Times New Roman" w:hAnsi="Times New Roman"/>
          <w:sz w:val="24"/>
          <w:szCs w:val="24"/>
        </w:rPr>
        <w:t xml:space="preserve">Включен е в Приложение 1 на Директивата за птиците, както и в Приложения 2 и 3 на ЗБР. Природозащитният статус на белоопашатия мишелов според </w:t>
      </w:r>
      <w:r w:rsidRPr="00A8783E">
        <w:rPr>
          <w:rFonts w:ascii="Times New Roman" w:hAnsi="Times New Roman"/>
          <w:sz w:val="24"/>
          <w:szCs w:val="24"/>
          <w:lang w:val="en-GB"/>
        </w:rPr>
        <w:t>IUCN</w:t>
      </w:r>
      <w:r w:rsidRPr="00A8783E">
        <w:rPr>
          <w:rFonts w:ascii="Times New Roman" w:hAnsi="Times New Roman"/>
          <w:sz w:val="24"/>
          <w:szCs w:val="24"/>
          <w:lang w:val="ru-RU"/>
        </w:rPr>
        <w:t xml:space="preserve"> </w:t>
      </w:r>
      <w:r w:rsidRPr="00A8783E">
        <w:rPr>
          <w:rFonts w:ascii="Times New Roman" w:hAnsi="Times New Roman"/>
          <w:sz w:val="24"/>
          <w:szCs w:val="24"/>
        </w:rPr>
        <w:t>е</w:t>
      </w:r>
      <w:r w:rsidRPr="00A8783E">
        <w:rPr>
          <w:rFonts w:ascii="Times New Roman" w:hAnsi="Times New Roman"/>
          <w:sz w:val="24"/>
          <w:szCs w:val="24"/>
          <w:lang w:val="ru-RU"/>
        </w:rPr>
        <w:t xml:space="preserve"> </w:t>
      </w:r>
      <w:r w:rsidRPr="00A8783E">
        <w:rPr>
          <w:rFonts w:ascii="Times New Roman" w:hAnsi="Times New Roman"/>
          <w:sz w:val="24"/>
          <w:szCs w:val="24"/>
          <w:lang w:val="en-GB"/>
        </w:rPr>
        <w:t>LC</w:t>
      </w:r>
      <w:r w:rsidRPr="00A8783E">
        <w:rPr>
          <w:rFonts w:ascii="Times New Roman" w:hAnsi="Times New Roman"/>
          <w:sz w:val="24"/>
          <w:szCs w:val="24"/>
        </w:rPr>
        <w:t xml:space="preserve"> (</w:t>
      </w:r>
      <w:r w:rsidRPr="00A8783E">
        <w:rPr>
          <w:rFonts w:ascii="Times New Roman" w:hAnsi="Times New Roman"/>
          <w:sz w:val="24"/>
          <w:szCs w:val="24"/>
          <w:lang w:val="en-GB"/>
        </w:rPr>
        <w:t>Least</w:t>
      </w:r>
      <w:r w:rsidRPr="00A8783E">
        <w:rPr>
          <w:rFonts w:ascii="Times New Roman" w:hAnsi="Times New Roman"/>
          <w:sz w:val="24"/>
          <w:szCs w:val="24"/>
          <w:lang w:val="ru-RU"/>
        </w:rPr>
        <w:t xml:space="preserve"> </w:t>
      </w:r>
      <w:r w:rsidRPr="00A8783E">
        <w:rPr>
          <w:rFonts w:ascii="Times New Roman" w:hAnsi="Times New Roman"/>
          <w:sz w:val="24"/>
          <w:szCs w:val="24"/>
          <w:lang w:val="en-US"/>
        </w:rPr>
        <w:t>Consern</w:t>
      </w:r>
      <w:r w:rsidRPr="00A8783E">
        <w:rPr>
          <w:rFonts w:ascii="Times New Roman" w:hAnsi="Times New Roman"/>
          <w:sz w:val="24"/>
          <w:szCs w:val="24"/>
          <w:lang w:val="ru-RU"/>
        </w:rPr>
        <w:t>)</w:t>
      </w:r>
      <w:r w:rsidRPr="00A8783E">
        <w:rPr>
          <w:rFonts w:ascii="Times New Roman" w:hAnsi="Times New Roman"/>
          <w:sz w:val="24"/>
          <w:szCs w:val="24"/>
        </w:rPr>
        <w:t xml:space="preserve">. Включен е в Червената книга на Р България в категория „Уязвим“ </w:t>
      </w:r>
      <w:r w:rsidRPr="00A8783E">
        <w:rPr>
          <w:rFonts w:ascii="Times New Roman" w:hAnsi="Times New Roman"/>
          <w:sz w:val="24"/>
          <w:szCs w:val="24"/>
          <w:lang w:val="ru-RU"/>
        </w:rPr>
        <w:t>(</w:t>
      </w:r>
      <w:r w:rsidRPr="00A8783E">
        <w:rPr>
          <w:rFonts w:ascii="Times New Roman" w:hAnsi="Times New Roman"/>
          <w:sz w:val="24"/>
          <w:szCs w:val="24"/>
          <w:lang w:val="en-US"/>
        </w:rPr>
        <w:t>VU</w:t>
      </w:r>
      <w:r w:rsidRPr="00A8783E">
        <w:rPr>
          <w:rFonts w:ascii="Times New Roman" w:hAnsi="Times New Roman"/>
          <w:sz w:val="24"/>
          <w:szCs w:val="24"/>
          <w:lang w:val="ru-RU"/>
        </w:rPr>
        <w:t>)</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lastRenderedPageBreak/>
        <w:t xml:space="preserve">Съгласно Докладването от 2019 г. (за периода 2005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оценява на </w:t>
      </w:r>
      <w:r w:rsidRPr="00A8783E">
        <w:rPr>
          <w:rFonts w:ascii="Times New Roman" w:hAnsi="Times New Roman"/>
          <w:sz w:val="24"/>
          <w:szCs w:val="24"/>
          <w:lang w:val="ru-RU"/>
        </w:rPr>
        <w:t>500</w:t>
      </w:r>
      <w:r w:rsidRPr="00A8783E">
        <w:rPr>
          <w:rFonts w:ascii="Times New Roman" w:hAnsi="Times New Roman"/>
          <w:sz w:val="24"/>
          <w:szCs w:val="24"/>
        </w:rPr>
        <w:t xml:space="preserve"> – </w:t>
      </w:r>
      <w:r w:rsidRPr="00A8783E">
        <w:rPr>
          <w:rFonts w:ascii="Times New Roman" w:hAnsi="Times New Roman"/>
          <w:sz w:val="24"/>
          <w:szCs w:val="24"/>
          <w:lang w:val="ru-RU"/>
        </w:rPr>
        <w:t>600</w:t>
      </w:r>
      <w:r w:rsidRPr="00A8783E">
        <w:rPr>
          <w:rFonts w:ascii="Times New Roman" w:hAnsi="Times New Roman"/>
          <w:sz w:val="24"/>
          <w:szCs w:val="24"/>
        </w:rPr>
        <w:t xml:space="preserve"> двойки. Краткосрочната тенденция на популацията (за периода 2000 – 2018 г.) е намаляваща, а дългосрочната (за периода 1980 – 2018 г.) е нарастваща.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Мигриращата</w:t>
      </w:r>
      <w:r w:rsidRPr="00A8783E">
        <w:rPr>
          <w:rFonts w:ascii="Times New Roman" w:hAnsi="Times New Roman"/>
          <w:sz w:val="24"/>
          <w:szCs w:val="24"/>
        </w:rPr>
        <w:t xml:space="preserve"> национална популация (за периода 2001 – 2018 г.) е оценена на 850 – 900 индивида.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Числеността на зимуващите у нас птици от този вид не е проучена и </w:t>
      </w:r>
      <w:r w:rsidRPr="00A8783E">
        <w:rPr>
          <w:rFonts w:ascii="Times New Roman" w:hAnsi="Times New Roman"/>
          <w:b/>
          <w:bCs/>
          <w:sz w:val="24"/>
          <w:szCs w:val="24"/>
        </w:rPr>
        <w:t>зимуващата</w:t>
      </w:r>
      <w:r w:rsidRPr="00A8783E">
        <w:rPr>
          <w:rFonts w:ascii="Times New Roman" w:hAnsi="Times New Roman"/>
          <w:sz w:val="24"/>
          <w:szCs w:val="24"/>
        </w:rPr>
        <w:t xml:space="preserve"> у нас популация не е обект на докладването по чл.12.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Червената книга на България (Ватев и др. 2015) като заплахи за белоопашатия мишелов са посочени деградацията на биотопите, залесяването, смъртност от далекопроводи, „употреба на препарати“. При докладването по чл.12 за гнездящата и мигриращата популация са посочени следните заплахи и влияния: A02, A04, A0</w:t>
      </w:r>
      <w:r w:rsidRPr="00A8783E">
        <w:rPr>
          <w:rFonts w:ascii="Times New Roman" w:hAnsi="Times New Roman"/>
          <w:sz w:val="24"/>
          <w:szCs w:val="24"/>
          <w:lang w:val="ru-RU"/>
        </w:rPr>
        <w:t>6</w:t>
      </w:r>
      <w:r w:rsidRPr="00A8783E">
        <w:rPr>
          <w:rFonts w:ascii="Times New Roman" w:hAnsi="Times New Roman"/>
          <w:sz w:val="24"/>
          <w:szCs w:val="24"/>
        </w:rPr>
        <w:t>, A0</w:t>
      </w:r>
      <w:r w:rsidRPr="00A8783E">
        <w:rPr>
          <w:rFonts w:ascii="Times New Roman" w:hAnsi="Times New Roman"/>
          <w:sz w:val="24"/>
          <w:szCs w:val="24"/>
          <w:lang w:val="ru-RU"/>
        </w:rPr>
        <w:t>7</w:t>
      </w:r>
      <w:r w:rsidRPr="00A8783E">
        <w:rPr>
          <w:rFonts w:ascii="Times New Roman" w:hAnsi="Times New Roman"/>
          <w:sz w:val="24"/>
          <w:szCs w:val="24"/>
        </w:rPr>
        <w:t>,A</w:t>
      </w:r>
      <w:r w:rsidRPr="00A8783E">
        <w:rPr>
          <w:rFonts w:ascii="Times New Roman" w:hAnsi="Times New Roman"/>
          <w:sz w:val="24"/>
          <w:szCs w:val="24"/>
          <w:lang w:val="ru-RU"/>
        </w:rPr>
        <w:t>1</w:t>
      </w:r>
      <w:r w:rsidRPr="00A8783E">
        <w:rPr>
          <w:rFonts w:ascii="Times New Roman" w:hAnsi="Times New Roman"/>
          <w:sz w:val="24"/>
          <w:szCs w:val="24"/>
        </w:rPr>
        <w:t>0,</w:t>
      </w:r>
      <w:r w:rsidRPr="00A8783E">
        <w:rPr>
          <w:rFonts w:ascii="Times New Roman" w:hAnsi="Times New Roman"/>
          <w:sz w:val="24"/>
          <w:szCs w:val="24"/>
          <w:lang w:val="ru-RU"/>
        </w:rPr>
        <w:t xml:space="preserve"> </w:t>
      </w:r>
      <w:r w:rsidRPr="00A8783E">
        <w:rPr>
          <w:rFonts w:ascii="Times New Roman" w:hAnsi="Times New Roman"/>
          <w:sz w:val="24"/>
          <w:szCs w:val="24"/>
        </w:rPr>
        <w:t xml:space="preserve">B01, C01, C03, D02, F03, </w:t>
      </w:r>
      <w:r w:rsidRPr="00A8783E">
        <w:rPr>
          <w:rFonts w:ascii="Times New Roman" w:hAnsi="Times New Roman"/>
          <w:sz w:val="24"/>
          <w:szCs w:val="24"/>
          <w:lang w:val="en-US"/>
        </w:rPr>
        <w:t>L</w:t>
      </w:r>
      <w:r w:rsidRPr="00A8783E">
        <w:rPr>
          <w:rFonts w:ascii="Times New Roman" w:hAnsi="Times New Roman"/>
          <w:sz w:val="24"/>
          <w:szCs w:val="24"/>
        </w:rPr>
        <w:t>0</w:t>
      </w:r>
      <w:r w:rsidRPr="00A8783E">
        <w:rPr>
          <w:rFonts w:ascii="Times New Roman" w:hAnsi="Times New Roman"/>
          <w:sz w:val="24"/>
          <w:szCs w:val="24"/>
          <w:lang w:val="ru-RU"/>
        </w:rPr>
        <w:t>7</w:t>
      </w:r>
      <w:r w:rsidRPr="00A8783E">
        <w:rPr>
          <w:rFonts w:ascii="Times New Roman" w:hAnsi="Times New Roman"/>
          <w:sz w:val="24"/>
          <w:szCs w:val="24"/>
        </w:rPr>
        <w:t xml:space="preserve"> и</w:t>
      </w:r>
      <w:r w:rsidRPr="00A8783E">
        <w:rPr>
          <w:rFonts w:ascii="Times New Roman" w:hAnsi="Times New Roman"/>
          <w:sz w:val="24"/>
          <w:szCs w:val="24"/>
          <w:lang w:val="ru-RU"/>
        </w:rPr>
        <w:t xml:space="preserve"> </w:t>
      </w:r>
      <w:r w:rsidRPr="00A8783E">
        <w:rPr>
          <w:rFonts w:ascii="Times New Roman" w:hAnsi="Times New Roman"/>
          <w:sz w:val="24"/>
          <w:szCs w:val="24"/>
        </w:rPr>
        <w:t>D06. Тези заплахи са свързани с промяна на предназначение на земите, превръщането на пасищата в гори, изоставянето на пасищата и обрастването им, преустановяване на пашата, хидроенергийното строителство, развитието на спортно-туристическа инфраструктура, застрояване. Освен това следва да добавим и заплахи като незаконния отстрел, загиването на птици от сблъсъци с автомобили, отравянето с отрови за борба с наземни хищници и др.</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СФ на зоната видът е </w:t>
      </w:r>
      <w:r w:rsidRPr="00A8783E">
        <w:rPr>
          <w:rFonts w:ascii="Times New Roman" w:hAnsi="Times New Roman"/>
          <w:b/>
          <w:bCs/>
          <w:sz w:val="24"/>
          <w:szCs w:val="24"/>
        </w:rPr>
        <w:t>зимуващ</w:t>
      </w:r>
      <w:r w:rsidRPr="00A8783E">
        <w:rPr>
          <w:rFonts w:ascii="Times New Roman" w:hAnsi="Times New Roman"/>
          <w:sz w:val="24"/>
          <w:szCs w:val="24"/>
        </w:rPr>
        <w:t xml:space="preserve">, като популацията се оценява на до </w:t>
      </w:r>
      <w:r w:rsidRPr="00A8783E">
        <w:rPr>
          <w:rFonts w:ascii="Times New Roman" w:hAnsi="Times New Roman"/>
          <w:b/>
          <w:bCs/>
          <w:sz w:val="24"/>
          <w:szCs w:val="24"/>
        </w:rPr>
        <w:t>1 индивид</w:t>
      </w:r>
      <w:r w:rsidRPr="00A8783E">
        <w:rPr>
          <w:rFonts w:ascii="Times New Roman" w:hAnsi="Times New Roman"/>
          <w:sz w:val="24"/>
          <w:szCs w:val="24"/>
        </w:rPr>
        <w:t xml:space="preserve">, но предвид, че </w:t>
      </w:r>
      <w:r w:rsidRPr="00A8783E">
        <w:rPr>
          <w:rFonts w:ascii="Times New Roman" w:hAnsi="Times New Roman"/>
          <w:b/>
          <w:bCs/>
          <w:sz w:val="24"/>
          <w:szCs w:val="24"/>
        </w:rPr>
        <w:t>зимуващата</w:t>
      </w:r>
      <w:r w:rsidRPr="00A8783E">
        <w:rPr>
          <w:rFonts w:ascii="Times New Roman" w:hAnsi="Times New Roman"/>
          <w:sz w:val="24"/>
          <w:szCs w:val="24"/>
        </w:rPr>
        <w:t xml:space="preserve"> у нас популация не е обект на докладването по чл.12, не може да бъде изчислен % от националната популация. В СФ на зоната видът е  с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В приложението към плана за управление на поддържан резерват „Сребърна“ видът е посочен като преминаващ.</w:t>
      </w:r>
      <w:r w:rsidRPr="00A8783E">
        <w:rPr>
          <w:rFonts w:ascii="Times New Roman" w:hAnsi="Times New Roman"/>
          <w:sz w:val="24"/>
          <w:szCs w:val="24"/>
          <w:lang w:val="ru-RU"/>
        </w:rPr>
        <w:t xml:space="preserve"> </w:t>
      </w:r>
      <w:r w:rsidRPr="00A8783E">
        <w:rPr>
          <w:rFonts w:ascii="Times New Roman" w:hAnsi="Times New Roman"/>
          <w:sz w:val="24"/>
          <w:szCs w:val="24"/>
        </w:rPr>
        <w:t>Част от популацията на вида зимува в южните предели на страната (Ватев и др. в Червена книга на Р България, 2015).</w:t>
      </w:r>
      <w:r w:rsidRPr="00A8783E">
        <w:rPr>
          <w:rFonts w:ascii="Times New Roman" w:hAnsi="Times New Roman"/>
          <w:sz w:val="24"/>
          <w:szCs w:val="24"/>
          <w:lang w:val="ru-RU"/>
        </w:rPr>
        <w:t xml:space="preserve"> </w:t>
      </w:r>
      <w:r w:rsidRPr="00A8783E">
        <w:rPr>
          <w:rFonts w:ascii="Times New Roman" w:hAnsi="Times New Roman"/>
          <w:sz w:val="24"/>
          <w:szCs w:val="24"/>
        </w:rPr>
        <w:t>Данните от eBird показват, че видът е наблюдаван в зоната и на 21.09.2018 г. За ОВМ „Сребърна“ белоопашатият мишелов е категоризиран като зимуващ с численост 0-1 индивида (</w:t>
      </w:r>
      <w:r w:rsidRPr="00A8783E">
        <w:rPr>
          <w:rFonts w:ascii="Times New Roman" w:hAnsi="Times New Roman"/>
          <w:color w:val="000000"/>
          <w:sz w:val="24"/>
          <w:szCs w:val="24"/>
        </w:rPr>
        <w:t>Костадинова и Граматиков, 2007</w:t>
      </w:r>
      <w:r w:rsidRPr="00A8783E">
        <w:rPr>
          <w:rFonts w:ascii="Times New Roman" w:hAnsi="Times New Roman"/>
          <w:color w:val="000000"/>
          <w:sz w:val="24"/>
          <w:szCs w:val="24"/>
          <w:lang w:val="ru-RU"/>
        </w:rPr>
        <w:t>)</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По поречието на р. Дунав видът е с висока гнездова численост в Никополско плато и Русенски Лом, където основно може да бъде наблюдаван и в извън размножителния сезон, включително през зимата</w:t>
      </w:r>
      <w:r w:rsidRPr="00A8783E">
        <w:rPr>
          <w:rFonts w:ascii="Times New Roman" w:hAnsi="Times New Roman"/>
          <w:sz w:val="24"/>
          <w:szCs w:val="24"/>
          <w:lang w:val="ru-RU"/>
        </w:rPr>
        <w:t xml:space="preserve"> (</w:t>
      </w:r>
      <w:r w:rsidRPr="00A8783E">
        <w:rPr>
          <w:rFonts w:ascii="Times New Roman" w:hAnsi="Times New Roman"/>
          <w:sz w:val="24"/>
          <w:szCs w:val="24"/>
          <w:lang w:val="en-US"/>
        </w:rPr>
        <w:t>Cheshmedzhiev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xml:space="preserve">., </w:t>
      </w:r>
      <w:r w:rsidRPr="00A8783E">
        <w:rPr>
          <w:rFonts w:ascii="Times New Roman" w:hAnsi="Times New Roman"/>
          <w:sz w:val="24"/>
          <w:szCs w:val="24"/>
          <w:lang w:val="en-US"/>
        </w:rPr>
        <w:t>in</w:t>
      </w:r>
      <w:r w:rsidRPr="00A8783E">
        <w:rPr>
          <w:rFonts w:ascii="Times New Roman" w:hAnsi="Times New Roman"/>
          <w:sz w:val="24"/>
          <w:szCs w:val="24"/>
          <w:lang w:val="ru-RU"/>
        </w:rPr>
        <w:t xml:space="preserve"> </w:t>
      </w:r>
      <w:r w:rsidRPr="00A8783E">
        <w:rPr>
          <w:rFonts w:ascii="Times New Roman" w:hAnsi="Times New Roman"/>
          <w:sz w:val="24"/>
          <w:szCs w:val="24"/>
          <w:lang w:val="en-US"/>
        </w:rPr>
        <w:t>Shurulinkov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2019)</w:t>
      </w:r>
      <w:r w:rsidRPr="00A8783E">
        <w:rPr>
          <w:rFonts w:ascii="Times New Roman" w:hAnsi="Times New Roman"/>
          <w:sz w:val="24"/>
          <w:szCs w:val="24"/>
        </w:rPr>
        <w:t>.</w:t>
      </w:r>
      <w:r w:rsidRPr="00A8783E">
        <w:rPr>
          <w:rFonts w:ascii="Times New Roman" w:hAnsi="Times New Roman"/>
          <w:sz w:val="24"/>
          <w:szCs w:val="24"/>
          <w:lang w:val="ru-RU"/>
        </w:rPr>
        <w:t xml:space="preserve"> </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Посочените заплахи и влияния в докладването по чл. 12 през 2019 г. се отнасят най-вече за гнездящата популация на вида. Смятаме, че в ЗЗ Сребърна по време на зимуване видът не е застрашен от каквито и да е заплахи.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1276"/>
        <w:gridCol w:w="1422"/>
        <w:gridCol w:w="2698"/>
        <w:gridCol w:w="2268"/>
      </w:tblGrid>
      <w:tr w:rsidR="00A8783E" w:rsidRPr="00A8783E" w:rsidTr="005B5318">
        <w:trPr>
          <w:tblHeader/>
          <w:jc w:val="center"/>
        </w:trPr>
        <w:tc>
          <w:tcPr>
            <w:tcW w:w="156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422"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69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26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564"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b/>
                <w:bCs/>
                <w:color w:val="000000"/>
              </w:rPr>
              <w:t>Популация</w:t>
            </w:r>
            <w:r w:rsidRPr="00A8783E">
              <w:rPr>
                <w:rFonts w:ascii="Times New Roman" w:hAnsi="Times New Roman"/>
                <w:color w:val="000000"/>
              </w:rPr>
              <w:t xml:space="preserve">: Размер на зимуващата </w:t>
            </w:r>
            <w:r w:rsidRPr="00A8783E">
              <w:rPr>
                <w:rFonts w:ascii="Times New Roman" w:hAnsi="Times New Roman"/>
                <w:color w:val="000000"/>
              </w:rPr>
              <w:lastRenderedPageBreak/>
              <w:t>популация</w:t>
            </w:r>
          </w:p>
        </w:tc>
        <w:tc>
          <w:tcPr>
            <w:tcW w:w="1276"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lastRenderedPageBreak/>
              <w:t>Брой индивиди</w:t>
            </w:r>
          </w:p>
          <w:p w:rsidR="00A8783E" w:rsidRPr="00A8783E" w:rsidRDefault="00A8783E" w:rsidP="00A8783E">
            <w:pPr>
              <w:spacing w:after="0" w:line="240" w:lineRule="auto"/>
              <w:jc w:val="both"/>
              <w:rPr>
                <w:rFonts w:ascii="Times New Roman" w:hAnsi="Times New Roman"/>
                <w:color w:val="000000"/>
                <w:lang w:val="en-GB"/>
              </w:rPr>
            </w:pPr>
          </w:p>
        </w:tc>
        <w:tc>
          <w:tcPr>
            <w:tcW w:w="1422"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Най-малко 1 инд.</w:t>
            </w:r>
          </w:p>
        </w:tc>
        <w:tc>
          <w:tcPr>
            <w:tcW w:w="2698"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 xml:space="preserve">Определена на база СФ. Няма друга актуална информация за </w:t>
            </w:r>
            <w:r w:rsidRPr="00A8783E">
              <w:rPr>
                <w:rFonts w:ascii="Times New Roman" w:hAnsi="Times New Roman"/>
                <w:color w:val="000000"/>
              </w:rPr>
              <w:lastRenderedPageBreak/>
              <w:t xml:space="preserve">количеството на зимуващите птици в зоната. </w:t>
            </w:r>
          </w:p>
        </w:tc>
        <w:tc>
          <w:tcPr>
            <w:tcW w:w="2268"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lastRenderedPageBreak/>
              <w:t xml:space="preserve">Междинна цел до 2025 г.: провеждане на проучване за </w:t>
            </w:r>
            <w:r w:rsidRPr="00A8783E">
              <w:rPr>
                <w:rFonts w:ascii="Times New Roman" w:hAnsi="Times New Roman"/>
                <w:color w:val="000000"/>
              </w:rPr>
              <w:lastRenderedPageBreak/>
              <w:t>установяване на текущата зимуваща численост на вида в зоната.</w:t>
            </w:r>
          </w:p>
        </w:tc>
      </w:tr>
      <w:tr w:rsidR="00A8783E" w:rsidRPr="00A8783E" w:rsidTr="005B5318">
        <w:trPr>
          <w:jc w:val="center"/>
        </w:trPr>
        <w:tc>
          <w:tcPr>
            <w:tcW w:w="1564"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b/>
                <w:bCs/>
                <w:color w:val="000000"/>
              </w:rPr>
              <w:lastRenderedPageBreak/>
              <w:t xml:space="preserve">Местообитание на вида: </w:t>
            </w:r>
            <w:r w:rsidRPr="00A8783E">
              <w:rPr>
                <w:rFonts w:ascii="Times New Roman" w:hAnsi="Times New Roman"/>
                <w:color w:val="000000"/>
              </w:rPr>
              <w:t>характеристика на местообитанията за търсене на храна</w:t>
            </w:r>
          </w:p>
          <w:p w:rsidR="00A8783E" w:rsidRPr="00A8783E" w:rsidRDefault="00A8783E" w:rsidP="00A8783E">
            <w:pPr>
              <w:spacing w:after="0" w:line="240" w:lineRule="auto"/>
              <w:jc w:val="both"/>
              <w:rPr>
                <w:rFonts w:ascii="Times New Roman" w:hAnsi="Times New Roman"/>
                <w:color w:val="000000"/>
              </w:rPr>
            </w:pPr>
          </w:p>
        </w:tc>
        <w:tc>
          <w:tcPr>
            <w:tcW w:w="1276" w:type="dxa"/>
          </w:tcPr>
          <w:p w:rsidR="00A8783E" w:rsidRPr="00A8783E" w:rsidRDefault="00A8783E" w:rsidP="00A8783E">
            <w:pPr>
              <w:spacing w:after="0" w:line="240" w:lineRule="auto"/>
              <w:jc w:val="both"/>
              <w:rPr>
                <w:rFonts w:ascii="Times New Roman" w:hAnsi="Times New Roman"/>
                <w:color w:val="000000"/>
                <w:lang w:val="en-US"/>
              </w:rPr>
            </w:pPr>
            <w:r w:rsidRPr="00A8783E">
              <w:rPr>
                <w:rFonts w:ascii="Times New Roman" w:hAnsi="Times New Roman"/>
                <w:color w:val="000000"/>
                <w:lang w:val="en-US"/>
              </w:rPr>
              <w:t>ha</w:t>
            </w:r>
          </w:p>
        </w:tc>
        <w:tc>
          <w:tcPr>
            <w:tcW w:w="1422" w:type="dxa"/>
          </w:tcPr>
          <w:p w:rsidR="00A8783E" w:rsidRPr="00A8783E" w:rsidRDefault="00A8783E" w:rsidP="00A8783E">
            <w:pPr>
              <w:spacing w:after="0" w:line="240" w:lineRule="auto"/>
              <w:rPr>
                <w:rFonts w:ascii="Times New Roman" w:hAnsi="Times New Roman"/>
                <w:color w:val="000000"/>
                <w:lang w:val="en-GB"/>
              </w:rPr>
            </w:pPr>
            <w:r w:rsidRPr="00A8783E">
              <w:rPr>
                <w:rFonts w:ascii="Times New Roman" w:hAnsi="Times New Roman"/>
                <w:color w:val="000000"/>
              </w:rPr>
              <w:t xml:space="preserve">Най-малко 318 </w:t>
            </w:r>
            <w:r w:rsidRPr="00A8783E">
              <w:rPr>
                <w:rFonts w:ascii="Times New Roman" w:hAnsi="Times New Roman"/>
                <w:color w:val="000000"/>
                <w:lang w:val="en-GB"/>
              </w:rPr>
              <w:t>ha</w:t>
            </w:r>
          </w:p>
        </w:tc>
        <w:tc>
          <w:tcPr>
            <w:tcW w:w="2698" w:type="dxa"/>
          </w:tcPr>
          <w:p w:rsidR="00A8783E" w:rsidRPr="00A8783E" w:rsidRDefault="00A8783E" w:rsidP="00A8783E">
            <w:pPr>
              <w:spacing w:after="0" w:line="240" w:lineRule="auto"/>
              <w:rPr>
                <w:rFonts w:ascii="Times New Roman" w:hAnsi="Times New Roman"/>
                <w:color w:val="000000"/>
              </w:rPr>
            </w:pPr>
            <w:r w:rsidRPr="00A8783E">
              <w:rPr>
                <w:rFonts w:ascii="Times New Roman" w:hAnsi="Times New Roman"/>
                <w:color w:val="000000"/>
              </w:rPr>
              <w:t xml:space="preserve">Изчислена въз основа на процентното участие на откритите и храсталачни местообитания </w:t>
            </w:r>
            <w:r w:rsidRPr="00A8783E">
              <w:rPr>
                <w:rFonts w:ascii="Times New Roman" w:hAnsi="Times New Roman"/>
                <w:color w:val="000000"/>
                <w:lang w:val="en-US"/>
              </w:rPr>
              <w:t>N</w:t>
            </w:r>
            <w:r w:rsidRPr="00A8783E">
              <w:rPr>
                <w:rFonts w:ascii="Times New Roman" w:hAnsi="Times New Roman"/>
                <w:color w:val="000000"/>
                <w:lang w:val="ru-RU"/>
              </w:rPr>
              <w:t>08</w:t>
            </w:r>
            <w:r w:rsidRPr="00A8783E">
              <w:rPr>
                <w:rFonts w:ascii="Times New Roman" w:hAnsi="Times New Roman"/>
                <w:color w:val="000000"/>
              </w:rPr>
              <w:t xml:space="preserve">-равнини и шубраци, </w:t>
            </w:r>
            <w:r w:rsidRPr="00A8783E">
              <w:rPr>
                <w:rFonts w:ascii="Times New Roman" w:hAnsi="Times New Roman"/>
                <w:color w:val="000000"/>
                <w:lang w:val="en-US"/>
              </w:rPr>
              <w:t>N</w:t>
            </w:r>
            <w:r w:rsidRPr="00A8783E">
              <w:rPr>
                <w:rFonts w:ascii="Times New Roman" w:hAnsi="Times New Roman"/>
                <w:color w:val="000000"/>
                <w:lang w:val="ru-RU"/>
              </w:rPr>
              <w:t>09</w:t>
            </w:r>
            <w:r w:rsidRPr="00A8783E">
              <w:rPr>
                <w:rFonts w:ascii="Times New Roman" w:hAnsi="Times New Roman"/>
                <w:color w:val="000000"/>
              </w:rPr>
              <w:t>-сухи ливади, степи</w:t>
            </w:r>
            <w:r w:rsidRPr="00A8783E">
              <w:rPr>
                <w:rFonts w:ascii="Times New Roman" w:hAnsi="Times New Roman"/>
                <w:color w:val="000000"/>
                <w:lang w:val="ru-RU"/>
              </w:rPr>
              <w:t xml:space="preserve"> и </w:t>
            </w:r>
            <w:r w:rsidRPr="00A8783E">
              <w:rPr>
                <w:rFonts w:ascii="Times New Roman" w:hAnsi="Times New Roman"/>
                <w:color w:val="000000"/>
                <w:lang w:val="en-US"/>
              </w:rPr>
              <w:t>N</w:t>
            </w:r>
            <w:r w:rsidRPr="00A8783E">
              <w:rPr>
                <w:rFonts w:ascii="Times New Roman" w:hAnsi="Times New Roman"/>
                <w:color w:val="000000"/>
                <w:lang w:val="ru-RU"/>
              </w:rPr>
              <w:t>15</w:t>
            </w:r>
            <w:r w:rsidRPr="00A8783E">
              <w:rPr>
                <w:rFonts w:ascii="Times New Roman" w:hAnsi="Times New Roman"/>
                <w:color w:val="000000"/>
              </w:rPr>
              <w:t>-други обработваеми земи в рамките на зоната. Вида използва разнообразни</w:t>
            </w:r>
            <w:r w:rsidRPr="00A8783E">
              <w:rPr>
                <w:rFonts w:ascii="Times New Roman" w:hAnsi="Times New Roman"/>
                <w:color w:val="000000"/>
                <w:lang w:val="ru-RU"/>
              </w:rPr>
              <w:t xml:space="preserve"> </w:t>
            </w:r>
            <w:r w:rsidRPr="00A8783E">
              <w:rPr>
                <w:rFonts w:ascii="Times New Roman" w:hAnsi="Times New Roman"/>
                <w:color w:val="000000"/>
              </w:rPr>
              <w:t>открити местообитания като пасища и обработваеми земи за търсене на плячка, вероятно често и извън зоната.</w:t>
            </w:r>
          </w:p>
        </w:tc>
        <w:tc>
          <w:tcPr>
            <w:tcW w:w="2268"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Поддържане на подходящите местообитания за търсене на храна на вида в зоната чрез поддържане на откритите местообитания в зоната чрез опасване или косене.</w:t>
            </w:r>
          </w:p>
        </w:tc>
      </w:tr>
    </w:tbl>
    <w:p w:rsidR="00A8783E" w:rsidRPr="00A8783E" w:rsidRDefault="00A8783E" w:rsidP="00A8783E">
      <w:pPr>
        <w:spacing w:after="0" w:line="240" w:lineRule="auto"/>
      </w:pPr>
    </w:p>
    <w:p w:rsidR="00A8783E" w:rsidRPr="00A8783E" w:rsidRDefault="00A8783E" w:rsidP="00A8783E">
      <w:pPr>
        <w:spacing w:after="160" w:line="259" w:lineRule="auto"/>
        <w:rPr>
          <w:rFonts w:ascii="Times New Roman" w:hAnsi="Times New Roman"/>
          <w:b/>
          <w:bCs/>
          <w:sz w:val="24"/>
          <w:szCs w:val="24"/>
        </w:rPr>
      </w:pPr>
      <w:r w:rsidRPr="00A8783E">
        <w:rPr>
          <w:rFonts w:ascii="Times New Roman" w:hAnsi="Times New Roman"/>
          <w:b/>
          <w:bCs/>
          <w:sz w:val="24"/>
          <w:szCs w:val="24"/>
        </w:rPr>
        <w:t>Необходимост от промени в СФ за СЗЗ BG0000241 „Сребърна“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Не е необходима актуализация на СФ на този етап.</w:t>
      </w:r>
    </w:p>
    <w:p w:rsidR="00A8783E" w:rsidRPr="00A8783E" w:rsidRDefault="00A8783E" w:rsidP="00A8783E">
      <w:pPr>
        <w:spacing w:after="0" w:line="240" w:lineRule="auto"/>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549" w:name="_Toc88865747"/>
      <w:bookmarkStart w:id="550" w:name="_Toc89106157"/>
      <w:bookmarkStart w:id="551" w:name="_Toc98741996"/>
      <w:bookmarkStart w:id="552" w:name="_Toc98838671"/>
      <w:r w:rsidRPr="00A8783E">
        <w:rPr>
          <w:rFonts w:ascii="Times New Roman" w:hAnsi="Times New Roman"/>
          <w:color w:val="1F497D"/>
          <w:sz w:val="28"/>
          <w:szCs w:val="28"/>
        </w:rPr>
        <w:t>Специфични цели за А</w:t>
      </w:r>
      <w:r w:rsidRPr="00A8783E">
        <w:rPr>
          <w:rFonts w:ascii="Times New Roman" w:hAnsi="Times New Roman"/>
          <w:color w:val="1F497D"/>
          <w:sz w:val="28"/>
          <w:szCs w:val="28"/>
          <w:lang w:val="ru-RU"/>
        </w:rPr>
        <w:t>404</w:t>
      </w:r>
      <w:r w:rsidRPr="00A8783E">
        <w:rPr>
          <w:rFonts w:ascii="Times New Roman" w:hAnsi="Times New Roman"/>
          <w:color w:val="1F497D"/>
          <w:sz w:val="28"/>
          <w:szCs w:val="28"/>
        </w:rPr>
        <w:t xml:space="preserve"> </w:t>
      </w:r>
      <w:r w:rsidRPr="00A8783E">
        <w:rPr>
          <w:rFonts w:ascii="Times New Roman" w:hAnsi="Times New Roman"/>
          <w:i/>
          <w:iCs/>
          <w:color w:val="1F497D"/>
          <w:sz w:val="28"/>
          <w:szCs w:val="28"/>
          <w:lang w:val="en-GB"/>
        </w:rPr>
        <w:t>Aquila</w:t>
      </w:r>
      <w:r w:rsidRPr="00A8783E">
        <w:rPr>
          <w:rFonts w:ascii="Times New Roman" w:hAnsi="Times New Roman"/>
          <w:i/>
          <w:iCs/>
          <w:color w:val="1F497D"/>
          <w:sz w:val="28"/>
          <w:szCs w:val="28"/>
          <w:lang w:val="ru-RU"/>
        </w:rPr>
        <w:t xml:space="preserve"> </w:t>
      </w:r>
      <w:r w:rsidRPr="00A8783E">
        <w:rPr>
          <w:rFonts w:ascii="Times New Roman" w:hAnsi="Times New Roman"/>
          <w:i/>
          <w:iCs/>
          <w:color w:val="1F497D"/>
          <w:sz w:val="28"/>
          <w:szCs w:val="28"/>
          <w:lang w:val="en-GB"/>
        </w:rPr>
        <w:t>heliaca</w:t>
      </w:r>
      <w:r w:rsidRPr="00A8783E">
        <w:rPr>
          <w:rFonts w:ascii="Times New Roman" w:hAnsi="Times New Roman"/>
          <w:color w:val="1F497D"/>
          <w:sz w:val="28"/>
          <w:szCs w:val="28"/>
        </w:rPr>
        <w:t xml:space="preserve"> (Царски орел)</w:t>
      </w:r>
      <w:bookmarkEnd w:id="547"/>
      <w:bookmarkEnd w:id="548"/>
      <w:bookmarkEnd w:id="549"/>
      <w:bookmarkEnd w:id="550"/>
      <w:bookmarkEnd w:id="551"/>
      <w:bookmarkEnd w:id="552"/>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70 – 83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175 – 215 </w:t>
      </w:r>
      <w:r w:rsidRPr="00A8783E">
        <w:rPr>
          <w:rFonts w:ascii="Times New Roman" w:hAnsi="Times New Roman"/>
          <w:sz w:val="24"/>
          <w:szCs w:val="24"/>
          <w:lang w:val="en-US"/>
        </w:rPr>
        <w:t>cm</w:t>
      </w:r>
      <w:r w:rsidRPr="00A8783E">
        <w:rPr>
          <w:rFonts w:ascii="Times New Roman" w:hAnsi="Times New Roman"/>
          <w:sz w:val="24"/>
          <w:szCs w:val="24"/>
        </w:rPr>
        <w:t xml:space="preserve">. По-дребен от скалния орел и в полет профилът на крилата е равен, а не V-образен. Възрастните са кафяво-черни с характерен контраст между тъмното тяло и светлата, почти бяла отгоре глава. Не всички индивиди имат светли петна на плещите (еполети). Младите са със светли подкрилия и тяло, по-тъмни махови пера и светли най-вътрешни три първостепенни махови пера </w:t>
      </w:r>
      <w:r w:rsidRPr="00A8783E">
        <w:rPr>
          <w:rFonts w:ascii="Times New Roman" w:hAnsi="Times New Roman"/>
          <w:sz w:val="24"/>
          <w:szCs w:val="24"/>
          <w:lang w:val="ru-RU"/>
        </w:rPr>
        <w:t>(Симеонов и др.</w:t>
      </w:r>
      <w:r w:rsidRPr="00A8783E">
        <w:rPr>
          <w:rFonts w:ascii="Times New Roman" w:hAnsi="Times New Roman"/>
          <w:sz w:val="24"/>
          <w:szCs w:val="24"/>
        </w:rPr>
        <w:t>,</w:t>
      </w:r>
      <w:r w:rsidRPr="00A8783E">
        <w:rPr>
          <w:rFonts w:ascii="Times New Roman" w:hAnsi="Times New Roman"/>
          <w:sz w:val="24"/>
          <w:szCs w:val="24"/>
          <w:lang w:val="ru-RU"/>
        </w:rPr>
        <w:t xml:space="preserve"> 1990).</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В България царският орел е гнездящо-прелетен, постоянен, преминаващ и зимуващ вид</w:t>
      </w:r>
      <w:r w:rsidRPr="00A8783E">
        <w:rPr>
          <w:rFonts w:ascii="Times New Roman" w:hAnsi="Times New Roman"/>
          <w:sz w:val="24"/>
          <w:szCs w:val="24"/>
          <w:lang w:val="ru-RU"/>
        </w:rPr>
        <w:t xml:space="preserve"> (</w:t>
      </w:r>
      <w:r w:rsidRPr="00A8783E">
        <w:rPr>
          <w:rFonts w:ascii="Times New Roman" w:hAnsi="Times New Roman"/>
          <w:sz w:val="24"/>
          <w:szCs w:val="24"/>
        </w:rPr>
        <w:t>Стойчев и кол., 2012</w:t>
      </w:r>
      <w:r w:rsidRPr="00A8783E">
        <w:rPr>
          <w:rFonts w:ascii="Times New Roman" w:hAnsi="Times New Roman"/>
          <w:sz w:val="24"/>
          <w:szCs w:val="24"/>
          <w:lang w:val="ru-RU"/>
        </w:rPr>
        <w:t>)</w:t>
      </w:r>
      <w:r w:rsidRPr="00A8783E">
        <w:rPr>
          <w:rFonts w:ascii="Times New Roman" w:hAnsi="Times New Roman"/>
          <w:sz w:val="24"/>
          <w:szCs w:val="24"/>
        </w:rPr>
        <w:t xml:space="preserve">. Пролетният прелет е от втората половина на февруари до края на март. Есенният прелет е от началото на септември до края на февруари </w:t>
      </w:r>
      <w:r w:rsidRPr="00A8783E">
        <w:rPr>
          <w:rFonts w:ascii="Times New Roman" w:hAnsi="Times New Roman"/>
          <w:sz w:val="24"/>
          <w:szCs w:val="24"/>
          <w:lang w:val="ru-RU"/>
        </w:rPr>
        <w:t>(Симеонов и др.</w:t>
      </w:r>
      <w:r w:rsidRPr="00A8783E">
        <w:rPr>
          <w:rFonts w:ascii="Times New Roman" w:hAnsi="Times New Roman"/>
          <w:sz w:val="24"/>
          <w:szCs w:val="24"/>
        </w:rPr>
        <w:t>,</w:t>
      </w:r>
      <w:r w:rsidRPr="00A8783E">
        <w:rPr>
          <w:rFonts w:ascii="Times New Roman" w:hAnsi="Times New Roman"/>
          <w:sz w:val="24"/>
          <w:szCs w:val="24"/>
          <w:lang w:val="ru-RU"/>
        </w:rPr>
        <w:t xml:space="preserve"> 1990).</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Царският орел предпочита хълмисти райони, където гористи места или места с ивици или групи дървета се редуват с открити сухи пространства – пасища, селскостопански площи, пустеещи земи. За гнездене използва единични високи дървета, растящи отделно или сред ивици растителност покрай реки, в плитки долове, както и групи от дървета в края на гората или близо до поляни, често в непосредствена близост до селища, пътища и обработваеми площи. Следва да се разграничава самото гнездово местообитание от ловните територии на вида, които в отделни случаи могат да бъдат на разстояние над 10 км. от гнездото. Ловните територии включват терени с </w:t>
      </w:r>
      <w:r w:rsidRPr="00A8783E">
        <w:rPr>
          <w:rFonts w:ascii="Times New Roman" w:hAnsi="Times New Roman"/>
          <w:sz w:val="24"/>
          <w:szCs w:val="24"/>
        </w:rPr>
        <w:lastRenderedPageBreak/>
        <w:t>преобладаваща тревна или тревно-храстова растителност, често ниви със зърнени култури (Стойчев и кол., 2012). Царският орел е моногамен вид. Гнездата се разполагат предимно в близост до основата на дървото и в по-малка степен на страничен клон или на върха на дървото. В повечето случаи предпочитат източното или западното изложение, избягвайки южното, северното или северозападното (Стойчев и кол., 2012). Някои от предпочитаните местообитания са 9110, 9130, 9150, 9170, 91F0, 91</w:t>
      </w:r>
      <w:r w:rsidRPr="00A8783E">
        <w:rPr>
          <w:rFonts w:ascii="Times New Roman" w:hAnsi="Times New Roman"/>
          <w:sz w:val="24"/>
          <w:szCs w:val="24"/>
          <w:lang w:val="en-GB"/>
        </w:rPr>
        <w:t>H</w:t>
      </w:r>
      <w:r w:rsidRPr="00A8783E">
        <w:rPr>
          <w:rFonts w:ascii="Times New Roman" w:hAnsi="Times New Roman"/>
          <w:sz w:val="24"/>
          <w:szCs w:val="24"/>
          <w:lang w:val="ru-RU"/>
        </w:rPr>
        <w:t>0</w:t>
      </w:r>
      <w:r w:rsidRPr="00A8783E">
        <w:rPr>
          <w:rFonts w:ascii="Times New Roman" w:hAnsi="Times New Roman"/>
          <w:sz w:val="24"/>
          <w:szCs w:val="24"/>
        </w:rPr>
        <w:t>, 91E0, 91AA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отношение на храната царският орел е вид генералист, използващ различни хранителни източници в отделните части от ареала си (Стойчев и кол., 2012). При проучване на една двойка от района на Средна гора като основна плячка е посочен </w:t>
      </w:r>
      <w:r w:rsidRPr="00A8783E">
        <w:rPr>
          <w:rFonts w:ascii="Times New Roman" w:hAnsi="Times New Roman"/>
          <w:i/>
          <w:iCs/>
          <w:sz w:val="24"/>
          <w:szCs w:val="24"/>
        </w:rPr>
        <w:t>Spermophillus citellus</w:t>
      </w:r>
      <w:r w:rsidRPr="00A8783E">
        <w:rPr>
          <w:rFonts w:ascii="Times New Roman" w:hAnsi="Times New Roman"/>
          <w:sz w:val="24"/>
          <w:szCs w:val="24"/>
        </w:rPr>
        <w:t xml:space="preserve"> и </w:t>
      </w:r>
      <w:r w:rsidRPr="00A8783E">
        <w:rPr>
          <w:rFonts w:ascii="Times New Roman" w:hAnsi="Times New Roman"/>
          <w:i/>
          <w:iCs/>
          <w:sz w:val="24"/>
          <w:szCs w:val="24"/>
        </w:rPr>
        <w:t>Microtus arvalis</w:t>
      </w:r>
      <w:r w:rsidRPr="00A8783E">
        <w:rPr>
          <w:rFonts w:ascii="Times New Roman" w:hAnsi="Times New Roman"/>
          <w:sz w:val="24"/>
          <w:szCs w:val="24"/>
        </w:rPr>
        <w:t xml:space="preserve"> (Симеонов и Петров, 1980). За Сакар и Дервентските възвишения, като преобладаващ хранителен ресурс се посочват </w:t>
      </w:r>
      <w:r w:rsidRPr="00A8783E">
        <w:rPr>
          <w:rFonts w:ascii="Times New Roman" w:hAnsi="Times New Roman"/>
          <w:i/>
          <w:iCs/>
          <w:sz w:val="24"/>
          <w:szCs w:val="24"/>
        </w:rPr>
        <w:t>Erinaceus romanicus</w:t>
      </w:r>
      <w:r w:rsidRPr="00A8783E">
        <w:rPr>
          <w:rFonts w:ascii="Times New Roman" w:hAnsi="Times New Roman"/>
          <w:sz w:val="24"/>
          <w:szCs w:val="24"/>
        </w:rPr>
        <w:t xml:space="preserve">, </w:t>
      </w:r>
      <w:r w:rsidRPr="00A8783E">
        <w:rPr>
          <w:rFonts w:ascii="Times New Roman" w:hAnsi="Times New Roman"/>
          <w:i/>
          <w:iCs/>
          <w:sz w:val="24"/>
          <w:szCs w:val="24"/>
        </w:rPr>
        <w:t>Lepus europaeus</w:t>
      </w:r>
      <w:r w:rsidRPr="00A8783E">
        <w:rPr>
          <w:rFonts w:ascii="Times New Roman" w:hAnsi="Times New Roman"/>
          <w:sz w:val="24"/>
          <w:szCs w:val="24"/>
        </w:rPr>
        <w:t xml:space="preserve"> и </w:t>
      </w:r>
      <w:r w:rsidRPr="00A8783E">
        <w:rPr>
          <w:rFonts w:ascii="Times New Roman" w:hAnsi="Times New Roman"/>
          <w:i/>
          <w:iCs/>
          <w:sz w:val="24"/>
          <w:szCs w:val="24"/>
        </w:rPr>
        <w:t>Spermophillus citellus</w:t>
      </w:r>
      <w:r w:rsidRPr="00A8783E">
        <w:rPr>
          <w:rFonts w:ascii="Times New Roman" w:hAnsi="Times New Roman"/>
          <w:sz w:val="24"/>
          <w:szCs w:val="24"/>
        </w:rPr>
        <w:t xml:space="preserve"> (Marin et al., 2004). В резултат на проведено изследване на храната на възрастни и неизлетели млади царски орли в периода 2000–2009 г. са установени 1954 различни екземпляра жертви от минимум 157 различни таксона (Демерджиев, 2011). При разглеждане на участието на различните класове животни в хранителния спектър на вида се вижда, че най-застъпени са бозайниците (Mammalia) – 63,14 %, следвани от птиците (Aves) с 28,03 % и влечугите (Reptilia) с 8,07 % (Стойчев и кол., 2012).</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Основната част от популацията на вида е съсредоточена в Югоизточна България – Сакар, най-южните части на поречията на реките Тунджа и Марица и западната част на Странджа. Ключови райони са още Средна гора и Източните Родопи (Янков отг. ред., 2007).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Включен е в Приложение 1 на Директивата за птиците, както и в Приложения 2 и 3 на ЗБР. Природозащитният статус на царският орел според </w:t>
      </w:r>
      <w:r w:rsidRPr="00A8783E">
        <w:rPr>
          <w:rFonts w:ascii="Times New Roman" w:hAnsi="Times New Roman"/>
          <w:sz w:val="24"/>
          <w:szCs w:val="24"/>
          <w:lang w:val="en-GB"/>
        </w:rPr>
        <w:t>IUCN</w:t>
      </w:r>
      <w:r w:rsidRPr="00A8783E">
        <w:rPr>
          <w:rFonts w:ascii="Times New Roman" w:hAnsi="Times New Roman"/>
          <w:sz w:val="24"/>
          <w:szCs w:val="24"/>
          <w:lang w:val="ru-RU"/>
        </w:rPr>
        <w:t xml:space="preserve"> </w:t>
      </w:r>
      <w:r w:rsidRPr="00A8783E">
        <w:rPr>
          <w:rFonts w:ascii="Times New Roman" w:hAnsi="Times New Roman"/>
          <w:sz w:val="24"/>
          <w:szCs w:val="24"/>
        </w:rPr>
        <w:t>е</w:t>
      </w:r>
      <w:r w:rsidRPr="00A8783E">
        <w:rPr>
          <w:rFonts w:ascii="Times New Roman" w:hAnsi="Times New Roman"/>
          <w:sz w:val="24"/>
          <w:szCs w:val="24"/>
          <w:lang w:val="ru-RU"/>
        </w:rPr>
        <w:t xml:space="preserve"> </w:t>
      </w:r>
      <w:r w:rsidRPr="00A8783E">
        <w:rPr>
          <w:rFonts w:ascii="Times New Roman" w:hAnsi="Times New Roman"/>
          <w:sz w:val="24"/>
          <w:szCs w:val="24"/>
          <w:lang w:val="en-GB"/>
        </w:rPr>
        <w:t>VU</w:t>
      </w:r>
      <w:r w:rsidRPr="00A8783E">
        <w:rPr>
          <w:rFonts w:ascii="Times New Roman" w:hAnsi="Times New Roman"/>
          <w:sz w:val="24"/>
          <w:szCs w:val="24"/>
        </w:rPr>
        <w:t xml:space="preserve"> (</w:t>
      </w:r>
      <w:r w:rsidRPr="00A8783E">
        <w:rPr>
          <w:rFonts w:ascii="Times New Roman" w:hAnsi="Times New Roman"/>
          <w:sz w:val="24"/>
          <w:szCs w:val="24"/>
          <w:lang w:val="en-GB"/>
        </w:rPr>
        <w:t>Vulnerable</w:t>
      </w:r>
      <w:r w:rsidRPr="00A8783E">
        <w:rPr>
          <w:rFonts w:ascii="Times New Roman" w:hAnsi="Times New Roman"/>
          <w:sz w:val="24"/>
          <w:szCs w:val="24"/>
          <w:lang w:val="ru-RU"/>
        </w:rPr>
        <w:t>)</w:t>
      </w:r>
      <w:r w:rsidRPr="00A8783E">
        <w:rPr>
          <w:rFonts w:ascii="Times New Roman" w:hAnsi="Times New Roman"/>
          <w:sz w:val="24"/>
          <w:szCs w:val="24"/>
        </w:rPr>
        <w:t xml:space="preserve">. Видът е включен в </w:t>
      </w:r>
      <w:r w:rsidRPr="00A8783E">
        <w:rPr>
          <w:rFonts w:ascii="Times New Roman" w:hAnsi="Times New Roman"/>
          <w:sz w:val="24"/>
          <w:szCs w:val="24"/>
          <w:lang w:val="en-GB"/>
        </w:rPr>
        <w:t>SPEC</w:t>
      </w:r>
      <w:r w:rsidRPr="00A8783E">
        <w:rPr>
          <w:rFonts w:ascii="Times New Roman" w:hAnsi="Times New Roman"/>
          <w:sz w:val="24"/>
          <w:szCs w:val="24"/>
          <w:lang w:val="ru-RU"/>
        </w:rPr>
        <w:t xml:space="preserve"> 1</w:t>
      </w:r>
      <w:r w:rsidRPr="00A8783E">
        <w:rPr>
          <w:rFonts w:ascii="Times New Roman" w:hAnsi="Times New Roman"/>
          <w:sz w:val="24"/>
          <w:szCs w:val="24"/>
        </w:rPr>
        <w:t xml:space="preserve">. Включен е в Червената книга на Р България в категория „Критично застрашен“ </w:t>
      </w:r>
      <w:r w:rsidRPr="00A8783E">
        <w:rPr>
          <w:rFonts w:ascii="Times New Roman" w:hAnsi="Times New Roman"/>
          <w:sz w:val="24"/>
          <w:szCs w:val="24"/>
          <w:lang w:val="ru-RU"/>
        </w:rPr>
        <w:t>(</w:t>
      </w:r>
      <w:r w:rsidRPr="00A8783E">
        <w:rPr>
          <w:rFonts w:ascii="Times New Roman" w:hAnsi="Times New Roman"/>
          <w:sz w:val="24"/>
          <w:szCs w:val="24"/>
          <w:lang w:val="en-US"/>
        </w:rPr>
        <w:t>CR</w:t>
      </w:r>
      <w:r w:rsidRPr="00A8783E">
        <w:rPr>
          <w:rFonts w:ascii="Times New Roman" w:hAnsi="Times New Roman"/>
          <w:sz w:val="24"/>
          <w:szCs w:val="24"/>
          <w:lang w:val="ru-RU"/>
        </w:rPr>
        <w:t>)</w:t>
      </w:r>
      <w:r w:rsidRPr="00A8783E">
        <w:rPr>
          <w:rFonts w:ascii="Times New Roman" w:hAnsi="Times New Roman"/>
          <w:sz w:val="24"/>
          <w:szCs w:val="24"/>
        </w:rPr>
        <w:t xml:space="preserve">.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Докладването от 2019 г. (за периода 2005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оценява на 26 – 36 двойки. Краткосрочната тенденция на популацията (за периода 2000 – 2018 г.) е нарастваща, а дългосрочната (за периода 1980 – 2018 г.) – също нарастваща.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Зимуващата</w:t>
      </w:r>
      <w:r w:rsidRPr="00A8783E">
        <w:rPr>
          <w:rFonts w:ascii="Times New Roman" w:hAnsi="Times New Roman"/>
          <w:sz w:val="24"/>
          <w:szCs w:val="24"/>
        </w:rPr>
        <w:t xml:space="preserve"> популация (за периода 2013 – 2018 г.) е оценена на 30 – 60 индивида. Краткосрочната тенденция на популацията (за периода 2000 – 2018 г.) е нарастваща, а дългосрочната (за периода 1980 – 2018 г.) – също нарастваща.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Мигриращата</w:t>
      </w:r>
      <w:r w:rsidRPr="00A8783E">
        <w:rPr>
          <w:rFonts w:ascii="Times New Roman" w:hAnsi="Times New Roman"/>
          <w:sz w:val="24"/>
          <w:szCs w:val="24"/>
        </w:rPr>
        <w:t xml:space="preserve"> национална популация (за периода 2001 – 2018 г.) е оценена на 30 – 70 индивида.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За гнездящата, мигриращата и зимуващата популация са посочени следните заплахи и влияния: A02, A03, A04, B01, B02, C01, C03, D02, F03, D06 и J01.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СФ на зоната вида е </w:t>
      </w:r>
      <w:r w:rsidRPr="00A8783E">
        <w:rPr>
          <w:rFonts w:ascii="Times New Roman" w:hAnsi="Times New Roman"/>
          <w:b/>
          <w:bCs/>
          <w:sz w:val="24"/>
          <w:szCs w:val="24"/>
        </w:rPr>
        <w:t>мигриращ</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rPr>
        <w:t>1-1 индивида</w:t>
      </w:r>
      <w:r w:rsidRPr="00A8783E">
        <w:rPr>
          <w:rFonts w:ascii="Times New Roman" w:hAnsi="Times New Roman"/>
          <w:sz w:val="24"/>
          <w:szCs w:val="24"/>
        </w:rPr>
        <w:t xml:space="preserve">, което представлява 1,4-3,3 % от националната популация (оценка „С“). Опазването на вида е добро (оценка „В“), </w:t>
      </w:r>
      <w:r w:rsidRPr="00A8783E">
        <w:rPr>
          <w:rFonts w:ascii="Times New Roman" w:hAnsi="Times New Roman"/>
          <w:sz w:val="24"/>
          <w:szCs w:val="24"/>
        </w:rPr>
        <w:lastRenderedPageBreak/>
        <w:t>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A8783E">
        <w:rPr>
          <w:rFonts w:ascii="Times New Roman" w:hAnsi="Times New Roman"/>
          <w:sz w:val="24"/>
          <w:szCs w:val="24"/>
          <w:lang w:val="ru-RU"/>
        </w:rPr>
        <w:t xml:space="preserve"> </w:t>
      </w:r>
      <w:r w:rsidRPr="00A8783E">
        <w:rPr>
          <w:rFonts w:ascii="Times New Roman" w:hAnsi="Times New Roman"/>
          <w:sz w:val="24"/>
          <w:szCs w:val="24"/>
        </w:rPr>
        <w:t>По поречието на р. Дунав по време на миграция е установен 1 инд. при Русенски Лом</w:t>
      </w:r>
      <w:r w:rsidRPr="00A8783E">
        <w:rPr>
          <w:rFonts w:ascii="Times New Roman" w:hAnsi="Times New Roman"/>
          <w:sz w:val="24"/>
          <w:szCs w:val="24"/>
          <w:lang w:val="ru-RU"/>
        </w:rPr>
        <w:t xml:space="preserve"> (</w:t>
      </w:r>
      <w:r w:rsidRPr="00A8783E">
        <w:rPr>
          <w:rFonts w:ascii="Times New Roman" w:hAnsi="Times New Roman"/>
          <w:sz w:val="24"/>
          <w:szCs w:val="24"/>
          <w:lang w:val="en-US"/>
        </w:rPr>
        <w:t>Cheshmedzhiev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xml:space="preserve">., </w:t>
      </w:r>
      <w:r w:rsidRPr="00A8783E">
        <w:rPr>
          <w:rFonts w:ascii="Times New Roman" w:hAnsi="Times New Roman"/>
          <w:sz w:val="24"/>
          <w:szCs w:val="24"/>
          <w:lang w:val="en-US"/>
        </w:rPr>
        <w:t>in</w:t>
      </w:r>
      <w:r w:rsidRPr="00A8783E">
        <w:rPr>
          <w:rFonts w:ascii="Times New Roman" w:hAnsi="Times New Roman"/>
          <w:sz w:val="24"/>
          <w:szCs w:val="24"/>
          <w:lang w:val="ru-RU"/>
        </w:rPr>
        <w:t xml:space="preserve"> </w:t>
      </w:r>
      <w:r w:rsidRPr="00A8783E">
        <w:rPr>
          <w:rFonts w:ascii="Times New Roman" w:hAnsi="Times New Roman"/>
          <w:sz w:val="24"/>
          <w:szCs w:val="24"/>
          <w:lang w:val="en-US"/>
        </w:rPr>
        <w:t>Shurulinkov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2019)</w:t>
      </w:r>
      <w:r w:rsidRPr="00A8783E">
        <w:rPr>
          <w:rFonts w:ascii="Times New Roman" w:hAnsi="Times New Roman"/>
          <w:sz w:val="24"/>
          <w:szCs w:val="24"/>
        </w:rPr>
        <w:t>.</w:t>
      </w:r>
      <w:r w:rsidRPr="00A8783E">
        <w:rPr>
          <w:rFonts w:ascii="Times New Roman" w:hAnsi="Times New Roman"/>
          <w:sz w:val="24"/>
          <w:szCs w:val="24"/>
          <w:lang w:val="ru-RU"/>
        </w:rPr>
        <w:t xml:space="preserve"> </w:t>
      </w:r>
      <w:r w:rsidRPr="00A8783E">
        <w:rPr>
          <w:rFonts w:ascii="Times New Roman" w:hAnsi="Times New Roman"/>
          <w:sz w:val="24"/>
          <w:szCs w:val="24"/>
        </w:rPr>
        <w:t xml:space="preserve">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е установено, че вида прелита основно през източните части на Дунавската равнина </w:t>
      </w:r>
      <w:r w:rsidRPr="00A8783E">
        <w:rPr>
          <w:rFonts w:ascii="Times New Roman" w:hAnsi="Times New Roman"/>
          <w:sz w:val="24"/>
          <w:szCs w:val="24"/>
          <w:lang w:val="ru-RU"/>
        </w:rPr>
        <w:t>(</w:t>
      </w:r>
      <w:r w:rsidRPr="00A8783E">
        <w:rPr>
          <w:rFonts w:ascii="Times New Roman" w:hAnsi="Times New Roman"/>
          <w:sz w:val="24"/>
          <w:szCs w:val="24"/>
        </w:rPr>
        <w:t>Матеева и Янков, 2013</w:t>
      </w:r>
      <w:r w:rsidRPr="00A8783E">
        <w:rPr>
          <w:rFonts w:ascii="Times New Roman" w:hAnsi="Times New Roman"/>
          <w:sz w:val="24"/>
          <w:szCs w:val="24"/>
          <w:lang w:val="ru-RU"/>
        </w:rPr>
        <w:t>)</w:t>
      </w:r>
      <w:r w:rsidRPr="00A8783E">
        <w:rPr>
          <w:rFonts w:ascii="Times New Roman" w:hAnsi="Times New Roman"/>
          <w:sz w:val="24"/>
          <w:szCs w:val="24"/>
        </w:rPr>
        <w:t>.</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Посочените заплахи и влияния в докладването по чл. 12 през 2019 г. се отнасят най-вече за гнездящата популация на вида. Смятаме, че в ЗЗ Сребърна по време на миграция видът не е застрашен от каквито и да е заплахи.</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276"/>
        <w:gridCol w:w="1422"/>
        <w:gridCol w:w="2698"/>
        <w:gridCol w:w="2268"/>
      </w:tblGrid>
      <w:tr w:rsidR="00A8783E" w:rsidRPr="00A8783E" w:rsidTr="005B5318">
        <w:trPr>
          <w:tblHeader/>
          <w:jc w:val="center"/>
        </w:trPr>
        <w:tc>
          <w:tcPr>
            <w:tcW w:w="1701"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422"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69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26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70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Популация</w:t>
            </w:r>
            <w:r w:rsidRPr="00A8783E">
              <w:rPr>
                <w:rFonts w:ascii="Times New Roman" w:hAnsi="Times New Roman"/>
              </w:rPr>
              <w:t>: Размер мигриращата популация</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42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 инд.</w:t>
            </w:r>
          </w:p>
        </w:tc>
        <w:tc>
          <w:tcPr>
            <w:tcW w:w="269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Определена на база СФ. Няма друга актуална информация за количеството на птиците и районите с концентрация на вида в зоната по време на миграция.</w:t>
            </w:r>
          </w:p>
        </w:tc>
        <w:tc>
          <w:tcPr>
            <w:tcW w:w="226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A8783E" w:rsidRPr="00A8783E" w:rsidTr="005B5318">
        <w:trPr>
          <w:jc w:val="center"/>
        </w:trPr>
        <w:tc>
          <w:tcPr>
            <w:tcW w:w="170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 xml:space="preserve">Местообитание на вида: </w:t>
            </w:r>
            <w:r w:rsidRPr="00A8783E">
              <w:rPr>
                <w:rFonts w:ascii="Times New Roman" w:hAnsi="Times New Roman"/>
              </w:rPr>
              <w:t>характеристика на местообитанията за търсене на храна</w:t>
            </w:r>
          </w:p>
          <w:p w:rsidR="00A8783E" w:rsidRPr="00A8783E" w:rsidRDefault="00A8783E" w:rsidP="00A8783E">
            <w:pPr>
              <w:spacing w:after="0" w:line="240" w:lineRule="auto"/>
              <w:jc w:val="both"/>
              <w:rPr>
                <w:rFonts w:ascii="Times New Roman" w:hAnsi="Times New Roman"/>
              </w:rPr>
            </w:pPr>
          </w:p>
        </w:tc>
        <w:tc>
          <w:tcPr>
            <w:tcW w:w="1276"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422" w:type="dxa"/>
          </w:tcPr>
          <w:p w:rsidR="00A8783E" w:rsidRPr="00A8783E" w:rsidRDefault="00A8783E" w:rsidP="00A8783E">
            <w:pPr>
              <w:spacing w:after="0" w:line="240" w:lineRule="auto"/>
              <w:rPr>
                <w:rFonts w:ascii="Times New Roman" w:hAnsi="Times New Roman"/>
                <w:lang w:val="en-US"/>
              </w:rPr>
            </w:pPr>
            <w:r w:rsidRPr="00A8783E">
              <w:rPr>
                <w:rFonts w:ascii="Times New Roman" w:hAnsi="Times New Roman"/>
              </w:rPr>
              <w:t xml:space="preserve">Най-малко </w:t>
            </w:r>
            <w:r w:rsidRPr="00A8783E">
              <w:rPr>
                <w:rFonts w:ascii="Times New Roman" w:hAnsi="Times New Roman"/>
                <w:lang w:val="en-US"/>
              </w:rPr>
              <w:t>318</w:t>
            </w:r>
          </w:p>
        </w:tc>
        <w:tc>
          <w:tcPr>
            <w:tcW w:w="2698" w:type="dxa"/>
          </w:tcPr>
          <w:p w:rsidR="00A8783E" w:rsidRPr="00A8783E" w:rsidRDefault="00A8783E" w:rsidP="00A8783E">
            <w:pPr>
              <w:spacing w:after="0" w:line="240" w:lineRule="auto"/>
              <w:rPr>
                <w:rFonts w:ascii="Times New Roman" w:hAnsi="Times New Roman"/>
              </w:rPr>
            </w:pPr>
            <w:r w:rsidRPr="00A8783E">
              <w:rPr>
                <w:rFonts w:ascii="Times New Roman" w:hAnsi="Times New Roman"/>
              </w:rPr>
              <w:t xml:space="preserve">Изчислена въз основа на процентното участие на откритите и храсталачни местообитания </w:t>
            </w:r>
            <w:r w:rsidRPr="00A8783E">
              <w:rPr>
                <w:rFonts w:ascii="Times New Roman" w:hAnsi="Times New Roman"/>
                <w:lang w:val="en-US"/>
              </w:rPr>
              <w:t>N</w:t>
            </w:r>
            <w:r w:rsidRPr="00A8783E">
              <w:rPr>
                <w:rFonts w:ascii="Times New Roman" w:hAnsi="Times New Roman"/>
                <w:lang w:val="ru-RU"/>
              </w:rPr>
              <w:t>08</w:t>
            </w:r>
            <w:r w:rsidRPr="00A8783E">
              <w:rPr>
                <w:rFonts w:ascii="Times New Roman" w:hAnsi="Times New Roman"/>
              </w:rPr>
              <w:t xml:space="preserve">-равнини и шубраци, </w:t>
            </w:r>
            <w:r w:rsidRPr="00A8783E">
              <w:rPr>
                <w:rFonts w:ascii="Times New Roman" w:hAnsi="Times New Roman"/>
                <w:lang w:val="en-US"/>
              </w:rPr>
              <w:t>N</w:t>
            </w:r>
            <w:r w:rsidRPr="00A8783E">
              <w:rPr>
                <w:rFonts w:ascii="Times New Roman" w:hAnsi="Times New Roman"/>
                <w:lang w:val="ru-RU"/>
              </w:rPr>
              <w:t>09</w:t>
            </w:r>
            <w:r w:rsidRPr="00A8783E">
              <w:rPr>
                <w:rFonts w:ascii="Times New Roman" w:hAnsi="Times New Roman"/>
              </w:rPr>
              <w:t>-сухи ливади, степи</w:t>
            </w:r>
            <w:r w:rsidRPr="00A8783E">
              <w:rPr>
                <w:rFonts w:ascii="Times New Roman" w:hAnsi="Times New Roman"/>
                <w:lang w:val="ru-RU"/>
              </w:rPr>
              <w:t xml:space="preserve"> и </w:t>
            </w:r>
            <w:r w:rsidRPr="00A8783E">
              <w:rPr>
                <w:rFonts w:ascii="Times New Roman" w:hAnsi="Times New Roman"/>
                <w:lang w:val="en-US"/>
              </w:rPr>
              <w:t>N</w:t>
            </w:r>
            <w:r w:rsidRPr="00A8783E">
              <w:rPr>
                <w:rFonts w:ascii="Times New Roman" w:hAnsi="Times New Roman"/>
                <w:lang w:val="ru-RU"/>
              </w:rPr>
              <w:t>15</w:t>
            </w:r>
            <w:r w:rsidRPr="00A8783E">
              <w:rPr>
                <w:rFonts w:ascii="Times New Roman" w:hAnsi="Times New Roman"/>
              </w:rPr>
              <w:t>-други обработваеми земи в рамките на зоната. Вида използва разнообразни</w:t>
            </w:r>
            <w:r w:rsidRPr="00A8783E">
              <w:rPr>
                <w:rFonts w:ascii="Times New Roman" w:hAnsi="Times New Roman"/>
                <w:lang w:val="ru-RU"/>
              </w:rPr>
              <w:t xml:space="preserve"> </w:t>
            </w:r>
            <w:r w:rsidRPr="00A8783E">
              <w:rPr>
                <w:rFonts w:ascii="Times New Roman" w:hAnsi="Times New Roman"/>
              </w:rPr>
              <w:t>открити местообитания като пасища и обработваеми земи за търсене на плячка, вероятно често и извън зоната.</w:t>
            </w:r>
          </w:p>
        </w:tc>
        <w:tc>
          <w:tcPr>
            <w:tcW w:w="226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подходящите местообитания за търсене на храна на вида в зоната чрез поддържане на откритите местообитания в зоната чрез опасване или косене.</w:t>
            </w:r>
          </w:p>
        </w:tc>
      </w:tr>
    </w:tbl>
    <w:p w:rsidR="00A8783E" w:rsidRPr="00A8783E" w:rsidRDefault="00A8783E" w:rsidP="00A8783E">
      <w:pPr>
        <w:spacing w:before="120" w:after="120" w:line="259" w:lineRule="auto"/>
        <w:jc w:val="both"/>
        <w:rPr>
          <w:rFonts w:ascii="Times New Roman" w:hAnsi="Times New Roman"/>
          <w:sz w:val="24"/>
          <w:szCs w:val="24"/>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553" w:name="_Toc88865748"/>
      <w:bookmarkStart w:id="554" w:name="_Toc89106158"/>
      <w:bookmarkStart w:id="555" w:name="_Toc98741997"/>
      <w:bookmarkStart w:id="556" w:name="_Toc98838672"/>
      <w:bookmarkStart w:id="557" w:name="_Toc86409819"/>
      <w:bookmarkStart w:id="558" w:name="_Toc87031393"/>
      <w:bookmarkStart w:id="559" w:name="_Toc87467288"/>
      <w:bookmarkStart w:id="560" w:name="_Toc87692205"/>
      <w:r w:rsidRPr="00A8783E">
        <w:rPr>
          <w:rFonts w:ascii="Times New Roman" w:hAnsi="Times New Roman"/>
          <w:color w:val="1F497D"/>
          <w:sz w:val="28"/>
          <w:szCs w:val="28"/>
        </w:rPr>
        <w:t xml:space="preserve">Специфични цели за A429 </w:t>
      </w:r>
      <w:r w:rsidRPr="00A8783E">
        <w:rPr>
          <w:rFonts w:ascii="Times New Roman" w:hAnsi="Times New Roman"/>
          <w:i/>
          <w:iCs/>
          <w:color w:val="1F497D"/>
          <w:sz w:val="28"/>
          <w:szCs w:val="28"/>
        </w:rPr>
        <w:t>Dendrocopos syriacus</w:t>
      </w:r>
      <w:r w:rsidRPr="00A8783E">
        <w:rPr>
          <w:rFonts w:ascii="Times New Roman" w:hAnsi="Times New Roman"/>
          <w:color w:val="1F497D"/>
          <w:sz w:val="28"/>
          <w:szCs w:val="28"/>
        </w:rPr>
        <w:t xml:space="preserve"> (сирийски пъстър кълвач)</w:t>
      </w:r>
      <w:bookmarkEnd w:id="553"/>
      <w:bookmarkEnd w:id="554"/>
      <w:bookmarkEnd w:id="555"/>
      <w:bookmarkEnd w:id="556"/>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Дължината на тялото  22-25 cm, тегло 55</w:t>
      </w:r>
      <w:r w:rsidRPr="00A8783E">
        <w:rPr>
          <w:rFonts w:ascii="Times New Roman" w:hAnsi="Times New Roman"/>
          <w:sz w:val="24"/>
          <w:szCs w:val="24"/>
          <w:lang w:val="ru-RU"/>
        </w:rPr>
        <w:t xml:space="preserve"> </w:t>
      </w:r>
      <w:r w:rsidRPr="00A8783E">
        <w:rPr>
          <w:rFonts w:ascii="Times New Roman" w:hAnsi="Times New Roman"/>
          <w:sz w:val="24"/>
          <w:szCs w:val="24"/>
        </w:rPr>
        <w:t xml:space="preserve">- 83 </w:t>
      </w:r>
      <w:r w:rsidRPr="00A8783E">
        <w:rPr>
          <w:rFonts w:ascii="Times New Roman" w:hAnsi="Times New Roman"/>
          <w:sz w:val="24"/>
          <w:szCs w:val="24"/>
          <w:lang w:val="en-US"/>
        </w:rPr>
        <w:t>g</w:t>
      </w:r>
      <w:r w:rsidRPr="00A8783E">
        <w:rPr>
          <w:rFonts w:ascii="Times New Roman" w:hAnsi="Times New Roman"/>
          <w:sz w:val="24"/>
          <w:szCs w:val="24"/>
        </w:rPr>
        <w:t>., размах на крилата 34-39  cm. (Cramp 1985; Svensson, 2013). Гърбът е черен</w:t>
      </w:r>
      <w:r w:rsidRPr="00A8783E">
        <w:rPr>
          <w:rFonts w:ascii="Times New Roman" w:hAnsi="Times New Roman"/>
          <w:sz w:val="24"/>
          <w:szCs w:val="24"/>
          <w:lang w:val="ru-RU"/>
        </w:rPr>
        <w:t>,</w:t>
      </w:r>
      <w:r w:rsidRPr="00A8783E">
        <w:rPr>
          <w:rFonts w:ascii="Times New Roman" w:hAnsi="Times New Roman"/>
          <w:sz w:val="24"/>
          <w:szCs w:val="24"/>
        </w:rPr>
        <w:t xml:space="preserve"> с две добре изразени дълги бели петна. Коремът </w:t>
      </w:r>
      <w:r w:rsidRPr="00A8783E">
        <w:rPr>
          <w:rFonts w:ascii="Times New Roman" w:hAnsi="Times New Roman"/>
          <w:sz w:val="24"/>
          <w:szCs w:val="24"/>
        </w:rPr>
        <w:lastRenderedPageBreak/>
        <w:t xml:space="preserve">е бял, подопашието – розово. Мъжките имат червено петно на тила, което при женските липсва. Кормилните пера са черни, като крайните кормилни са с бели петна. При младите цялото теме и тил са червени, а на корема и гърдите имат фини тъмни ивици.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Постоянен. Гнезди в хралупи по дърветата, главно в равнинните и низини области на страната. Често хралупите са разположени на овощни дървета. През зимата често се включва в ята с участието на редица видове врабчоподобни птици и скитат в по-широка околност.</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Гнезди в стари овощни градини, редки широколистни гори от парков тип, градини, дворове в малките населени места, окрайнини на гори, крайречни галерии от върба, елша и топола, островни гори сред полето (често от дъб, ясен, бряст). Може да гнезди в местообитания с кодове 9180, 91Е0, 91F0, 92A0, 91Z0, както и във всички кодове дъбови гори, но само в разредени участъци или в окрайнините им. Среща се в низините и в хълмисти и предпланински райони, до около 1000 </w:t>
      </w:r>
      <w:r w:rsidRPr="00A8783E">
        <w:rPr>
          <w:rFonts w:ascii="Times New Roman" w:hAnsi="Times New Roman"/>
          <w:sz w:val="24"/>
          <w:szCs w:val="24"/>
          <w:lang w:val="en-US"/>
        </w:rPr>
        <w:t>m</w:t>
      </w:r>
      <w:r w:rsidRPr="00A8783E">
        <w:rPr>
          <w:rFonts w:ascii="Times New Roman" w:hAnsi="Times New Roman"/>
          <w:sz w:val="24"/>
          <w:szCs w:val="24"/>
        </w:rPr>
        <w:t xml:space="preserve"> надморска височина. През зимата се среща в същите местообитания, в които и гнезди.</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after="160" w:line="259" w:lineRule="auto"/>
        <w:jc w:val="both"/>
        <w:rPr>
          <w:rFonts w:ascii="Times New Roman" w:hAnsi="Times New Roman"/>
          <w:sz w:val="24"/>
          <w:szCs w:val="24"/>
        </w:rPr>
      </w:pPr>
      <w:r w:rsidRPr="00A8783E">
        <w:rPr>
          <w:rFonts w:ascii="Times New Roman" w:hAnsi="Times New Roman"/>
          <w:sz w:val="24"/>
          <w:szCs w:val="24"/>
        </w:rPr>
        <w:t>Сирийският пъстър кълвач се храни с различни насекоми – бръмбари,  мравки, щурци, ларви на насекоми, главно бръмбари и пеперуди, паяци, които намира в кората на засъхващи и здрави дървета. Понякога се храни и с плодове – грозде, ябълки, орехи, костилки на кайсии и др. (Cramp 1985, Нанкинов и др., 1997).</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Сирийският пъстър кълвач се среща в цялата страна с изключение на високите планини. Отсъства и в компактни, обширни горски масиви като тези във вътрешността на Странджа, Източна Стара планина и Същинска Средна гора. В безлесните равнини се среща в селищата и покрай реките. Сравнително многочислен вид, но с намаляваща численост през последните 15-20 години.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Защитен вид по ЗБР (Приложения 2 и 3). Включен в Приложение 1 на Директивата за птиците.  Според IUCN – LC (Least Concern), за територията на континентална Европа – LC (Least Concern).  В Европа популацията му е стабилна.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докладването по чл.12 от 2019 г. </w:t>
      </w:r>
      <w:r w:rsidRPr="00A8783E">
        <w:rPr>
          <w:rFonts w:ascii="Times New Roman" w:hAnsi="Times New Roman"/>
          <w:b/>
          <w:bCs/>
          <w:sz w:val="24"/>
          <w:szCs w:val="24"/>
        </w:rPr>
        <w:t>гнездовата</w:t>
      </w:r>
      <w:r w:rsidRPr="00A8783E">
        <w:rPr>
          <w:rFonts w:ascii="Times New Roman" w:hAnsi="Times New Roman"/>
          <w:sz w:val="24"/>
          <w:szCs w:val="24"/>
        </w:rPr>
        <w:t xml:space="preserve"> популация e 12 000 - 25 000 двойки. Краткосрочната тенденция (2000-2018 г.) е намаляваща. Дългосрочната тенденция (</w:t>
      </w:r>
      <w:r w:rsidRPr="00A8783E">
        <w:rPr>
          <w:rFonts w:ascii="Times New Roman" w:hAnsi="Times New Roman"/>
          <w:sz w:val="24"/>
          <w:szCs w:val="24"/>
          <w:lang w:val="ru-RU"/>
        </w:rPr>
        <w:t>1980-2018</w:t>
      </w:r>
      <w:r w:rsidRPr="00A8783E">
        <w:rPr>
          <w:rFonts w:ascii="Times New Roman" w:hAnsi="Times New Roman"/>
          <w:sz w:val="24"/>
          <w:szCs w:val="24"/>
        </w:rPr>
        <w:t>) е стабилна.</w:t>
      </w:r>
      <w:r w:rsidRPr="00A8783E">
        <w:rPr>
          <w:rFonts w:cs="Calibri"/>
        </w:rPr>
        <w:t xml:space="preserve"> </w:t>
      </w:r>
      <w:r w:rsidRPr="00A8783E">
        <w:rPr>
          <w:rFonts w:ascii="Times New Roman" w:hAnsi="Times New Roman"/>
          <w:sz w:val="24"/>
          <w:szCs w:val="24"/>
        </w:rPr>
        <w:t>Според Атласа на гнездящите птици у нас гнездят 14 000 – 25 000 двойки (Янков ред. 2007).</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на зоната видът е </w:t>
      </w:r>
      <w:r w:rsidRPr="00A8783E">
        <w:rPr>
          <w:rFonts w:ascii="Times New Roman" w:hAnsi="Times New Roman"/>
          <w:b/>
          <w:bCs/>
          <w:sz w:val="24"/>
          <w:szCs w:val="24"/>
        </w:rPr>
        <w:t xml:space="preserve">гнездящ </w:t>
      </w:r>
      <w:r w:rsidRPr="00A8783E">
        <w:rPr>
          <w:rFonts w:ascii="Times New Roman" w:hAnsi="Times New Roman"/>
          <w:b/>
          <w:bCs/>
          <w:sz w:val="24"/>
          <w:szCs w:val="24"/>
          <w:lang w:val="ru-RU"/>
        </w:rPr>
        <w:t>(</w:t>
      </w:r>
      <w:r w:rsidRPr="00A8783E">
        <w:rPr>
          <w:rFonts w:ascii="Times New Roman" w:hAnsi="Times New Roman"/>
          <w:b/>
          <w:bCs/>
          <w:sz w:val="24"/>
          <w:szCs w:val="24"/>
        </w:rPr>
        <w:t>постоянен</w:t>
      </w:r>
      <w:r w:rsidRPr="00A8783E">
        <w:rPr>
          <w:rFonts w:ascii="Times New Roman" w:hAnsi="Times New Roman"/>
          <w:b/>
          <w:bCs/>
          <w:sz w:val="24"/>
          <w:szCs w:val="24"/>
          <w:lang w:val="ru-RU"/>
        </w:rPr>
        <w:t>)</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lang w:val="ru-RU"/>
        </w:rPr>
        <w:t>21</w:t>
      </w:r>
      <w:r w:rsidRPr="00A8783E">
        <w:rPr>
          <w:rFonts w:ascii="Times New Roman" w:hAnsi="Times New Roman"/>
          <w:b/>
          <w:bCs/>
          <w:sz w:val="24"/>
          <w:szCs w:val="24"/>
        </w:rPr>
        <w:t>-2</w:t>
      </w:r>
      <w:r w:rsidRPr="00A8783E">
        <w:rPr>
          <w:rFonts w:ascii="Times New Roman" w:hAnsi="Times New Roman"/>
          <w:b/>
          <w:bCs/>
          <w:sz w:val="24"/>
          <w:szCs w:val="24"/>
          <w:lang w:val="ru-RU"/>
        </w:rPr>
        <w:t>5</w:t>
      </w:r>
      <w:r w:rsidRPr="00A8783E">
        <w:rPr>
          <w:rFonts w:ascii="Times New Roman" w:hAnsi="Times New Roman"/>
          <w:b/>
          <w:bCs/>
          <w:sz w:val="24"/>
          <w:szCs w:val="24"/>
        </w:rPr>
        <w:t xml:space="preserve"> двойки</w:t>
      </w:r>
      <w:r w:rsidRPr="00A8783E">
        <w:rPr>
          <w:rFonts w:ascii="Times New Roman" w:hAnsi="Times New Roman"/>
          <w:sz w:val="24"/>
          <w:szCs w:val="24"/>
        </w:rPr>
        <w:t xml:space="preserve">, което представлява </w:t>
      </w:r>
      <w:r w:rsidRPr="00A8783E">
        <w:rPr>
          <w:rFonts w:ascii="Times New Roman" w:hAnsi="Times New Roman"/>
          <w:sz w:val="24"/>
          <w:szCs w:val="24"/>
          <w:lang w:val="ru-RU"/>
        </w:rPr>
        <w:t xml:space="preserve">0,1 - </w:t>
      </w:r>
      <w:r w:rsidRPr="00A8783E">
        <w:rPr>
          <w:rFonts w:ascii="Times New Roman" w:hAnsi="Times New Roman"/>
          <w:sz w:val="24"/>
          <w:szCs w:val="24"/>
        </w:rPr>
        <w:t>0,</w:t>
      </w:r>
      <w:r w:rsidRPr="00A8783E">
        <w:rPr>
          <w:rFonts w:ascii="Times New Roman" w:hAnsi="Times New Roman"/>
          <w:sz w:val="24"/>
          <w:szCs w:val="24"/>
          <w:lang w:val="ru-RU"/>
        </w:rPr>
        <w:t xml:space="preserve">2 </w:t>
      </w:r>
      <w:r w:rsidRPr="00A8783E">
        <w:rPr>
          <w:rFonts w:ascii="Times New Roman" w:hAnsi="Times New Roman"/>
          <w:sz w:val="24"/>
          <w:szCs w:val="24"/>
        </w:rPr>
        <w:t xml:space="preserve"> % от националната популация (оценка „С“). Опазването на вида е отлично (оценка „</w:t>
      </w:r>
      <w:r w:rsidRPr="00A8783E">
        <w:rPr>
          <w:rFonts w:ascii="Times New Roman" w:hAnsi="Times New Roman"/>
          <w:sz w:val="24"/>
          <w:szCs w:val="24"/>
          <w:lang w:val="en-US"/>
        </w:rPr>
        <w:t>A</w:t>
      </w:r>
      <w:r w:rsidRPr="00A8783E">
        <w:rPr>
          <w:rFonts w:ascii="Times New Roman" w:hAnsi="Times New Roman"/>
          <w:sz w:val="24"/>
          <w:szCs w:val="24"/>
        </w:rPr>
        <w:t>“),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В ОВМ „Сребърна“ е посочена гнездова численост </w:t>
      </w:r>
      <w:r w:rsidRPr="00A8783E">
        <w:rPr>
          <w:rFonts w:ascii="Times New Roman" w:hAnsi="Times New Roman"/>
          <w:sz w:val="24"/>
          <w:szCs w:val="24"/>
          <w:lang w:val="ru-RU"/>
        </w:rPr>
        <w:t>1</w:t>
      </w:r>
      <w:r w:rsidRPr="00A8783E">
        <w:rPr>
          <w:rFonts w:ascii="Times New Roman" w:hAnsi="Times New Roman"/>
          <w:sz w:val="24"/>
          <w:szCs w:val="24"/>
        </w:rPr>
        <w:t xml:space="preserve"> дв. </w:t>
      </w:r>
      <w:r w:rsidRPr="00A8783E">
        <w:rPr>
          <w:rFonts w:ascii="Times New Roman" w:hAnsi="Times New Roman"/>
          <w:sz w:val="24"/>
          <w:szCs w:val="24"/>
          <w:lang w:val="ru-RU"/>
        </w:rPr>
        <w:t>(</w:t>
      </w:r>
      <w:r w:rsidRPr="00A8783E">
        <w:rPr>
          <w:rFonts w:ascii="Times New Roman" w:hAnsi="Times New Roman"/>
          <w:sz w:val="24"/>
          <w:szCs w:val="24"/>
        </w:rPr>
        <w:t>Костадинова и Граматиков, 2007</w:t>
      </w:r>
      <w:r w:rsidRPr="00A8783E">
        <w:rPr>
          <w:rFonts w:ascii="Times New Roman" w:hAnsi="Times New Roman"/>
          <w:sz w:val="24"/>
          <w:szCs w:val="24"/>
          <w:lang w:val="ru-RU"/>
        </w:rPr>
        <w:t>)</w:t>
      </w:r>
      <w:r w:rsidRPr="00A8783E">
        <w:rPr>
          <w:rFonts w:ascii="Times New Roman" w:hAnsi="Times New Roman"/>
          <w:sz w:val="24"/>
          <w:szCs w:val="24"/>
        </w:rPr>
        <w:t xml:space="preserve">. В средна Дунавска равнина е повсеместно разпространен гнездящ вид в целия </w:t>
      </w:r>
      <w:r w:rsidRPr="00A8783E">
        <w:rPr>
          <w:rFonts w:ascii="Times New Roman" w:hAnsi="Times New Roman"/>
          <w:sz w:val="24"/>
          <w:szCs w:val="24"/>
        </w:rPr>
        <w:lastRenderedPageBreak/>
        <w:t xml:space="preserve">регион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През периода 2001-2003 г. видът е с численост 18 дв. </w:t>
      </w:r>
      <w:r w:rsidRPr="00A8783E">
        <w:rPr>
          <w:rFonts w:ascii="Times New Roman" w:hAnsi="Times New Roman"/>
          <w:sz w:val="24"/>
          <w:szCs w:val="24"/>
          <w:lang w:val="ru-RU"/>
        </w:rPr>
        <w:t>(</w:t>
      </w:r>
      <w:r w:rsidRPr="00A8783E">
        <w:rPr>
          <w:rFonts w:ascii="Times New Roman" w:hAnsi="Times New Roman"/>
          <w:sz w:val="24"/>
          <w:szCs w:val="24"/>
        </w:rPr>
        <w:t>Камбурова, 2004</w:t>
      </w:r>
      <w:r w:rsidRPr="00A8783E">
        <w:rPr>
          <w:rFonts w:ascii="Times New Roman" w:hAnsi="Times New Roman"/>
          <w:sz w:val="24"/>
          <w:szCs w:val="24"/>
          <w:lang w:val="ru-RU"/>
        </w:rPr>
        <w:t>).</w:t>
      </w:r>
      <w:r w:rsidRPr="00A8783E">
        <w:rPr>
          <w:rFonts w:ascii="Times New Roman" w:hAnsi="Times New Roman"/>
          <w:sz w:val="24"/>
          <w:szCs w:val="24"/>
        </w:rPr>
        <w:t xml:space="preserve"> През 2014 г. в зоната са установени </w:t>
      </w:r>
      <w:r w:rsidRPr="00A8783E">
        <w:rPr>
          <w:rFonts w:ascii="Times New Roman" w:hAnsi="Times New Roman"/>
          <w:sz w:val="24"/>
          <w:szCs w:val="24"/>
          <w:lang w:val="ru-RU"/>
        </w:rPr>
        <w:t>20-30</w:t>
      </w:r>
      <w:r w:rsidRPr="00A8783E">
        <w:rPr>
          <w:rFonts w:ascii="Times New Roman" w:hAnsi="Times New Roman"/>
          <w:sz w:val="24"/>
          <w:szCs w:val="24"/>
        </w:rPr>
        <w:t xml:space="preserve"> инд. </w:t>
      </w:r>
      <w:r w:rsidRPr="00A8783E">
        <w:rPr>
          <w:rFonts w:ascii="Times New Roman" w:hAnsi="Times New Roman"/>
          <w:sz w:val="24"/>
          <w:szCs w:val="24"/>
          <w:lang w:val="ru-RU"/>
        </w:rPr>
        <w:t>(</w:t>
      </w:r>
      <w:r w:rsidRPr="00A8783E">
        <w:rPr>
          <w:rFonts w:ascii="Times New Roman" w:hAnsi="Times New Roman"/>
          <w:sz w:val="24"/>
          <w:szCs w:val="24"/>
        </w:rPr>
        <w:t>Актуализиран план на ПР Сребърна, 2015</w:t>
      </w:r>
      <w:r w:rsidRPr="00A8783E">
        <w:rPr>
          <w:rFonts w:ascii="Times New Roman" w:hAnsi="Times New Roman"/>
          <w:sz w:val="24"/>
          <w:szCs w:val="24"/>
          <w:lang w:val="ru-RU"/>
        </w:rPr>
        <w:t>)</w:t>
      </w:r>
      <w:r w:rsidRPr="00A8783E">
        <w:rPr>
          <w:rFonts w:ascii="Times New Roman" w:hAnsi="Times New Roman"/>
          <w:sz w:val="24"/>
          <w:szCs w:val="24"/>
        </w:rPr>
        <w:t>.</w:t>
      </w:r>
      <w:r w:rsidRPr="00A8783E">
        <w:rPr>
          <w:rFonts w:ascii="Times New Roman" w:hAnsi="Times New Roman"/>
          <w:sz w:val="24"/>
          <w:szCs w:val="24"/>
          <w:lang w:val="ru-RU"/>
        </w:rPr>
        <w:t xml:space="preserve"> </w:t>
      </w:r>
      <w:bookmarkStart w:id="561" w:name="_Hlk88784164"/>
      <w:r w:rsidRPr="00A8783E">
        <w:rPr>
          <w:rFonts w:ascii="Times New Roman" w:hAnsi="Times New Roman"/>
          <w:sz w:val="24"/>
          <w:szCs w:val="24"/>
        </w:rPr>
        <w:t xml:space="preserve">Данните от </w:t>
      </w:r>
      <w:r w:rsidRPr="00A8783E">
        <w:rPr>
          <w:rFonts w:ascii="Times New Roman" w:hAnsi="Times New Roman"/>
          <w:sz w:val="24"/>
          <w:szCs w:val="24"/>
          <w:lang w:val="en-US"/>
        </w:rPr>
        <w:t>eBird</w:t>
      </w:r>
      <w:r w:rsidRPr="00A8783E">
        <w:rPr>
          <w:rFonts w:ascii="Times New Roman" w:hAnsi="Times New Roman"/>
          <w:sz w:val="24"/>
          <w:szCs w:val="24"/>
          <w:lang w:val="ru-RU"/>
        </w:rPr>
        <w:t xml:space="preserve"> </w:t>
      </w:r>
      <w:r w:rsidRPr="00A8783E">
        <w:rPr>
          <w:rFonts w:ascii="Times New Roman" w:hAnsi="Times New Roman"/>
          <w:sz w:val="24"/>
          <w:szCs w:val="24"/>
        </w:rPr>
        <w:t>показват, че вида е наблюдаван в зоната и на 4.07.2021 г.</w:t>
      </w:r>
      <w:bookmarkEnd w:id="561"/>
      <w:r w:rsidRPr="00A8783E">
        <w:rPr>
          <w:rFonts w:ascii="Times New Roman" w:hAnsi="Times New Roman"/>
          <w:sz w:val="24"/>
          <w:szCs w:val="24"/>
        </w:rPr>
        <w:t xml:space="preserve"> Видът беше наблюдаван при теренните наблюдения през гнездовия период на 2021 г.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При докладването по чл.12 като заплахи за вида са посочени B02 и F03 – превръщането на горите в култури и промяната на предназначението на земите/горите/ в индустриални, промишлени зони. Други негативни фактори са пожарите, изоставянето и впоследствие изсичането на старите овощни градини, химизацията в овощарството и растениевъдството, изсичането на крайречните и крайпътни гори, особено на ивиците тополи покрай реки и канали. Вероятно е и негативно въздействие в резултат на конкуренция с големия пъстър кълвач.</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276"/>
        <w:gridCol w:w="1701"/>
        <w:gridCol w:w="2410"/>
        <w:gridCol w:w="2268"/>
      </w:tblGrid>
      <w:tr w:rsidR="00A8783E" w:rsidRPr="00A8783E" w:rsidTr="005B5318">
        <w:trPr>
          <w:tblHeader/>
          <w:jc w:val="center"/>
        </w:trPr>
        <w:tc>
          <w:tcPr>
            <w:tcW w:w="183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276"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701"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41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26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83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гнездящата популация</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гнездящи двойки</w:t>
            </w:r>
          </w:p>
        </w:tc>
        <w:tc>
          <w:tcPr>
            <w:tcW w:w="1701" w:type="dxa"/>
          </w:tcPr>
          <w:p w:rsidR="00A8783E" w:rsidRPr="00A8783E" w:rsidRDefault="00A8783E" w:rsidP="00A8783E">
            <w:pPr>
              <w:spacing w:after="0" w:line="240" w:lineRule="auto"/>
              <w:jc w:val="both"/>
              <w:rPr>
                <w:rFonts w:ascii="Times New Roman" w:hAnsi="Times New Roman"/>
                <w:color w:val="FF0000"/>
              </w:rPr>
            </w:pPr>
            <w:r w:rsidRPr="00A8783E">
              <w:rPr>
                <w:rFonts w:ascii="Times New Roman" w:hAnsi="Times New Roman"/>
                <w:color w:val="000000"/>
              </w:rPr>
              <w:t xml:space="preserve">Най-малко  21 дв. </w:t>
            </w:r>
          </w:p>
        </w:tc>
        <w:tc>
          <w:tcPr>
            <w:tcW w:w="2410"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Целевата стойност е определена на база СФ и теренните наблюдения през гнездовия период на 2021 г.</w:t>
            </w:r>
          </w:p>
        </w:tc>
        <w:tc>
          <w:tcPr>
            <w:tcW w:w="2268" w:type="dxa"/>
          </w:tcPr>
          <w:p w:rsidR="00A8783E" w:rsidRPr="00A8783E" w:rsidRDefault="00A8783E" w:rsidP="00A8783E">
            <w:pPr>
              <w:spacing w:after="0" w:line="240" w:lineRule="auto"/>
              <w:jc w:val="both"/>
              <w:rPr>
                <w:rFonts w:ascii="Times New Roman" w:hAnsi="Times New Roman"/>
                <w:color w:val="000000"/>
              </w:rPr>
            </w:pPr>
            <w:r w:rsidRPr="00A8783E">
              <w:rPr>
                <w:rFonts w:ascii="Times New Roman" w:hAnsi="Times New Roman"/>
                <w:color w:val="000000"/>
              </w:rPr>
              <w:t>Поддържане на популацията на вида в зоната в размер от най-малко 21 гнездящи двойки.</w:t>
            </w:r>
          </w:p>
        </w:tc>
      </w:tr>
      <w:tr w:rsidR="00A8783E" w:rsidRPr="00A8783E" w:rsidTr="005B5318">
        <w:trPr>
          <w:trHeight w:val="436"/>
          <w:jc w:val="center"/>
        </w:trPr>
        <w:tc>
          <w:tcPr>
            <w:tcW w:w="1838"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площ </w:t>
            </w:r>
            <w:r w:rsidRPr="00A8783E">
              <w:rPr>
                <w:rFonts w:ascii="Times New Roman" w:hAnsi="Times New Roman"/>
              </w:rPr>
              <w:t xml:space="preserve">на подходящи местообитания за гнездене и търсене на храна; </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ha</w:t>
            </w:r>
          </w:p>
          <w:p w:rsidR="00A8783E" w:rsidRPr="00A8783E" w:rsidRDefault="00A8783E" w:rsidP="00A8783E">
            <w:pPr>
              <w:spacing w:after="0" w:line="240" w:lineRule="auto"/>
              <w:jc w:val="both"/>
              <w:rPr>
                <w:rFonts w:ascii="Times New Roman" w:hAnsi="Times New Roman"/>
              </w:rPr>
            </w:pPr>
          </w:p>
        </w:tc>
        <w:tc>
          <w:tcPr>
            <w:tcW w:w="170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246</w:t>
            </w:r>
          </w:p>
        </w:tc>
        <w:tc>
          <w:tcPr>
            <w:tcW w:w="24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Изчислена въз основа на % местообитание от широколистна естествена гора (</w:t>
            </w:r>
            <w:r w:rsidRPr="00A8783E">
              <w:rPr>
                <w:rFonts w:ascii="Times New Roman" w:hAnsi="Times New Roman"/>
                <w:lang w:val="en-GB"/>
              </w:rPr>
              <w:t>N</w:t>
            </w:r>
            <w:r w:rsidRPr="00A8783E">
              <w:rPr>
                <w:rFonts w:ascii="Times New Roman" w:hAnsi="Times New Roman"/>
                <w:lang w:val="ru-RU"/>
              </w:rPr>
              <w:t>16</w:t>
            </w:r>
            <w:r w:rsidRPr="00A8783E">
              <w:rPr>
                <w:rFonts w:ascii="Times New Roman" w:hAnsi="Times New Roman"/>
              </w:rPr>
              <w:t xml:space="preserve">) и </w:t>
            </w:r>
            <w:r w:rsidRPr="00A8783E">
              <w:rPr>
                <w:rFonts w:ascii="Times New Roman" w:hAnsi="Times New Roman"/>
                <w:lang w:val="en-US"/>
              </w:rPr>
              <w:t>N</w:t>
            </w:r>
            <w:r w:rsidRPr="00A8783E">
              <w:rPr>
                <w:rFonts w:ascii="Times New Roman" w:hAnsi="Times New Roman"/>
              </w:rPr>
              <w:t>21- негорски площи, заети с растителни видове (включително градини, лозя, трайни насаждения в рамките на зоната</w:t>
            </w:r>
            <w:r w:rsidRPr="00A8783E">
              <w:rPr>
                <w:rFonts w:ascii="Times New Roman" w:hAnsi="Times New Roman"/>
                <w:lang w:val="ru-RU"/>
              </w:rPr>
              <w:t>.</w:t>
            </w:r>
            <w:r w:rsidRPr="00A8783E">
              <w:rPr>
                <w:rFonts w:ascii="Times New Roman" w:hAnsi="Times New Roman"/>
              </w:rPr>
              <w:t xml:space="preserve"> Площта на гнездовото и хранителното местообитание до голяма степен се припокриват. </w:t>
            </w:r>
          </w:p>
        </w:tc>
        <w:tc>
          <w:tcPr>
            <w:tcW w:w="226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Поддържане на подходящите места за гнездене на вида чрез: 1/ ограничаване на санитарните сечи в старите гори в зоната; 2/ при възобновителните сечи да бъдат оставяни по 25–30 стари дървета на 1 </w:t>
            </w:r>
            <w:r w:rsidRPr="00A8783E">
              <w:rPr>
                <w:rFonts w:ascii="Times New Roman" w:hAnsi="Times New Roman"/>
                <w:lang w:val="en-US"/>
              </w:rPr>
              <w:t>ha</w:t>
            </w:r>
            <w:r w:rsidRPr="00A8783E">
              <w:rPr>
                <w:rFonts w:ascii="Times New Roman" w:hAnsi="Times New Roman"/>
              </w:rPr>
              <w:t>.</w:t>
            </w:r>
          </w:p>
        </w:tc>
      </w:tr>
      <w:tr w:rsidR="00A8783E" w:rsidRPr="00A8783E" w:rsidTr="005B5318">
        <w:trPr>
          <w:trHeight w:val="436"/>
          <w:jc w:val="center"/>
        </w:trPr>
        <w:tc>
          <w:tcPr>
            <w:tcW w:w="1838" w:type="dxa"/>
          </w:tcPr>
          <w:p w:rsidR="00A8783E" w:rsidRPr="00A8783E" w:rsidRDefault="00A8783E" w:rsidP="00A8783E">
            <w:pPr>
              <w:spacing w:after="0" w:line="240" w:lineRule="auto"/>
              <w:jc w:val="both"/>
              <w:rPr>
                <w:rFonts w:ascii="Times New Roman" w:hAnsi="Times New Roman"/>
                <w:bCs/>
              </w:rPr>
            </w:pPr>
            <w:r w:rsidRPr="00A8783E">
              <w:rPr>
                <w:rFonts w:ascii="Times New Roman" w:hAnsi="Times New Roman"/>
                <w:b/>
                <w:bCs/>
              </w:rPr>
              <w:t xml:space="preserve">Местообитание на вида: </w:t>
            </w:r>
            <w:r w:rsidRPr="00A8783E">
              <w:rPr>
                <w:rFonts w:ascii="Times New Roman" w:hAnsi="Times New Roman"/>
                <w:bCs/>
              </w:rPr>
              <w:t xml:space="preserve">Качество </w:t>
            </w:r>
          </w:p>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Cs/>
              </w:rPr>
              <w:t>на подходящите</w:t>
            </w:r>
          </w:p>
        </w:tc>
        <w:tc>
          <w:tcPr>
            <w:tcW w:w="1276"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Брой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подходящи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дървета за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гнездене</w:t>
            </w:r>
          </w:p>
        </w:tc>
        <w:tc>
          <w:tcPr>
            <w:tcW w:w="170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Най-малко 2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дървета (орехови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дървета, овощни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дървета и дървета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с мека дървесина)</w:t>
            </w:r>
            <w:r w:rsidRPr="00A8783E">
              <w:rPr>
                <w:rFonts w:cs="Calibri"/>
              </w:rPr>
              <w:t xml:space="preserve"> </w:t>
            </w:r>
            <w:r w:rsidRPr="00A8783E">
              <w:rPr>
                <w:rFonts w:ascii="Times New Roman" w:hAnsi="Times New Roman"/>
              </w:rPr>
              <w:t xml:space="preserve">на ha на възраст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повече от 60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години и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дебелина на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ствола по-голяма </w:t>
            </w:r>
          </w:p>
          <w:p w:rsidR="00A8783E" w:rsidRPr="00A8783E" w:rsidRDefault="00A8783E" w:rsidP="00A8783E">
            <w:pPr>
              <w:spacing w:after="0" w:line="240" w:lineRule="auto"/>
              <w:jc w:val="both"/>
              <w:rPr>
                <w:rFonts w:ascii="Times New Roman" w:hAnsi="Times New Roman"/>
                <w:lang w:val="ru-RU"/>
              </w:rPr>
            </w:pPr>
            <w:r w:rsidRPr="00A8783E">
              <w:rPr>
                <w:rFonts w:ascii="Times New Roman" w:hAnsi="Times New Roman"/>
              </w:rPr>
              <w:t>от 40 cm</w:t>
            </w:r>
          </w:p>
        </w:tc>
        <w:tc>
          <w:tcPr>
            <w:tcW w:w="241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Гнезди в орехови</w:t>
            </w:r>
            <w:r w:rsidRPr="00A8783E">
              <w:rPr>
                <w:rFonts w:cs="Calibri"/>
              </w:rPr>
              <w:t xml:space="preserve"> </w:t>
            </w:r>
            <w:r w:rsidRPr="00A8783E">
              <w:rPr>
                <w:rFonts w:ascii="Times New Roman" w:hAnsi="Times New Roman"/>
              </w:rPr>
              <w:t xml:space="preserve">дървета, овощни дървета и дървета с мека дървесина (тополи, върби), на възраст повече от 60 години и дебелина на ствола по-голяма от 40 cm. В тази връзка, наличието на подходящи дървета в местообитанията на вида е ключово важно </w:t>
            </w:r>
            <w:r w:rsidRPr="00A8783E">
              <w:rPr>
                <w:rFonts w:ascii="Times New Roman" w:hAnsi="Times New Roman"/>
              </w:rPr>
              <w:lastRenderedPageBreak/>
              <w:t>за гнездовия успех.  Не са налични данни за броя на подходящите за гнездене дървета в местообитанията на вида, поради което е формулирана междинна цел.</w:t>
            </w:r>
          </w:p>
        </w:tc>
        <w:tc>
          <w:tcPr>
            <w:tcW w:w="226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lastRenderedPageBreak/>
              <w:t xml:space="preserve">Междинна цел: Да се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установи броя на </w:t>
            </w:r>
          </w:p>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подходящите за гнездене дървета в местообитанията на вида чрез провеждане на теренни проучвания до 2025 г.</w:t>
            </w:r>
          </w:p>
        </w:tc>
      </w:tr>
    </w:tbl>
    <w:p w:rsidR="00A8783E" w:rsidRPr="00A8783E" w:rsidRDefault="00A8783E" w:rsidP="00A8783E">
      <w:pPr>
        <w:spacing w:after="0" w:line="240" w:lineRule="auto"/>
      </w:pPr>
    </w:p>
    <w:p w:rsidR="00A8783E" w:rsidRPr="00A8783E" w:rsidRDefault="00A8783E" w:rsidP="00A8783E">
      <w:pPr>
        <w:spacing w:after="160" w:line="259" w:lineRule="auto"/>
        <w:rPr>
          <w:rFonts w:ascii="Times New Roman" w:hAnsi="Times New Roman"/>
          <w:b/>
          <w:bCs/>
          <w:sz w:val="24"/>
          <w:szCs w:val="24"/>
        </w:rPr>
      </w:pPr>
      <w:r w:rsidRPr="00A8783E">
        <w:rPr>
          <w:rFonts w:ascii="Times New Roman" w:hAnsi="Times New Roman"/>
          <w:b/>
          <w:bCs/>
          <w:sz w:val="24"/>
          <w:szCs w:val="24"/>
        </w:rPr>
        <w:t>Необходимост от промени в СФ за СЗЗ BG0000241 „Сребърна“</w:t>
      </w:r>
    </w:p>
    <w:p w:rsidR="00A8783E" w:rsidRPr="00A8783E" w:rsidRDefault="00A8783E" w:rsidP="00A8783E">
      <w:pPr>
        <w:spacing w:after="160" w:line="259" w:lineRule="auto"/>
        <w:rPr>
          <w:rFonts w:ascii="Times New Roman" w:hAnsi="Times New Roman"/>
          <w:sz w:val="24"/>
          <w:szCs w:val="24"/>
        </w:rPr>
      </w:pPr>
      <w:r w:rsidRPr="00A8783E">
        <w:rPr>
          <w:rFonts w:ascii="Times New Roman" w:hAnsi="Times New Roman"/>
          <w:sz w:val="24"/>
          <w:szCs w:val="24"/>
        </w:rPr>
        <w:t>Не е необходима актуализация на СФ на този етап.</w:t>
      </w:r>
    </w:p>
    <w:p w:rsidR="00A8783E" w:rsidRPr="00A8783E" w:rsidRDefault="00A8783E" w:rsidP="00A8783E">
      <w:pPr>
        <w:spacing w:after="0" w:line="240" w:lineRule="auto"/>
        <w:rPr>
          <w:lang w:val="ru-RU"/>
        </w:rPr>
      </w:pPr>
    </w:p>
    <w:p w:rsidR="00A8783E" w:rsidRPr="00A8783E" w:rsidRDefault="00A8783E" w:rsidP="00A8783E">
      <w:pPr>
        <w:keepNext/>
        <w:keepLines/>
        <w:spacing w:before="40" w:after="0" w:line="259" w:lineRule="auto"/>
        <w:outlineLvl w:val="1"/>
        <w:rPr>
          <w:rFonts w:ascii="Times New Roman" w:hAnsi="Times New Roman"/>
          <w:color w:val="1F497D"/>
          <w:sz w:val="28"/>
          <w:szCs w:val="28"/>
        </w:rPr>
      </w:pPr>
      <w:bookmarkStart w:id="562" w:name="_Toc88865749"/>
      <w:bookmarkStart w:id="563" w:name="_Toc89106159"/>
      <w:bookmarkStart w:id="564" w:name="_Toc98741998"/>
      <w:bookmarkStart w:id="565" w:name="_Toc98838673"/>
      <w:r w:rsidRPr="00A8783E">
        <w:rPr>
          <w:rFonts w:ascii="Times New Roman" w:hAnsi="Times New Roman"/>
          <w:color w:val="1F497D"/>
          <w:sz w:val="28"/>
          <w:szCs w:val="28"/>
        </w:rPr>
        <w:t>Специфични цели за А</w:t>
      </w:r>
      <w:r w:rsidRPr="00A8783E">
        <w:rPr>
          <w:rFonts w:ascii="Times New Roman" w:hAnsi="Times New Roman"/>
          <w:color w:val="1F497D"/>
          <w:sz w:val="28"/>
          <w:szCs w:val="28"/>
          <w:lang w:val="ru-RU"/>
        </w:rPr>
        <w:t>459</w:t>
      </w:r>
      <w:r w:rsidRPr="00A8783E">
        <w:rPr>
          <w:rFonts w:ascii="Times New Roman" w:hAnsi="Times New Roman"/>
          <w:color w:val="1F497D"/>
          <w:sz w:val="28"/>
          <w:szCs w:val="28"/>
        </w:rPr>
        <w:t xml:space="preserve"> </w:t>
      </w:r>
      <w:r w:rsidRPr="00A8783E">
        <w:rPr>
          <w:rFonts w:ascii="Times New Roman" w:hAnsi="Times New Roman"/>
          <w:i/>
          <w:iCs/>
          <w:color w:val="1F497D"/>
          <w:sz w:val="28"/>
          <w:szCs w:val="28"/>
          <w:lang w:val="en-GB"/>
        </w:rPr>
        <w:t>Larus</w:t>
      </w:r>
      <w:r w:rsidRPr="00A8783E">
        <w:rPr>
          <w:rFonts w:ascii="Times New Roman" w:hAnsi="Times New Roman"/>
          <w:i/>
          <w:iCs/>
          <w:color w:val="1F497D"/>
          <w:sz w:val="28"/>
          <w:szCs w:val="28"/>
          <w:lang w:val="ru-RU"/>
        </w:rPr>
        <w:t xml:space="preserve"> </w:t>
      </w:r>
      <w:r w:rsidRPr="00A8783E">
        <w:rPr>
          <w:rFonts w:ascii="Times New Roman" w:hAnsi="Times New Roman"/>
          <w:i/>
          <w:iCs/>
          <w:color w:val="1F497D"/>
          <w:sz w:val="28"/>
          <w:szCs w:val="28"/>
          <w:lang w:val="en-GB"/>
        </w:rPr>
        <w:t>cachinans</w:t>
      </w:r>
      <w:r w:rsidRPr="00A8783E">
        <w:rPr>
          <w:rFonts w:ascii="Times New Roman" w:hAnsi="Times New Roman"/>
          <w:color w:val="1F497D"/>
          <w:sz w:val="28"/>
          <w:szCs w:val="28"/>
        </w:rPr>
        <w:t xml:space="preserve"> (Каспийска чайка)</w:t>
      </w:r>
      <w:bookmarkEnd w:id="557"/>
      <w:bookmarkEnd w:id="558"/>
      <w:bookmarkEnd w:id="559"/>
      <w:bookmarkEnd w:id="560"/>
      <w:bookmarkEnd w:id="562"/>
      <w:bookmarkEnd w:id="563"/>
      <w:bookmarkEnd w:id="564"/>
      <w:bookmarkEnd w:id="565"/>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Дължина на тялото: 55–60 </w:t>
      </w:r>
      <w:r w:rsidRPr="00A8783E">
        <w:rPr>
          <w:rFonts w:ascii="Times New Roman" w:hAnsi="Times New Roman"/>
          <w:color w:val="000000"/>
          <w:sz w:val="24"/>
          <w:szCs w:val="24"/>
          <w:lang w:val="en-US"/>
        </w:rPr>
        <w:t>cm</w:t>
      </w:r>
      <w:r w:rsidRPr="00A8783E">
        <w:rPr>
          <w:rFonts w:ascii="Times New Roman" w:hAnsi="Times New Roman"/>
          <w:color w:val="000000"/>
          <w:sz w:val="24"/>
          <w:szCs w:val="24"/>
        </w:rPr>
        <w:t xml:space="preserve">. Размах на крилата: 138–147 </w:t>
      </w:r>
      <w:r w:rsidRPr="00A8783E">
        <w:rPr>
          <w:rFonts w:ascii="Times New Roman" w:hAnsi="Times New Roman"/>
          <w:color w:val="000000"/>
          <w:sz w:val="24"/>
          <w:szCs w:val="24"/>
          <w:lang w:val="en-US"/>
        </w:rPr>
        <w:t>cm</w:t>
      </w:r>
      <w:r w:rsidRPr="00A8783E">
        <w:rPr>
          <w:rFonts w:ascii="Times New Roman" w:hAnsi="Times New Roman"/>
          <w:color w:val="000000"/>
          <w:sz w:val="24"/>
          <w:szCs w:val="24"/>
        </w:rPr>
        <w:t>. Трудно отличим от средиземноморската жълтонога чайка, с която доскоро бяха смятани за два подвида на един вид. Отличава се по по-дългите човка и крака, по-тъмните очи, черните петна на върха на крилата са по-малки, а бялото там – повече, при това както откъм тялото, така и откъм върха, краката са по-бледи, червеното петно на клюна е само върху долната получовка. Гърбът е сив, коремът и главата – бели. Младите са пъстро-кафяви и с възрастта постепенно придобиват оперението на възрастните (Нанкинов и др., 1997).</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Каспийската чайка е гнездящ, преминаващ и зимуващ вид в България. В България гнезди поединично или на колонии до около 300 двойки. Гнездата са разположени по недостъпни отвесни брегове, малки островчета или скали по крайбрежието на Черно море. От края на миналия век гнезди и по покриви, комини, корнизи в черноморските градове (Нанкинов и др., 1997).</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Обитава скалисти морски крайбрежия и водоеми във вътрешността на страната, както и градове, разположени в близост до големи реки (Нанкинов и др., 1997). През зимата може да се срещне в разнородни влажни зони. Предпочитаните местообитания са 1110, 1130, 1140, 1150, 1160, 3130, 3150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color w:val="000000"/>
          <w:sz w:val="24"/>
          <w:szCs w:val="24"/>
        </w:rPr>
      </w:pPr>
      <w:r w:rsidRPr="00A8783E">
        <w:rPr>
          <w:rFonts w:ascii="Times New Roman" w:hAnsi="Times New Roman"/>
          <w:i/>
          <w:iCs/>
          <w:color w:val="000000"/>
          <w:sz w:val="24"/>
          <w:szCs w:val="24"/>
        </w:rPr>
        <w:t>Хранене</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Храни се с разнообразни безгръбначни животни, риба, умрели животни и хранителни отпадъци, често се струпва около сметищата.</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Каспийската чайка е доказана като гнездящ вид в България през 2014 и 2015 г. при улов на възрастни птици на покрива на сградата на Общинска администрация в гр. Русе </w:t>
      </w:r>
      <w:r w:rsidRPr="00A8783E">
        <w:rPr>
          <w:rFonts w:ascii="Times New Roman" w:hAnsi="Times New Roman"/>
          <w:color w:val="000000"/>
          <w:sz w:val="24"/>
          <w:szCs w:val="24"/>
          <w:lang w:val="ru-RU"/>
        </w:rPr>
        <w:t>(</w:t>
      </w:r>
      <w:r w:rsidRPr="00A8783E">
        <w:rPr>
          <w:rFonts w:ascii="Times New Roman" w:hAnsi="Times New Roman"/>
          <w:color w:val="000000"/>
          <w:sz w:val="24"/>
          <w:szCs w:val="24"/>
          <w:lang w:val="en-GB"/>
        </w:rPr>
        <w:t>BUNARCO</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Възможно е видът да гнезди и на други места в страната. </w:t>
      </w:r>
      <w:r w:rsidRPr="00A8783E">
        <w:rPr>
          <w:rFonts w:ascii="Times New Roman" w:hAnsi="Times New Roman"/>
          <w:color w:val="000000"/>
          <w:sz w:val="24"/>
          <w:szCs w:val="24"/>
        </w:rPr>
        <w:lastRenderedPageBreak/>
        <w:t xml:space="preserve">Разпространението на вида е разпръснато и линейно групирано по Черноморското крайбрежие (където гнезди основно в крайморските селища) и донякъде по р. Дунав.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Включен е в Приложение 2 на Директивата за птиците. Природозащитният статус на каспийската чайка според </w:t>
      </w:r>
      <w:r w:rsidRPr="00A8783E">
        <w:rPr>
          <w:rFonts w:ascii="Times New Roman" w:hAnsi="Times New Roman"/>
          <w:color w:val="000000"/>
          <w:sz w:val="24"/>
          <w:szCs w:val="24"/>
          <w:lang w:val="en-GB"/>
        </w:rPr>
        <w:t>IUCN</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rPr>
        <w:t>е</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GB"/>
        </w:rPr>
        <w:t>LC</w:t>
      </w:r>
      <w:r w:rsidRPr="00A8783E">
        <w:rPr>
          <w:rFonts w:ascii="Times New Roman" w:hAnsi="Times New Roman"/>
          <w:color w:val="000000"/>
          <w:sz w:val="24"/>
          <w:szCs w:val="24"/>
        </w:rPr>
        <w:t xml:space="preserve"> (</w:t>
      </w:r>
      <w:r w:rsidRPr="00A8783E">
        <w:rPr>
          <w:rFonts w:ascii="Times New Roman" w:hAnsi="Times New Roman"/>
          <w:color w:val="000000"/>
          <w:sz w:val="24"/>
          <w:szCs w:val="24"/>
          <w:lang w:val="en-GB"/>
        </w:rPr>
        <w:t>Least</w:t>
      </w:r>
      <w:r w:rsidRPr="00A8783E">
        <w:rPr>
          <w:rFonts w:ascii="Times New Roman" w:hAnsi="Times New Roman"/>
          <w:color w:val="000000"/>
          <w:sz w:val="24"/>
          <w:szCs w:val="24"/>
          <w:lang w:val="ru-RU"/>
        </w:rPr>
        <w:t xml:space="preserve"> </w:t>
      </w:r>
      <w:r w:rsidRPr="00A8783E">
        <w:rPr>
          <w:rFonts w:ascii="Times New Roman" w:hAnsi="Times New Roman"/>
          <w:color w:val="000000"/>
          <w:sz w:val="24"/>
          <w:szCs w:val="24"/>
          <w:lang w:val="en-GB"/>
        </w:rPr>
        <w:t>Concern</w:t>
      </w:r>
      <w:r w:rsidRPr="00A8783E">
        <w:rPr>
          <w:rFonts w:ascii="Times New Roman" w:hAnsi="Times New Roman"/>
          <w:color w:val="000000"/>
          <w:sz w:val="24"/>
          <w:szCs w:val="24"/>
          <w:lang w:val="ru-RU"/>
        </w:rPr>
        <w:t>)</w:t>
      </w:r>
      <w:r w:rsidRPr="00A8783E">
        <w:rPr>
          <w:rFonts w:ascii="Times New Roman" w:hAnsi="Times New Roman"/>
          <w:color w:val="000000"/>
          <w:sz w:val="24"/>
          <w:szCs w:val="24"/>
        </w:rPr>
        <w:t xml:space="preserve">. </w:t>
      </w:r>
    </w:p>
    <w:p w:rsidR="00A8783E" w:rsidRPr="00A8783E" w:rsidRDefault="00A8783E" w:rsidP="00A8783E">
      <w:pPr>
        <w:spacing w:before="120" w:after="120" w:line="240" w:lineRule="auto"/>
        <w:jc w:val="both"/>
        <w:rPr>
          <w:rFonts w:ascii="Times New Roman" w:hAnsi="Times New Roman"/>
          <w:color w:val="000000"/>
          <w:sz w:val="24"/>
          <w:szCs w:val="24"/>
        </w:rPr>
      </w:pPr>
      <w:r w:rsidRPr="00A8783E">
        <w:rPr>
          <w:rFonts w:ascii="Times New Roman" w:hAnsi="Times New Roman"/>
          <w:color w:val="000000"/>
          <w:sz w:val="24"/>
          <w:szCs w:val="24"/>
        </w:rPr>
        <w:t xml:space="preserve">Съгласно Докладването от 2019 г. (за периода 2013 – 2018 г.) националната </w:t>
      </w:r>
      <w:r w:rsidRPr="00A8783E">
        <w:rPr>
          <w:rFonts w:ascii="Times New Roman" w:hAnsi="Times New Roman"/>
          <w:b/>
          <w:bCs/>
          <w:color w:val="000000"/>
          <w:sz w:val="24"/>
          <w:szCs w:val="24"/>
        </w:rPr>
        <w:t>зимуващата</w:t>
      </w:r>
      <w:r w:rsidRPr="00A8783E">
        <w:rPr>
          <w:rFonts w:ascii="Times New Roman" w:hAnsi="Times New Roman"/>
          <w:color w:val="000000"/>
          <w:sz w:val="24"/>
          <w:szCs w:val="24"/>
        </w:rPr>
        <w:t xml:space="preserve"> популация е оценена на 10 – 120 индивида. Краткосрочната тенденция на зимуващата популацията (за периода 2000 – 2018 г.) е неизвестна, а дългосрочната (за периода 1980 – 2018 г.) – също неизвестна. Не са посочени заплахи и въздействия.</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СФ на зоната вида е </w:t>
      </w:r>
      <w:r w:rsidRPr="00A8783E">
        <w:rPr>
          <w:rFonts w:ascii="Times New Roman" w:hAnsi="Times New Roman"/>
          <w:b/>
          <w:bCs/>
          <w:sz w:val="24"/>
          <w:szCs w:val="24"/>
        </w:rPr>
        <w:t>концентриращ се</w:t>
      </w:r>
      <w:r w:rsidRPr="00A8783E">
        <w:rPr>
          <w:rFonts w:ascii="Times New Roman" w:hAnsi="Times New Roman"/>
          <w:sz w:val="24"/>
          <w:szCs w:val="24"/>
        </w:rPr>
        <w:t xml:space="preserve">, като популацията се оценява на </w:t>
      </w:r>
      <w:r w:rsidRPr="00A8783E">
        <w:rPr>
          <w:rFonts w:ascii="Times New Roman" w:hAnsi="Times New Roman"/>
          <w:b/>
          <w:bCs/>
          <w:sz w:val="24"/>
          <w:szCs w:val="24"/>
        </w:rPr>
        <w:t xml:space="preserve">1-3 индивида. </w:t>
      </w:r>
      <w:r w:rsidRPr="00A8783E">
        <w:rPr>
          <w:rFonts w:ascii="Times New Roman" w:hAnsi="Times New Roman"/>
          <w:sz w:val="24"/>
          <w:szCs w:val="24"/>
        </w:rPr>
        <w:t>Мигриращата популация на вида в страната не е оценявана, така че не може да се каже броят на индивидите в зоната какъв процент представляват от националната мигрираща популация.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Според СФ </w:t>
      </w:r>
      <w:r w:rsidRPr="00A8783E">
        <w:rPr>
          <w:rFonts w:ascii="Times New Roman" w:hAnsi="Times New Roman"/>
          <w:b/>
          <w:bCs/>
          <w:sz w:val="24"/>
          <w:szCs w:val="24"/>
        </w:rPr>
        <w:t>зимуващата</w:t>
      </w:r>
      <w:r w:rsidRPr="00A8783E">
        <w:rPr>
          <w:rFonts w:ascii="Times New Roman" w:hAnsi="Times New Roman"/>
          <w:sz w:val="24"/>
          <w:szCs w:val="24"/>
        </w:rPr>
        <w:t xml:space="preserve"> популация на вида се оценява на </w:t>
      </w:r>
      <w:r w:rsidRPr="00A8783E">
        <w:rPr>
          <w:rFonts w:ascii="Times New Roman" w:hAnsi="Times New Roman"/>
          <w:b/>
          <w:bCs/>
          <w:sz w:val="24"/>
          <w:szCs w:val="24"/>
        </w:rPr>
        <w:t xml:space="preserve">до 5 индивида, </w:t>
      </w:r>
      <w:r w:rsidRPr="00A8783E">
        <w:rPr>
          <w:rFonts w:ascii="Times New Roman" w:hAnsi="Times New Roman"/>
          <w:sz w:val="24"/>
          <w:szCs w:val="24"/>
        </w:rPr>
        <w:t>което представлява 4 %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Мигрираща популация</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В средна Дунавска равнина е целогодишно срещан вид. Разпръснат е из почти всички възможни водоеми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В Бургаските влажни зони е обикновен вид по време на пролетната и есенната миграция </w:t>
      </w:r>
      <w:r w:rsidRPr="00A8783E">
        <w:rPr>
          <w:rFonts w:ascii="Times New Roman" w:hAnsi="Times New Roman"/>
          <w:sz w:val="24"/>
          <w:szCs w:val="24"/>
          <w:lang w:val="ru-RU"/>
        </w:rPr>
        <w:t>(</w:t>
      </w:r>
      <w:r w:rsidRPr="00A8783E">
        <w:rPr>
          <w:rFonts w:ascii="Times New Roman" w:hAnsi="Times New Roman"/>
          <w:sz w:val="24"/>
          <w:szCs w:val="24"/>
          <w:lang w:val="en-US"/>
        </w:rPr>
        <w:t>Dimitrov</w:t>
      </w:r>
      <w:r w:rsidRPr="00A8783E">
        <w:rPr>
          <w:rFonts w:ascii="Times New Roman" w:hAnsi="Times New Roman"/>
          <w:sz w:val="24"/>
          <w:szCs w:val="24"/>
          <w:lang w:val="ru-RU"/>
        </w:rPr>
        <w:t xml:space="preserve"> </w:t>
      </w:r>
      <w:r w:rsidRPr="00A8783E">
        <w:rPr>
          <w:rFonts w:ascii="Times New Roman" w:hAnsi="Times New Roman"/>
          <w:sz w:val="24"/>
          <w:szCs w:val="24"/>
          <w:lang w:val="en-US"/>
        </w:rPr>
        <w:t>et</w:t>
      </w:r>
      <w:r w:rsidRPr="00A8783E">
        <w:rPr>
          <w:rFonts w:ascii="Times New Roman" w:hAnsi="Times New Roman"/>
          <w:sz w:val="24"/>
          <w:szCs w:val="24"/>
          <w:lang w:val="ru-RU"/>
        </w:rPr>
        <w:t xml:space="preserve"> </w:t>
      </w:r>
      <w:r w:rsidRPr="00A8783E">
        <w:rPr>
          <w:rFonts w:ascii="Times New Roman" w:hAnsi="Times New Roman"/>
          <w:sz w:val="24"/>
          <w:szCs w:val="24"/>
          <w:lang w:val="en-US"/>
        </w:rPr>
        <w:t>al</w:t>
      </w:r>
      <w:r w:rsidRPr="00A8783E">
        <w:rPr>
          <w:rFonts w:ascii="Times New Roman" w:hAnsi="Times New Roman"/>
          <w:sz w:val="24"/>
          <w:szCs w:val="24"/>
          <w:lang w:val="ru-RU"/>
        </w:rPr>
        <w:t xml:space="preserve">., 2005). </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Зимуваща популация</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По време на Средно-зимното преброяване през 2019 и 2020 г. видът не е наблюдаван при Сребърна. Данните на </w:t>
      </w:r>
      <w:r w:rsidRPr="00A8783E">
        <w:rPr>
          <w:rFonts w:ascii="Times New Roman" w:hAnsi="Times New Roman"/>
          <w:sz w:val="24"/>
          <w:szCs w:val="24"/>
          <w:lang w:val="en-US"/>
        </w:rPr>
        <w:t>Michev</w:t>
      </w:r>
      <w:r w:rsidRPr="00A8783E">
        <w:rPr>
          <w:rFonts w:ascii="Times New Roman" w:hAnsi="Times New Roman"/>
          <w:sz w:val="24"/>
          <w:szCs w:val="24"/>
          <w:lang w:val="ru-RU"/>
        </w:rPr>
        <w:t xml:space="preserve"> </w:t>
      </w:r>
      <w:r w:rsidRPr="00A8783E">
        <w:rPr>
          <w:rFonts w:ascii="Times New Roman" w:hAnsi="Times New Roman"/>
          <w:sz w:val="24"/>
          <w:szCs w:val="24"/>
          <w:lang w:val="en-US"/>
        </w:rPr>
        <w:t>and</w:t>
      </w:r>
      <w:r w:rsidRPr="00A8783E">
        <w:rPr>
          <w:rFonts w:ascii="Times New Roman" w:hAnsi="Times New Roman"/>
          <w:sz w:val="24"/>
          <w:szCs w:val="24"/>
          <w:lang w:val="ru-RU"/>
        </w:rPr>
        <w:t xml:space="preserve"> </w:t>
      </w:r>
      <w:r w:rsidRPr="00A8783E">
        <w:rPr>
          <w:rFonts w:ascii="Times New Roman" w:hAnsi="Times New Roman"/>
          <w:sz w:val="24"/>
          <w:szCs w:val="24"/>
          <w:lang w:val="en-US"/>
        </w:rPr>
        <w:t>Profirov</w:t>
      </w:r>
      <w:r w:rsidRPr="00A8783E">
        <w:rPr>
          <w:rFonts w:ascii="Times New Roman" w:hAnsi="Times New Roman"/>
          <w:sz w:val="24"/>
          <w:szCs w:val="24"/>
          <w:lang w:val="ru-RU"/>
        </w:rPr>
        <w:t xml:space="preserve"> (2003)</w:t>
      </w:r>
      <w:r w:rsidRPr="00A8783E">
        <w:rPr>
          <w:rFonts w:ascii="Times New Roman" w:hAnsi="Times New Roman"/>
          <w:sz w:val="24"/>
          <w:szCs w:val="24"/>
        </w:rPr>
        <w:t xml:space="preserve"> показват, че по поречието на р. Дунав средно зимуват 156 индивида. В средна Дунавска равнина е по-многочислен през зимните месеци </w:t>
      </w:r>
      <w:r w:rsidRPr="00A8783E">
        <w:rPr>
          <w:rFonts w:ascii="Times New Roman" w:hAnsi="Times New Roman"/>
          <w:sz w:val="24"/>
          <w:szCs w:val="24"/>
          <w:lang w:val="ru-RU"/>
        </w:rPr>
        <w:t>(</w:t>
      </w:r>
      <w:r w:rsidRPr="00A8783E">
        <w:rPr>
          <w:rFonts w:ascii="Times New Roman" w:hAnsi="Times New Roman"/>
          <w:sz w:val="24"/>
          <w:szCs w:val="24"/>
        </w:rPr>
        <w:t>Шурулинков и др., 2005</w:t>
      </w:r>
      <w:r w:rsidRPr="00A8783E">
        <w:rPr>
          <w:rFonts w:ascii="Times New Roman" w:hAnsi="Times New Roman"/>
          <w:sz w:val="24"/>
          <w:szCs w:val="24"/>
          <w:lang w:val="ru-RU"/>
        </w:rPr>
        <w:t>)</w:t>
      </w:r>
      <w:r w:rsidRPr="00A8783E">
        <w:rPr>
          <w:rFonts w:ascii="Times New Roman" w:hAnsi="Times New Roman"/>
          <w:sz w:val="24"/>
          <w:szCs w:val="24"/>
        </w:rPr>
        <w:t xml:space="preserve">. Данните от </w:t>
      </w:r>
      <w:r w:rsidRPr="00A8783E">
        <w:rPr>
          <w:rFonts w:ascii="Times New Roman" w:hAnsi="Times New Roman"/>
          <w:sz w:val="24"/>
          <w:szCs w:val="24"/>
          <w:lang w:val="en-US"/>
        </w:rPr>
        <w:t>eBird</w:t>
      </w:r>
      <w:r w:rsidRPr="00A8783E">
        <w:rPr>
          <w:rFonts w:ascii="Times New Roman" w:hAnsi="Times New Roman"/>
          <w:sz w:val="24"/>
          <w:szCs w:val="24"/>
          <w:lang w:val="ru-RU"/>
        </w:rPr>
        <w:t xml:space="preserve"> </w:t>
      </w:r>
      <w:r w:rsidRPr="00A8783E">
        <w:rPr>
          <w:rFonts w:ascii="Times New Roman" w:hAnsi="Times New Roman"/>
          <w:sz w:val="24"/>
          <w:szCs w:val="24"/>
        </w:rPr>
        <w:t>показват, че вида е наблюдаван в зоната на 09.07.2019 г. с численост 2 индивида.</w:t>
      </w:r>
    </w:p>
    <w:p w:rsidR="00A8783E" w:rsidRPr="00A8783E" w:rsidRDefault="00A8783E" w:rsidP="00A8783E">
      <w:pPr>
        <w:spacing w:before="120" w:after="120" w:line="240" w:lineRule="auto"/>
        <w:jc w:val="both"/>
        <w:rPr>
          <w:rFonts w:ascii="Times New Roman" w:hAnsi="Times New Roman"/>
          <w:b/>
          <w:bCs/>
          <w:color w:val="000000"/>
          <w:sz w:val="24"/>
          <w:szCs w:val="24"/>
        </w:rPr>
      </w:pPr>
      <w:r w:rsidRPr="00A8783E">
        <w:rPr>
          <w:rFonts w:ascii="Times New Roman" w:hAnsi="Times New Roman"/>
          <w:b/>
          <w:bCs/>
          <w:color w:val="000000"/>
          <w:sz w:val="24"/>
          <w:szCs w:val="24"/>
        </w:rPr>
        <w:t>5. Параметри за определяне на специфичните природозащитни цели за вида в зоната</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422"/>
        <w:gridCol w:w="1275"/>
        <w:gridCol w:w="2831"/>
        <w:gridCol w:w="2418"/>
      </w:tblGrid>
      <w:tr w:rsidR="00A8783E" w:rsidRPr="00A8783E" w:rsidTr="005B5318">
        <w:trPr>
          <w:tblHeader/>
          <w:jc w:val="center"/>
        </w:trPr>
        <w:tc>
          <w:tcPr>
            <w:tcW w:w="155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422"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27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831"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418"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555"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мигриращата популация</w:t>
            </w:r>
          </w:p>
        </w:tc>
        <w:tc>
          <w:tcPr>
            <w:tcW w:w="142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 инд.</w:t>
            </w:r>
          </w:p>
        </w:tc>
        <w:tc>
          <w:tcPr>
            <w:tcW w:w="283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от СФ. Тези данни се нуждаят от потвърждение/актуализация в резултата на адекватен мониторинг в периода октомври – март месец.</w:t>
            </w:r>
          </w:p>
        </w:tc>
        <w:tc>
          <w:tcPr>
            <w:tcW w:w="24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Междинна цел до 2025 г: провеждане на проучване за установяване на текущата миграционна численост на вида в зоната в подходящите </w:t>
            </w:r>
            <w:r w:rsidRPr="00A8783E">
              <w:rPr>
                <w:rFonts w:ascii="Times New Roman" w:hAnsi="Times New Roman"/>
              </w:rPr>
              <w:lastRenderedPageBreak/>
              <w:t>местообитания.</w:t>
            </w:r>
          </w:p>
        </w:tc>
      </w:tr>
      <w:tr w:rsidR="00A8783E" w:rsidRPr="00A8783E" w:rsidTr="005B5318">
        <w:trPr>
          <w:jc w:val="center"/>
        </w:trPr>
        <w:tc>
          <w:tcPr>
            <w:tcW w:w="1555"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lastRenderedPageBreak/>
              <w:t xml:space="preserve">Популация: </w:t>
            </w:r>
            <w:r w:rsidRPr="00A8783E">
              <w:rPr>
                <w:rFonts w:ascii="Times New Roman" w:hAnsi="Times New Roman"/>
              </w:rPr>
              <w:t>Размер на зимуващата популация</w:t>
            </w:r>
          </w:p>
        </w:tc>
        <w:tc>
          <w:tcPr>
            <w:tcW w:w="142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0 – 5 инд. </w:t>
            </w:r>
          </w:p>
        </w:tc>
        <w:tc>
          <w:tcPr>
            <w:tcW w:w="283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Целевата стойност е определена от СФ</w:t>
            </w:r>
            <w:r w:rsidRPr="00A8783E">
              <w:rPr>
                <w:rFonts w:ascii="Times New Roman" w:hAnsi="Times New Roman"/>
                <w:lang w:val="ru-RU"/>
              </w:rPr>
              <w:t xml:space="preserve">, </w:t>
            </w:r>
            <w:r w:rsidRPr="00A8783E">
              <w:rPr>
                <w:rFonts w:ascii="Times New Roman" w:hAnsi="Times New Roman"/>
              </w:rPr>
              <w:t>данните от СЗП 2019 и 2020 г. Тези данни се нуждаят от потвърждение в резултата на адекватен мониторинг в периода октомври – февруари месец.</w:t>
            </w:r>
          </w:p>
        </w:tc>
        <w:tc>
          <w:tcPr>
            <w:tcW w:w="24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Да се извърши целенасочен мониторинг за установяване на размера на зимуващата популация до 2025 г.</w:t>
            </w:r>
          </w:p>
        </w:tc>
      </w:tr>
      <w:tr w:rsidR="00A8783E" w:rsidRPr="00A8783E" w:rsidTr="005B5318">
        <w:trPr>
          <w:jc w:val="center"/>
        </w:trPr>
        <w:tc>
          <w:tcPr>
            <w:tcW w:w="1555"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хранителни местообитания на вида</w:t>
            </w:r>
            <w:r w:rsidRPr="00A8783E">
              <w:rPr>
                <w:rFonts w:ascii="Times New Roman" w:hAnsi="Times New Roman"/>
                <w:b/>
                <w:bCs/>
              </w:rPr>
              <w:t xml:space="preserve"> </w:t>
            </w:r>
          </w:p>
        </w:tc>
        <w:tc>
          <w:tcPr>
            <w:tcW w:w="142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lang w:val="en-US"/>
              </w:rPr>
              <w:t>ha</w:t>
            </w:r>
          </w:p>
        </w:tc>
        <w:tc>
          <w:tcPr>
            <w:tcW w:w="1275" w:type="dxa"/>
          </w:tcPr>
          <w:p w:rsidR="00A8783E" w:rsidRPr="00A8783E" w:rsidRDefault="00A8783E" w:rsidP="00A8783E">
            <w:pPr>
              <w:spacing w:after="0" w:line="240" w:lineRule="auto"/>
              <w:jc w:val="both"/>
              <w:rPr>
                <w:rFonts w:ascii="Times New Roman" w:hAnsi="Times New Roman"/>
                <w:color w:val="0070C0"/>
              </w:rPr>
            </w:pPr>
            <w:r w:rsidRPr="00A8783E">
              <w:rPr>
                <w:rFonts w:ascii="Times New Roman" w:hAnsi="Times New Roman"/>
              </w:rPr>
              <w:t>най-малко 840</w:t>
            </w:r>
          </w:p>
        </w:tc>
        <w:tc>
          <w:tcPr>
            <w:tcW w:w="2831"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Изчислена на база % участие на местообитание </w:t>
            </w:r>
            <w:r w:rsidRPr="00A8783E">
              <w:rPr>
                <w:rFonts w:ascii="Times New Roman" w:hAnsi="Times New Roman"/>
                <w:lang w:val="en-GB"/>
              </w:rPr>
              <w:t>N</w:t>
            </w:r>
            <w:r w:rsidRPr="00A8783E">
              <w:rPr>
                <w:rFonts w:ascii="Times New Roman" w:hAnsi="Times New Roman"/>
                <w:lang w:val="ru-RU"/>
              </w:rPr>
              <w:t xml:space="preserve">06 </w:t>
            </w:r>
            <w:r w:rsidRPr="00A8783E">
              <w:rPr>
                <w:rFonts w:ascii="Times New Roman" w:hAnsi="Times New Roman"/>
              </w:rPr>
              <w:t xml:space="preserve">– континентални водни тела и </w:t>
            </w:r>
            <w:r w:rsidRPr="00A8783E">
              <w:rPr>
                <w:rFonts w:ascii="Times New Roman" w:hAnsi="Times New Roman"/>
                <w:lang w:val="en-US"/>
              </w:rPr>
              <w:t>N</w:t>
            </w:r>
            <w:r w:rsidRPr="00A8783E">
              <w:rPr>
                <w:rFonts w:ascii="Times New Roman" w:hAnsi="Times New Roman"/>
                <w:lang w:val="ru-RU"/>
              </w:rPr>
              <w:t>07</w:t>
            </w:r>
            <w:r w:rsidRPr="00A8783E">
              <w:rPr>
                <w:rFonts w:ascii="Times New Roman" w:hAnsi="Times New Roman"/>
              </w:rPr>
              <w:t>-мочурища и блата в зоната. Когато езерото замръзне видът се храни в речното течение, което е в рамките на зоната.</w:t>
            </w:r>
          </w:p>
        </w:tc>
        <w:tc>
          <w:tcPr>
            <w:tcW w:w="24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подходящите места за търсене на храна по време на миграция и зимуване в зоната чрез поддържане на водното ниво в езерото.</w:t>
            </w:r>
          </w:p>
        </w:tc>
      </w:tr>
      <w:tr w:rsidR="00A8783E" w:rsidRPr="00A8783E" w:rsidTr="005B5318">
        <w:trPr>
          <w:trHeight w:val="381"/>
          <w:jc w:val="center"/>
        </w:trPr>
        <w:tc>
          <w:tcPr>
            <w:tcW w:w="155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b/>
                <w:bCs/>
              </w:rPr>
              <w:t>Местообитание на вида</w:t>
            </w:r>
            <w:r w:rsidRPr="00A8783E">
              <w:rPr>
                <w:rFonts w:ascii="Times New Roman" w:hAnsi="Times New Roman"/>
              </w:rPr>
              <w:t>: Екологично състояние на водните тела с хранителни местообитания на вида, по биологични елементи за качество (БЕК  Риби и Макрозообентос)</w:t>
            </w:r>
          </w:p>
        </w:tc>
        <w:tc>
          <w:tcPr>
            <w:tcW w:w="1422"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5 степенна скала за екологично състояние, съгласно РДВ </w:t>
            </w:r>
          </w:p>
        </w:tc>
        <w:tc>
          <w:tcPr>
            <w:tcW w:w="1275"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По-висока или равна на 2 – Добро състояние</w:t>
            </w:r>
          </w:p>
        </w:tc>
        <w:tc>
          <w:tcPr>
            <w:tcW w:w="2831" w:type="dxa"/>
          </w:tcPr>
          <w:tbl>
            <w:tblPr>
              <w:tblW w:w="3637" w:type="dxa"/>
              <w:tblInd w:w="3" w:type="dxa"/>
              <w:tblLayout w:type="fixed"/>
              <w:tblCellMar>
                <w:left w:w="70" w:type="dxa"/>
                <w:right w:w="70" w:type="dxa"/>
              </w:tblCellMar>
              <w:tblLook w:val="00A0" w:firstRow="1" w:lastRow="0" w:firstColumn="1" w:lastColumn="0" w:noHBand="0" w:noVBand="0"/>
            </w:tblPr>
            <w:tblGrid>
              <w:gridCol w:w="3637"/>
            </w:tblGrid>
            <w:tr w:rsidR="00A8783E" w:rsidRPr="00A8783E" w:rsidTr="005B5318">
              <w:trPr>
                <w:trHeight w:val="290"/>
              </w:trPr>
              <w:tc>
                <w:tcPr>
                  <w:tcW w:w="3637" w:type="dxa"/>
                  <w:tcBorders>
                    <w:top w:val="single" w:sz="4" w:space="0" w:color="auto"/>
                    <w:left w:val="single" w:sz="4" w:space="0" w:color="auto"/>
                    <w:bottom w:val="single" w:sz="4" w:space="0" w:color="auto"/>
                    <w:right w:val="nil"/>
                  </w:tcBorders>
                  <w:shd w:val="clear" w:color="000000" w:fill="BFBFBF"/>
                  <w:noWrap/>
                  <w:vAlign w:val="bottom"/>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Екологично състояние</w:t>
                  </w:r>
                </w:p>
              </w:tc>
            </w:tr>
            <w:tr w:rsidR="00A8783E" w:rsidRPr="00A8783E" w:rsidTr="005B5318">
              <w:trPr>
                <w:trHeight w:val="290"/>
              </w:trPr>
              <w:tc>
                <w:tcPr>
                  <w:tcW w:w="3637"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1-Отлично</w:t>
                  </w:r>
                </w:p>
              </w:tc>
            </w:tr>
            <w:tr w:rsidR="00A8783E" w:rsidRPr="00A8783E" w:rsidTr="005B5318">
              <w:trPr>
                <w:trHeight w:val="290"/>
              </w:trPr>
              <w:tc>
                <w:tcPr>
                  <w:tcW w:w="3637"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2-Добро</w:t>
                  </w:r>
                </w:p>
              </w:tc>
            </w:tr>
            <w:tr w:rsidR="00A8783E" w:rsidRPr="00A8783E" w:rsidTr="005B5318">
              <w:trPr>
                <w:trHeight w:val="290"/>
              </w:trPr>
              <w:tc>
                <w:tcPr>
                  <w:tcW w:w="3637"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3-Умерено</w:t>
                  </w:r>
                </w:p>
              </w:tc>
            </w:tr>
            <w:tr w:rsidR="00A8783E" w:rsidRPr="00A8783E" w:rsidTr="005B5318">
              <w:trPr>
                <w:trHeight w:val="290"/>
              </w:trPr>
              <w:tc>
                <w:tcPr>
                  <w:tcW w:w="3637"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4-Лошо</w:t>
                  </w:r>
                </w:p>
              </w:tc>
            </w:tr>
            <w:tr w:rsidR="00A8783E" w:rsidRPr="00A8783E" w:rsidTr="005B5318">
              <w:trPr>
                <w:trHeight w:val="290"/>
              </w:trPr>
              <w:tc>
                <w:tcPr>
                  <w:tcW w:w="363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5-Много лошо</w:t>
                  </w:r>
                </w:p>
              </w:tc>
            </w:tr>
          </w:tbl>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Екологичното състояние на водите на р. Дунав по показател Риби в пункт Силистра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rPr>
              <w:t>3</w:t>
            </w:r>
            <w:r w:rsidRPr="00A8783E">
              <w:rPr>
                <w:rFonts w:ascii="Times New Roman" w:hAnsi="Times New Roman"/>
              </w:rPr>
              <w:t xml:space="preserve">), според доклада на </w:t>
            </w:r>
            <w:r w:rsidRPr="00A8783E">
              <w:rPr>
                <w:rFonts w:ascii="Times New Roman" w:hAnsi="Times New Roman"/>
                <w:lang w:val="en-GB"/>
              </w:rPr>
              <w:t>JDS</w:t>
            </w:r>
            <w:r w:rsidRPr="00A8783E">
              <w:rPr>
                <w:rFonts w:ascii="Times New Roman" w:hAnsi="Times New Roman"/>
                <w:lang w:val="ru-RU"/>
              </w:rPr>
              <w:t>4 (2019-2020).</w:t>
            </w:r>
            <w:r w:rsidRPr="00A8783E">
              <w:rPr>
                <w:rFonts w:ascii="Times New Roman" w:hAnsi="Times New Roman"/>
              </w:rPr>
              <w:t xml:space="preserve"> Екологичното състояние на водите на ез. Сребърна по показател Риби е оценено на </w:t>
            </w:r>
            <w:r w:rsidRPr="00A8783E">
              <w:rPr>
                <w:rFonts w:ascii="Times New Roman" w:hAnsi="Times New Roman"/>
                <w:b/>
                <w:bCs/>
              </w:rPr>
              <w:t>умерено</w:t>
            </w:r>
            <w:r w:rsidRPr="00A8783E">
              <w:rPr>
                <w:rFonts w:ascii="Times New Roman" w:hAnsi="Times New Roman"/>
              </w:rPr>
              <w:t xml:space="preserve"> </w:t>
            </w:r>
            <w:r w:rsidRPr="00A8783E">
              <w:rPr>
                <w:rFonts w:ascii="Times New Roman" w:hAnsi="Times New Roman"/>
                <w:b/>
                <w:bCs/>
                <w:lang w:val="ru-RU"/>
              </w:rPr>
              <w:t>(</w:t>
            </w:r>
            <w:r w:rsidRPr="00A8783E">
              <w:rPr>
                <w:rFonts w:ascii="Times New Roman" w:hAnsi="Times New Roman"/>
                <w:b/>
                <w:bCs/>
              </w:rPr>
              <w:t>3</w:t>
            </w:r>
            <w:r w:rsidRPr="00A8783E">
              <w:rPr>
                <w:rFonts w:ascii="Times New Roman" w:hAnsi="Times New Roman"/>
                <w:lang w:val="ru-RU"/>
              </w:rPr>
              <w:t>)</w:t>
            </w:r>
            <w:r w:rsidRPr="00A8783E">
              <w:rPr>
                <w:rFonts w:ascii="Times New Roman" w:hAnsi="Times New Roman"/>
              </w:rPr>
              <w:t xml:space="preserve">, според Протокол за пробонабиране на риби в езера </w:t>
            </w:r>
            <w:r w:rsidRPr="00A8783E">
              <w:rPr>
                <w:rFonts w:ascii="Times New Roman" w:hAnsi="Times New Roman"/>
                <w:lang w:val="ru-RU"/>
              </w:rPr>
              <w:t>(</w:t>
            </w:r>
            <w:r w:rsidRPr="00A8783E">
              <w:rPr>
                <w:rFonts w:ascii="Times New Roman" w:hAnsi="Times New Roman"/>
              </w:rPr>
              <w:t>2020</w:t>
            </w:r>
            <w:r w:rsidRPr="00A8783E">
              <w:rPr>
                <w:rFonts w:ascii="Times New Roman" w:hAnsi="Times New Roman"/>
                <w:lang w:val="ru-RU"/>
              </w:rPr>
              <w:t>).</w:t>
            </w:r>
          </w:p>
        </w:tc>
        <w:tc>
          <w:tcPr>
            <w:tcW w:w="2418"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A8783E" w:rsidRPr="00A8783E" w:rsidRDefault="00A8783E" w:rsidP="00A8783E">
      <w:pPr>
        <w:spacing w:after="160" w:line="259" w:lineRule="auto"/>
        <w:rPr>
          <w:rFonts w:ascii="Times New Roman" w:hAnsi="Times New Roman"/>
          <w:sz w:val="24"/>
          <w:szCs w:val="24"/>
          <w:lang w:val="ru-RU"/>
        </w:rPr>
      </w:pPr>
    </w:p>
    <w:p w:rsidR="00A8783E" w:rsidRPr="00A8783E" w:rsidRDefault="00A8783E" w:rsidP="00A8783E">
      <w:pPr>
        <w:keepNext/>
        <w:keepLines/>
        <w:spacing w:before="120" w:after="120" w:line="240" w:lineRule="auto"/>
        <w:outlineLvl w:val="1"/>
        <w:rPr>
          <w:rFonts w:ascii="Times New Roman" w:hAnsi="Times New Roman"/>
          <w:color w:val="1F497D"/>
          <w:sz w:val="28"/>
          <w:szCs w:val="28"/>
        </w:rPr>
      </w:pPr>
      <w:bookmarkStart w:id="566" w:name="_Toc88865750"/>
      <w:bookmarkStart w:id="567" w:name="_Toc89106160"/>
      <w:bookmarkStart w:id="568" w:name="_Toc98741999"/>
      <w:bookmarkStart w:id="569" w:name="_Toc98838674"/>
      <w:r w:rsidRPr="00A8783E">
        <w:rPr>
          <w:rFonts w:ascii="Times New Roman" w:hAnsi="Times New Roman"/>
          <w:color w:val="1F497D"/>
          <w:sz w:val="28"/>
          <w:szCs w:val="28"/>
        </w:rPr>
        <w:t>Специфични цели за А</w:t>
      </w:r>
      <w:r w:rsidRPr="00A8783E">
        <w:rPr>
          <w:rFonts w:ascii="Times New Roman" w:hAnsi="Times New Roman"/>
          <w:color w:val="1F497D"/>
          <w:sz w:val="28"/>
          <w:szCs w:val="28"/>
          <w:lang w:val="ru-RU"/>
        </w:rPr>
        <w:t>511</w:t>
      </w:r>
      <w:r w:rsidRPr="00A8783E">
        <w:rPr>
          <w:rFonts w:ascii="Times New Roman" w:hAnsi="Times New Roman"/>
          <w:color w:val="1F497D"/>
          <w:sz w:val="28"/>
          <w:szCs w:val="28"/>
        </w:rPr>
        <w:t xml:space="preserve"> </w:t>
      </w:r>
      <w:r w:rsidRPr="00A8783E">
        <w:rPr>
          <w:rFonts w:ascii="Times New Roman" w:hAnsi="Times New Roman"/>
          <w:i/>
          <w:iCs/>
          <w:color w:val="1F497D"/>
          <w:sz w:val="28"/>
          <w:szCs w:val="28"/>
          <w:lang w:val="en-GB"/>
        </w:rPr>
        <w:t>Falco</w:t>
      </w:r>
      <w:r w:rsidRPr="00A8783E">
        <w:rPr>
          <w:rFonts w:ascii="Times New Roman" w:hAnsi="Times New Roman"/>
          <w:i/>
          <w:iCs/>
          <w:color w:val="1F497D"/>
          <w:sz w:val="28"/>
          <w:szCs w:val="28"/>
          <w:lang w:val="ru-RU"/>
        </w:rPr>
        <w:t xml:space="preserve"> </w:t>
      </w:r>
      <w:r w:rsidRPr="00A8783E">
        <w:rPr>
          <w:rFonts w:ascii="Times New Roman" w:hAnsi="Times New Roman"/>
          <w:i/>
          <w:iCs/>
          <w:color w:val="1F497D"/>
          <w:sz w:val="28"/>
          <w:szCs w:val="28"/>
          <w:lang w:val="en-GB"/>
        </w:rPr>
        <w:t>cherrug</w:t>
      </w:r>
      <w:r w:rsidRPr="00A8783E">
        <w:rPr>
          <w:rFonts w:ascii="Times New Roman" w:hAnsi="Times New Roman"/>
          <w:color w:val="1F497D"/>
          <w:sz w:val="28"/>
          <w:szCs w:val="28"/>
        </w:rPr>
        <w:t xml:space="preserve"> (Ловен сокол)</w:t>
      </w:r>
      <w:bookmarkEnd w:id="566"/>
      <w:bookmarkEnd w:id="567"/>
      <w:bookmarkEnd w:id="568"/>
      <w:bookmarkEnd w:id="569"/>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1. Кратка характеристика на вида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Дължина на тялото: 47–55 </w:t>
      </w:r>
      <w:r w:rsidRPr="00A8783E">
        <w:rPr>
          <w:rFonts w:ascii="Times New Roman" w:hAnsi="Times New Roman"/>
          <w:sz w:val="24"/>
          <w:szCs w:val="24"/>
          <w:lang w:val="en-US"/>
        </w:rPr>
        <w:t>cm</w:t>
      </w:r>
      <w:r w:rsidRPr="00A8783E">
        <w:rPr>
          <w:rFonts w:ascii="Times New Roman" w:hAnsi="Times New Roman"/>
          <w:sz w:val="24"/>
          <w:szCs w:val="24"/>
        </w:rPr>
        <w:t xml:space="preserve">, размах на крилата: 105–129 </w:t>
      </w:r>
      <w:r w:rsidRPr="00A8783E">
        <w:rPr>
          <w:rFonts w:ascii="Times New Roman" w:hAnsi="Times New Roman"/>
          <w:sz w:val="24"/>
          <w:szCs w:val="24"/>
          <w:lang w:val="en-US"/>
        </w:rPr>
        <w:t>cm</w:t>
      </w:r>
      <w:r w:rsidRPr="00A8783E">
        <w:rPr>
          <w:rFonts w:ascii="Times New Roman" w:hAnsi="Times New Roman"/>
          <w:sz w:val="24"/>
          <w:szCs w:val="24"/>
        </w:rPr>
        <w:t>. Най-едрият сокол в България. Горната част на тялото и крилете са кафяви, гърдите и корема са светли с тъмни напетнявания, гащите са тъмни. Подкрилията са с по-светла предна част и по-тъмна задна, контрастираща с по-светлите махови пера. Главата е светла с ясно изразена по-светла вежда и тънък тъмен „мустак“. Младите са с по-тъмно оперение и по-силно напетнени отдолу.</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Характер на пребиваване в страната</w:t>
      </w:r>
    </w:p>
    <w:p w:rsidR="00A8783E" w:rsidRPr="00A8783E" w:rsidRDefault="00A8783E" w:rsidP="00A8783E">
      <w:pPr>
        <w:spacing w:before="120" w:after="120" w:line="240" w:lineRule="auto"/>
        <w:jc w:val="both"/>
        <w:rPr>
          <w:rFonts w:ascii="Times New Roman" w:hAnsi="Times New Roman"/>
          <w:sz w:val="24"/>
          <w:szCs w:val="24"/>
          <w:lang w:val="ru-RU"/>
        </w:rPr>
      </w:pPr>
      <w:r w:rsidRPr="00A8783E">
        <w:rPr>
          <w:rFonts w:ascii="Times New Roman" w:hAnsi="Times New Roman"/>
          <w:sz w:val="24"/>
          <w:szCs w:val="24"/>
        </w:rPr>
        <w:lastRenderedPageBreak/>
        <w:t>В България ловният сокол е гнездещо-прелетен, постоянен и преминаващ вид (Симеонов и др., 1990). У нас зимуват индивиди от по-северни европейски страни. Есенната миграция е най-ясно изразена през септември.</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i/>
          <w:iCs/>
          <w:sz w:val="24"/>
          <w:szCs w:val="24"/>
        </w:rPr>
        <w:t>Характерно местообитание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През размножителния период ловният сокол обитава обширни открити територии в хълмисти, нископланински и равнинни местообитания с наличие на скали, но също долини, проломи, ждрела. Ловните територии са открити пространства, влажни зони, нискостъблени гори, храсталаци по открити  места с нисък тревостой и наличие на достатъчен брой дребни гризачи (особено полевки </w:t>
      </w:r>
      <w:r w:rsidRPr="00A8783E">
        <w:rPr>
          <w:rFonts w:ascii="Times New Roman" w:hAnsi="Times New Roman"/>
          <w:i/>
          <w:iCs/>
          <w:sz w:val="24"/>
          <w:szCs w:val="24"/>
        </w:rPr>
        <w:t>Microtus spp</w:t>
      </w:r>
      <w:r w:rsidRPr="00A8783E">
        <w:rPr>
          <w:rFonts w:ascii="Times New Roman" w:hAnsi="Times New Roman"/>
          <w:sz w:val="24"/>
          <w:szCs w:val="24"/>
        </w:rPr>
        <w:t xml:space="preserve">. и лалугери </w:t>
      </w:r>
      <w:r w:rsidRPr="00A8783E">
        <w:rPr>
          <w:rFonts w:ascii="Times New Roman" w:hAnsi="Times New Roman"/>
          <w:i/>
          <w:iCs/>
          <w:sz w:val="24"/>
          <w:szCs w:val="24"/>
        </w:rPr>
        <w:t>Spermophilus cilellus</w:t>
      </w:r>
      <w:r w:rsidRPr="00A8783E">
        <w:rPr>
          <w:rFonts w:ascii="Times New Roman" w:hAnsi="Times New Roman"/>
          <w:sz w:val="24"/>
          <w:szCs w:val="24"/>
        </w:rPr>
        <w:t xml:space="preserve">) или птици (обикновено с големина от скорец </w:t>
      </w:r>
      <w:r w:rsidRPr="00A8783E">
        <w:rPr>
          <w:rFonts w:ascii="Times New Roman" w:hAnsi="Times New Roman"/>
          <w:i/>
          <w:iCs/>
          <w:sz w:val="24"/>
          <w:szCs w:val="24"/>
        </w:rPr>
        <w:t>Sturnus vulgaris</w:t>
      </w:r>
      <w:r w:rsidRPr="00A8783E">
        <w:rPr>
          <w:rFonts w:ascii="Times New Roman" w:hAnsi="Times New Roman"/>
          <w:sz w:val="24"/>
          <w:szCs w:val="24"/>
        </w:rPr>
        <w:t xml:space="preserve">  до яребица </w:t>
      </w:r>
      <w:r w:rsidRPr="00A8783E">
        <w:rPr>
          <w:rFonts w:ascii="Times New Roman" w:hAnsi="Times New Roman"/>
          <w:i/>
          <w:iCs/>
          <w:sz w:val="24"/>
          <w:szCs w:val="24"/>
        </w:rPr>
        <w:t>Perdix perdix</w:t>
      </w:r>
      <w:r w:rsidRPr="00A8783E">
        <w:rPr>
          <w:rFonts w:ascii="Times New Roman" w:hAnsi="Times New Roman"/>
          <w:sz w:val="24"/>
          <w:szCs w:val="24"/>
        </w:rPr>
        <w:t xml:space="preserve">). През зимата соколите се срещат в места с висока концентрация на различни видове птици, използвани за храна – крайбрежия и други влажни зони, населени места, складове и силози за зърно, където ловуват на  полудиви  гълъби </w:t>
      </w:r>
      <w:r w:rsidRPr="00A8783E">
        <w:rPr>
          <w:rFonts w:ascii="Times New Roman" w:hAnsi="Times New Roman"/>
          <w:i/>
          <w:iCs/>
          <w:sz w:val="24"/>
          <w:szCs w:val="24"/>
        </w:rPr>
        <w:t>Columba livia f. Domestica</w:t>
      </w:r>
      <w:r w:rsidRPr="00A8783E">
        <w:rPr>
          <w:rFonts w:ascii="Times New Roman" w:hAnsi="Times New Roman"/>
          <w:i/>
          <w:iCs/>
          <w:sz w:val="24"/>
          <w:szCs w:val="24"/>
          <w:lang w:val="ru-RU"/>
        </w:rPr>
        <w:t xml:space="preserve"> </w:t>
      </w:r>
      <w:r w:rsidRPr="00A8783E">
        <w:rPr>
          <w:rFonts w:ascii="Times New Roman" w:hAnsi="Times New Roman"/>
          <w:sz w:val="24"/>
          <w:szCs w:val="24"/>
          <w:lang w:val="ru-RU"/>
        </w:rPr>
        <w:t>(</w:t>
      </w:r>
      <w:r w:rsidRPr="00A8783E">
        <w:rPr>
          <w:rFonts w:ascii="Times New Roman" w:hAnsi="Times New Roman"/>
          <w:sz w:val="24"/>
          <w:szCs w:val="24"/>
        </w:rPr>
        <w:t>Янков и кол. 2013</w:t>
      </w:r>
      <w:r w:rsidRPr="00A8783E">
        <w:rPr>
          <w:rFonts w:ascii="Times New Roman" w:hAnsi="Times New Roman"/>
          <w:sz w:val="24"/>
          <w:szCs w:val="24"/>
          <w:lang w:val="ru-RU"/>
        </w:rPr>
        <w:t>)</w:t>
      </w:r>
      <w:r w:rsidRPr="00A8783E">
        <w:rPr>
          <w:rFonts w:ascii="Times New Roman" w:hAnsi="Times New Roman"/>
          <w:sz w:val="24"/>
          <w:szCs w:val="24"/>
        </w:rPr>
        <w:t>. Гнезди в скални ниши и в стари гнезда на други птици на дървета. Снася 3-6 яйца, като има едно поколение годишно в периода март-юли.</w:t>
      </w:r>
      <w:r w:rsidRPr="00A8783E">
        <w:rPr>
          <w:rFonts w:ascii="Times New Roman" w:hAnsi="Times New Roman"/>
          <w:sz w:val="24"/>
          <w:szCs w:val="24"/>
          <w:lang w:val="ru-RU"/>
        </w:rPr>
        <w:t xml:space="preserve"> </w:t>
      </w:r>
      <w:r w:rsidRPr="00A8783E">
        <w:rPr>
          <w:rFonts w:ascii="Times New Roman" w:hAnsi="Times New Roman"/>
          <w:sz w:val="24"/>
          <w:szCs w:val="24"/>
        </w:rPr>
        <w:t>Някои от предпочитаните местообитания са 91Е0, 91</w:t>
      </w:r>
      <w:r w:rsidRPr="00A8783E">
        <w:rPr>
          <w:rFonts w:ascii="Times New Roman" w:hAnsi="Times New Roman"/>
          <w:sz w:val="24"/>
          <w:szCs w:val="24"/>
          <w:lang w:val="en-GB"/>
        </w:rPr>
        <w:t>F</w:t>
      </w:r>
      <w:r w:rsidRPr="00A8783E">
        <w:rPr>
          <w:rFonts w:ascii="Times New Roman" w:hAnsi="Times New Roman"/>
          <w:sz w:val="24"/>
          <w:szCs w:val="24"/>
        </w:rPr>
        <w:t xml:space="preserve">0, </w:t>
      </w:r>
      <w:r w:rsidRPr="00A8783E">
        <w:rPr>
          <w:rFonts w:ascii="Times New Roman" w:hAnsi="Times New Roman"/>
          <w:sz w:val="24"/>
          <w:szCs w:val="24"/>
          <w:lang w:val="ru-RU"/>
        </w:rPr>
        <w:t>6110, 8120</w:t>
      </w:r>
      <w:r w:rsidRPr="00A8783E">
        <w:rPr>
          <w:rFonts w:ascii="Times New Roman" w:hAnsi="Times New Roman"/>
          <w:sz w:val="24"/>
          <w:szCs w:val="24"/>
        </w:rPr>
        <w:t xml:space="preserve"> според Директивата за хабитатите (Кавръкова и др., 2009).</w:t>
      </w:r>
    </w:p>
    <w:p w:rsidR="00A8783E" w:rsidRPr="00A8783E" w:rsidRDefault="00A8783E" w:rsidP="00A8783E">
      <w:pPr>
        <w:spacing w:before="120" w:after="120" w:line="240" w:lineRule="auto"/>
        <w:jc w:val="both"/>
        <w:rPr>
          <w:rFonts w:ascii="Times New Roman" w:hAnsi="Times New Roman"/>
          <w:i/>
          <w:iCs/>
          <w:sz w:val="24"/>
          <w:szCs w:val="24"/>
        </w:rPr>
      </w:pPr>
      <w:r w:rsidRPr="00A8783E">
        <w:rPr>
          <w:rFonts w:ascii="Times New Roman" w:hAnsi="Times New Roman"/>
          <w:i/>
          <w:iCs/>
          <w:sz w:val="24"/>
          <w:szCs w:val="24"/>
        </w:rPr>
        <w:t>Хранене</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В България хранителният спектър на ловния сокол е слабо проучен и данните се базират предимно на отделни наблюдения.  Съществуват сезонни, локални и индивидуални различия относно най-често използваната храна, освен това видът има способността бързо да се адаптира към най-изобилната и лесно достъпна храна в даден момент (Янков и кол. 2013). Проучвания  в края на ХХ в. показват, че лалугерът (</w:t>
      </w:r>
      <w:r w:rsidRPr="00A8783E">
        <w:rPr>
          <w:rFonts w:ascii="Times New Roman" w:hAnsi="Times New Roman"/>
          <w:i/>
          <w:iCs/>
          <w:sz w:val="24"/>
          <w:szCs w:val="24"/>
        </w:rPr>
        <w:t>Spermophilus citellus</w:t>
      </w:r>
      <w:r w:rsidRPr="00A8783E">
        <w:rPr>
          <w:rFonts w:ascii="Times New Roman" w:hAnsi="Times New Roman"/>
          <w:sz w:val="24"/>
          <w:szCs w:val="24"/>
        </w:rPr>
        <w:t xml:space="preserve">) съставлява около 90% от храната на ловния сокол в България  (Baumgart, 1971). Освен с лалугери, видът се храни и с различни видове мишки и полевки, както и с някои по-дребни видове птици (Янков и кол. 2013).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2. Разпространение, природозащитно състояние и тенденции в популацията на вида на национално ниво</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 разпръснати и изолирани находища предимно в скалистите части на Стара планина, планините на Западна България, Родопите, Сакар и Странджа. Наблюдаван е през гнездовия сезон и в някои равннини или хълмисти райони и в по-високи части на планините (Янков отг. ред., 2007). През 2018 г. бе открито заето гнездо от вида в Южна България.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Природозащитният статус на ловният сокол според </w:t>
      </w:r>
      <w:r w:rsidRPr="00A8783E">
        <w:rPr>
          <w:rFonts w:ascii="Times New Roman" w:hAnsi="Times New Roman"/>
          <w:sz w:val="24"/>
          <w:szCs w:val="24"/>
          <w:lang w:val="en-GB"/>
        </w:rPr>
        <w:t>IUCN</w:t>
      </w:r>
      <w:r w:rsidRPr="00A8783E">
        <w:rPr>
          <w:rFonts w:ascii="Times New Roman" w:hAnsi="Times New Roman"/>
          <w:sz w:val="24"/>
          <w:szCs w:val="24"/>
          <w:lang w:val="ru-RU"/>
        </w:rPr>
        <w:t xml:space="preserve"> </w:t>
      </w:r>
      <w:r w:rsidRPr="00A8783E">
        <w:rPr>
          <w:rFonts w:ascii="Times New Roman" w:hAnsi="Times New Roman"/>
          <w:sz w:val="24"/>
          <w:szCs w:val="24"/>
        </w:rPr>
        <w:t>е</w:t>
      </w:r>
      <w:r w:rsidRPr="00A8783E">
        <w:rPr>
          <w:rFonts w:ascii="Times New Roman" w:hAnsi="Times New Roman"/>
          <w:sz w:val="24"/>
          <w:szCs w:val="24"/>
          <w:lang w:val="ru-RU"/>
        </w:rPr>
        <w:t xml:space="preserve"> </w:t>
      </w:r>
      <w:r w:rsidRPr="00A8783E">
        <w:rPr>
          <w:rFonts w:ascii="Times New Roman" w:hAnsi="Times New Roman"/>
          <w:sz w:val="24"/>
          <w:szCs w:val="24"/>
          <w:lang w:val="en-GB"/>
        </w:rPr>
        <w:t>EN</w:t>
      </w:r>
      <w:r w:rsidRPr="00A8783E">
        <w:rPr>
          <w:rFonts w:ascii="Times New Roman" w:hAnsi="Times New Roman"/>
          <w:sz w:val="24"/>
          <w:szCs w:val="24"/>
        </w:rPr>
        <w:t xml:space="preserve"> (</w:t>
      </w:r>
      <w:r w:rsidRPr="00A8783E">
        <w:rPr>
          <w:rFonts w:ascii="Times New Roman" w:hAnsi="Times New Roman"/>
          <w:sz w:val="24"/>
          <w:szCs w:val="24"/>
          <w:lang w:val="en-GB"/>
        </w:rPr>
        <w:t>Endangered</w:t>
      </w:r>
      <w:r w:rsidRPr="00A8783E">
        <w:rPr>
          <w:rFonts w:ascii="Times New Roman" w:hAnsi="Times New Roman"/>
          <w:sz w:val="24"/>
          <w:szCs w:val="24"/>
          <w:lang w:val="ru-RU"/>
        </w:rPr>
        <w:t>)</w:t>
      </w:r>
      <w:r w:rsidRPr="00A8783E">
        <w:rPr>
          <w:rFonts w:ascii="Times New Roman" w:hAnsi="Times New Roman"/>
          <w:sz w:val="24"/>
          <w:szCs w:val="24"/>
        </w:rPr>
        <w:t xml:space="preserve">. Видът е включен в </w:t>
      </w:r>
      <w:r w:rsidRPr="00A8783E">
        <w:rPr>
          <w:rFonts w:ascii="Times New Roman" w:hAnsi="Times New Roman"/>
          <w:sz w:val="24"/>
          <w:szCs w:val="24"/>
          <w:lang w:val="en-GB"/>
        </w:rPr>
        <w:t>SPEC</w:t>
      </w:r>
      <w:r w:rsidRPr="00A8783E">
        <w:rPr>
          <w:rFonts w:ascii="Times New Roman" w:hAnsi="Times New Roman"/>
          <w:sz w:val="24"/>
          <w:szCs w:val="24"/>
          <w:lang w:val="ru-RU"/>
        </w:rPr>
        <w:t xml:space="preserve"> 1</w:t>
      </w:r>
      <w:r w:rsidRPr="00A8783E">
        <w:rPr>
          <w:rFonts w:ascii="Times New Roman" w:hAnsi="Times New Roman"/>
          <w:sz w:val="24"/>
          <w:szCs w:val="24"/>
        </w:rPr>
        <w:t xml:space="preserve">. Включен е в Червената книга на Р България в категория „Критично застрашен“. Включен е в Приложение 1 на Директивата за птиците, както и в Приложения 2 и 3 на ЗБР.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Съгласно Докладването от 2019 г. (за периода 20</w:t>
      </w:r>
      <w:r w:rsidRPr="00A8783E">
        <w:rPr>
          <w:rFonts w:ascii="Times New Roman" w:hAnsi="Times New Roman"/>
          <w:sz w:val="24"/>
          <w:szCs w:val="24"/>
          <w:lang w:val="ru-RU"/>
        </w:rPr>
        <w:t>13</w:t>
      </w:r>
      <w:r w:rsidRPr="00A8783E">
        <w:rPr>
          <w:rFonts w:ascii="Times New Roman" w:hAnsi="Times New Roman"/>
          <w:sz w:val="24"/>
          <w:szCs w:val="24"/>
        </w:rPr>
        <w:t xml:space="preserve"> – 2018 г.) националната </w:t>
      </w:r>
      <w:r w:rsidRPr="00A8783E">
        <w:rPr>
          <w:rFonts w:ascii="Times New Roman" w:hAnsi="Times New Roman"/>
          <w:b/>
          <w:bCs/>
          <w:sz w:val="24"/>
          <w:szCs w:val="24"/>
        </w:rPr>
        <w:t>гнездяща</w:t>
      </w:r>
      <w:r w:rsidRPr="00A8783E">
        <w:rPr>
          <w:rFonts w:ascii="Times New Roman" w:hAnsi="Times New Roman"/>
          <w:sz w:val="24"/>
          <w:szCs w:val="24"/>
        </w:rPr>
        <w:t xml:space="preserve"> популация на вида се оценя на </w:t>
      </w:r>
      <w:r w:rsidRPr="00A8783E">
        <w:rPr>
          <w:rFonts w:ascii="Times New Roman" w:hAnsi="Times New Roman"/>
          <w:sz w:val="24"/>
          <w:szCs w:val="24"/>
          <w:lang w:val="ru-RU"/>
        </w:rPr>
        <w:t>0</w:t>
      </w:r>
      <w:r w:rsidRPr="00A8783E">
        <w:rPr>
          <w:rFonts w:ascii="Times New Roman" w:hAnsi="Times New Roman"/>
          <w:sz w:val="24"/>
          <w:szCs w:val="24"/>
        </w:rPr>
        <w:t xml:space="preserve"> – 10 двойки. Краткосрочната тенденция на популацията (за периода 2000 – 2018 г.) е намаляваща, а дългосрочната (за периода 1980 – 2018 г.) – също намаляваща. Краткосрочната тенденция на популацията в рамките на Натура 2000 е неизвестна.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t>Зимуващата</w:t>
      </w:r>
      <w:r w:rsidRPr="00A8783E">
        <w:rPr>
          <w:rFonts w:ascii="Times New Roman" w:hAnsi="Times New Roman"/>
          <w:sz w:val="24"/>
          <w:szCs w:val="24"/>
        </w:rPr>
        <w:t xml:space="preserve"> популация (за периода 2013 – 2018 г.) е оценена на 5 – 10 индивида. Краткосрочната тенденция на популацията (за периода 2007 – 2018 г.) е неизвестна, а дългосрочната (за периода 1980 – 2018 г.) – също неизвестна.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b/>
          <w:bCs/>
          <w:sz w:val="24"/>
          <w:szCs w:val="24"/>
        </w:rPr>
        <w:lastRenderedPageBreak/>
        <w:t>Мигриращата</w:t>
      </w:r>
      <w:r w:rsidRPr="00A8783E">
        <w:rPr>
          <w:rFonts w:ascii="Times New Roman" w:hAnsi="Times New Roman"/>
          <w:sz w:val="24"/>
          <w:szCs w:val="24"/>
        </w:rPr>
        <w:t xml:space="preserve"> национална популация (за периода 2013 – 2018 г.) е оценена на 50 – 80 индивида.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За гнездящата, мигриращата и зимуващата популация са посочени следните заплахи и влияния: A04, G05, F03, A02 и D06. </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3. Състояние в специална защитена зона BG0000241 „Сребърна“</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Съгласно Стандартния формуляр за данни видът се опазва в зоната като </w:t>
      </w:r>
      <w:r w:rsidRPr="00A8783E">
        <w:rPr>
          <w:rFonts w:ascii="Times New Roman" w:hAnsi="Times New Roman"/>
          <w:b/>
          <w:bCs/>
          <w:sz w:val="24"/>
          <w:szCs w:val="24"/>
        </w:rPr>
        <w:t>гнездящ</w:t>
      </w:r>
      <w:r w:rsidRPr="00A8783E">
        <w:rPr>
          <w:rFonts w:ascii="Times New Roman" w:hAnsi="Times New Roman"/>
          <w:sz w:val="24"/>
          <w:szCs w:val="24"/>
        </w:rPr>
        <w:t xml:space="preserve"> с численост </w:t>
      </w:r>
      <w:r w:rsidRPr="00A8783E">
        <w:rPr>
          <w:rFonts w:ascii="Times New Roman" w:hAnsi="Times New Roman"/>
          <w:b/>
          <w:bCs/>
          <w:sz w:val="24"/>
          <w:szCs w:val="24"/>
        </w:rPr>
        <w:t>1-2 двойки</w:t>
      </w:r>
      <w:r w:rsidRPr="00A8783E">
        <w:rPr>
          <w:rFonts w:ascii="Times New Roman" w:hAnsi="Times New Roman"/>
          <w:sz w:val="24"/>
          <w:szCs w:val="24"/>
        </w:rPr>
        <w:t xml:space="preserve">, което е </w:t>
      </w:r>
      <w:r w:rsidRPr="00A8783E">
        <w:rPr>
          <w:rFonts w:ascii="Times New Roman" w:hAnsi="Times New Roman"/>
          <w:sz w:val="24"/>
          <w:szCs w:val="24"/>
          <w:lang w:val="ru-RU"/>
        </w:rPr>
        <w:t>10</w:t>
      </w:r>
      <w:r w:rsidRPr="00A8783E">
        <w:rPr>
          <w:rFonts w:ascii="Times New Roman" w:hAnsi="Times New Roman"/>
          <w:sz w:val="24"/>
          <w:szCs w:val="24"/>
        </w:rPr>
        <w:t>-</w:t>
      </w:r>
      <w:r w:rsidRPr="00A8783E">
        <w:rPr>
          <w:rFonts w:ascii="Times New Roman" w:hAnsi="Times New Roman"/>
          <w:sz w:val="24"/>
          <w:szCs w:val="24"/>
          <w:lang w:val="ru-RU"/>
        </w:rPr>
        <w:t>20</w:t>
      </w:r>
      <w:r w:rsidRPr="00A8783E">
        <w:rPr>
          <w:rFonts w:ascii="Times New Roman" w:hAnsi="Times New Roman"/>
          <w:sz w:val="24"/>
          <w:szCs w:val="24"/>
        </w:rPr>
        <w:t xml:space="preserve"> % от националната гнездяща популация на вида </w:t>
      </w:r>
      <w:r w:rsidRPr="00A8783E">
        <w:rPr>
          <w:rFonts w:ascii="Times New Roman" w:hAnsi="Times New Roman"/>
          <w:sz w:val="24"/>
          <w:szCs w:val="24"/>
          <w:lang w:val="ru-RU"/>
        </w:rPr>
        <w:t>(</w:t>
      </w:r>
      <w:r w:rsidRPr="00A8783E">
        <w:rPr>
          <w:rFonts w:ascii="Times New Roman" w:hAnsi="Times New Roman"/>
          <w:sz w:val="24"/>
          <w:szCs w:val="24"/>
        </w:rPr>
        <w:t>оценка „</w:t>
      </w:r>
      <w:r w:rsidRPr="00A8783E">
        <w:rPr>
          <w:rFonts w:ascii="Times New Roman" w:hAnsi="Times New Roman"/>
          <w:sz w:val="24"/>
          <w:szCs w:val="24"/>
          <w:lang w:val="en-GB"/>
        </w:rPr>
        <w:t>C</w:t>
      </w:r>
      <w:r w:rsidRPr="00A8783E">
        <w:rPr>
          <w:rFonts w:ascii="Times New Roman" w:hAnsi="Times New Roman"/>
          <w:sz w:val="24"/>
          <w:szCs w:val="24"/>
        </w:rPr>
        <w:t>“</w:t>
      </w:r>
      <w:r w:rsidRPr="00A8783E">
        <w:rPr>
          <w:rFonts w:ascii="Times New Roman" w:hAnsi="Times New Roman"/>
          <w:sz w:val="24"/>
          <w:szCs w:val="24"/>
          <w:lang w:val="ru-RU"/>
        </w:rPr>
        <w:t>)</w:t>
      </w:r>
      <w:r w:rsidRPr="00A8783E">
        <w:rPr>
          <w:rFonts w:ascii="Times New Roman" w:hAnsi="Times New Roman"/>
          <w:sz w:val="24"/>
          <w:szCs w:val="24"/>
        </w:rPr>
        <w:t>. Опазването на вида е добро (оценка „</w:t>
      </w:r>
      <w:r w:rsidRPr="00A8783E">
        <w:rPr>
          <w:rFonts w:ascii="Times New Roman" w:hAnsi="Times New Roman"/>
          <w:sz w:val="24"/>
          <w:szCs w:val="24"/>
          <w:lang w:val="en-GB"/>
        </w:rPr>
        <w:t>B</w:t>
      </w:r>
      <w:r w:rsidRPr="00A8783E">
        <w:rPr>
          <w:rFonts w:ascii="Times New Roman" w:hAnsi="Times New Roman"/>
          <w:sz w:val="24"/>
          <w:szCs w:val="24"/>
        </w:rPr>
        <w:t>“), популацията не е изолирана в границите на</w:t>
      </w:r>
      <w:r w:rsidRPr="00A8783E">
        <w:rPr>
          <w:rFonts w:ascii="Times New Roman" w:hAnsi="Times New Roman"/>
          <w:sz w:val="24"/>
          <w:szCs w:val="24"/>
          <w:lang w:val="ru-RU"/>
        </w:rPr>
        <w:t xml:space="preserve"> </w:t>
      </w:r>
      <w:r w:rsidRPr="00A8783E">
        <w:rPr>
          <w:rFonts w:ascii="Times New Roman" w:hAnsi="Times New Roman"/>
          <w:sz w:val="24"/>
          <w:szCs w:val="24"/>
        </w:rPr>
        <w:t>ареала на разпространение (оценка „</w:t>
      </w:r>
      <w:r w:rsidRPr="00A8783E">
        <w:rPr>
          <w:rFonts w:ascii="Times New Roman" w:hAnsi="Times New Roman"/>
          <w:sz w:val="24"/>
          <w:szCs w:val="24"/>
          <w:lang w:val="en-GB"/>
        </w:rPr>
        <w:t>B</w:t>
      </w:r>
      <w:r w:rsidRPr="00A8783E">
        <w:rPr>
          <w:rFonts w:ascii="Times New Roman" w:hAnsi="Times New Roman"/>
          <w:sz w:val="24"/>
          <w:szCs w:val="24"/>
        </w:rPr>
        <w:t>“). Общата оценка на стойността на зоната за съхранение на вида е „</w:t>
      </w:r>
      <w:r w:rsidRPr="00A8783E">
        <w:rPr>
          <w:rFonts w:ascii="Times New Roman" w:hAnsi="Times New Roman"/>
          <w:sz w:val="24"/>
          <w:szCs w:val="24"/>
          <w:lang w:val="en-GB"/>
        </w:rPr>
        <w:t>B</w:t>
      </w:r>
      <w:r w:rsidRPr="00A8783E">
        <w:rPr>
          <w:rFonts w:ascii="Times New Roman" w:hAnsi="Times New Roman"/>
          <w:sz w:val="24"/>
          <w:szCs w:val="24"/>
        </w:rPr>
        <w:t>“ – добра стойност.</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 xml:space="preserve">4. Анализ на наличната информация </w:t>
      </w:r>
    </w:p>
    <w:p w:rsidR="00A8783E" w:rsidRPr="00A8783E" w:rsidRDefault="00A8783E" w:rsidP="00A8783E">
      <w:pPr>
        <w:spacing w:before="120" w:after="120" w:line="240" w:lineRule="auto"/>
        <w:jc w:val="both"/>
        <w:rPr>
          <w:rFonts w:ascii="Times New Roman" w:hAnsi="Times New Roman"/>
          <w:sz w:val="24"/>
          <w:szCs w:val="24"/>
        </w:rPr>
      </w:pPr>
      <w:r w:rsidRPr="00A8783E">
        <w:rPr>
          <w:rFonts w:ascii="Times New Roman" w:hAnsi="Times New Roman"/>
          <w:sz w:val="24"/>
          <w:szCs w:val="24"/>
        </w:rPr>
        <w:t xml:space="preserve">Ловният сокол е изключително рядък вид в страната. Съгласно Червената книга на Р България последното регистрирано гнездене за страната е от 1997 г. </w:t>
      </w:r>
      <w:r w:rsidRPr="00A8783E">
        <w:rPr>
          <w:rFonts w:ascii="Times New Roman" w:hAnsi="Times New Roman"/>
          <w:b/>
          <w:sz w:val="24"/>
          <w:szCs w:val="24"/>
        </w:rPr>
        <w:t>Той не е гнездящ вид по поречието на р. Дунав</w:t>
      </w:r>
      <w:r w:rsidRPr="00A8783E">
        <w:rPr>
          <w:rFonts w:ascii="Times New Roman" w:hAnsi="Times New Roman"/>
          <w:sz w:val="24"/>
          <w:szCs w:val="24"/>
        </w:rPr>
        <w:t xml:space="preserve"> и може да бъде наблюдаван нерегулярно по време на миграция и зимуване (</w:t>
      </w:r>
      <w:r w:rsidRPr="00A8783E">
        <w:rPr>
          <w:rFonts w:ascii="Times New Roman" w:hAnsi="Times New Roman"/>
          <w:sz w:val="24"/>
          <w:szCs w:val="24"/>
          <w:lang w:val="en-US"/>
        </w:rPr>
        <w:t>Cheshmedzhiev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w:t>
      </w:r>
      <w:r w:rsidRPr="00A8783E">
        <w:rPr>
          <w:rFonts w:ascii="Times New Roman" w:hAnsi="Times New Roman"/>
          <w:sz w:val="24"/>
          <w:szCs w:val="24"/>
          <w:lang w:val="en-US"/>
        </w:rPr>
        <w:t>in</w:t>
      </w:r>
      <w:r w:rsidRPr="00A8783E">
        <w:rPr>
          <w:rFonts w:ascii="Times New Roman" w:hAnsi="Times New Roman"/>
          <w:sz w:val="24"/>
          <w:szCs w:val="24"/>
        </w:rPr>
        <w:t xml:space="preserve"> </w:t>
      </w:r>
      <w:r w:rsidRPr="00A8783E">
        <w:rPr>
          <w:rFonts w:ascii="Times New Roman" w:hAnsi="Times New Roman"/>
          <w:sz w:val="24"/>
          <w:szCs w:val="24"/>
          <w:lang w:val="en-US"/>
        </w:rPr>
        <w:t>Shurulinkov</w:t>
      </w:r>
      <w:r w:rsidRPr="00A8783E">
        <w:rPr>
          <w:rFonts w:ascii="Times New Roman" w:hAnsi="Times New Roman"/>
          <w:sz w:val="24"/>
          <w:szCs w:val="24"/>
        </w:rPr>
        <w:t xml:space="preserve"> </w:t>
      </w:r>
      <w:r w:rsidRPr="00A8783E">
        <w:rPr>
          <w:rFonts w:ascii="Times New Roman" w:hAnsi="Times New Roman"/>
          <w:sz w:val="24"/>
          <w:szCs w:val="24"/>
          <w:lang w:val="en-US"/>
        </w:rPr>
        <w:t>et</w:t>
      </w:r>
      <w:r w:rsidRPr="00A8783E">
        <w:rPr>
          <w:rFonts w:ascii="Times New Roman" w:hAnsi="Times New Roman"/>
          <w:sz w:val="24"/>
          <w:szCs w:val="24"/>
        </w:rPr>
        <w:t xml:space="preserve"> </w:t>
      </w:r>
      <w:r w:rsidRPr="00A8783E">
        <w:rPr>
          <w:rFonts w:ascii="Times New Roman" w:hAnsi="Times New Roman"/>
          <w:sz w:val="24"/>
          <w:szCs w:val="24"/>
          <w:lang w:val="en-US"/>
        </w:rPr>
        <w:t>al</w:t>
      </w:r>
      <w:r w:rsidRPr="00A8783E">
        <w:rPr>
          <w:rFonts w:ascii="Times New Roman" w:hAnsi="Times New Roman"/>
          <w:sz w:val="24"/>
          <w:szCs w:val="24"/>
        </w:rPr>
        <w:t xml:space="preserve">., 2019). Видът не е съобщен за ОВМ „Сребърна“ </w:t>
      </w:r>
      <w:r w:rsidRPr="00A8783E">
        <w:rPr>
          <w:rFonts w:ascii="Times New Roman" w:hAnsi="Times New Roman"/>
          <w:sz w:val="24"/>
          <w:szCs w:val="24"/>
          <w:lang w:val="ru-RU"/>
        </w:rPr>
        <w:t>(</w:t>
      </w:r>
      <w:r w:rsidRPr="00A8783E">
        <w:rPr>
          <w:rFonts w:ascii="Times New Roman" w:hAnsi="Times New Roman"/>
          <w:sz w:val="24"/>
          <w:szCs w:val="24"/>
        </w:rPr>
        <w:t>Петков и др. в Костадинова и Граматиков, 2007</w:t>
      </w:r>
      <w:r w:rsidRPr="00A8783E">
        <w:rPr>
          <w:rFonts w:ascii="Times New Roman" w:hAnsi="Times New Roman"/>
          <w:sz w:val="24"/>
          <w:szCs w:val="24"/>
          <w:lang w:val="ru-RU"/>
        </w:rPr>
        <w:t>).</w:t>
      </w:r>
      <w:r w:rsidRPr="00A8783E">
        <w:rPr>
          <w:rFonts w:ascii="Times New Roman" w:hAnsi="Times New Roman"/>
          <w:sz w:val="24"/>
          <w:szCs w:val="24"/>
        </w:rPr>
        <w:t xml:space="preserve"> Съгласно данните от </w:t>
      </w:r>
      <w:r w:rsidRPr="00A8783E">
        <w:rPr>
          <w:rFonts w:ascii="Times New Roman" w:hAnsi="Times New Roman"/>
          <w:sz w:val="24"/>
          <w:szCs w:val="24"/>
          <w:lang w:val="en-US"/>
        </w:rPr>
        <w:t>eBird</w:t>
      </w:r>
      <w:r w:rsidRPr="00A8783E">
        <w:rPr>
          <w:rFonts w:ascii="Times New Roman" w:hAnsi="Times New Roman"/>
          <w:sz w:val="24"/>
          <w:szCs w:val="24"/>
        </w:rPr>
        <w:t xml:space="preserve"> видът не е наблюдаван в зоната. Поради това предлагаме вида в зоната да се разглежда като мигриращ, а не като гнездящ.</w:t>
      </w:r>
    </w:p>
    <w:p w:rsidR="00A8783E" w:rsidRPr="00A8783E" w:rsidRDefault="00A8783E" w:rsidP="00A8783E">
      <w:pPr>
        <w:spacing w:before="120" w:after="120" w:line="240" w:lineRule="auto"/>
        <w:jc w:val="both"/>
        <w:rPr>
          <w:rFonts w:ascii="Times New Roman" w:hAnsi="Times New Roman"/>
          <w:b/>
          <w:bCs/>
          <w:sz w:val="24"/>
          <w:szCs w:val="24"/>
        </w:rPr>
      </w:pPr>
      <w:r w:rsidRPr="00A8783E">
        <w:rPr>
          <w:rFonts w:ascii="Times New Roman" w:hAnsi="Times New Roman"/>
          <w:b/>
          <w:bCs/>
          <w:sz w:val="24"/>
          <w:szCs w:val="24"/>
        </w:rPr>
        <w:t>5. Параметри за определяне на специфичните природозащитни цели за вида в зоната</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134"/>
        <w:gridCol w:w="1417"/>
        <w:gridCol w:w="2840"/>
        <w:gridCol w:w="2277"/>
      </w:tblGrid>
      <w:tr w:rsidR="00A8783E" w:rsidRPr="00A8783E" w:rsidTr="005B5318">
        <w:trPr>
          <w:tblHeader/>
          <w:jc w:val="center"/>
        </w:trPr>
        <w:tc>
          <w:tcPr>
            <w:tcW w:w="1555"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Параметър</w:t>
            </w:r>
          </w:p>
        </w:tc>
        <w:tc>
          <w:tcPr>
            <w:tcW w:w="1134"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Мерна единица </w:t>
            </w:r>
          </w:p>
        </w:tc>
        <w:tc>
          <w:tcPr>
            <w:tcW w:w="1417"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Целева стойност </w:t>
            </w:r>
          </w:p>
        </w:tc>
        <w:tc>
          <w:tcPr>
            <w:tcW w:w="2840"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Допълнителна информация </w:t>
            </w:r>
          </w:p>
        </w:tc>
        <w:tc>
          <w:tcPr>
            <w:tcW w:w="2277" w:type="dxa"/>
            <w:shd w:val="clear" w:color="auto" w:fill="DBE5F1"/>
            <w:vAlign w:val="center"/>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Специфични за зоната цели за опазване </w:t>
            </w:r>
          </w:p>
        </w:tc>
      </w:tr>
      <w:tr w:rsidR="00A8783E" w:rsidRPr="00A8783E" w:rsidTr="005B5318">
        <w:trPr>
          <w:jc w:val="center"/>
        </w:trPr>
        <w:tc>
          <w:tcPr>
            <w:tcW w:w="1555"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Популация: </w:t>
            </w:r>
            <w:r w:rsidRPr="00A8783E">
              <w:rPr>
                <w:rFonts w:ascii="Times New Roman" w:hAnsi="Times New Roman"/>
              </w:rPr>
              <w:t>Размер на мигриращата популацията</w:t>
            </w:r>
          </w:p>
        </w:tc>
        <w:tc>
          <w:tcPr>
            <w:tcW w:w="1134"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Брой индивиди</w:t>
            </w:r>
          </w:p>
        </w:tc>
        <w:tc>
          <w:tcPr>
            <w:tcW w:w="141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1 инд.</w:t>
            </w:r>
          </w:p>
        </w:tc>
        <w:tc>
          <w:tcPr>
            <w:tcW w:w="284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Определена на база на теренните проучвания през 2021 г. и други налични данни за вида в зоната.</w:t>
            </w:r>
          </w:p>
        </w:tc>
        <w:tc>
          <w:tcPr>
            <w:tcW w:w="227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Провеждане на проучване до 2025 г. за установяване  числеността на мигриращата популация.</w:t>
            </w:r>
          </w:p>
        </w:tc>
      </w:tr>
      <w:tr w:rsidR="00A8783E" w:rsidRPr="00A8783E" w:rsidTr="005B5318">
        <w:trPr>
          <w:jc w:val="center"/>
        </w:trPr>
        <w:tc>
          <w:tcPr>
            <w:tcW w:w="1555" w:type="dxa"/>
          </w:tcPr>
          <w:p w:rsidR="00A8783E" w:rsidRPr="00A8783E" w:rsidRDefault="00A8783E" w:rsidP="00A8783E">
            <w:pPr>
              <w:spacing w:after="0" w:line="240" w:lineRule="auto"/>
              <w:jc w:val="both"/>
              <w:rPr>
                <w:rFonts w:ascii="Times New Roman" w:hAnsi="Times New Roman"/>
                <w:b/>
                <w:bCs/>
              </w:rPr>
            </w:pPr>
            <w:r w:rsidRPr="00A8783E">
              <w:rPr>
                <w:rFonts w:ascii="Times New Roman" w:hAnsi="Times New Roman"/>
                <w:b/>
                <w:bCs/>
              </w:rPr>
              <w:t xml:space="preserve">Местообитание на вида: </w:t>
            </w:r>
            <w:r w:rsidRPr="00A8783E">
              <w:rPr>
                <w:rFonts w:ascii="Times New Roman" w:hAnsi="Times New Roman"/>
              </w:rPr>
              <w:t>Площ на подходящите гнездови местообитания на вида</w:t>
            </w:r>
          </w:p>
        </w:tc>
        <w:tc>
          <w:tcPr>
            <w:tcW w:w="1134" w:type="dxa"/>
          </w:tcPr>
          <w:p w:rsidR="00A8783E" w:rsidRPr="00A8783E" w:rsidRDefault="00A8783E" w:rsidP="00A8783E">
            <w:pPr>
              <w:spacing w:after="0" w:line="240" w:lineRule="auto"/>
              <w:jc w:val="both"/>
              <w:rPr>
                <w:rFonts w:ascii="Times New Roman" w:hAnsi="Times New Roman"/>
                <w:lang w:val="en-US"/>
              </w:rPr>
            </w:pPr>
            <w:r w:rsidRPr="00A8783E">
              <w:rPr>
                <w:rFonts w:ascii="Times New Roman" w:hAnsi="Times New Roman"/>
                <w:lang w:val="en-US"/>
              </w:rPr>
              <w:t>ha</w:t>
            </w:r>
          </w:p>
        </w:tc>
        <w:tc>
          <w:tcPr>
            <w:tcW w:w="141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Най-малко 318</w:t>
            </w:r>
          </w:p>
        </w:tc>
        <w:tc>
          <w:tcPr>
            <w:tcW w:w="2840"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 xml:space="preserve">Определена на база % участие на местообитание </w:t>
            </w:r>
            <w:r w:rsidRPr="00A8783E">
              <w:rPr>
                <w:rFonts w:ascii="Times New Roman" w:hAnsi="Times New Roman"/>
                <w:lang w:val="en-US"/>
              </w:rPr>
              <w:t>N</w:t>
            </w:r>
            <w:r w:rsidRPr="00A8783E">
              <w:rPr>
                <w:rFonts w:ascii="Times New Roman" w:hAnsi="Times New Roman"/>
                <w:lang w:val="ru-RU"/>
              </w:rPr>
              <w:t xml:space="preserve">08, </w:t>
            </w:r>
            <w:r w:rsidRPr="00A8783E">
              <w:rPr>
                <w:rFonts w:ascii="Times New Roman" w:hAnsi="Times New Roman"/>
                <w:lang w:val="en-US"/>
              </w:rPr>
              <w:t>N</w:t>
            </w:r>
            <w:r w:rsidRPr="00A8783E">
              <w:rPr>
                <w:rFonts w:ascii="Times New Roman" w:hAnsi="Times New Roman"/>
                <w:lang w:val="ru-RU"/>
              </w:rPr>
              <w:t xml:space="preserve">09 и  </w:t>
            </w:r>
            <w:r w:rsidRPr="00A8783E">
              <w:rPr>
                <w:rFonts w:ascii="Times New Roman" w:hAnsi="Times New Roman"/>
                <w:lang w:val="en-US"/>
              </w:rPr>
              <w:t>N</w:t>
            </w:r>
            <w:r w:rsidRPr="00A8783E">
              <w:rPr>
                <w:rFonts w:ascii="Times New Roman" w:hAnsi="Times New Roman"/>
                <w:lang w:val="ru-RU"/>
              </w:rPr>
              <w:t xml:space="preserve">15 </w:t>
            </w:r>
            <w:r w:rsidRPr="00A8783E">
              <w:rPr>
                <w:rFonts w:ascii="Times New Roman" w:hAnsi="Times New Roman"/>
              </w:rPr>
              <w:t>- Равнини, шубраци; Сухи ливади, степи; Други обработваеми земи в зоната.</w:t>
            </w:r>
          </w:p>
        </w:tc>
        <w:tc>
          <w:tcPr>
            <w:tcW w:w="2277" w:type="dxa"/>
          </w:tcPr>
          <w:p w:rsidR="00A8783E" w:rsidRPr="00A8783E" w:rsidRDefault="00A8783E" w:rsidP="00A8783E">
            <w:pPr>
              <w:spacing w:after="0" w:line="240" w:lineRule="auto"/>
              <w:jc w:val="both"/>
              <w:rPr>
                <w:rFonts w:ascii="Times New Roman" w:hAnsi="Times New Roman"/>
              </w:rPr>
            </w:pPr>
            <w:r w:rsidRPr="00A8783E">
              <w:rPr>
                <w:rFonts w:ascii="Times New Roman" w:hAnsi="Times New Roman"/>
              </w:rPr>
              <w:t>Поддържане на площта на подходящите местообитания за ловуване на вида в защитената зона, в размер на най-малко 318 ha.</w:t>
            </w:r>
          </w:p>
        </w:tc>
      </w:tr>
    </w:tbl>
    <w:p w:rsidR="00A8783E" w:rsidRPr="00A8783E" w:rsidRDefault="00A8783E" w:rsidP="00A8783E">
      <w:pPr>
        <w:spacing w:before="120" w:after="120" w:line="259" w:lineRule="auto"/>
        <w:jc w:val="both"/>
        <w:rPr>
          <w:rFonts w:ascii="Times New Roman" w:hAnsi="Times New Roman"/>
          <w:b/>
          <w:bCs/>
          <w:sz w:val="24"/>
          <w:szCs w:val="24"/>
        </w:rPr>
      </w:pPr>
      <w:r w:rsidRPr="00A8783E">
        <w:rPr>
          <w:rFonts w:ascii="Times New Roman" w:hAnsi="Times New Roman"/>
          <w:b/>
          <w:bCs/>
          <w:sz w:val="24"/>
          <w:szCs w:val="24"/>
        </w:rPr>
        <w:t xml:space="preserve">Необходимост от промени в СФ </w:t>
      </w:r>
    </w:p>
    <w:p w:rsidR="00A8783E" w:rsidRPr="00A8783E" w:rsidRDefault="00A8783E" w:rsidP="00A8783E">
      <w:pPr>
        <w:spacing w:before="120" w:after="120" w:line="259" w:lineRule="auto"/>
        <w:jc w:val="both"/>
        <w:rPr>
          <w:rFonts w:ascii="Times New Roman" w:hAnsi="Times New Roman"/>
          <w:sz w:val="24"/>
          <w:szCs w:val="24"/>
        </w:rPr>
      </w:pPr>
      <w:r w:rsidRPr="00A8783E">
        <w:rPr>
          <w:rFonts w:ascii="Times New Roman" w:hAnsi="Times New Roman"/>
          <w:sz w:val="24"/>
          <w:szCs w:val="24"/>
        </w:rPr>
        <w:t xml:space="preserve">По отношение на класификацията в колона </w:t>
      </w:r>
      <w:r w:rsidRPr="00A8783E">
        <w:rPr>
          <w:rFonts w:ascii="Times New Roman" w:hAnsi="Times New Roman"/>
          <w:sz w:val="24"/>
          <w:szCs w:val="24"/>
          <w:lang w:val="en-US"/>
        </w:rPr>
        <w:t>T</w:t>
      </w:r>
      <w:r w:rsidRPr="00A8783E">
        <w:rPr>
          <w:rFonts w:ascii="Times New Roman" w:hAnsi="Times New Roman"/>
          <w:sz w:val="24"/>
          <w:szCs w:val="24"/>
        </w:rPr>
        <w:t xml:space="preserve"> предлагаме категорията на вида да бъде променена от </w:t>
      </w:r>
      <w:r w:rsidRPr="00A8783E">
        <w:rPr>
          <w:rFonts w:ascii="Times New Roman" w:hAnsi="Times New Roman"/>
          <w:sz w:val="24"/>
          <w:szCs w:val="24"/>
          <w:lang w:val="en-US"/>
        </w:rPr>
        <w:t>r</w:t>
      </w:r>
      <w:r w:rsidRPr="00A8783E">
        <w:rPr>
          <w:rFonts w:ascii="Times New Roman" w:hAnsi="Times New Roman"/>
          <w:sz w:val="24"/>
          <w:szCs w:val="24"/>
          <w:lang w:val="ru-RU"/>
        </w:rPr>
        <w:t xml:space="preserve"> </w:t>
      </w:r>
      <w:r w:rsidRPr="00A8783E">
        <w:rPr>
          <w:rFonts w:ascii="Times New Roman" w:hAnsi="Times New Roman"/>
          <w:sz w:val="24"/>
          <w:szCs w:val="24"/>
        </w:rPr>
        <w:t>(размножаващ се) на c (мигриращ). Ловният сокол е изключително рядък вид в страната. Съгласно Червената книга на Р България последното регистрирано гнездене за страната е от 1997 г. Той не е гнездящ вид по поречието на р. Дунав и може да бъде наблюдаван нерегулярно по време на миграция и зимуване (Cheshmedzhiev et al. in Shurulinkov et al.,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661"/>
        <w:gridCol w:w="1234"/>
        <w:gridCol w:w="328"/>
        <w:gridCol w:w="483"/>
        <w:gridCol w:w="350"/>
        <w:gridCol w:w="572"/>
        <w:gridCol w:w="605"/>
        <w:gridCol w:w="594"/>
        <w:gridCol w:w="578"/>
        <w:gridCol w:w="839"/>
        <w:gridCol w:w="950"/>
        <w:gridCol w:w="622"/>
        <w:gridCol w:w="522"/>
        <w:gridCol w:w="578"/>
      </w:tblGrid>
      <w:tr w:rsidR="00A8783E" w:rsidRPr="00A8783E" w:rsidTr="005B5318">
        <w:trPr>
          <w:jc w:val="center"/>
        </w:trPr>
        <w:tc>
          <w:tcPr>
            <w:tcW w:w="0" w:type="auto"/>
            <w:gridSpan w:val="5"/>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Species</w:t>
            </w:r>
          </w:p>
        </w:tc>
        <w:tc>
          <w:tcPr>
            <w:tcW w:w="0" w:type="auto"/>
            <w:gridSpan w:val="6"/>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Population in the site</w:t>
            </w:r>
          </w:p>
        </w:tc>
        <w:tc>
          <w:tcPr>
            <w:tcW w:w="0" w:type="auto"/>
            <w:gridSpan w:val="4"/>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Site assessment</w:t>
            </w:r>
          </w:p>
        </w:tc>
      </w:tr>
      <w:tr w:rsidR="00A8783E" w:rsidRPr="00A8783E" w:rsidTr="005B5318">
        <w:trPr>
          <w:jc w:val="center"/>
        </w:trPr>
        <w:tc>
          <w:tcPr>
            <w:tcW w:w="0" w:type="auto"/>
            <w:vMerge w:val="restart"/>
            <w:shd w:val="clear" w:color="auto" w:fill="D9D9D9"/>
            <w:vAlign w:val="center"/>
          </w:tcPr>
          <w:p w:rsidR="00A8783E" w:rsidRPr="00A8783E" w:rsidRDefault="00A8783E" w:rsidP="00A8783E">
            <w:pPr>
              <w:spacing w:before="120" w:after="120" w:line="259" w:lineRule="auto"/>
              <w:jc w:val="both"/>
              <w:rPr>
                <w:rFonts w:ascii="Times New Roman" w:hAnsi="Times New Roman"/>
                <w:b/>
                <w:bCs/>
                <w:sz w:val="20"/>
                <w:szCs w:val="20"/>
              </w:rPr>
            </w:pPr>
            <w:r w:rsidRPr="00A8783E">
              <w:rPr>
                <w:rFonts w:ascii="Times New Roman" w:hAnsi="Times New Roman"/>
                <w:b/>
                <w:bCs/>
                <w:sz w:val="20"/>
                <w:szCs w:val="20"/>
              </w:rPr>
              <w:t>G</w:t>
            </w:r>
          </w:p>
        </w:tc>
        <w:tc>
          <w:tcPr>
            <w:tcW w:w="0" w:type="auto"/>
            <w:vMerge w:val="restart"/>
            <w:shd w:val="clear" w:color="auto" w:fill="D9D9D9"/>
            <w:vAlign w:val="center"/>
          </w:tcPr>
          <w:p w:rsidR="00A8783E" w:rsidRPr="00A8783E" w:rsidRDefault="00A8783E" w:rsidP="00A8783E">
            <w:pPr>
              <w:spacing w:before="120" w:after="120" w:line="259" w:lineRule="auto"/>
              <w:jc w:val="both"/>
              <w:rPr>
                <w:rFonts w:ascii="Times New Roman" w:hAnsi="Times New Roman"/>
                <w:b/>
                <w:bCs/>
                <w:sz w:val="20"/>
                <w:szCs w:val="20"/>
              </w:rPr>
            </w:pPr>
            <w:r w:rsidRPr="00A8783E">
              <w:rPr>
                <w:rFonts w:ascii="Times New Roman" w:hAnsi="Times New Roman"/>
                <w:b/>
                <w:bCs/>
                <w:sz w:val="20"/>
                <w:szCs w:val="20"/>
              </w:rPr>
              <w:t>Code</w:t>
            </w:r>
          </w:p>
        </w:tc>
        <w:tc>
          <w:tcPr>
            <w:tcW w:w="0" w:type="auto"/>
            <w:vMerge w:val="restart"/>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 xml:space="preserve">Scientific </w:t>
            </w:r>
            <w:r w:rsidRPr="00A8783E">
              <w:rPr>
                <w:rFonts w:ascii="Times New Roman" w:hAnsi="Times New Roman"/>
                <w:b/>
                <w:bCs/>
                <w:color w:val="000000"/>
                <w:sz w:val="20"/>
                <w:szCs w:val="20"/>
              </w:rPr>
              <w:lastRenderedPageBreak/>
              <w:t>Name</w:t>
            </w:r>
          </w:p>
        </w:tc>
        <w:tc>
          <w:tcPr>
            <w:tcW w:w="0" w:type="auto"/>
            <w:vMerge w:val="restart"/>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lastRenderedPageBreak/>
              <w:t>S</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NP</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T</w:t>
            </w:r>
          </w:p>
        </w:tc>
        <w:tc>
          <w:tcPr>
            <w:tcW w:w="0" w:type="auto"/>
            <w:gridSpan w:val="2"/>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Size</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Unit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Cat.</w:t>
            </w:r>
          </w:p>
        </w:tc>
        <w:tc>
          <w:tcPr>
            <w:tcW w:w="0" w:type="auto"/>
            <w:vMerge w:val="restart"/>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D.qual.</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A/B/C/D</w:t>
            </w:r>
          </w:p>
        </w:tc>
        <w:tc>
          <w:tcPr>
            <w:tcW w:w="0" w:type="auto"/>
            <w:gridSpan w:val="3"/>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A/B/C</w:t>
            </w:r>
          </w:p>
        </w:tc>
      </w:tr>
      <w:tr w:rsidR="00A8783E" w:rsidRPr="00A8783E" w:rsidTr="005B5318">
        <w:trPr>
          <w:jc w:val="center"/>
        </w:trPr>
        <w:tc>
          <w:tcPr>
            <w:tcW w:w="0" w:type="auto"/>
            <w:vMerge/>
            <w:shd w:val="clear" w:color="auto" w:fill="D9D9D9"/>
            <w:vAlign w:val="center"/>
          </w:tcPr>
          <w:p w:rsidR="00A8783E" w:rsidRPr="00A8783E" w:rsidRDefault="00A8783E" w:rsidP="00A8783E">
            <w:pPr>
              <w:spacing w:before="120" w:after="120" w:line="259"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before="120" w:after="120" w:line="259" w:lineRule="auto"/>
              <w:jc w:val="both"/>
              <w:rPr>
                <w:rFonts w:ascii="Times New Roman" w:hAnsi="Times New Roman"/>
                <w:b/>
                <w:bCs/>
                <w:sz w:val="20"/>
                <w:szCs w:val="20"/>
              </w:rPr>
            </w:pPr>
          </w:p>
        </w:tc>
        <w:tc>
          <w:tcPr>
            <w:tcW w:w="0" w:type="auto"/>
            <w:vMerge/>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Min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Max</w:t>
            </w: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p>
        </w:tc>
        <w:tc>
          <w:tcPr>
            <w:tcW w:w="0" w:type="auto"/>
            <w:vMerge/>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Pop.</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Con.</w:t>
            </w:r>
          </w:p>
        </w:tc>
        <w:tc>
          <w:tcPr>
            <w:tcW w:w="0" w:type="auto"/>
            <w:shd w:val="clear" w:color="auto" w:fill="D9D9D9"/>
            <w:vAlign w:val="center"/>
          </w:tcPr>
          <w:p w:rsidR="00A8783E" w:rsidRPr="00A8783E" w:rsidRDefault="00A8783E" w:rsidP="00A8783E">
            <w:pPr>
              <w:spacing w:after="0" w:line="240" w:lineRule="auto"/>
              <w:jc w:val="both"/>
              <w:rPr>
                <w:rFonts w:ascii="Times New Roman" w:hAnsi="Times New Roman"/>
                <w:b/>
                <w:bCs/>
                <w:color w:val="000000"/>
                <w:sz w:val="20"/>
                <w:szCs w:val="20"/>
              </w:rPr>
            </w:pPr>
            <w:r w:rsidRPr="00A8783E">
              <w:rPr>
                <w:rFonts w:ascii="Times New Roman" w:hAnsi="Times New Roman"/>
                <w:b/>
                <w:bCs/>
                <w:color w:val="000000"/>
                <w:sz w:val="20"/>
                <w:szCs w:val="20"/>
              </w:rPr>
              <w:t>Iso.</w:t>
            </w:r>
          </w:p>
        </w:tc>
        <w:tc>
          <w:tcPr>
            <w:tcW w:w="0" w:type="auto"/>
            <w:shd w:val="clear" w:color="auto" w:fill="D9D9D9"/>
            <w:vAlign w:val="center"/>
          </w:tcPr>
          <w:p w:rsidR="00A8783E" w:rsidRPr="00A8783E" w:rsidRDefault="00A8783E" w:rsidP="00A8783E">
            <w:pPr>
              <w:spacing w:before="120" w:after="120" w:line="259" w:lineRule="auto"/>
              <w:jc w:val="both"/>
              <w:rPr>
                <w:rFonts w:ascii="Times New Roman" w:hAnsi="Times New Roman"/>
                <w:b/>
                <w:bCs/>
                <w:color w:val="000000"/>
                <w:sz w:val="20"/>
                <w:szCs w:val="20"/>
              </w:rPr>
            </w:pPr>
            <w:r w:rsidRPr="00A8783E">
              <w:rPr>
                <w:rFonts w:ascii="Times New Roman" w:hAnsi="Times New Roman"/>
                <w:b/>
                <w:bCs/>
                <w:color w:val="000000"/>
                <w:sz w:val="20"/>
                <w:szCs w:val="20"/>
              </w:rPr>
              <w:t>Glo.</w:t>
            </w:r>
          </w:p>
        </w:tc>
      </w:tr>
      <w:tr w:rsidR="00A8783E" w:rsidRPr="00A8783E" w:rsidTr="005B5318">
        <w:trPr>
          <w:jc w:val="center"/>
        </w:trPr>
        <w:tc>
          <w:tcPr>
            <w:tcW w:w="0" w:type="auto"/>
            <w:vAlign w:val="center"/>
          </w:tcPr>
          <w:p w:rsidR="00A8783E" w:rsidRPr="00A8783E" w:rsidRDefault="00A8783E" w:rsidP="00A8783E">
            <w:pPr>
              <w:spacing w:before="120" w:after="120" w:line="259" w:lineRule="auto"/>
              <w:jc w:val="both"/>
              <w:rPr>
                <w:rFonts w:ascii="Times New Roman" w:hAnsi="Times New Roman"/>
                <w:b/>
                <w:bCs/>
                <w:sz w:val="20"/>
                <w:szCs w:val="20"/>
              </w:rPr>
            </w:pPr>
            <w:r w:rsidRPr="00A8783E">
              <w:rPr>
                <w:rFonts w:ascii="Times New Roman" w:hAnsi="Times New Roman"/>
                <w:b/>
                <w:bCs/>
                <w:sz w:val="20"/>
                <w:szCs w:val="20"/>
              </w:rPr>
              <w:lastRenderedPageBreak/>
              <w:t>В</w:t>
            </w:r>
          </w:p>
        </w:tc>
        <w:tc>
          <w:tcPr>
            <w:tcW w:w="0" w:type="auto"/>
            <w:vAlign w:val="center"/>
          </w:tcPr>
          <w:p w:rsidR="00A8783E" w:rsidRPr="00A8783E" w:rsidRDefault="00A8783E" w:rsidP="00A8783E">
            <w:pPr>
              <w:spacing w:before="120" w:after="120" w:line="259" w:lineRule="auto"/>
              <w:jc w:val="both"/>
              <w:rPr>
                <w:rFonts w:ascii="Times New Roman" w:hAnsi="Times New Roman"/>
                <w:sz w:val="20"/>
                <w:szCs w:val="20"/>
                <w:lang w:val="en-US"/>
              </w:rPr>
            </w:pPr>
            <w:r w:rsidRPr="00A8783E">
              <w:rPr>
                <w:rFonts w:ascii="Times New Roman" w:hAnsi="Times New Roman"/>
                <w:sz w:val="20"/>
                <w:szCs w:val="20"/>
                <w:lang w:val="en-US"/>
              </w:rPr>
              <w:t>A511</w:t>
            </w:r>
          </w:p>
        </w:tc>
        <w:tc>
          <w:tcPr>
            <w:tcW w:w="0" w:type="auto"/>
            <w:vAlign w:val="center"/>
          </w:tcPr>
          <w:p w:rsidR="00A8783E" w:rsidRPr="00A8783E" w:rsidRDefault="00A8783E" w:rsidP="00A8783E">
            <w:pPr>
              <w:spacing w:before="120" w:after="120" w:line="259" w:lineRule="auto"/>
              <w:jc w:val="both"/>
              <w:rPr>
                <w:rFonts w:ascii="Times New Roman" w:hAnsi="Times New Roman"/>
                <w:i/>
                <w:iCs/>
                <w:color w:val="000000"/>
                <w:sz w:val="20"/>
                <w:szCs w:val="20"/>
                <w:lang w:val="en-US"/>
              </w:rPr>
            </w:pPr>
            <w:r w:rsidRPr="00A8783E">
              <w:rPr>
                <w:rFonts w:ascii="Times New Roman" w:hAnsi="Times New Roman"/>
                <w:i/>
                <w:iCs/>
                <w:color w:val="000000"/>
                <w:sz w:val="20"/>
                <w:szCs w:val="20"/>
                <w:lang w:val="en-US"/>
              </w:rPr>
              <w:t>Falco cherrug</w:t>
            </w:r>
          </w:p>
        </w:tc>
        <w:tc>
          <w:tcPr>
            <w:tcW w:w="0" w:type="auto"/>
            <w:vAlign w:val="center"/>
          </w:tcPr>
          <w:p w:rsidR="00A8783E" w:rsidRPr="00A8783E" w:rsidRDefault="00A8783E" w:rsidP="00A8783E">
            <w:pPr>
              <w:spacing w:before="120" w:after="120" w:line="259" w:lineRule="auto"/>
              <w:jc w:val="both"/>
              <w:rPr>
                <w:rFonts w:ascii="Times New Roman" w:hAnsi="Times New Roman"/>
                <w:color w:val="000000"/>
                <w:sz w:val="20"/>
                <w:szCs w:val="20"/>
              </w:rPr>
            </w:pP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rPr>
            </w:pPr>
          </w:p>
        </w:tc>
        <w:tc>
          <w:tcPr>
            <w:tcW w:w="0" w:type="auto"/>
            <w:vAlign w:val="center"/>
          </w:tcPr>
          <w:p w:rsidR="00A8783E" w:rsidRPr="00A8783E" w:rsidRDefault="00A8783E" w:rsidP="00A8783E">
            <w:pPr>
              <w:spacing w:after="0" w:line="240" w:lineRule="auto"/>
              <w:jc w:val="both"/>
              <w:rPr>
                <w:rFonts w:ascii="Times New Roman" w:hAnsi="Times New Roman"/>
                <w:b/>
                <w:bCs/>
                <w:color w:val="000000"/>
                <w:sz w:val="20"/>
                <w:szCs w:val="20"/>
                <w:lang w:val="en-US"/>
              </w:rPr>
            </w:pPr>
            <w:r w:rsidRPr="00A8783E">
              <w:rPr>
                <w:rFonts w:ascii="Times New Roman" w:hAnsi="Times New Roman"/>
                <w:b/>
                <w:bCs/>
                <w:color w:val="FF0000"/>
                <w:sz w:val="20"/>
                <w:szCs w:val="20"/>
                <w:lang w:val="en-US"/>
              </w:rPr>
              <w:t>c</w:t>
            </w:r>
          </w:p>
        </w:tc>
        <w:tc>
          <w:tcPr>
            <w:tcW w:w="0" w:type="auto"/>
            <w:vAlign w:val="center"/>
          </w:tcPr>
          <w:p w:rsidR="00A8783E" w:rsidRPr="00A8783E" w:rsidRDefault="00A8783E" w:rsidP="00A8783E">
            <w:pPr>
              <w:spacing w:after="0" w:line="240" w:lineRule="auto"/>
              <w:jc w:val="both"/>
              <w:rPr>
                <w:rFonts w:ascii="Times New Roman" w:hAnsi="Times New Roman"/>
                <w:bCs/>
                <w:color w:val="000000"/>
                <w:sz w:val="20"/>
                <w:szCs w:val="20"/>
              </w:rPr>
            </w:pPr>
            <w:r w:rsidRPr="00A8783E">
              <w:rPr>
                <w:rFonts w:ascii="Times New Roman" w:hAnsi="Times New Roman"/>
                <w:bCs/>
                <w:color w:val="000000"/>
                <w:sz w:val="20"/>
                <w:szCs w:val="20"/>
              </w:rPr>
              <w:t>0</w:t>
            </w: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rPr>
            </w:pPr>
            <w:r w:rsidRPr="00A8783E">
              <w:rPr>
                <w:rFonts w:ascii="Times New Roman" w:hAnsi="Times New Roman"/>
                <w:color w:val="000000"/>
                <w:sz w:val="20"/>
                <w:szCs w:val="20"/>
              </w:rPr>
              <w:t>1</w:t>
            </w: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lang w:val="en-US"/>
              </w:rPr>
            </w:pPr>
            <w:r w:rsidRPr="00A8783E">
              <w:rPr>
                <w:rFonts w:ascii="Times New Roman" w:hAnsi="Times New Roman"/>
                <w:color w:val="000000"/>
                <w:sz w:val="20"/>
                <w:szCs w:val="20"/>
                <w:lang w:val="en-US"/>
              </w:rPr>
              <w:t>p</w:t>
            </w: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lang w:val="en-US"/>
              </w:rPr>
            </w:pP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lang w:val="en-US"/>
              </w:rPr>
            </w:pPr>
            <w:r w:rsidRPr="00A8783E">
              <w:rPr>
                <w:rFonts w:ascii="Times New Roman" w:hAnsi="Times New Roman"/>
                <w:color w:val="000000"/>
                <w:sz w:val="20"/>
                <w:szCs w:val="20"/>
                <w:lang w:val="en-US"/>
              </w:rPr>
              <w:t>G</w:t>
            </w: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rPr>
            </w:pPr>
            <w:r w:rsidRPr="00A8783E">
              <w:rPr>
                <w:rFonts w:ascii="Times New Roman" w:hAnsi="Times New Roman"/>
                <w:color w:val="000000"/>
                <w:sz w:val="20"/>
                <w:szCs w:val="20"/>
                <w:lang w:val="en-US"/>
              </w:rPr>
              <w:t>C</w:t>
            </w: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rPr>
            </w:pPr>
            <w:r w:rsidRPr="00A8783E">
              <w:rPr>
                <w:rFonts w:ascii="Times New Roman" w:hAnsi="Times New Roman"/>
                <w:color w:val="000000"/>
                <w:sz w:val="20"/>
                <w:szCs w:val="20"/>
                <w:lang w:val="en-US"/>
              </w:rPr>
              <w:t>B</w:t>
            </w:r>
          </w:p>
        </w:tc>
        <w:tc>
          <w:tcPr>
            <w:tcW w:w="0" w:type="auto"/>
            <w:vAlign w:val="center"/>
          </w:tcPr>
          <w:p w:rsidR="00A8783E" w:rsidRPr="00A8783E" w:rsidRDefault="00A8783E" w:rsidP="00A8783E">
            <w:pPr>
              <w:spacing w:after="0" w:line="240" w:lineRule="auto"/>
              <w:jc w:val="both"/>
              <w:rPr>
                <w:rFonts w:ascii="Times New Roman" w:hAnsi="Times New Roman"/>
                <w:color w:val="000000"/>
                <w:sz w:val="20"/>
                <w:szCs w:val="20"/>
              </w:rPr>
            </w:pPr>
            <w:r w:rsidRPr="00A8783E">
              <w:rPr>
                <w:rFonts w:ascii="Times New Roman" w:hAnsi="Times New Roman"/>
                <w:color w:val="000000"/>
                <w:sz w:val="20"/>
                <w:szCs w:val="20"/>
                <w:lang w:val="en-US"/>
              </w:rPr>
              <w:t>C</w:t>
            </w:r>
          </w:p>
        </w:tc>
        <w:tc>
          <w:tcPr>
            <w:tcW w:w="0" w:type="auto"/>
            <w:vAlign w:val="center"/>
          </w:tcPr>
          <w:p w:rsidR="00A8783E" w:rsidRPr="00A8783E" w:rsidRDefault="00A8783E" w:rsidP="00A8783E">
            <w:pPr>
              <w:spacing w:before="120" w:after="120" w:line="259" w:lineRule="auto"/>
              <w:jc w:val="both"/>
              <w:rPr>
                <w:rFonts w:ascii="Times New Roman" w:hAnsi="Times New Roman"/>
                <w:color w:val="000000"/>
                <w:sz w:val="20"/>
                <w:szCs w:val="20"/>
              </w:rPr>
            </w:pPr>
            <w:r w:rsidRPr="00A8783E">
              <w:rPr>
                <w:rFonts w:ascii="Times New Roman" w:hAnsi="Times New Roman"/>
                <w:color w:val="000000"/>
                <w:sz w:val="20"/>
                <w:szCs w:val="20"/>
                <w:lang w:val="en-US"/>
              </w:rPr>
              <w:t>C</w:t>
            </w:r>
          </w:p>
        </w:tc>
      </w:tr>
    </w:tbl>
    <w:p w:rsidR="00A8783E" w:rsidRPr="00A8783E" w:rsidRDefault="00A8783E" w:rsidP="00A8783E">
      <w:pPr>
        <w:spacing w:after="160" w:line="259" w:lineRule="auto"/>
      </w:pPr>
    </w:p>
    <w:p w:rsidR="00A8783E" w:rsidRPr="00A8783E" w:rsidRDefault="00A8783E" w:rsidP="00A8783E">
      <w:pPr>
        <w:keepNext/>
        <w:keepLines/>
        <w:spacing w:before="40" w:after="0" w:line="259" w:lineRule="auto"/>
        <w:outlineLvl w:val="1"/>
        <w:rPr>
          <w:rFonts w:ascii="Times New Roman" w:hAnsi="Times New Roman"/>
          <w:b/>
          <w:bCs/>
          <w:color w:val="1F497D"/>
          <w:sz w:val="24"/>
          <w:szCs w:val="24"/>
        </w:rPr>
      </w:pPr>
      <w:bookmarkStart w:id="570" w:name="_Toc89106161"/>
      <w:bookmarkStart w:id="571" w:name="_Toc98742000"/>
      <w:bookmarkStart w:id="572" w:name="_Toc98838675"/>
      <w:r w:rsidRPr="00A8783E">
        <w:rPr>
          <w:rFonts w:ascii="Times New Roman" w:hAnsi="Times New Roman"/>
          <w:b/>
          <w:bCs/>
          <w:color w:val="1F497D"/>
          <w:sz w:val="24"/>
          <w:szCs w:val="24"/>
        </w:rPr>
        <w:t>Литература</w:t>
      </w:r>
      <w:bookmarkEnd w:id="570"/>
      <w:bookmarkEnd w:id="571"/>
      <w:bookmarkEnd w:id="572"/>
    </w:p>
    <w:p w:rsidR="00A8783E" w:rsidRPr="00A8783E" w:rsidRDefault="00DE51FF" w:rsidP="00A8783E">
      <w:pPr>
        <w:spacing w:before="120" w:after="120" w:line="240" w:lineRule="auto"/>
        <w:ind w:left="567" w:hanging="567"/>
        <w:jc w:val="both"/>
        <w:rPr>
          <w:rFonts w:ascii="Times New Roman" w:hAnsi="Times New Roman"/>
        </w:rPr>
      </w:pPr>
      <w:hyperlink r:id="rId216" w:history="1">
        <w:r w:rsidR="00A8783E" w:rsidRPr="00A8783E">
          <w:rPr>
            <w:rFonts w:ascii="Times New Roman" w:hAnsi="Times New Roman"/>
            <w:color w:val="0563C1"/>
            <w:u w:val="single"/>
          </w:rPr>
          <w:t>Анализ повърхностни води за 2017-2018.pdf (bd-dunav.org)</w:t>
        </w:r>
      </w:hyperlink>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Ватев И.,Ангелов И.,Домусчиев Д., Профиров Л. (2015) Белоопашат мишелов (Buteo rufinus). В: Големански В./ред/ (2015) Червена книга на Република България.т.2,Животни, БАН,МОСВ.</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Големански В./ред/ (2015) Червена книга на Република България.т.2,Животни, БАН, МОСВ.</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Даскалова Г., Шурулинков П., Ангелов И., Петров П. (2020) Птиците на Тунджанската хълмиста низина. Globe Edit 408 стр.</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Демерджиев,  Д.  2000.  Видов  състав,  сезонна  и  годишна  динамика  на  орнитофауната  във влажните зони между с. Партизанин и с. Оризово, Старозагорско. – Дипл. работа, ПУ, катедра „Зоология на гръбначните животни”.  </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Демерджиев, Д. 2004. Опазване на световно застрашеният малък корморан (</w:t>
      </w:r>
      <w:r w:rsidRPr="00A8783E">
        <w:rPr>
          <w:rFonts w:ascii="Times New Roman" w:hAnsi="Times New Roman"/>
          <w:i/>
          <w:iCs/>
        </w:rPr>
        <w:t>Phalacrocorax pygmeus</w:t>
      </w:r>
      <w:r w:rsidRPr="00A8783E">
        <w:rPr>
          <w:rFonts w:ascii="Times New Roman" w:hAnsi="Times New Roman"/>
        </w:rPr>
        <w:t>) в защитената местност Злато поле. – Доклад по проект, БДЗП, 7 с.</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Демерджиев, Д. 2011. Източният царски орел (</w:t>
      </w:r>
      <w:r w:rsidRPr="00A8783E">
        <w:rPr>
          <w:rFonts w:ascii="Times New Roman" w:hAnsi="Times New Roman"/>
          <w:i/>
          <w:iCs/>
        </w:rPr>
        <w:t>Aquila heliaca heliaca</w:t>
      </w:r>
      <w:r w:rsidRPr="00A8783E">
        <w:rPr>
          <w:rFonts w:ascii="Times New Roman" w:hAnsi="Times New Roman"/>
        </w:rPr>
        <w:t>, Savigny, 1809) (Accipitridae – Aves) в България – Разпространение, биология, екология, численост и мерки за опазване. Автореф. на Дисерт. Труд, НПМ – БАН, София</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Дерелиев С., Иванов Б. (2015) Ням лебед (</w:t>
      </w:r>
      <w:r w:rsidRPr="00A8783E">
        <w:rPr>
          <w:rFonts w:ascii="Times New Roman" w:hAnsi="Times New Roman"/>
          <w:i/>
          <w:iCs/>
        </w:rPr>
        <w:t>Cygnus olor</w:t>
      </w:r>
      <w:r w:rsidRPr="00A8783E">
        <w:rPr>
          <w:rFonts w:ascii="Times New Roman" w:hAnsi="Times New Roman"/>
        </w:rPr>
        <w:t>). В: Големански В./ред/ 2015. Червена книга на Република България .т.2, Животни, БАН,МОСВ.</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Дерелиев, С. 2000. Динамика на числеността и разпространение на червеногушата гъска </w:t>
      </w:r>
      <w:r w:rsidRPr="00A8783E">
        <w:rPr>
          <w:rFonts w:ascii="Times New Roman" w:hAnsi="Times New Roman"/>
          <w:i/>
          <w:iCs/>
        </w:rPr>
        <w:t>Branta ruficollis</w:t>
      </w:r>
      <w:r w:rsidRPr="00A8783E">
        <w:rPr>
          <w:rFonts w:ascii="Times New Roman" w:hAnsi="Times New Roman"/>
        </w:rPr>
        <w:t xml:space="preserve"> (Pallas, 1769) в основното </w:t>
      </w:r>
      <w:r w:rsidRPr="00A8783E">
        <w:rPr>
          <w:rFonts w:ascii="Tahoma" w:hAnsi="Tahoma"/>
        </w:rPr>
        <w:t>ѝ</w:t>
      </w:r>
      <w:r w:rsidRPr="00A8783E">
        <w:rPr>
          <w:rFonts w:ascii="Times New Roman" w:hAnsi="Times New Roman"/>
        </w:rPr>
        <w:t xml:space="preserve">  зимовище в района на езерата Шабла и Дуранкулак.  Дипломна работа, Биологически факултет, СУ „Св. Климент Охридски“. София, 150 с. </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Дерелиев, С., Д. Георгиев. 2002.  План за действие за опазването на червеногушата гъска (</w:t>
      </w:r>
      <w:r w:rsidRPr="00A8783E">
        <w:rPr>
          <w:rFonts w:ascii="Times New Roman" w:hAnsi="Times New Roman"/>
          <w:i/>
          <w:iCs/>
        </w:rPr>
        <w:t>Branta ruficollis</w:t>
      </w:r>
      <w:r w:rsidRPr="00A8783E">
        <w:rPr>
          <w:rFonts w:ascii="Times New Roman" w:hAnsi="Times New Roman"/>
        </w:rPr>
        <w:t xml:space="preserve">) в България 2002 – 2006 г. В: Янков, П. (отг. редактор). Световно застрашените видове птици в България. Национални планове за действие за опазването им.  Част І, БДЗП-МОСВ, Природозащитна поредица, книга 4, БДЗП. София, 38 – 60 с. </w:t>
      </w:r>
    </w:p>
    <w:p w:rsidR="00A8783E" w:rsidRPr="00A8783E" w:rsidRDefault="00A8783E" w:rsidP="00A8783E">
      <w:pPr>
        <w:spacing w:before="120" w:after="120" w:line="240" w:lineRule="auto"/>
        <w:ind w:left="567" w:hanging="567"/>
        <w:jc w:val="both"/>
        <w:rPr>
          <w:rFonts w:ascii="Times New Roman" w:hAnsi="Times New Roman"/>
          <w:u w:val="single"/>
        </w:rPr>
      </w:pPr>
      <w:r w:rsidRPr="00A8783E">
        <w:rPr>
          <w:rFonts w:ascii="Times New Roman" w:hAnsi="Times New Roman"/>
        </w:rPr>
        <w:t>Дерелиев, С., П. Симеонов. 2011. Червеногуша гъска (</w:t>
      </w:r>
      <w:r w:rsidRPr="00A8783E">
        <w:rPr>
          <w:rFonts w:ascii="Times New Roman" w:hAnsi="Times New Roman"/>
          <w:i/>
          <w:iCs/>
        </w:rPr>
        <w:t>Branta ruficollis</w:t>
      </w:r>
      <w:r w:rsidRPr="00A8783E">
        <w:rPr>
          <w:rFonts w:ascii="Times New Roman" w:hAnsi="Times New Roman"/>
        </w:rPr>
        <w:t xml:space="preserve">). В: Големански,  В. (ред.) Червена книга  на  България.  Том  2.  Животни.  Електронно  издание  </w:t>
      </w:r>
      <w:hyperlink r:id="rId217" w:history="1">
        <w:r w:rsidRPr="00A8783E">
          <w:rPr>
            <w:rFonts w:ascii="Times New Roman" w:hAnsi="Times New Roman"/>
            <w:color w:val="0563C1"/>
            <w:u w:val="single"/>
          </w:rPr>
          <w:t>http://e-ecodb.bas.bg/rdb/bg/vol2/Brrufico.html</w:t>
        </w:r>
      </w:hyperlink>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Димитров, М. 2015. Малка черноглава чайка, </w:t>
      </w:r>
      <w:r w:rsidRPr="00A8783E">
        <w:rPr>
          <w:rFonts w:ascii="Times New Roman" w:hAnsi="Times New Roman"/>
          <w:i/>
          <w:iCs/>
        </w:rPr>
        <w:t>Larus melanocephalus</w:t>
      </w:r>
      <w:r w:rsidRPr="00A8783E">
        <w:rPr>
          <w:rFonts w:ascii="Times New Roman" w:hAnsi="Times New Roman"/>
        </w:rPr>
        <w:t>. В: Големански, В. и др. (ред.) 2015. Червена книга на Република България. Том 2. Животни. БАН &amp; МОСВ, София, 271.</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Димитров, Д. 2018. Експедиция за проучване на гнездящите птици по река Дунав в Българо-Румънския участък през 2017 г. Десета юбилейна студентска научна конференция на Пловдивски Университет „Паисий Хилендарски“, Биологически факултет, Катедра „Екология и ООС“, 1 ноември 2018 г., Пловдив, 98-120.</w:t>
      </w:r>
    </w:p>
    <w:p w:rsidR="00A8783E" w:rsidRPr="00A8783E" w:rsidRDefault="00A8783E" w:rsidP="00A8783E">
      <w:pPr>
        <w:spacing w:before="120" w:after="120"/>
        <w:ind w:left="709" w:hanging="709"/>
        <w:jc w:val="both"/>
        <w:rPr>
          <w:rFonts w:ascii="Times New Roman" w:hAnsi="Times New Roman"/>
        </w:rPr>
      </w:pPr>
      <w:r w:rsidRPr="00A8783E">
        <w:rPr>
          <w:rFonts w:ascii="Times New Roman" w:hAnsi="Times New Roman"/>
        </w:rPr>
        <w:t>Джилбърт Д. 2003. Големият воден бик – тайнственият обитател на тръстиките. За птиците 2: 18–19.</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Домусчиев, Д., Спиридонов, Ж. Осояд, </w:t>
      </w:r>
      <w:r w:rsidRPr="00A8783E">
        <w:rPr>
          <w:rFonts w:ascii="Times New Roman" w:hAnsi="Times New Roman"/>
          <w:i/>
          <w:iCs/>
        </w:rPr>
        <w:t>Pernis apivorus</w:t>
      </w:r>
      <w:r w:rsidRPr="00A8783E">
        <w:rPr>
          <w:rFonts w:ascii="Times New Roman" w:hAnsi="Times New Roman"/>
        </w:rPr>
        <w:t>. В: Големански, В. и др. (ред.) (2015). Червена книга на Република България. Том 2. Животни. ИБЕИ – БАН &amp; МОСВ, София, 257.</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lastRenderedPageBreak/>
        <w:t>Зехтинджиев П., Илиева М.,Бедев К. (2015) Червен ангъч (</w:t>
      </w:r>
      <w:r w:rsidRPr="00A8783E">
        <w:rPr>
          <w:rFonts w:ascii="Times New Roman" w:hAnsi="Times New Roman"/>
          <w:i/>
          <w:iCs/>
        </w:rPr>
        <w:t>Tadorna ferruginea</w:t>
      </w:r>
      <w:r w:rsidRPr="00A8783E">
        <w:rPr>
          <w:rFonts w:ascii="Times New Roman" w:hAnsi="Times New Roman"/>
        </w:rPr>
        <w:t>) В: Атлас на гнездящите птици в България. Българско дружество за защита на птиците, Природозащитна поредица, книга 10. БДЗП, София,73 стр.</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Иванов Б. 1979. Проучване върху числеността на някои водоплаващи птици през зимните месеци на 1975/1976-1977/1978 в три блата край р. Дунав. Екология, БАН, 5: 30-40.</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Иванов Б. 2011. Фауна на България. Том 30. Aves, част 3. Акад. издателство „Проф. Марин Дринов“, 407 с.</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Иванов,  Б.,  Ю.  Муравеев.  2002.  Национален  план  за  действие  за  опазването  на  малкият корморан  (</w:t>
      </w:r>
      <w:r w:rsidRPr="00A8783E">
        <w:rPr>
          <w:rFonts w:ascii="Times New Roman" w:hAnsi="Times New Roman"/>
          <w:i/>
          <w:iCs/>
        </w:rPr>
        <w:t>Phalacrocorax  pygmeus</w:t>
      </w:r>
      <w:r w:rsidRPr="00A8783E">
        <w:rPr>
          <w:rFonts w:ascii="Times New Roman" w:hAnsi="Times New Roman"/>
        </w:rPr>
        <w:t>)  в  България,  2002–2006  г.  –  В:  Янков,  П.  (отг. редактор).  Световно  застрашени  видове  птици  в  България.  Национални  планове  за действие  за опазването им, Част 1. БДЗП –  МОСВ, Природозащитна поредица, Книга 4, БДЗП, София, 13–37.</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Иванов Б., Д. Георгиев, М. Димитров, Б. Бъров. Морски орел, </w:t>
      </w:r>
      <w:r w:rsidRPr="00A8783E">
        <w:rPr>
          <w:rFonts w:ascii="Times New Roman" w:hAnsi="Times New Roman"/>
          <w:i/>
          <w:iCs/>
        </w:rPr>
        <w:t>Haliaeetus albicilla</w:t>
      </w:r>
      <w:r w:rsidRPr="00A8783E">
        <w:rPr>
          <w:rFonts w:ascii="Times New Roman" w:hAnsi="Times New Roman"/>
        </w:rPr>
        <w:t>. В: Големански, В. и др. (ред.) 2015. Червена книга на Република България. Том 2. Животни. ИБЕИ – БАН &amp; МОСВ, София, 259.</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Иванова,  Н. (2015). Орнитофауна. В: Актуализиран план за управление на Поддържан резерват "Сребърна", МОСВ, 231-242.</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Игнатов А. Червена каня, </w:t>
      </w:r>
      <w:r w:rsidRPr="00A8783E">
        <w:rPr>
          <w:rFonts w:ascii="Times New Roman" w:hAnsi="Times New Roman"/>
          <w:i/>
          <w:iCs/>
        </w:rPr>
        <w:t>Milvus milvus</w:t>
      </w:r>
      <w:r w:rsidRPr="00A8783E">
        <w:rPr>
          <w:rFonts w:ascii="Times New Roman" w:hAnsi="Times New Roman"/>
        </w:rPr>
        <w:t>. В: Големански, В. и др. (ред.) 2015. Червена книга на Република България. Том 2. Животни. ИБЕИ – БАН &amp; МОСВ, София, 75.</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Кавръкова, В., Димова, Д., Димитров, М., Цонев, Р., Белев, Т., Раковска, К. /ред./ 2009. Ръководство за определяне на местообитания от европейска значимост в България. Второ, преработено и допълнено издание. София, Световен фонд за дивата природа, Дунавско – Карпатска програма и федерация “ЗЕЛЕНИ БАЛКАНИ“</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Камбурова Н. 2004. Гнездова орнитофауна на поддържания резерват “Сребърна” – пространствено разпределение и дългосрочни промени. Дисертация, ЦЛОЕ-БАН, 173 с.</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Костадинова, И., Граматиков, М. (ред.) 2007. Орнитологично важните места в България и Натура 2000. БДЗП, София.</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Марин С., Иванов, И., Петров, Ц.,  Стойчев , С. Черна каня, </w:t>
      </w:r>
      <w:r w:rsidRPr="00A8783E">
        <w:rPr>
          <w:rFonts w:ascii="Times New Roman" w:hAnsi="Times New Roman"/>
          <w:i/>
          <w:iCs/>
        </w:rPr>
        <w:t>Milvus migrans</w:t>
      </w:r>
      <w:r w:rsidRPr="00A8783E">
        <w:rPr>
          <w:rFonts w:ascii="Times New Roman" w:hAnsi="Times New Roman"/>
        </w:rPr>
        <w:t>. В: Големански, В. и др. (ред.) (2015). Червена книга на Република България. Том 2. Животни. ИБЕИ – БАН &amp; МОСВ, София, 258.</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Матеева, И., Стойчев, С., Василев, В., Плачийски Д., Янков, П., Сиердсема, Х. 2013. Проучване на гнездящите птици в защитени зони за птици от Натура 2000. Доклад. Обединение ЕКОНЕКТ.</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Матеева, И., П. Янков. (2013). Характер на миграцията на 42 вида птици от българската орнитофауна според нивото на съвременните познания - доклад в рамките на обособена позиция 7 „Определяне и минимизиране на рисковете за дивите птици”, по дейност 4 от проект „Картиране и определяне на природозащитното състояние на природни местообитания и видове – фаза І”, 109-113. </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Мичев,  Т.,  Н.  Камбурова  (съст.).  2012.  План  за  действие  за  опазване  на  къдроглавия пеликан (Pelecanus crispus) в България 2013-2022 г. София, МОСВ, 99 с.</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Мичев, Т., Петров, Ц., Спасов, С. Тръстиков блатар, </w:t>
      </w:r>
      <w:r w:rsidRPr="00A8783E">
        <w:rPr>
          <w:rFonts w:ascii="Times New Roman" w:hAnsi="Times New Roman"/>
          <w:i/>
          <w:iCs/>
        </w:rPr>
        <w:t>Circus aeruginosus</w:t>
      </w:r>
      <w:r w:rsidRPr="00A8783E">
        <w:rPr>
          <w:rFonts w:ascii="Times New Roman" w:hAnsi="Times New Roman"/>
        </w:rPr>
        <w:t>. В: Големански, В. и др. (ред.) (2011). Червена книга на Република България. Том 2. Животни. ИБЕИ – БАН &amp; МОСВ, София, 168.</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Мичев, Т., Симеонов, Д., Профиров, Л. (2012). Птиците на Балканския полуостров. Екотан, София, 296 с.</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lastRenderedPageBreak/>
        <w:t xml:space="preserve">Мичев Т., Петров Ц., Николов Х., Боев З. (2015) Черен щъркел, </w:t>
      </w:r>
      <w:r w:rsidRPr="00A8783E">
        <w:rPr>
          <w:rFonts w:ascii="Times New Roman" w:hAnsi="Times New Roman"/>
          <w:i/>
          <w:iCs/>
        </w:rPr>
        <w:t>Ciconia nigra</w:t>
      </w:r>
      <w:r w:rsidRPr="00A8783E">
        <w:rPr>
          <w:rFonts w:ascii="Times New Roman" w:hAnsi="Times New Roman"/>
        </w:rPr>
        <w:t>. В: Големански В. и др. (Eds) 2015. Червена книга на Република България, Том 2, Животни, БАН-МОСВ, София, 250 с.</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Нанкинов, Д., Симеонов, С., Мичев, Т., Иванов, Б. (1997). Фауна на България, т. 26, Aves. Част ІІ. С., АИ “Проф. М. Дринов”.</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Нанкинов, Д. (2009). Изследвания върху фауната на България. Птици – Aves. София. 17-20 с.</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Нанкинов Д., Шурулинков П., Николов Б., Николов И., Христов И., Станчев Р., Далакчиева С., Дуцов А., Саров М., Рогев А. (2004) Гъскоподобните птици (Аnseriformes) във влажните  зони край град София. Българска орнитологическа централа- ИЗ,БАН,София, 135 с.</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Нанкинов, Д., С. Симеонов, Т. Мичев, Б. Иванов. 1997. Фауна на България. Том 26. Aves, част II. София, издателство „Пенсофт“: 213-216.</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Николов, Х., С. Марин, Н. Камбурова, Д. Демерджиев. 2011. Малък корморан </w:t>
      </w:r>
      <w:r w:rsidRPr="00A8783E">
        <w:rPr>
          <w:rFonts w:ascii="Times New Roman" w:hAnsi="Times New Roman"/>
          <w:i/>
          <w:iCs/>
        </w:rPr>
        <w:t>Phalacrocorax pygmeus</w:t>
      </w:r>
      <w:r w:rsidRPr="00A8783E">
        <w:rPr>
          <w:rFonts w:ascii="Times New Roman" w:hAnsi="Times New Roman"/>
        </w:rPr>
        <w:t>. В: Големански, В. (гл. ред.) Червена книга на България – електронно издание. Том II „Животни”, част „Птици”. Българска академия на науките, София.</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Нанкинов Д.(2010) Массовое отравление птиц и зверей зимой 1988/89 года в Болгарии. Русский орнитологический журнал, 19, 582: 1190-1206. </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Петков, Н. (2007). „Блато Малък Преславец“ – В Костадинова, И. и Граматиков, М. (ред.). Орнитологично важните места в България и Натура 2000. БДЗП, Природозащитна поредица, Книга 11, София, БДЗП, стр. 345-347.</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Петков Н. (2015a) Сива патица (</w:t>
      </w:r>
      <w:r w:rsidRPr="00A8783E">
        <w:rPr>
          <w:rFonts w:ascii="Times New Roman" w:hAnsi="Times New Roman"/>
          <w:i/>
          <w:iCs/>
        </w:rPr>
        <w:t>Anas strepera</w:t>
      </w:r>
      <w:r w:rsidRPr="00A8783E">
        <w:rPr>
          <w:rFonts w:ascii="Times New Roman" w:hAnsi="Times New Roman"/>
        </w:rPr>
        <w:t>) B:  Големански В./ред/ 2015. Червена книга на Република България.т.2,Животни, БАН, МОСВ.</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Петков Н. (2015б) Лятно бърне (</w:t>
      </w:r>
      <w:r w:rsidRPr="00A8783E">
        <w:rPr>
          <w:rFonts w:ascii="Times New Roman" w:hAnsi="Times New Roman"/>
          <w:i/>
          <w:iCs/>
        </w:rPr>
        <w:t>Anas querquedula</w:t>
      </w:r>
      <w:r w:rsidRPr="00A8783E">
        <w:rPr>
          <w:rFonts w:ascii="Times New Roman" w:hAnsi="Times New Roman"/>
        </w:rPr>
        <w:t>) B:  Големански В./ред/ 2015. Червена книга на Република България.т.2,Животни, БАН, МОСВ.</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Петков Н. (2015в) Червеноклюна потапница (</w:t>
      </w:r>
      <w:r w:rsidRPr="00A8783E">
        <w:rPr>
          <w:rFonts w:ascii="Times New Roman" w:hAnsi="Times New Roman"/>
          <w:i/>
          <w:iCs/>
        </w:rPr>
        <w:t>Netta rufina</w:t>
      </w:r>
      <w:r w:rsidRPr="00A8783E">
        <w:rPr>
          <w:rFonts w:ascii="Times New Roman" w:hAnsi="Times New Roman"/>
        </w:rPr>
        <w:t>) B:  Големански В./ред/ 2015. Червена книга на Република България.т.2,Животни, БАН, МОСВ.</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Петров Ц., Янков П., Мичев Т., Милчев Б., Профиров Л. (1991) Разпространение, численост и мерки за опазване на черния щъркел, </w:t>
      </w:r>
      <w:r w:rsidRPr="00A8783E">
        <w:rPr>
          <w:rFonts w:ascii="Times New Roman" w:hAnsi="Times New Roman"/>
          <w:i/>
          <w:iCs/>
        </w:rPr>
        <w:t>Ciconia nigra</w:t>
      </w:r>
      <w:r w:rsidRPr="00A8783E">
        <w:rPr>
          <w:rFonts w:ascii="Times New Roman" w:hAnsi="Times New Roman"/>
        </w:rPr>
        <w:t xml:space="preserve"> (L.) в България. Известия на музеите от Южна България, 17: 25-32.</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Петков, Н., М. Илиев. 2014. План за действие за опазване на червеногушата гъска (</w:t>
      </w:r>
      <w:r w:rsidRPr="00A8783E">
        <w:rPr>
          <w:rFonts w:ascii="Times New Roman" w:hAnsi="Times New Roman"/>
          <w:i/>
          <w:iCs/>
        </w:rPr>
        <w:t>Branta ruficollis</w:t>
      </w:r>
      <w:r w:rsidRPr="00A8783E">
        <w:rPr>
          <w:rFonts w:ascii="Times New Roman" w:hAnsi="Times New Roman"/>
        </w:rPr>
        <w:t xml:space="preserve">) в България за периода 2015 – 2024 г. Българско дружество за защита на птиците. София, 2014. </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Плачийски,  Д.,  Д.  Демерджиев,  Г.  Попгеоргиев,  Н.  Петков,  Ю.  Корнилев  (2014):  План за действие за опазване на малкия корморан (</w:t>
      </w:r>
      <w:r w:rsidRPr="00A8783E">
        <w:rPr>
          <w:rFonts w:ascii="Times New Roman" w:hAnsi="Times New Roman"/>
          <w:i/>
          <w:iCs/>
        </w:rPr>
        <w:t>Phalacrocorax pygmeus</w:t>
      </w:r>
      <w:r w:rsidRPr="00A8783E">
        <w:rPr>
          <w:rFonts w:ascii="Times New Roman" w:hAnsi="Times New Roman"/>
        </w:rPr>
        <w:t>) в България (2014–2023 г.). София, БДЗП-МОСВ: 98 с.</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Профиров Л. (2015a) Поен лебед (</w:t>
      </w:r>
      <w:r w:rsidRPr="00A8783E">
        <w:rPr>
          <w:rFonts w:ascii="Times New Roman" w:hAnsi="Times New Roman"/>
          <w:i/>
          <w:iCs/>
        </w:rPr>
        <w:t>Cygnus cygnus</w:t>
      </w:r>
      <w:r w:rsidRPr="00A8783E">
        <w:rPr>
          <w:rFonts w:ascii="Times New Roman" w:hAnsi="Times New Roman"/>
        </w:rPr>
        <w:t>) B:  Големански В./ред/ 2015. Червена книга на Република България.т.2,Животни, БАН,МОСВ.</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Профиров Л. (2015б) Бял ангъч (</w:t>
      </w:r>
      <w:r w:rsidRPr="00A8783E">
        <w:rPr>
          <w:rFonts w:ascii="Times New Roman" w:hAnsi="Times New Roman"/>
          <w:i/>
          <w:iCs/>
        </w:rPr>
        <w:t>Tadorna tadorna</w:t>
      </w:r>
      <w:r w:rsidRPr="00A8783E">
        <w:rPr>
          <w:rFonts w:ascii="Times New Roman" w:hAnsi="Times New Roman"/>
        </w:rPr>
        <w:t>) B:  Големански В./ред/ 2015. Червена книга на Република България.т.2,Животни, БАН,МОСВ.</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Симеонов С., Милчев Б. (1994) Проучване на бухала (</w:t>
      </w:r>
      <w:r w:rsidRPr="00A8783E">
        <w:rPr>
          <w:rFonts w:ascii="Times New Roman" w:hAnsi="Times New Roman"/>
          <w:i/>
          <w:iCs/>
        </w:rPr>
        <w:t>Bubo bubo</w:t>
      </w:r>
      <w:r w:rsidRPr="00A8783E">
        <w:rPr>
          <w:rFonts w:ascii="Times New Roman" w:hAnsi="Times New Roman"/>
        </w:rPr>
        <w:t xml:space="preserve"> (L.)) в Странджа. I. Разпространение, местообитание и гнездова биология. - Екология. 26: 78-87.</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Симеонов, С.,  Ц. Петров. 1980. Проучване върху храната на кръстатия орел (</w:t>
      </w:r>
      <w:r w:rsidRPr="00A8783E">
        <w:rPr>
          <w:rFonts w:ascii="Times New Roman" w:hAnsi="Times New Roman"/>
          <w:i/>
          <w:iCs/>
        </w:rPr>
        <w:t>Aquila heliaca</w:t>
      </w:r>
      <w:r w:rsidRPr="00A8783E">
        <w:rPr>
          <w:rFonts w:ascii="Times New Roman" w:hAnsi="Times New Roman"/>
        </w:rPr>
        <w:t xml:space="preserve"> Savigny), обикновения мишелов (</w:t>
      </w:r>
      <w:r w:rsidRPr="00A8783E">
        <w:rPr>
          <w:rFonts w:ascii="Times New Roman" w:hAnsi="Times New Roman"/>
          <w:i/>
          <w:iCs/>
        </w:rPr>
        <w:t>Buteo buteo</w:t>
      </w:r>
      <w:r w:rsidRPr="00A8783E">
        <w:rPr>
          <w:rFonts w:ascii="Times New Roman" w:hAnsi="Times New Roman"/>
        </w:rPr>
        <w:t xml:space="preserve"> L.) и гащатия мишелов (</w:t>
      </w:r>
      <w:r w:rsidRPr="00A8783E">
        <w:rPr>
          <w:rFonts w:ascii="Times New Roman" w:hAnsi="Times New Roman"/>
          <w:i/>
          <w:iCs/>
        </w:rPr>
        <w:t>Buteo lagopus</w:t>
      </w:r>
      <w:r w:rsidRPr="00A8783E">
        <w:rPr>
          <w:rFonts w:ascii="Times New Roman" w:hAnsi="Times New Roman"/>
        </w:rPr>
        <w:t xml:space="preserve"> Brьnnich) в България. – Екология, 7, 22 – 30.</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Симеонов, С., Т. Мичев, Д. Нанкинов. 1990. Фауна на България. Том 20. Aves, част I. София, Издателство на БАН: 80-84.</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lastRenderedPageBreak/>
        <w:t>Симеонов, С., Т. Мичев. 1991. Птиците на Балканския полуостров, издателство „Петър Берон“, 128.</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Спиридонов Ж., Ц. Златанов, Д. Кючуков. 2015. Сив кълвач, </w:t>
      </w:r>
      <w:r w:rsidRPr="00A8783E">
        <w:rPr>
          <w:rFonts w:ascii="Times New Roman" w:hAnsi="Times New Roman"/>
          <w:i/>
          <w:iCs/>
        </w:rPr>
        <w:t>Picus canus</w:t>
      </w:r>
      <w:r w:rsidRPr="00A8783E">
        <w:rPr>
          <w:rFonts w:ascii="Times New Roman" w:hAnsi="Times New Roman"/>
        </w:rPr>
        <w:t>. В: Големански В. и др. (Eds) 2015. Червена книга на Република България, Том 2, Животни, БАН-МОСВ, София, 193 с.</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Спиридонов, Ж., С. Николов, Цв. Златанов, Р. Станчев. Черен кълвач, </w:t>
      </w:r>
      <w:r w:rsidRPr="00A8783E">
        <w:rPr>
          <w:rFonts w:ascii="Times New Roman" w:hAnsi="Times New Roman"/>
          <w:i/>
          <w:iCs/>
        </w:rPr>
        <w:t>Dryocopus martius</w:t>
      </w:r>
      <w:r w:rsidRPr="00A8783E">
        <w:rPr>
          <w:rFonts w:ascii="Times New Roman" w:hAnsi="Times New Roman"/>
        </w:rPr>
        <w:t>. В: Големански, В. и др. (ред.) 2011. Червена книга на Република България. Том 2. Животни. ИБЕИ – БАН &amp; МОСВ, София, 260.</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Спасов С., С. Николов. Полски блатар, </w:t>
      </w:r>
      <w:r w:rsidRPr="00A8783E">
        <w:rPr>
          <w:rFonts w:ascii="Times New Roman" w:hAnsi="Times New Roman"/>
          <w:i/>
          <w:iCs/>
        </w:rPr>
        <w:t>Circus cyaneus</w:t>
      </w:r>
      <w:r w:rsidRPr="00A8783E">
        <w:rPr>
          <w:rFonts w:ascii="Times New Roman" w:hAnsi="Times New Roman"/>
        </w:rPr>
        <w:t>. В: Големански, В. и др. (ред.) 2015. Червена книга на Република България. Том 2. Животни. ИБЕИ – БАН &amp; МОСВ, София, 76.</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Стойчев С., Герджиков Г., Демерджиев Д., Борисов Б. (2008) Птиците на Сакар планина. </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Стойчев С., Д. Демерджиев, Ц. Петров. 2012. План за действие за опазването на кръстатият орел (</w:t>
      </w:r>
      <w:r w:rsidRPr="00A8783E">
        <w:rPr>
          <w:rFonts w:ascii="Times New Roman" w:hAnsi="Times New Roman"/>
          <w:i/>
          <w:iCs/>
        </w:rPr>
        <w:t>Aquila heliaca</w:t>
      </w:r>
      <w:r w:rsidRPr="00A8783E">
        <w:rPr>
          <w:rFonts w:ascii="Times New Roman" w:hAnsi="Times New Roman"/>
        </w:rPr>
        <w:t>) в България. МОСВ, София, 71 стр.</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Стоянов Г., З. Боев. Голям ястреб, </w:t>
      </w:r>
      <w:r w:rsidRPr="00A8783E">
        <w:rPr>
          <w:rFonts w:ascii="Times New Roman" w:hAnsi="Times New Roman"/>
          <w:i/>
          <w:iCs/>
        </w:rPr>
        <w:t>Accipiter gentilis.</w:t>
      </w:r>
      <w:r w:rsidRPr="00A8783E">
        <w:rPr>
          <w:rFonts w:ascii="Times New Roman" w:hAnsi="Times New Roman"/>
        </w:rPr>
        <w:t xml:space="preserve"> В: Големански, В. и др. (ред.) 2015. Червена книга на Република България. Том 2. Животни. ИБЕИ – БАН &amp; МОСВ, София, 169.</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Федосов В.Н. 2013. Синантропизация и урбанизация европейского тювика – пример успешной адаптации вида // Птицы Кавказа: история изучения, жизнь в урбанизированной среде. Ставрополь: 183-186.  </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Чешмеджиев, С., Н. Петков (съст). (2014): План за действие за опазване на белооката потапница (Aythya nyroca) в България (2014–2023 г.). София, БДЗП: 61 с</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 xml:space="preserve">Чешмеджиев, С., Христов, И. 2020 „Картиране на гнездящи птици в българо-румънския участък от плавателния път на река Дунав“. Доклад. ГеоМарин” ЕООД. </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Шурулинков, П., Цонев, Р., Николов, Б., Стоянов, Г., Асенов, Л. 2005. Птиците на Средно Дунавската равнина, издателство ЗЕЛЕНИ БАЛКАНИ</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Шурулинков П. 2014. План за действие за опазване на големия воден бик (</w:t>
      </w:r>
      <w:r w:rsidRPr="00A8783E">
        <w:rPr>
          <w:rFonts w:ascii="Times New Roman" w:hAnsi="Times New Roman"/>
          <w:lang w:val="en-US"/>
        </w:rPr>
        <w:t>Botaurus</w:t>
      </w:r>
      <w:r w:rsidRPr="00A8783E">
        <w:rPr>
          <w:rFonts w:ascii="Times New Roman" w:hAnsi="Times New Roman"/>
        </w:rPr>
        <w:t xml:space="preserve"> </w:t>
      </w:r>
      <w:r w:rsidRPr="00A8783E">
        <w:rPr>
          <w:rFonts w:ascii="Times New Roman" w:hAnsi="Times New Roman"/>
          <w:lang w:val="en-US"/>
        </w:rPr>
        <w:t>stellaris</w:t>
      </w:r>
      <w:r w:rsidRPr="00A8783E">
        <w:rPr>
          <w:rFonts w:ascii="Times New Roman" w:hAnsi="Times New Roman"/>
        </w:rPr>
        <w:t>) в България 2014-2023 г., 50 с.</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Янков, П. (отг. ред.). 2007. Атлас на гнездящите птици в България. Българско дружество за защита на птиците, Природозащитна поредица, книга 10. БДЗП, София, 60-61.</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Alivizatos, H., Kassinis, N. (2021). Diet of the Red-footed Falcon (</w:t>
      </w:r>
      <w:r w:rsidRPr="00A8783E">
        <w:rPr>
          <w:rFonts w:ascii="Times New Roman" w:hAnsi="Times New Roman"/>
          <w:i/>
          <w:iCs/>
          <w:lang w:val="en-US"/>
        </w:rPr>
        <w:t>Falco vespertinus</w:t>
      </w:r>
      <w:r w:rsidRPr="00A8783E">
        <w:rPr>
          <w:rFonts w:ascii="Times New Roman" w:hAnsi="Times New Roman"/>
          <w:lang w:val="en-US"/>
        </w:rPr>
        <w:t>) in Cyprus during autumn migration. Ornis Hungarica 2021. 29(1): 120–125</w:t>
      </w:r>
    </w:p>
    <w:p w:rsidR="00A8783E" w:rsidRPr="00A8783E" w:rsidRDefault="00A8783E" w:rsidP="00A8783E">
      <w:pPr>
        <w:spacing w:before="120" w:after="120" w:line="240" w:lineRule="auto"/>
        <w:ind w:left="567" w:hanging="567"/>
        <w:jc w:val="both"/>
        <w:rPr>
          <w:rFonts w:ascii="Times New Roman" w:hAnsi="Times New Roman"/>
          <w:lang w:val="fr-FR"/>
        </w:rPr>
      </w:pPr>
      <w:r w:rsidRPr="00A8783E">
        <w:rPr>
          <w:rFonts w:ascii="Times New Roman" w:hAnsi="Times New Roman"/>
          <w:lang w:val="en-US"/>
        </w:rPr>
        <w:t xml:space="preserve">Andone, G., H. Almasan, D. Rudu, L. Andone, E. Chirac, G. Sclarletescu. </w:t>
      </w:r>
      <w:r w:rsidRPr="00A8783E">
        <w:rPr>
          <w:rFonts w:ascii="Times New Roman" w:hAnsi="Times New Roman"/>
          <w:lang w:val="fr-FR"/>
        </w:rPr>
        <w:t>1969. Cercetare asupra pasarilorichiofage din delta Dunarii. Inst. Cercet. Pisc. Studi si Cercetari 27: 133–183.</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Alder D., S. Marsden 2010. Characteristics of feeding‐site selection by breeding Green Woodpeckers </w:t>
      </w:r>
      <w:r w:rsidRPr="00A8783E">
        <w:rPr>
          <w:rFonts w:ascii="Times New Roman" w:hAnsi="Times New Roman"/>
          <w:i/>
          <w:iCs/>
          <w:lang w:val="en-US"/>
        </w:rPr>
        <w:t>Picus viridis</w:t>
      </w:r>
      <w:r w:rsidRPr="00A8783E">
        <w:rPr>
          <w:rFonts w:ascii="Times New Roman" w:hAnsi="Times New Roman"/>
          <w:lang w:val="en-US"/>
        </w:rPr>
        <w:t xml:space="preserve"> in a UK agricultural landscape. Bird Study, 57(1): 100-107.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Alves, M., Ferreira, J., Torres, I., Fonseca, C. (2014). Habitat Use and Selection of the Marsh Harrier </w:t>
      </w:r>
      <w:r w:rsidRPr="00A8783E">
        <w:rPr>
          <w:rFonts w:ascii="Times New Roman" w:hAnsi="Times New Roman"/>
          <w:i/>
          <w:iCs/>
          <w:lang w:val="en-US"/>
        </w:rPr>
        <w:t>Circus aeruginosus</w:t>
      </w:r>
      <w:r w:rsidRPr="00A8783E">
        <w:rPr>
          <w:rFonts w:ascii="Times New Roman" w:hAnsi="Times New Roman"/>
          <w:lang w:val="en-US"/>
        </w:rPr>
        <w:t xml:space="preserve"> in an Agricultural-Wetland Mosaic. Ardeola: International Journal of Ornithology 61(2):351-366. https://www.researchgate.net/publication/269706421.</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Bakaloudis, D., C. Vlachos, G. J Holloway. (1998). Habitat use by Short-toed Eagle Circaetus gallicus and their reptilian prey during the breeding season in Dadia Forest (north-eastern Greece). Journal of Applied Ecology 35(6): 821 – 828.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Bakaloudis, D. E., Vlachos, C., Papageorgiou, N., Holloway, G. J. (2001). Nest-site habitat selected by Short-toed Eagles, </w:t>
      </w:r>
      <w:r w:rsidRPr="00A8783E">
        <w:rPr>
          <w:rFonts w:ascii="Times New Roman" w:hAnsi="Times New Roman"/>
          <w:i/>
          <w:iCs/>
          <w:lang w:val="en-US"/>
        </w:rPr>
        <w:t>Circaetus gallicus</w:t>
      </w:r>
      <w:r w:rsidRPr="00A8783E">
        <w:rPr>
          <w:rFonts w:ascii="Times New Roman" w:hAnsi="Times New Roman"/>
          <w:lang w:val="en-US"/>
        </w:rPr>
        <w:t xml:space="preserve"> in Dadia Forest (Northeastern Greece). Ibis, 143: 391-401.</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Bakaloudis, D. (2009). Implications for conservation of foraging sites selected by Short-toed Eagles (</w:t>
      </w:r>
      <w:r w:rsidRPr="00A8783E">
        <w:rPr>
          <w:rFonts w:ascii="Times New Roman" w:hAnsi="Times New Roman"/>
          <w:i/>
          <w:iCs/>
          <w:lang w:val="en-US"/>
        </w:rPr>
        <w:t>Circaetus gallicus</w:t>
      </w:r>
      <w:r w:rsidRPr="00A8783E">
        <w:rPr>
          <w:rFonts w:ascii="Times New Roman" w:hAnsi="Times New Roman"/>
          <w:lang w:val="en-US"/>
        </w:rPr>
        <w:t xml:space="preserve">) in Greece. Ornis Fennica 86(3):89-96.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lastRenderedPageBreak/>
        <w:t xml:space="preserve">Barrientos, R., Arroyo, B. (2014). Nesting habitat selection of Mediterranean raptors in managed pinewoods: searching for common patterns to derive conservation recommendations. Bird Conservation International, 24:138–151.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Bastian H-V., A. Bastian, T. Tietze. </w:t>
      </w:r>
      <w:r w:rsidRPr="00A8783E">
        <w:rPr>
          <w:rFonts w:ascii="Times New Roman" w:hAnsi="Times New Roman"/>
          <w:lang w:val="de-DE"/>
        </w:rPr>
        <w:t>2018. Die Habitatwahl des Bienenfressers (</w:t>
      </w:r>
      <w:r w:rsidRPr="00A8783E">
        <w:rPr>
          <w:rFonts w:ascii="Times New Roman" w:hAnsi="Times New Roman"/>
          <w:i/>
          <w:iCs/>
          <w:lang w:val="de-DE"/>
        </w:rPr>
        <w:t>Merops apiaster</w:t>
      </w:r>
      <w:r w:rsidRPr="00A8783E">
        <w:rPr>
          <w:rFonts w:ascii="Times New Roman" w:hAnsi="Times New Roman"/>
          <w:lang w:val="de-DE"/>
        </w:rPr>
        <w:t xml:space="preserve">) in der Brut- und Nachbrutzeit: Дcker mit unerwartet hohem Wert als Nahrungslebensraum. </w:t>
      </w:r>
      <w:r w:rsidRPr="00A8783E">
        <w:rPr>
          <w:rFonts w:ascii="Times New Roman" w:hAnsi="Times New Roman"/>
          <w:lang w:val="en-US"/>
        </w:rPr>
        <w:t>Fauna Flora Rheinland, 13 (4): 1209-1226.</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Beaman, M., Madge, S. (1998). The Handbook of Bird Identification for Europe and the West-ern Palearctic. London: 1-872.</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BirdLife International (2015). European Red List of Birds. Luxembourg: Office for Official Publications of the European Communities.</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BirdLife International (2016) </w:t>
      </w:r>
      <w:r w:rsidRPr="00A8783E">
        <w:rPr>
          <w:rFonts w:ascii="Times New Roman" w:hAnsi="Times New Roman"/>
          <w:i/>
          <w:iCs/>
          <w:lang w:val="en-US"/>
        </w:rPr>
        <w:t>Calidris pugnax</w:t>
      </w:r>
      <w:r w:rsidRPr="00A8783E">
        <w:rPr>
          <w:rFonts w:ascii="Times New Roman" w:hAnsi="Times New Roman"/>
          <w:lang w:val="en-US"/>
        </w:rPr>
        <w:t xml:space="preserve">. The IUCN Red List of Threatened Species 2016: e.T22693468A86591264. https://dx.doi.org/10.2305/IUCN.UK.2016-3.RLTS.T22693468A86591264.en. Downloaded on 08 October 2021.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BirdLife International (2017)</w:t>
      </w:r>
      <w:r w:rsidRPr="00A8783E">
        <w:rPr>
          <w:rFonts w:ascii="Times New Roman" w:hAnsi="Times New Roman"/>
          <w:i/>
          <w:iCs/>
          <w:lang w:val="en-US"/>
        </w:rPr>
        <w:t xml:space="preserve"> European birds of conservation concern: populations, trends and national responsibilities</w:t>
      </w:r>
      <w:r w:rsidRPr="00A8783E">
        <w:rPr>
          <w:rFonts w:ascii="Times New Roman" w:hAnsi="Times New Roman"/>
          <w:lang w:val="en-US"/>
        </w:rPr>
        <w:t xml:space="preserve"> Cambridge, UK: BirdLife International.</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BirdLife International (2021) Species factsheet: Pelecanus onocrotalus. Downloaded from </w:t>
      </w:r>
      <w:hyperlink r:id="rId218" w:history="1">
        <w:r w:rsidRPr="00A8783E">
          <w:rPr>
            <w:rFonts w:ascii="Times New Roman" w:hAnsi="Times New Roman"/>
            <w:color w:val="0563C1"/>
            <w:u w:val="single"/>
            <w:lang w:val="en-US"/>
          </w:rPr>
          <w:t>http://datazone.birdlife.org/species/factsheet/great-white-pelican-pelecanus-onocrotalus</w:t>
        </w:r>
      </w:hyperlink>
      <w:r w:rsidRPr="00A8783E">
        <w:rPr>
          <w:rFonts w:ascii="Times New Roman" w:hAnsi="Times New Roman"/>
          <w:lang w:val="en-US"/>
        </w:rPr>
        <w:t xml:space="preserve">.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Bocca, M., L. Carisio, A. Rolando. 2007. Habitat use, home ranges and census techniques in the Black Woodpecker, </w:t>
      </w:r>
      <w:r w:rsidRPr="00A8783E">
        <w:rPr>
          <w:rFonts w:ascii="Times New Roman" w:hAnsi="Times New Roman"/>
          <w:i/>
          <w:iCs/>
          <w:lang w:val="en-US"/>
        </w:rPr>
        <w:t>Dryocopus martius</w:t>
      </w:r>
      <w:r w:rsidRPr="00A8783E">
        <w:rPr>
          <w:rFonts w:ascii="Times New Roman" w:hAnsi="Times New Roman"/>
          <w:lang w:val="en-US"/>
        </w:rPr>
        <w:t xml:space="preserve"> in the Alps. Ardea -Wageningen- 95(1):17-29.</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Brackney A. W. &amp; Bookhout T. A. 1982. Population Ecology of Common Gallinules in Southwestern Lake Erie Marshes. Ohio J. Sci., 82(5): 229-237.</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BWPi, 2006. The birds of the western Palearctic interactive, 2006 Upgra. ed. DVD Birdguides, Shrewsbury.</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Cardador, L., Planas, E.,  Varea, A., Maсosa, S. (2012). Feeding behaviour and diet composition of Marsh Harriers </w:t>
      </w:r>
      <w:r w:rsidRPr="00A8783E">
        <w:rPr>
          <w:rFonts w:ascii="Times New Roman" w:hAnsi="Times New Roman"/>
          <w:i/>
          <w:iCs/>
          <w:lang w:val="en-US"/>
        </w:rPr>
        <w:t>Circus aeruginosus</w:t>
      </w:r>
      <w:r w:rsidRPr="00A8783E">
        <w:rPr>
          <w:rFonts w:ascii="Times New Roman" w:hAnsi="Times New Roman"/>
          <w:lang w:val="en-US"/>
        </w:rPr>
        <w:t xml:space="preserve"> in agricultural landscapes. Bird Study 59(2):228-235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Cauli, F., Audisio, P., Petretti, F., Chiatante, G. (2021). Habitat suitability and nest-site selection of short-toed eagle </w:t>
      </w:r>
      <w:r w:rsidRPr="00A8783E">
        <w:rPr>
          <w:rFonts w:ascii="Times New Roman" w:hAnsi="Times New Roman"/>
          <w:i/>
          <w:iCs/>
          <w:lang w:val="en-US"/>
        </w:rPr>
        <w:t>Circaetus gallicus</w:t>
      </w:r>
      <w:r w:rsidRPr="00A8783E">
        <w:rPr>
          <w:rFonts w:ascii="Times New Roman" w:hAnsi="Times New Roman"/>
          <w:lang w:val="en-US"/>
        </w:rPr>
        <w:t xml:space="preserve"> in Tolfa Mountains (Central Italy). Journal of Vertebrate Biology, 70(2):21014.1-14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Cempulik P. 1993. Breeding ecology of the Moorhen </w:t>
      </w:r>
      <w:r w:rsidRPr="00A8783E">
        <w:rPr>
          <w:rFonts w:ascii="Times New Roman" w:hAnsi="Times New Roman"/>
          <w:i/>
          <w:iCs/>
          <w:lang w:val="en-US"/>
        </w:rPr>
        <w:t>Gallinula chloropus</w:t>
      </w:r>
      <w:r w:rsidRPr="00A8783E">
        <w:rPr>
          <w:rFonts w:ascii="Times New Roman" w:hAnsi="Times New Roman"/>
          <w:lang w:val="en-US"/>
        </w:rPr>
        <w:t xml:space="preserve"> in Upper Silesia (Poland). Acta Ornithologica, 28 (2): 75-89.</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Channing, K. (2006). "European Kestrel - </w:t>
      </w:r>
      <w:r w:rsidRPr="00A8783E">
        <w:rPr>
          <w:rFonts w:ascii="Times New Roman" w:hAnsi="Times New Roman"/>
          <w:i/>
          <w:iCs/>
          <w:lang w:val="en-US"/>
        </w:rPr>
        <w:t>Falco tinnunculus</w:t>
      </w:r>
      <w:r w:rsidRPr="00A8783E">
        <w:rPr>
          <w:rFonts w:ascii="Times New Roman" w:hAnsi="Times New Roman"/>
          <w:lang w:val="en-US"/>
        </w:rPr>
        <w:t>" (On-line). The Hawk Conservancy Trust. Accessed October 07, 2006 at http://www.hawk-conservancy.org/priors/kestrel.shtml.</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Cheshmedzhiev S., Shurulinkov P., Daskalova G. (2019) Status and distribution of diurnal birds of prey and the Black Stork along the Bulgarian section of the Danube River. In: Shurulinkov P. et al. (eds.) Biodiversity of the Bulgarian-Romanian section of the Lower Danube. Nova Publishers, New York, 375-398 p. </w:t>
      </w:r>
    </w:p>
    <w:p w:rsidR="00A8783E" w:rsidRPr="00A8783E" w:rsidRDefault="00A8783E" w:rsidP="00A8783E">
      <w:pPr>
        <w:spacing w:before="120" w:after="120" w:line="240" w:lineRule="auto"/>
        <w:ind w:left="567" w:hanging="630"/>
        <w:rPr>
          <w:rFonts w:ascii="Times New Roman" w:hAnsi="Times New Roman"/>
          <w:lang w:val="en-US"/>
        </w:rPr>
      </w:pPr>
      <w:r w:rsidRPr="00A8783E">
        <w:rPr>
          <w:rFonts w:ascii="Times New Roman" w:hAnsi="Times New Roman"/>
          <w:lang w:val="en-US"/>
        </w:rPr>
        <w:t>Ciach, M. (2004). Moorhen and Little Crake Feeding on Carrion. Berkut 13 (2): 300–301.</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COSEWIC. 2013. COSEWIC assessment and status report on the Bank Swallow Riparia riparia in Canada. Committee on the Status of Endangered Wildlife in Canada. Ottawa. ix + 48 pp. (</w:t>
      </w:r>
      <w:hyperlink r:id="rId219" w:history="1">
        <w:r w:rsidRPr="00A8783E">
          <w:rPr>
            <w:rFonts w:ascii="Times New Roman" w:hAnsi="Times New Roman"/>
            <w:color w:val="0563C1"/>
            <w:u w:val="single"/>
            <w:lang w:val="en-US"/>
          </w:rPr>
          <w:t>www.registrelep-sararegistry.gc.ca/default_e.cfm</w:t>
        </w:r>
      </w:hyperlink>
      <w:r w:rsidRPr="00A8783E">
        <w:rPr>
          <w:rFonts w:ascii="Times New Roman" w:hAnsi="Times New Roman"/>
          <w:lang w:val="en-US"/>
        </w:rPr>
        <w:t>).</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Cramp S. (ed.) (1985) Handbook of the Birds of Europe, the Middle East and North Africa.vol.4 Terns to Woodpeckers.Oxford University Press.</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Cramp S., Simmons KEL (eds.) (1977) Handbook of the Birds of Europe, the Middle East and North Africa.vol.1 Ostrich to Ducks. Oxford University Press.</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Cramp S., Simmons KEL (eds.) (1980) Handbook of the Birds of Europe, the Middle East and North Africa.vol.2 Hawks to Bustards. Oxford University Press.</w:t>
      </w:r>
    </w:p>
    <w:p w:rsidR="00A8783E" w:rsidRPr="00A8783E" w:rsidRDefault="00A8783E" w:rsidP="00A8783E">
      <w:pPr>
        <w:spacing w:before="120" w:after="120" w:line="240" w:lineRule="auto"/>
        <w:ind w:left="567" w:hanging="567"/>
        <w:jc w:val="both"/>
        <w:rPr>
          <w:rFonts w:ascii="Times New Roman" w:hAnsi="Times New Roman"/>
          <w:lang w:val="fr-FR"/>
        </w:rPr>
      </w:pPr>
      <w:r w:rsidRPr="00A8783E">
        <w:rPr>
          <w:rFonts w:ascii="Times New Roman" w:hAnsi="Times New Roman"/>
          <w:lang w:val="en-US"/>
        </w:rPr>
        <w:lastRenderedPageBreak/>
        <w:t xml:space="preserve">Crivelli, A. J., T. Nazirides, G. Catsadorakis, D. Hulea, M. Malakou, M. Marinov, I. Shogolev. 2000. Status and population development of Pygmy Cormorant </w:t>
      </w:r>
      <w:r w:rsidRPr="00A8783E">
        <w:rPr>
          <w:rFonts w:ascii="Times New Roman" w:hAnsi="Times New Roman"/>
          <w:i/>
          <w:iCs/>
          <w:lang w:val="en-US"/>
        </w:rPr>
        <w:t>Phalacrocorax pygmaeus</w:t>
      </w:r>
      <w:r w:rsidRPr="00A8783E">
        <w:rPr>
          <w:rFonts w:ascii="Times New Roman" w:hAnsi="Times New Roman"/>
          <w:lang w:val="en-US"/>
        </w:rPr>
        <w:t xml:space="preserve"> breeding in the Palearctic. In: P. Yesou, J. Sultana (ed.), Monitoring and conservation of birds, mammals and sea turtles in the Mediterranean and Black Seas: Proceedings of the 5th Medmaravis Symposium, Gozo, Malta, 29 September – 3 October 1998, pp. 49–60. </w:t>
      </w:r>
      <w:r w:rsidRPr="00A8783E">
        <w:rPr>
          <w:rFonts w:ascii="Times New Roman" w:hAnsi="Times New Roman"/>
          <w:lang w:val="fr-FR"/>
        </w:rPr>
        <w:t>Environment Protection Department, Valetta.</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fr-FR"/>
        </w:rPr>
        <w:t xml:space="preserve">Crivelli, </w:t>
      </w:r>
      <w:r w:rsidRPr="00A8783E">
        <w:rPr>
          <w:rFonts w:ascii="Times New Roman" w:hAnsi="Times New Roman"/>
          <w:lang w:val="en-US"/>
        </w:rPr>
        <w:t>А</w:t>
      </w:r>
      <w:r w:rsidRPr="00A8783E">
        <w:rPr>
          <w:rFonts w:ascii="Times New Roman" w:hAnsi="Times New Roman"/>
          <w:lang w:val="fr-FR"/>
        </w:rPr>
        <w:t xml:space="preserve">. J., T. Nazirides, H. Jerrentrup. </w:t>
      </w:r>
      <w:r w:rsidRPr="00A8783E">
        <w:rPr>
          <w:rFonts w:ascii="Times New Roman" w:hAnsi="Times New Roman"/>
          <w:lang w:val="en-US"/>
        </w:rPr>
        <w:t>1996. Action plan for the Pygmy Cormorant (</w:t>
      </w:r>
      <w:r w:rsidRPr="00A8783E">
        <w:rPr>
          <w:rFonts w:ascii="Times New Roman" w:hAnsi="Times New Roman"/>
          <w:i/>
          <w:iCs/>
          <w:lang w:val="en-US"/>
        </w:rPr>
        <w:t>Phalacrocorax  pygmeus</w:t>
      </w:r>
      <w:r w:rsidRPr="00A8783E">
        <w:rPr>
          <w:rFonts w:ascii="Times New Roman" w:hAnsi="Times New Roman"/>
          <w:lang w:val="en-US"/>
        </w:rPr>
        <w:t xml:space="preserve">)  in  Europe.  In:  B.  Heredia et al. 1996.  Globally Threatened Birds In Europe. Action Plans. Council of Europe Strasbourg, France.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Daskalova G., Shurulinkov P.  </w:t>
      </w:r>
      <w:r w:rsidRPr="00A8783E">
        <w:rPr>
          <w:rFonts w:ascii="Times New Roman" w:hAnsi="Times New Roman"/>
          <w:lang w:val="de-DE"/>
        </w:rPr>
        <w:t>(2010) Neues zur Brutvogelfauna des Tserkovski Reservoirs in Sudost- Bulgarien</w:t>
      </w:r>
      <w:r w:rsidRPr="00A8783E">
        <w:rPr>
          <w:rFonts w:ascii="Times New Roman" w:hAnsi="Times New Roman"/>
          <w:b/>
          <w:bCs/>
          <w:lang w:val="de-DE"/>
        </w:rPr>
        <w:t>.</w:t>
      </w:r>
      <w:r w:rsidRPr="00A8783E">
        <w:rPr>
          <w:rFonts w:ascii="Times New Roman" w:hAnsi="Times New Roman"/>
          <w:lang w:val="de-DE"/>
        </w:rPr>
        <w:t xml:space="preserve"> </w:t>
      </w:r>
      <w:r w:rsidRPr="00A8783E">
        <w:rPr>
          <w:rFonts w:ascii="Times New Roman" w:hAnsi="Times New Roman"/>
          <w:lang w:val="en-US"/>
        </w:rPr>
        <w:t>Ornithologishe Mitteilungen 62(12): 408-412</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Dereliev S., I. Ivanov, D. Georgiev, N. Petkov and L. Griffin 2005. Results from the monitoring of wintering Red-breasted Geese </w:t>
      </w:r>
      <w:r w:rsidRPr="00A8783E">
        <w:rPr>
          <w:rFonts w:ascii="Times New Roman" w:hAnsi="Times New Roman"/>
          <w:i/>
          <w:iCs/>
          <w:lang w:val="en-US"/>
        </w:rPr>
        <w:t>Branta ruficollis</w:t>
      </w:r>
      <w:r w:rsidRPr="00A8783E">
        <w:rPr>
          <w:rFonts w:ascii="Times New Roman" w:hAnsi="Times New Roman"/>
          <w:lang w:val="en-US"/>
        </w:rPr>
        <w:t xml:space="preserve"> in the region of the lakes Shabla and Durankulak (NE  Bulgaria)  in 2003-2005. BSPB Technical Series Report No: 1-2005. Sofia, Bulgaria, 8 p.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Dereliev, S., D. Georgiev, I. Ivanov &amp; N. Petkov. 2005b.  Status of the Redbreasted Goose (</w:t>
      </w:r>
      <w:r w:rsidRPr="00A8783E">
        <w:rPr>
          <w:rFonts w:ascii="Times New Roman" w:hAnsi="Times New Roman"/>
          <w:i/>
          <w:iCs/>
          <w:lang w:val="en-US"/>
        </w:rPr>
        <w:t>Branta ruficollis</w:t>
      </w:r>
      <w:r w:rsidRPr="00A8783E">
        <w:rPr>
          <w:rFonts w:ascii="Times New Roman" w:hAnsi="Times New Roman"/>
          <w:lang w:val="en-US"/>
        </w:rPr>
        <w:t xml:space="preserve">) in Bulgaria – In Proceedings of the Red-breasted Goose Conservation Action Workshop, SOR/BirdLife Romania, Tulcea, Romania.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Dereliev, S., D. Hulea, B. Ivanov, W. J. Sutherlands &amp; R. Summers. 2000.  The numbers and distribution of the Red-breasted Goose </w:t>
      </w:r>
      <w:r w:rsidRPr="00A8783E">
        <w:rPr>
          <w:rFonts w:ascii="Times New Roman" w:hAnsi="Times New Roman"/>
          <w:i/>
          <w:iCs/>
          <w:lang w:val="en-US"/>
        </w:rPr>
        <w:t>Branta ruficollis</w:t>
      </w:r>
      <w:r w:rsidRPr="00A8783E">
        <w:rPr>
          <w:rFonts w:ascii="Times New Roman" w:hAnsi="Times New Roman"/>
          <w:lang w:val="en-US"/>
        </w:rPr>
        <w:t xml:space="preserve"> at wintering roosts in Romania and Bulgaria. – Acta Ornithologica, 35, 63-66 p.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Dereliev, S.G. 2006. The Red-breasted Goose </w:t>
      </w:r>
      <w:r w:rsidRPr="00A8783E">
        <w:rPr>
          <w:rFonts w:ascii="Times New Roman" w:hAnsi="Times New Roman"/>
          <w:i/>
          <w:iCs/>
          <w:lang w:val="en-US"/>
        </w:rPr>
        <w:t>Branta ruficollis</w:t>
      </w:r>
      <w:r w:rsidRPr="00A8783E">
        <w:rPr>
          <w:rFonts w:ascii="Times New Roman" w:hAnsi="Times New Roman"/>
          <w:lang w:val="en-US"/>
        </w:rPr>
        <w:t xml:space="preserve"> in the new millennium: a thriving species or a species on the brink of extinction? Waterbirds around the world. Eds. G.C. Boere, C.A. Galbraith &amp; D.A. Stroud. The Stationery Office, Edinburgh, UK, 619-623 pp.</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Dimitrov, M., T. Michev, L.Profirov, K.Nyagolov (2005) Waterbirds of Bourgas Wetlands. Results and Evaluation of the MonthlyWaterbird Monitoring 1996-2002. Bulgarian Biodiversity Fondation and Pensoft Publishers, Sofia-Moscow, 160 pp.</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Elas, M. &amp; Meissner W. 2019. High density of breeding Common Sandpipers </w:t>
      </w:r>
      <w:r w:rsidRPr="00A8783E">
        <w:rPr>
          <w:rFonts w:ascii="Times New Roman" w:hAnsi="Times New Roman"/>
          <w:i/>
          <w:iCs/>
          <w:lang w:val="en-US"/>
        </w:rPr>
        <w:t>Actitis hypoleucos</w:t>
      </w:r>
      <w:r w:rsidRPr="00A8783E">
        <w:rPr>
          <w:rFonts w:ascii="Times New Roman" w:hAnsi="Times New Roman"/>
          <w:lang w:val="en-US"/>
        </w:rPr>
        <w:t xml:space="preserve"> in the Middle Vistula River, Poland. Wader Study 126(1): 67–68.</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Elmberg, J. 2003. Density-dependent breeding success in mallards Anas platyrhynchos on a eutrophic lake. Wildlife Biology, 9(4):67-73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Fasola, M., Zanghellini, S. (1993). Breeding habitats of Sparrowhawks (</w:t>
      </w:r>
      <w:r w:rsidRPr="00A8783E">
        <w:rPr>
          <w:rFonts w:ascii="Times New Roman" w:hAnsi="Times New Roman"/>
          <w:i/>
          <w:iCs/>
          <w:lang w:val="en-US"/>
        </w:rPr>
        <w:t>Accipiter nisus</w:t>
      </w:r>
      <w:r w:rsidRPr="00A8783E">
        <w:rPr>
          <w:rFonts w:ascii="Times New Roman" w:hAnsi="Times New Roman"/>
          <w:lang w:val="en-US"/>
        </w:rPr>
        <w:t>) and Goshawks (</w:t>
      </w:r>
      <w:r w:rsidRPr="00A8783E">
        <w:rPr>
          <w:rFonts w:ascii="Times New Roman" w:hAnsi="Times New Roman"/>
          <w:i/>
          <w:iCs/>
          <w:lang w:val="en-US"/>
        </w:rPr>
        <w:t>A. gentilis</w:t>
      </w:r>
      <w:r w:rsidRPr="00A8783E">
        <w:rPr>
          <w:rFonts w:ascii="Times New Roman" w:hAnsi="Times New Roman"/>
          <w:lang w:val="en-US"/>
        </w:rPr>
        <w:t xml:space="preserve">) in the Southern Alps. Avocetta, 17: 11-14.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Figarski, T., L. Kajtoch. 2018. Differences in Habitat Requirements between Two Sister Dendrocopos Woodpeckers in Urban Environments: Implication for the Conservation of Syrian Woodpecker. Acta Ornithologica 53(1):23-36</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Finch T.M. 2016. Conservation ecology of the European Roller. A thesis submitted for the degree of Doctor of Philosophy, School of Biological Sciences, University of East Anglia, UK, 183 p.</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Gilbert, G. (2002). The status and habitat of Spotted Crakes </w:t>
      </w:r>
      <w:r w:rsidRPr="00A8783E">
        <w:rPr>
          <w:rFonts w:ascii="Times New Roman" w:hAnsi="Times New Roman"/>
          <w:i/>
          <w:iCs/>
          <w:lang w:val="en-US"/>
        </w:rPr>
        <w:t>Porzana porzana</w:t>
      </w:r>
      <w:r w:rsidRPr="00A8783E">
        <w:rPr>
          <w:rFonts w:ascii="Times New Roman" w:hAnsi="Times New Roman"/>
          <w:lang w:val="en-US"/>
        </w:rPr>
        <w:t xml:space="preserve"> in the UK in 1999. Bird Study 49: 79-86.</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Gryz,</w:t>
      </w:r>
      <w:r w:rsidRPr="00A8783E">
        <w:rPr>
          <w:rFonts w:ascii="Times New Roman" w:hAnsi="Times New Roman"/>
        </w:rPr>
        <w:t xml:space="preserve"> </w:t>
      </w:r>
      <w:r w:rsidRPr="00A8783E">
        <w:rPr>
          <w:rFonts w:ascii="Times New Roman" w:hAnsi="Times New Roman"/>
          <w:lang w:val="en-US"/>
        </w:rPr>
        <w:t xml:space="preserve">J., Krauze-Gryz, D. (2018). Density dynamics, diet composition and productivity of sparrowhawk </w:t>
      </w:r>
      <w:r w:rsidRPr="00A8783E">
        <w:rPr>
          <w:rFonts w:ascii="Times New Roman" w:hAnsi="Times New Roman"/>
          <w:i/>
          <w:iCs/>
          <w:lang w:val="en-US"/>
        </w:rPr>
        <w:t>Accipiter nisus</w:t>
      </w:r>
      <w:r w:rsidRPr="00A8783E">
        <w:rPr>
          <w:rFonts w:ascii="Times New Roman" w:hAnsi="Times New Roman"/>
          <w:lang w:val="en-US"/>
        </w:rPr>
        <w:t xml:space="preserve"> L. population in central Poland / Leњne Prace Badawcze Vol. 79 (3): 245–251.</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fr-FR"/>
        </w:rPr>
        <w:t xml:space="preserve">Gryz J., D. Krauze-Gryz, 2019. </w:t>
      </w:r>
      <w:r w:rsidRPr="00A8783E">
        <w:rPr>
          <w:rFonts w:ascii="Times New Roman" w:hAnsi="Times New Roman"/>
          <w:lang w:val="en-US"/>
        </w:rPr>
        <w:t xml:space="preserve">The Common Buzzard Buteo buteo Population in a Changing Environment, Central Poland as a Case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Study. Diversity, 11 (35): 2-17.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lastRenderedPageBreak/>
        <w:t>Guillemain, M., Arzel, C., Legagneux, P., Elmberg, J. 2007. Predation risk constrains the plasticity of foraging behaviour in teals, Anas crecca: a flyway-level circumannual approach. Animal Behaviour 73(5):845-854</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Jedlikowski, J., Brambilla, M., Suska-Malawska, M. (2014). Finescale selection of nesting habitat in Little Crake </w:t>
      </w:r>
      <w:r w:rsidRPr="00A8783E">
        <w:rPr>
          <w:rFonts w:ascii="Times New Roman" w:hAnsi="Times New Roman"/>
          <w:i/>
          <w:iCs/>
          <w:lang w:val="en-US"/>
        </w:rPr>
        <w:t>Porzana parva</w:t>
      </w:r>
      <w:r w:rsidRPr="00A8783E">
        <w:rPr>
          <w:rFonts w:ascii="Times New Roman" w:hAnsi="Times New Roman"/>
          <w:lang w:val="en-US"/>
        </w:rPr>
        <w:t xml:space="preserve"> and Water Rail </w:t>
      </w:r>
      <w:r w:rsidRPr="00A8783E">
        <w:rPr>
          <w:rFonts w:ascii="Times New Roman" w:hAnsi="Times New Roman"/>
          <w:i/>
          <w:iCs/>
          <w:lang w:val="en-US"/>
        </w:rPr>
        <w:t>Rallus aquaticus</w:t>
      </w:r>
      <w:r w:rsidRPr="00A8783E">
        <w:rPr>
          <w:rFonts w:ascii="Times New Roman" w:hAnsi="Times New Roman"/>
          <w:lang w:val="en-US"/>
        </w:rPr>
        <w:t xml:space="preserve"> in small ponds, Bird Study, 61:2, 171-181, DOI: 10.1080/00063657.2014.904271.</w:t>
      </w:r>
    </w:p>
    <w:p w:rsidR="00A8783E" w:rsidRPr="00A8783E" w:rsidRDefault="00A8783E" w:rsidP="00A8783E">
      <w:pPr>
        <w:spacing w:before="120" w:after="120" w:line="240" w:lineRule="auto"/>
        <w:ind w:left="567" w:hanging="567"/>
        <w:jc w:val="both"/>
        <w:rPr>
          <w:rFonts w:ascii="Times New Roman" w:hAnsi="Times New Roman"/>
          <w:color w:val="0563C1"/>
          <w:u w:val="single"/>
          <w:lang w:val="fr-FR"/>
        </w:rPr>
      </w:pPr>
      <w:r w:rsidRPr="00A8783E">
        <w:rPr>
          <w:rFonts w:ascii="Times New Roman" w:hAnsi="Times New Roman"/>
          <w:lang w:val="en-US"/>
        </w:rPr>
        <w:t xml:space="preserve">JDS4 (2019-2020). Scientific report: A shared analysis of the Danube river. </w:t>
      </w:r>
      <w:hyperlink r:id="rId220" w:history="1">
        <w:r w:rsidRPr="00A8783E">
          <w:rPr>
            <w:rFonts w:ascii="Times New Roman" w:hAnsi="Times New Roman"/>
            <w:color w:val="0563C1"/>
            <w:u w:val="single"/>
            <w:lang w:val="fr-FR"/>
          </w:rPr>
          <w:t>http://www.danubesurvey.org/jds4/publications/scientific-report</w:t>
        </w:r>
      </w:hyperlink>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fr-FR"/>
        </w:rPr>
        <w:t xml:space="preserve">Hayman, P., Marchant, J. Prater, T. (1986). </w:t>
      </w:r>
      <w:r w:rsidRPr="00A8783E">
        <w:rPr>
          <w:rFonts w:ascii="Times New Roman" w:hAnsi="Times New Roman"/>
          <w:lang w:val="en-US"/>
        </w:rPr>
        <w:t>Shorehrds: An identification guide to the waders of the world. Helm, London.</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Hebda G., Wesoіowski T. &amp; Rowiсski P. 2016. Nest sites of Middle Spotted Woodpeckers </w:t>
      </w:r>
      <w:r w:rsidRPr="00A8783E">
        <w:rPr>
          <w:rFonts w:ascii="Times New Roman" w:hAnsi="Times New Roman"/>
          <w:i/>
          <w:iCs/>
          <w:lang w:val="en-US"/>
        </w:rPr>
        <w:t>Leiopicus medius</w:t>
      </w:r>
      <w:r w:rsidRPr="00A8783E">
        <w:rPr>
          <w:rFonts w:ascii="Times New Roman" w:hAnsi="Times New Roman"/>
          <w:lang w:val="en-US"/>
        </w:rPr>
        <w:t xml:space="preserve"> in a primeval forest. Ardea 104: 119–128.</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Heredia, B., L. Rose, M.  Painter.  1996.  Globally threatened birds in Europe.  Action Plans. Council of Europe Publishing, 408 p.</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Hristov I., Petkov N. (2013) State of common birds in Bulgaria 2005-2013.Technical Report, BSPB.</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Hulea, D., 2002.Winter feeding ecology of the Red-breasted Goose (</w:t>
      </w:r>
      <w:r w:rsidRPr="00A8783E">
        <w:rPr>
          <w:rFonts w:ascii="Times New Roman" w:hAnsi="Times New Roman"/>
          <w:i/>
          <w:iCs/>
          <w:lang w:val="en-US"/>
        </w:rPr>
        <w:t>Branta ruficollis</w:t>
      </w:r>
      <w:r w:rsidRPr="00A8783E">
        <w:rPr>
          <w:rFonts w:ascii="Times New Roman" w:hAnsi="Times New Roman"/>
          <w:lang w:val="en-US"/>
        </w:rPr>
        <w:t>) – PhD Thesis, University of East Anglia, Norwich, UK, 154 p.</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Hudec K. (ed.). 1994. Fauna CR a SR. Ptaci- Aves. Academia ved Ceske Republiky, Praha, 1994.</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Iankov, P. 1996. Where to Watch Birds in Bulgaria. Pensoft, Sofia, 182 pp.</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Ivanov B., P. Iankov, L. Profirov, D. Georgiev, M. Dimitrov. BUNARCO, Report 1</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Ivanov, B., Iankov, P., Boev, Z., Georgiev, D., Profirov, L., Dimitrov, M. (2014) "Списък на видовете птици в България към 31.12. 2014г. List of the birds recorded in Bulgaria (Bulgarian List)."</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Kambourova, N. 2005. The recent status of breeding bird communities of Srebarna Biosphere Reserve (NE Bulgaria). Acrocephalus 26 (125): 81–97.</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Kambourova, N. (2012). Ornithofauna of the Biosphere reserve Srebarna Lake. In: Uzunov, Y., B.B. Georgiev, E. Varadinoiva, N. Ivanova, L. Pehlivanov, V. Vasilev (Editors) 2012. Ecosystems of the Biosphere Reserve Srebarna Lake. Sofia, Professor Marin Drinov Academic Publishing House, 129-154.</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Kamburova, N., Michev, T. 2003. Habitat distribution of breeding waterbirds of Srebarna Managed Reserve, NE Bulgaria Journal of Balkan Ecology, 6 (2): 191-199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Karlsson, S. 2004. Season-dependent diet composition and habitat use of Red-backed Shrikes </w:t>
      </w:r>
      <w:r w:rsidRPr="00A8783E">
        <w:rPr>
          <w:rFonts w:ascii="Times New Roman" w:hAnsi="Times New Roman"/>
          <w:i/>
          <w:iCs/>
          <w:lang w:val="en-US"/>
        </w:rPr>
        <w:t>Lanius collurio</w:t>
      </w:r>
      <w:r w:rsidRPr="00A8783E">
        <w:rPr>
          <w:rFonts w:ascii="Times New Roman" w:hAnsi="Times New Roman"/>
          <w:lang w:val="en-US"/>
        </w:rPr>
        <w:t xml:space="preserve"> in SW Finland. Ornis Fennica 81 :97-108.</w:t>
      </w:r>
    </w:p>
    <w:p w:rsidR="00A8783E" w:rsidRPr="00A8783E" w:rsidRDefault="00A8783E" w:rsidP="00A8783E">
      <w:pPr>
        <w:spacing w:before="120" w:after="120" w:line="240" w:lineRule="auto"/>
        <w:ind w:left="567" w:hanging="567"/>
        <w:jc w:val="both"/>
        <w:rPr>
          <w:rFonts w:ascii="Times New Roman" w:hAnsi="Times New Roman"/>
          <w:lang w:val="de-DE"/>
        </w:rPr>
      </w:pPr>
      <w:r w:rsidRPr="00A8783E">
        <w:rPr>
          <w:rFonts w:ascii="Times New Roman" w:hAnsi="Times New Roman"/>
          <w:lang w:val="en-US"/>
        </w:rPr>
        <w:t xml:space="preserve">Kazakov, S., Biserkov, V., Pehlivanov, L., Nedkov, S. 2020. Trophic status assessment of small turbid lakes comparing remote sensing and in situ data: case study at lower Danube floodplain. </w:t>
      </w:r>
      <w:r w:rsidRPr="00A8783E">
        <w:rPr>
          <w:rFonts w:ascii="Times New Roman" w:hAnsi="Times New Roman"/>
          <w:lang w:val="de-DE"/>
        </w:rPr>
        <w:t>Aerosp. Res. Bulg. 32, 53–63. doi:10.3897/arb.v32.e05</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de-DE"/>
        </w:rPr>
        <w:t xml:space="preserve">Keerberg L., R. Marja. </w:t>
      </w:r>
      <w:r w:rsidRPr="00A8783E">
        <w:rPr>
          <w:rFonts w:ascii="Times New Roman" w:hAnsi="Times New Roman"/>
          <w:lang w:val="en-US"/>
        </w:rPr>
        <w:t>2020. Overview of sand martin (</w:t>
      </w:r>
      <w:r w:rsidRPr="00A8783E">
        <w:rPr>
          <w:rFonts w:ascii="Times New Roman" w:hAnsi="Times New Roman"/>
          <w:i/>
          <w:iCs/>
          <w:lang w:val="en-US"/>
        </w:rPr>
        <w:t>Riparia riparia</w:t>
      </w:r>
      <w:r w:rsidRPr="00A8783E">
        <w:rPr>
          <w:rFonts w:ascii="Times New Roman" w:hAnsi="Times New Roman"/>
          <w:lang w:val="en-US"/>
        </w:rPr>
        <w:t xml:space="preserve">) distribution, size of breeding colonies, nest predation and habitat use based on year 2017 data in Estonia. Hirundo, 33 (2) 16-29.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Keller V., Herrando S., Vorisek P., Franch M., Kipson M., Milanesi P., Marti D., Anton M., Klvanova A., Kalyakin A., Bauer H.-G.,Foppen R. (2020) European Breeding Bird Atlas 2: Distribution, Abundance and Change. EBCC &amp; Lynx Editions, Barcelona.</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Kerйnyi Z., E. Ivуk 2013. Nestsite characteristics of the European Bee-eater (</w:t>
      </w:r>
      <w:r w:rsidRPr="00A8783E">
        <w:rPr>
          <w:rFonts w:ascii="Times New Roman" w:hAnsi="Times New Roman"/>
          <w:i/>
          <w:iCs/>
          <w:lang w:val="en-US"/>
        </w:rPr>
        <w:t>Merops apiaster</w:t>
      </w:r>
      <w:r w:rsidRPr="00A8783E">
        <w:rPr>
          <w:rFonts w:ascii="Times New Roman" w:hAnsi="Times New Roman"/>
          <w:lang w:val="en-US"/>
        </w:rPr>
        <w:t xml:space="preserve"> L.) in the Gцdцllх Hills. – Ornis Hungarica 21(2): 23–32.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de-DE"/>
        </w:rPr>
        <w:lastRenderedPageBreak/>
        <w:t xml:space="preserve">Khanaposhtani, M., M. Najafabadi, M. Kaboli, A. Farashi, D. Spiering. </w:t>
      </w:r>
      <w:r w:rsidRPr="00A8783E">
        <w:rPr>
          <w:rFonts w:ascii="Times New Roman" w:hAnsi="Times New Roman"/>
          <w:lang w:val="en-US"/>
        </w:rPr>
        <w:t xml:space="preserve">2012. Habitat requirements of the Black Woodpecker, </w:t>
      </w:r>
      <w:r w:rsidRPr="00A8783E">
        <w:rPr>
          <w:rFonts w:ascii="Times New Roman" w:hAnsi="Times New Roman"/>
          <w:i/>
          <w:iCs/>
          <w:lang w:val="en-US"/>
        </w:rPr>
        <w:t>Dryocopus martius</w:t>
      </w:r>
      <w:r w:rsidRPr="00A8783E">
        <w:rPr>
          <w:rFonts w:ascii="Times New Roman" w:hAnsi="Times New Roman"/>
          <w:lang w:val="en-US"/>
        </w:rPr>
        <w:t>, in Hyrcanian forests, Iran. Zoology in the Middle East 55(1).</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Kiss O., B. Tokody, B. Deбk, C. Moskбt. 2016. Increased landscape heterogeneity supports the conservation of European rollers (</w:t>
      </w:r>
      <w:r w:rsidRPr="00A8783E">
        <w:rPr>
          <w:rFonts w:ascii="Times New Roman" w:hAnsi="Times New Roman"/>
          <w:i/>
          <w:iCs/>
          <w:lang w:val="en-US"/>
        </w:rPr>
        <w:t>Coracias garrulus</w:t>
      </w:r>
      <w:r w:rsidRPr="00A8783E">
        <w:rPr>
          <w:rFonts w:ascii="Times New Roman" w:hAnsi="Times New Roman"/>
          <w:lang w:val="en-US"/>
        </w:rPr>
        <w:t xml:space="preserve">) in southern Hungary. Journal for Nature Conservation, 29: 97-104.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Kiss O., I. Catry, J. M. Avilйse, S. Bariљiжf, T. Kuzmenkog, S. Cheshmedzhievh, A. T. Marques, A. Meschinil, T. Schwartz, B. Tokody, Z. Vйgvбri. 2020. Past and future climate-driven shifts in the distribution of a warm-adapted bird species, the European Roller </w:t>
      </w:r>
      <w:r w:rsidRPr="00A8783E">
        <w:rPr>
          <w:rFonts w:ascii="Times New Roman" w:hAnsi="Times New Roman"/>
          <w:i/>
          <w:iCs/>
          <w:lang w:val="en-US"/>
        </w:rPr>
        <w:t>Coracias garrulus</w:t>
      </w:r>
      <w:r w:rsidRPr="00A8783E">
        <w:rPr>
          <w:rFonts w:ascii="Times New Roman" w:hAnsi="Times New Roman"/>
          <w:lang w:val="en-US"/>
        </w:rPr>
        <w:t xml:space="preserve">. BIRD STUDY, 1-17.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Kiss O., Z. Elek, C. Moskбt. 2014. High breeding performance of European Rollers </w:t>
      </w:r>
      <w:r w:rsidRPr="00A8783E">
        <w:rPr>
          <w:rFonts w:ascii="Times New Roman" w:hAnsi="Times New Roman"/>
          <w:i/>
          <w:iCs/>
          <w:lang w:val="en-US"/>
        </w:rPr>
        <w:t>Coracias garrulus</w:t>
      </w:r>
      <w:r w:rsidRPr="00A8783E">
        <w:rPr>
          <w:rFonts w:ascii="Times New Roman" w:hAnsi="Times New Roman"/>
          <w:lang w:val="en-US"/>
        </w:rPr>
        <w:t xml:space="preserve"> in heterogeneous farmland habitat in southern Hungary. Bird Study, 61: 496–505.</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Kostadinova I., S. Dereliev. 2001. Results from the Mid-Winter Counts of Waterbirds in Bulgaria for the period 1997-2001. BSPB Conservation Series. Book 3, BSPB, Sofia, BG, 96 pp.</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Kosiсski Z., M. Kempa. 2007. Density, distribution and nest-sites of woodpeckersb </w:t>
      </w:r>
      <w:r w:rsidRPr="00A8783E">
        <w:rPr>
          <w:rFonts w:ascii="Times New Roman" w:hAnsi="Times New Roman"/>
          <w:i/>
          <w:iCs/>
          <w:lang w:val="en-US"/>
        </w:rPr>
        <w:t>Picidae</w:t>
      </w:r>
      <w:r w:rsidRPr="00A8783E">
        <w:rPr>
          <w:rFonts w:ascii="Times New Roman" w:hAnsi="Times New Roman"/>
          <w:lang w:val="en-US"/>
        </w:rPr>
        <w:t>, in a managed forest of western Poland. Polish Journal of Ecology, 55 (3): 519–533.</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Krone, O., Treu, G. (2018). Movement patterns of white-tailed sea eagles near wind turbines. The Journal of Wildlife Management, 82:1367–1375.</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Lengyel, Sz. 1998. Distribution and status of the Common Sandpiper (</w:t>
      </w:r>
      <w:r w:rsidRPr="00A8783E">
        <w:rPr>
          <w:rFonts w:ascii="Times New Roman" w:hAnsi="Times New Roman"/>
          <w:i/>
          <w:iCs/>
          <w:lang w:val="en-US"/>
        </w:rPr>
        <w:t>Actitis hypoleucos</w:t>
      </w:r>
      <w:r w:rsidRPr="00A8783E">
        <w:rPr>
          <w:rFonts w:ascii="Times New Roman" w:hAnsi="Times New Roman"/>
          <w:lang w:val="en-US"/>
        </w:rPr>
        <w:t>) and Little Ringed Plover (Charadrius dubius) along two rivers in North-Eastern Hungary. Aquila 103-104, p. 47-57.</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Madders, M. (2003). Hen Harrier, </w:t>
      </w:r>
      <w:r w:rsidRPr="00A8783E">
        <w:rPr>
          <w:rFonts w:ascii="Times New Roman" w:hAnsi="Times New Roman"/>
          <w:i/>
          <w:iCs/>
          <w:lang w:val="en-US"/>
        </w:rPr>
        <w:t>Circus cyaneus</w:t>
      </w:r>
      <w:r w:rsidRPr="00A8783E">
        <w:rPr>
          <w:rFonts w:ascii="Times New Roman" w:hAnsi="Times New Roman"/>
          <w:lang w:val="en-US"/>
        </w:rPr>
        <w:t xml:space="preserve"> foraging activity in relation to habitat and prey. Bird Study, 50 (1) 55-60, DOI: 10.1080/00063650309461290.</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Maciorowski, G., Zduniak, P., Bocheсski, M., Urbaсska, M., Krуl, P., Polakowski, M. (2021). Breeding habitats and long‑term population numbers of two sympatric raptors—Red Kite </w:t>
      </w:r>
      <w:r w:rsidRPr="00A8783E">
        <w:rPr>
          <w:rFonts w:ascii="Times New Roman" w:hAnsi="Times New Roman"/>
          <w:i/>
          <w:iCs/>
          <w:lang w:val="en-US"/>
        </w:rPr>
        <w:t>Milvus milvus</w:t>
      </w:r>
      <w:r w:rsidRPr="00A8783E">
        <w:rPr>
          <w:rFonts w:ascii="Times New Roman" w:hAnsi="Times New Roman"/>
          <w:lang w:val="en-US"/>
        </w:rPr>
        <w:t xml:space="preserve"> and Black Kite M. migrans— in the mosaic‑like landscape of western Poland. Journal of Ornithology, 162:125–134.</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Mеnsson, J., Nilsson, L., Hake, M. (2013). Territory size and habitat selection of breeding Common Cranes (</w:t>
      </w:r>
      <w:r w:rsidRPr="00A8783E">
        <w:rPr>
          <w:rFonts w:ascii="Times New Roman" w:hAnsi="Times New Roman"/>
          <w:i/>
          <w:iCs/>
          <w:lang w:val="en-US"/>
        </w:rPr>
        <w:t>Grus grus</w:t>
      </w:r>
      <w:r w:rsidRPr="00A8783E">
        <w:rPr>
          <w:rFonts w:ascii="Times New Roman" w:hAnsi="Times New Roman"/>
          <w:lang w:val="en-US"/>
        </w:rPr>
        <w:t>) in a boreal landscape.</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fr-FR"/>
        </w:rPr>
        <w:t xml:space="preserve">Malher, F., Lesaffre, G., Zucca, M., &amp; Coatmeur, J. 2010. </w:t>
      </w:r>
      <w:r w:rsidRPr="00A8783E">
        <w:rPr>
          <w:rFonts w:ascii="Times New Roman" w:hAnsi="Times New Roman"/>
          <w:lang w:val="en-US"/>
        </w:rPr>
        <w:t>(The breeding birds of Paris.An urban atlas) Oiseaux nicheurs de Paris. Un atlas urbain. Paris: Corif. Delachauxet Niestlй.</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Marin, S., I. Ivanov, D. Georgiev and Z. Boev. 2004. On the food of the Imperial Eagle </w:t>
      </w:r>
      <w:r w:rsidRPr="00A8783E">
        <w:rPr>
          <w:rFonts w:ascii="Times New Roman" w:hAnsi="Times New Roman"/>
          <w:i/>
          <w:iCs/>
          <w:lang w:val="en-US"/>
        </w:rPr>
        <w:t>Aquila heliaca</w:t>
      </w:r>
      <w:r w:rsidRPr="00A8783E">
        <w:rPr>
          <w:rFonts w:ascii="Times New Roman" w:hAnsi="Times New Roman"/>
          <w:lang w:val="en-US"/>
        </w:rPr>
        <w:t xml:space="preserve"> on Sakar Mountain and Dervent Heights, Bulgaria. – Raptors Worldwide, WWGBP/MME, Eds. Chancellor r. &amp; B.-U. Meyburg, pp. 589-592.</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Metcheva, R., Beltcheva, M., Naumov, B., Yankov, Y., Michev, T., Profirov, L., Mitov, P., Kenderov, L., Georgieva, E., Petrov, P., Goranov, S., (2016) Faunistic study of the Danube Island Tsibar. — Fourth Romanian-Bulgarian-Hungarian-Serbian Conference 'Geographical Research and Cross-Border Cooperation within the Lower Basin of the Danube', 15—17 Sept. 2016, Vidin — Bulgaria, pp. 72.</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Message, S., Taylor, D. (2005). Waders of Europe, Asia and North America: Helm Field Guide. Helm, London.</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Meyburg, B.-U., Haraszthy, L., Strazds, M., Schдffer N. 1997. European Union Action Plans for 8 Priority Birds Species – Lesser Spotted Eagle (</w:t>
      </w:r>
      <w:r w:rsidRPr="00A8783E">
        <w:rPr>
          <w:rFonts w:ascii="Times New Roman" w:hAnsi="Times New Roman"/>
          <w:i/>
          <w:iCs/>
          <w:lang w:val="en-US"/>
        </w:rPr>
        <w:t>Aquila pomarina</w:t>
      </w:r>
      <w:r w:rsidRPr="00A8783E">
        <w:rPr>
          <w:rFonts w:ascii="Times New Roman" w:hAnsi="Times New Roman"/>
          <w:lang w:val="en-US"/>
        </w:rPr>
        <w:t>). 30 р.</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Michalczuk, J., M. Michalczuk 2016.  Habitat preferences of Picidae woodpeckers in the agricultural landscape of SE Poland: Is the Syrian Woodpecker Dendrocopos syriacus colonizing a vacant ecological niche? North-Western Journal of Zoology, 12 (1): 14-21.</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lastRenderedPageBreak/>
        <w:t>Michalczuk, J., M. Michalczuk. 2017. Diet variability of Syrian Woodpecker Dendrocopos syriacus nestlings in the rural landscape of SE Poland. North-Western Journal of Zoology 13(2):278-284.</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Michalczuk, J., M. Michalczuk. 2020. Nest-site selection of the Syrian Woodpecker (Dendrocopos syriacus) in the agricultural landscape of SE Poland. Acta zoologica Academiae Scientiarum Hungaricae 66(2):189-202.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Michev, T.M., Georgiev, B.B., Petrova, A., Stoyneva, M.P. (eds) 1998. Biodiversity of the Srebarna Biosphere Reserve. Checklist and bibliography., Sofia, Co-published by Context &amp; Pensoft, ivx + 130 pp.</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fr-FR"/>
        </w:rPr>
        <w:t xml:space="preserve">Michev, T. M., &amp; Profirov, L. (2003). </w:t>
      </w:r>
      <w:r w:rsidRPr="00A8783E">
        <w:rPr>
          <w:rFonts w:ascii="Times New Roman" w:hAnsi="Times New Roman"/>
          <w:lang w:val="en-US"/>
        </w:rPr>
        <w:t>Mid-winter Numbers of Waterbirds in Bulgaria (1977-2001): Results from 25 Years of Mid-winter Counts Carried Out at the Most Important Bulgarian Wetlands. Pensoft Pub.</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Michev T., Profirov L., Dimitrov M., Nyagolov K. (2004) The Birds of Atanasovsko Lake.Status and Checklist. Second edition. Bourgas Wetlands Conservation Series, 5, Bourgas ,2004.</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Michev T., L. Profirov, K. Nyagolov, M. Dimitrov (2011) The Autumn migration of Soaring Birds at Bourgas Bay, Bulgaria. British Birds 104, January 2011. 16-37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Michev T.M., Profirov L., Michev B., Hristov L., Ignatov A., Stoynov E., Chipev N. 2018. Long-term Changes in Autumn Migration of Selected Soaring Bird Species at Burgas Bay, Bulgaria. Acta zoologica bulgarica, 70 (1): 57-68.</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Mikusiсski , G. 1997. Winter foraging of the Black Woodpecker, </w:t>
      </w:r>
      <w:r w:rsidRPr="00A8783E">
        <w:rPr>
          <w:rFonts w:ascii="Times New Roman" w:hAnsi="Times New Roman"/>
          <w:i/>
          <w:iCs/>
          <w:lang w:val="en-US"/>
        </w:rPr>
        <w:t>Dryocopus martius</w:t>
      </w:r>
      <w:r w:rsidRPr="00A8783E">
        <w:rPr>
          <w:rFonts w:ascii="Times New Roman" w:hAnsi="Times New Roman"/>
          <w:lang w:val="en-US"/>
        </w:rPr>
        <w:t xml:space="preserve"> in managed forest in south-central Sweden. Ornis Fennica 74(4):161-166л</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Milchev B. 2009. Breeding biology of the Long-legged Buzzard </w:t>
      </w:r>
      <w:r w:rsidRPr="00A8783E">
        <w:rPr>
          <w:rFonts w:ascii="Times New Roman" w:hAnsi="Times New Roman"/>
          <w:i/>
          <w:iCs/>
          <w:lang w:val="en-US"/>
        </w:rPr>
        <w:t>Buteo rufinus</w:t>
      </w:r>
      <w:r w:rsidRPr="00A8783E">
        <w:rPr>
          <w:rFonts w:ascii="Times New Roman" w:hAnsi="Times New Roman"/>
          <w:lang w:val="en-US"/>
        </w:rPr>
        <w:t xml:space="preserve"> in SE Bulgaria, nesting also in quarries. Avocetta, 33: 25-32.</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Moga, C., T. Hartel, K. Цllerer, Б. Szapanyos. 2010. Habitat use by the endangered Lesser Grey Shrike</w:t>
      </w:r>
      <w:r w:rsidRPr="00A8783E">
        <w:rPr>
          <w:rFonts w:ascii="Times New Roman" w:hAnsi="Times New Roman"/>
          <w:i/>
          <w:iCs/>
          <w:lang w:val="en-US"/>
        </w:rPr>
        <w:t xml:space="preserve"> Lanius minor</w:t>
      </w:r>
      <w:r w:rsidRPr="00A8783E">
        <w:rPr>
          <w:rFonts w:ascii="Times New Roman" w:hAnsi="Times New Roman"/>
          <w:lang w:val="en-US"/>
        </w:rPr>
        <w:t xml:space="preserve"> in Central Romania. Belgian Journal of Zoology 140(2).</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Morelli, F., 2012. Plasticity of Habitat Selection By Red-Backed Shrikes (</w:t>
      </w:r>
      <w:r w:rsidRPr="00A8783E">
        <w:rPr>
          <w:rFonts w:ascii="Times New Roman" w:hAnsi="Times New Roman"/>
          <w:i/>
          <w:iCs/>
          <w:lang w:val="en-US"/>
        </w:rPr>
        <w:t>Lanius collurio</w:t>
      </w:r>
      <w:r w:rsidRPr="00A8783E">
        <w:rPr>
          <w:rFonts w:ascii="Times New Roman" w:hAnsi="Times New Roman"/>
          <w:lang w:val="en-US"/>
        </w:rPr>
        <w:t>) Breeding In Different Landscapes. The Wilson Journal of Ornithology 124(1):51–56.</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Moss, E. 2015. Habitat Selection and breeding ecology of Golden Eagles in Sweden. Doctoral Thesis, Swedish University of Agricultural Sciences, Umeе, 40 p.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Mыller J., J. P</w:t>
      </w:r>
      <w:r w:rsidRPr="00A8783E">
        <w:rPr>
          <w:rFonts w:ascii="Microsoft Sans Serif" w:hAnsi="Microsoft Sans Serif"/>
          <w:lang w:val="en-US"/>
        </w:rPr>
        <w:t>ӧ</w:t>
      </w:r>
      <w:r w:rsidRPr="00A8783E">
        <w:rPr>
          <w:rFonts w:ascii="Times New Roman" w:hAnsi="Times New Roman"/>
          <w:lang w:val="en-US"/>
        </w:rPr>
        <w:t>llath, R. Moshammer, B. Schr</w:t>
      </w:r>
      <w:r w:rsidRPr="00A8783E">
        <w:rPr>
          <w:rFonts w:ascii="Microsoft Sans Serif" w:hAnsi="Microsoft Sans Serif"/>
          <w:lang w:val="en-US"/>
        </w:rPr>
        <w:t>ӧ</w:t>
      </w:r>
      <w:r w:rsidRPr="00A8783E">
        <w:rPr>
          <w:rFonts w:ascii="Times New Roman" w:hAnsi="Times New Roman"/>
          <w:lang w:val="en-US"/>
        </w:rPr>
        <w:t xml:space="preserve">der. 2009. Predicting the occurrence of Middle Spotted Woodpecker, </w:t>
      </w:r>
      <w:r w:rsidRPr="00A8783E">
        <w:rPr>
          <w:rFonts w:ascii="Times New Roman" w:hAnsi="Times New Roman"/>
          <w:i/>
          <w:iCs/>
          <w:lang w:val="en-US"/>
        </w:rPr>
        <w:t>Dendrocopos medius</w:t>
      </w:r>
      <w:r w:rsidRPr="00A8783E">
        <w:rPr>
          <w:rFonts w:ascii="Times New Roman" w:hAnsi="Times New Roman"/>
          <w:lang w:val="en-US"/>
        </w:rPr>
        <w:t xml:space="preserve"> on a regional scale, using forest inventory data. Forest Ecology and Management, 257: 502–509.</w:t>
      </w:r>
    </w:p>
    <w:p w:rsidR="00A8783E" w:rsidRPr="00A8783E" w:rsidRDefault="00A8783E" w:rsidP="00A8783E">
      <w:pPr>
        <w:spacing w:before="120" w:after="120" w:line="240" w:lineRule="auto"/>
        <w:ind w:left="567" w:hanging="567"/>
        <w:jc w:val="both"/>
        <w:rPr>
          <w:rFonts w:ascii="Times New Roman" w:hAnsi="Times New Roman"/>
          <w:u w:val="single"/>
          <w:lang w:val="en-US"/>
        </w:rPr>
      </w:pPr>
      <w:r w:rsidRPr="00A8783E">
        <w:rPr>
          <w:rFonts w:ascii="Times New Roman" w:hAnsi="Times New Roman"/>
          <w:lang w:val="en-US"/>
        </w:rPr>
        <w:t xml:space="preserve">Newton, I. (2008). Highlights from a long-term study of Sparrowhawks. British Birds 101: 607–623.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Nesterenko М. A. 2000. Habitat use of Whiskered tern (</w:t>
      </w:r>
      <w:r w:rsidRPr="00A8783E">
        <w:rPr>
          <w:rFonts w:ascii="Times New Roman" w:hAnsi="Times New Roman"/>
          <w:i/>
          <w:iCs/>
          <w:lang w:val="en-US"/>
        </w:rPr>
        <w:t>Chlidonias hybrida</w:t>
      </w:r>
      <w:r w:rsidRPr="00A8783E">
        <w:rPr>
          <w:rFonts w:ascii="Times New Roman" w:hAnsi="Times New Roman"/>
          <w:lang w:val="en-US"/>
        </w:rPr>
        <w:t>) in the Danube delta at breeding. ODU Bulletin, no. 5, pp. 172-175.</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Nikolov I. (2004) Shoveler (</w:t>
      </w:r>
      <w:r w:rsidRPr="00A8783E">
        <w:rPr>
          <w:rFonts w:ascii="Times New Roman" w:hAnsi="Times New Roman"/>
          <w:i/>
          <w:iCs/>
          <w:lang w:val="en-US"/>
        </w:rPr>
        <w:t>Anas clypeata</w:t>
      </w:r>
      <w:r w:rsidRPr="00A8783E">
        <w:rPr>
          <w:rFonts w:ascii="Times New Roman" w:hAnsi="Times New Roman"/>
          <w:lang w:val="en-US"/>
        </w:rPr>
        <w:t>). Acrocephalus. 25(122): 173.</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Nikolov I., P.Shurulinkov, B.Borisov (2014) Status of the breeding populations of Great Cormorants in Bulgaria in 2012. In: Bregnballe T.,Lynch J.,Parz-Gollner R., Marion L.,Volponi S.,Paquet J.Y.,Carss D.N., van Eerden M.R. (eds.) Breeding numbers of Great Cormorants Phalacrocorax carbo in the Western Palearctic,2012-2013.- 99: 78-81.</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Owen, M., Williams, G. 1976.  Winter distribution and habitat requirements of Wigeon in Britain. Wildfowl 27 (1976): 83 -90</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Petkov N.,  Iankov P., Georgiev D. (2006) Recent status and changes in the breeding population of the Black Stork </w:t>
      </w:r>
      <w:r w:rsidRPr="00A8783E">
        <w:rPr>
          <w:rFonts w:ascii="Times New Roman" w:hAnsi="Times New Roman"/>
          <w:i/>
          <w:iCs/>
          <w:lang w:val="en-US"/>
        </w:rPr>
        <w:t>Ciconia nigra</w:t>
      </w:r>
      <w:r w:rsidRPr="00A8783E">
        <w:rPr>
          <w:rFonts w:ascii="Times New Roman" w:hAnsi="Times New Roman"/>
          <w:lang w:val="en-US"/>
        </w:rPr>
        <w:t xml:space="preserve"> in Bulgaria. Biota, 7(1-2): 77-82.</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Rizzo E., Battisti C. 2009. Habitat preferences of Anatidae (Aves, Anseriformes) in a Mediterranean patchy wetland (central Italy). Ekolуgia (Bratislava), Vol. 28, No. 1, p. 66–73.</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lastRenderedPageBreak/>
        <w:t>Robles, H., Ciudad, C., Fernбndez-Garcнa, J. M. 2021. Ecological considerations to conciliate forest activities and conservation of the Middle Spotted Woodpecker. POCTEFA Habios project.</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Sбndor, A.D., Alexe, V., Marinov, M., Doroєencu, A., Dom</w:t>
      </w:r>
      <w:r w:rsidRPr="00A8783E">
        <w:rPr>
          <w:rFonts w:ascii="Tahoma" w:hAnsi="Tahoma"/>
          <w:lang w:val="en-US"/>
        </w:rPr>
        <w:t>ș</w:t>
      </w:r>
      <w:r w:rsidRPr="00A8783E">
        <w:rPr>
          <w:rFonts w:ascii="Times New Roman" w:hAnsi="Times New Roman"/>
          <w:lang w:val="en-US"/>
        </w:rPr>
        <w:t>a, C., J. Kiss, B. (2014). Nest-site selection, breeding success, and diet of white-tailed eagles (</w:t>
      </w:r>
      <w:r w:rsidRPr="00A8783E">
        <w:rPr>
          <w:rFonts w:ascii="Times New Roman" w:hAnsi="Times New Roman"/>
          <w:i/>
          <w:iCs/>
          <w:lang w:val="en-US"/>
        </w:rPr>
        <w:t>Haliaeetus albicilla</w:t>
      </w:r>
      <w:r w:rsidRPr="00A8783E">
        <w:rPr>
          <w:rFonts w:ascii="Times New Roman" w:hAnsi="Times New Roman"/>
          <w:lang w:val="en-US"/>
        </w:rPr>
        <w:t>) in the Danube Delta, Romania. Turkish Journal of Zoology, 38: 1-9.</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Sergio, F. 2002. Density, nest sites, diet, and productivity of Common Buzzards (Buteo buteo) in the Italian Pre-Alps. j Raptor Res., 36(1): 24-32.</w:t>
      </w:r>
    </w:p>
    <w:p w:rsidR="00A8783E" w:rsidRPr="00A8783E" w:rsidRDefault="00A8783E" w:rsidP="00A8783E">
      <w:pPr>
        <w:spacing w:before="120" w:after="120" w:line="240" w:lineRule="auto"/>
        <w:ind w:left="567" w:hanging="567"/>
        <w:jc w:val="both"/>
        <w:rPr>
          <w:rFonts w:ascii="Times New Roman" w:hAnsi="Times New Roman"/>
          <w:lang w:val="de-DE"/>
        </w:rPr>
      </w:pPr>
      <w:r w:rsidRPr="00A8783E">
        <w:rPr>
          <w:rFonts w:ascii="Times New Roman" w:hAnsi="Times New Roman"/>
          <w:lang w:val="en-US"/>
        </w:rPr>
        <w:t xml:space="preserve">Shurulinkov P., I.Hristov, K.Hristov, I.Nikolov, B.Nikolov, S.Velkov, H.Dinkov, A.Ralev, N.Chakarov, D.Ragyov, R.Stanchev, L.Spassov, I.Hristova (2007) Birds of Dragoman marsh and Chepun hills, W-Bulgaria –checklist, status and recent development of water birds populations. </w:t>
      </w:r>
      <w:r w:rsidRPr="00A8783E">
        <w:rPr>
          <w:rFonts w:ascii="Times New Roman" w:hAnsi="Times New Roman"/>
          <w:lang w:val="de-DE"/>
        </w:rPr>
        <w:t xml:space="preserve">J.Balkan Ecology, 10(3): 251-264.  </w:t>
      </w:r>
    </w:p>
    <w:p w:rsidR="00A8783E" w:rsidRPr="00A8783E" w:rsidRDefault="00A8783E" w:rsidP="00A8783E">
      <w:pPr>
        <w:spacing w:before="120" w:after="120" w:line="240" w:lineRule="auto"/>
        <w:ind w:left="567" w:hanging="567"/>
        <w:jc w:val="both"/>
        <w:rPr>
          <w:rFonts w:ascii="Times New Roman" w:hAnsi="Times New Roman"/>
          <w:lang w:val="de-DE"/>
        </w:rPr>
      </w:pPr>
      <w:r w:rsidRPr="00A8783E">
        <w:rPr>
          <w:rFonts w:ascii="Times New Roman" w:hAnsi="Times New Roman"/>
          <w:lang w:val="de-DE"/>
        </w:rPr>
        <w:t xml:space="preserve"> Shurulinkov P., R. Tsonev (2009) Die Wasservogel der unteren Donau-Niederungen wahrend der Sommerflutten 2005 und 2006 Ornithologishe Mitteilungen. 61 (10): 317-324.</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de-DE"/>
        </w:rPr>
        <w:t xml:space="preserve">Shurulinkov P., G. Stoyanov, E. Komitov, G. Daskalova, A. Ralev. </w:t>
      </w:r>
      <w:r w:rsidRPr="00A8783E">
        <w:rPr>
          <w:rFonts w:ascii="Times New Roman" w:hAnsi="Times New Roman"/>
          <w:lang w:val="en-US"/>
        </w:rPr>
        <w:t>2012. Contribution to the Knowledge on Distribution, Number and Habitat Preferences of Rare and Endangered Birds in Western Rhodopes Mts, Southern Bulgaria. Strigiformes and Piciformes. Acta zool. bulg., 64 (1), 2012: 43-56.</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Shurulinkov P., G. Daskalova, R.Tzonev (2013) Breeding Waterbirds in Temporally Flooded Wetlands in Northern Bulgaria.Acta Zool.Bulgarica 65(2): 207-215.</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Shurulinkov, P., Cheshmedzhiev, S., Daskalova, G., Dinkov, H., Kirov, K., Hristov, I., Kutsarov, Y., Koev, V., Michov, S., </w:t>
      </w:r>
      <w:r w:rsidRPr="00A8783E">
        <w:rPr>
          <w:rFonts w:ascii="Times New Roman" w:hAnsi="Times New Roman"/>
          <w:b/>
          <w:bCs/>
          <w:lang w:val="en-US"/>
        </w:rPr>
        <w:t>2019</w:t>
      </w:r>
      <w:r w:rsidRPr="00A8783E">
        <w:rPr>
          <w:rFonts w:ascii="Times New Roman" w:hAnsi="Times New Roman"/>
          <w:lang w:val="en-US"/>
        </w:rPr>
        <w:t>. Recent data on the distribution and numbers of the water birds in the wetlands along the Bulgarian section of the Danube river, in: Shurulinkov, P., Hubenov, Z., Beshkov, S., Popgeorgiev, G. (Eds.), Biodiversity of the Bulgarian-Romanian Section of the Lower Danube. Nova Science Publishers, New York, p. 461.</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Shurulinkov, P., Daskalova, G., Cheshmedzhiev, S., Kirov, K., Koev, V., Dinkov, H., Hristov, I., Nikolov, I., Mihov, S., Kutsarov, Y. </w:t>
      </w:r>
      <w:r w:rsidRPr="00A8783E">
        <w:rPr>
          <w:rFonts w:ascii="Times New Roman" w:hAnsi="Times New Roman"/>
          <w:b/>
          <w:bCs/>
          <w:lang w:val="en-US"/>
        </w:rPr>
        <w:t>2019.</w:t>
      </w:r>
      <w:r w:rsidRPr="00A8783E">
        <w:rPr>
          <w:rFonts w:ascii="Times New Roman" w:hAnsi="Times New Roman"/>
          <w:lang w:val="en-US"/>
        </w:rPr>
        <w:t xml:space="preserve"> Heron and Cormorant colonies along the Bulgarian-Romanian section the Danube River: Status and trends, 2010-2014, in: Shurulinkov, P., Hubenov, Z., Beshkov, S., Popgeorgiev, G. (Eds.), Biodiversity of the Bulgarian-Romanian Section of the Lower Danube. Nova Science Publishers, New York, p. 461.</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Shurulinkov P., Daskalova G., Popov K, Dalakchieva S.,Tsonev R.,  Dimchev I., Ralev A. 2020 Recent changes in the presence status and numbers of ruddy shelduck (</w:t>
      </w:r>
      <w:r w:rsidRPr="00A8783E">
        <w:rPr>
          <w:rFonts w:ascii="Times New Roman" w:hAnsi="Times New Roman"/>
          <w:i/>
          <w:iCs/>
          <w:lang w:val="en-US"/>
        </w:rPr>
        <w:t>Tadorna ferruginea</w:t>
      </w:r>
      <w:r w:rsidRPr="00A8783E">
        <w:rPr>
          <w:rFonts w:ascii="Times New Roman" w:hAnsi="Times New Roman"/>
          <w:lang w:val="en-US"/>
        </w:rPr>
        <w:t>) in the Eastern Balkans. Historia Naturalis Bulgarica, 41: 41-49.</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Љtastny K., Hudec K. (2016) Fauna CR. Ptaci –Aves. 3, Academia, Praha 2016.</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Stermin, A., Pripon, L., David, A., Coroiu, I.(2011). Wetlands management for Little Crake (Porzana parva) conservation in a “Natura 2000” site, 2nd International Conference on Environmental Science and Development IPCBEE vol.4 </w:t>
      </w:r>
      <w:hyperlink r:id="rId221" w:history="1">
        <w:r w:rsidRPr="00A8783E">
          <w:rPr>
            <w:rFonts w:ascii="Times New Roman" w:hAnsi="Times New Roman"/>
            <w:color w:val="0563C1"/>
            <w:u w:val="single"/>
            <w:lang w:val="en-US"/>
          </w:rPr>
          <w:t>https://www.researchgate.net/publication/267781398</w:t>
        </w:r>
      </w:hyperlink>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Stermin, A., David, D., Holte, D., Schmitz-Ornйs, A. (2019): Nesting habitat and nest features of Water Rails </w:t>
      </w:r>
      <w:r w:rsidRPr="00A8783E">
        <w:rPr>
          <w:rFonts w:ascii="Times New Roman" w:hAnsi="Times New Roman"/>
          <w:i/>
          <w:lang w:val="en-US"/>
        </w:rPr>
        <w:t>Rallus aquaticus</w:t>
      </w:r>
      <w:r w:rsidRPr="00A8783E">
        <w:rPr>
          <w:rFonts w:ascii="Times New Roman" w:hAnsi="Times New Roman"/>
          <w:lang w:val="en-US"/>
        </w:rPr>
        <w:t xml:space="preserve"> and Little Crakes Zapornia parva on large wetlands, Bird Study, DOI: 10.1080/00063657.2019.1693962</w:t>
      </w:r>
    </w:p>
    <w:p w:rsidR="00A8783E" w:rsidRPr="00A8783E" w:rsidRDefault="00A8783E" w:rsidP="00A8783E">
      <w:pPr>
        <w:spacing w:before="120" w:after="120" w:line="240" w:lineRule="auto"/>
        <w:ind w:left="567" w:hanging="567"/>
        <w:jc w:val="both"/>
        <w:rPr>
          <w:rFonts w:ascii="Times New Roman" w:hAnsi="Times New Roman"/>
          <w:lang w:val="ru-RU"/>
        </w:rPr>
      </w:pPr>
      <w:r w:rsidRPr="00A8783E">
        <w:rPr>
          <w:rFonts w:ascii="Times New Roman" w:hAnsi="Times New Roman"/>
          <w:lang w:val="en-US"/>
        </w:rPr>
        <w:t>Svensson</w:t>
      </w:r>
      <w:r w:rsidRPr="00A8783E">
        <w:rPr>
          <w:rFonts w:ascii="Times New Roman" w:hAnsi="Times New Roman"/>
          <w:lang w:val="ru-RU"/>
        </w:rPr>
        <w:t xml:space="preserve"> </w:t>
      </w:r>
      <w:r w:rsidRPr="00A8783E">
        <w:rPr>
          <w:rFonts w:ascii="Times New Roman" w:hAnsi="Times New Roman"/>
          <w:lang w:val="en-US"/>
        </w:rPr>
        <w:t>L</w:t>
      </w:r>
      <w:r w:rsidRPr="00A8783E">
        <w:rPr>
          <w:rFonts w:ascii="Times New Roman" w:hAnsi="Times New Roman"/>
          <w:lang w:val="ru-RU"/>
        </w:rPr>
        <w:t>. (2013) Полеви определител на птиците на Европа, Северна Африка и Близкия Изток. БДЗП.</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Tanferna</w:t>
      </w:r>
      <w:r w:rsidRPr="00A8783E">
        <w:rPr>
          <w:rFonts w:ascii="Times New Roman" w:hAnsi="Times New Roman"/>
          <w:lang w:val="ru-RU"/>
        </w:rPr>
        <w:t xml:space="preserve">, </w:t>
      </w:r>
      <w:r w:rsidRPr="00A8783E">
        <w:rPr>
          <w:rFonts w:ascii="Times New Roman" w:hAnsi="Times New Roman"/>
          <w:lang w:val="en-US"/>
        </w:rPr>
        <w:t>A</w:t>
      </w:r>
      <w:r w:rsidRPr="00A8783E">
        <w:rPr>
          <w:rFonts w:ascii="Times New Roman" w:hAnsi="Times New Roman"/>
          <w:lang w:val="ru-RU"/>
        </w:rPr>
        <w:t xml:space="preserve">., </w:t>
      </w:r>
      <w:r w:rsidRPr="00A8783E">
        <w:rPr>
          <w:rFonts w:ascii="Times New Roman" w:hAnsi="Times New Roman"/>
          <w:lang w:val="en-US"/>
        </w:rPr>
        <w:t>L</w:t>
      </w:r>
      <w:r w:rsidRPr="00A8783E">
        <w:rPr>
          <w:rFonts w:ascii="Times New Roman" w:hAnsi="Times New Roman"/>
          <w:lang w:val="ru-RU"/>
        </w:rPr>
        <w:t>у</w:t>
      </w:r>
      <w:r w:rsidRPr="00A8783E">
        <w:rPr>
          <w:rFonts w:ascii="Times New Roman" w:hAnsi="Times New Roman"/>
          <w:lang w:val="en-US"/>
        </w:rPr>
        <w:t>pez</w:t>
      </w:r>
      <w:r w:rsidRPr="00A8783E">
        <w:rPr>
          <w:rFonts w:ascii="Times New Roman" w:hAnsi="Times New Roman"/>
          <w:lang w:val="ru-RU"/>
        </w:rPr>
        <w:t>-</w:t>
      </w:r>
      <w:r w:rsidRPr="00A8783E">
        <w:rPr>
          <w:rFonts w:ascii="Times New Roman" w:hAnsi="Times New Roman"/>
          <w:lang w:val="en-US"/>
        </w:rPr>
        <w:t>Jim</w:t>
      </w:r>
      <w:r w:rsidRPr="00A8783E">
        <w:rPr>
          <w:rFonts w:ascii="Times New Roman" w:hAnsi="Times New Roman"/>
          <w:lang w:val="ru-RU"/>
        </w:rPr>
        <w:t>й</w:t>
      </w:r>
      <w:r w:rsidRPr="00A8783E">
        <w:rPr>
          <w:rFonts w:ascii="Times New Roman" w:hAnsi="Times New Roman"/>
          <w:lang w:val="en-US"/>
        </w:rPr>
        <w:t>nez</w:t>
      </w:r>
      <w:r w:rsidRPr="00A8783E">
        <w:rPr>
          <w:rFonts w:ascii="Times New Roman" w:hAnsi="Times New Roman"/>
          <w:lang w:val="ru-RU"/>
        </w:rPr>
        <w:t xml:space="preserve">, </w:t>
      </w:r>
      <w:r w:rsidRPr="00A8783E">
        <w:rPr>
          <w:rFonts w:ascii="Times New Roman" w:hAnsi="Times New Roman"/>
          <w:lang w:val="en-US"/>
        </w:rPr>
        <w:t>L</w:t>
      </w:r>
      <w:r w:rsidRPr="00A8783E">
        <w:rPr>
          <w:rFonts w:ascii="Times New Roman" w:hAnsi="Times New Roman"/>
          <w:lang w:val="ru-RU"/>
        </w:rPr>
        <w:t xml:space="preserve">., </w:t>
      </w:r>
      <w:r w:rsidRPr="00A8783E">
        <w:rPr>
          <w:rFonts w:ascii="Times New Roman" w:hAnsi="Times New Roman"/>
          <w:lang w:val="en-US"/>
        </w:rPr>
        <w:t>Blas</w:t>
      </w:r>
      <w:r w:rsidRPr="00A8783E">
        <w:rPr>
          <w:rFonts w:ascii="Times New Roman" w:hAnsi="Times New Roman"/>
          <w:lang w:val="ru-RU"/>
        </w:rPr>
        <w:t xml:space="preserve">, </w:t>
      </w:r>
      <w:r w:rsidRPr="00A8783E">
        <w:rPr>
          <w:rFonts w:ascii="Times New Roman" w:hAnsi="Times New Roman"/>
          <w:lang w:val="en-US"/>
        </w:rPr>
        <w:t>J</w:t>
      </w:r>
      <w:r w:rsidRPr="00A8783E">
        <w:rPr>
          <w:rFonts w:ascii="Times New Roman" w:hAnsi="Times New Roman"/>
          <w:lang w:val="ru-RU"/>
        </w:rPr>
        <w:t xml:space="preserve">., </w:t>
      </w:r>
      <w:r w:rsidRPr="00A8783E">
        <w:rPr>
          <w:rFonts w:ascii="Times New Roman" w:hAnsi="Times New Roman"/>
          <w:lang w:val="en-US"/>
        </w:rPr>
        <w:t>Hiraldo</w:t>
      </w:r>
      <w:r w:rsidRPr="00A8783E">
        <w:rPr>
          <w:rFonts w:ascii="Times New Roman" w:hAnsi="Times New Roman"/>
          <w:lang w:val="ru-RU"/>
        </w:rPr>
        <w:t xml:space="preserve">, </w:t>
      </w:r>
      <w:r w:rsidRPr="00A8783E">
        <w:rPr>
          <w:rFonts w:ascii="Times New Roman" w:hAnsi="Times New Roman"/>
          <w:lang w:val="en-US"/>
        </w:rPr>
        <w:t>F</w:t>
      </w:r>
      <w:r w:rsidRPr="00A8783E">
        <w:rPr>
          <w:rFonts w:ascii="Times New Roman" w:hAnsi="Times New Roman"/>
          <w:lang w:val="ru-RU"/>
        </w:rPr>
        <w:t xml:space="preserve">., </w:t>
      </w:r>
      <w:r w:rsidRPr="00A8783E">
        <w:rPr>
          <w:rFonts w:ascii="Times New Roman" w:hAnsi="Times New Roman"/>
          <w:lang w:val="en-US"/>
        </w:rPr>
        <w:t>Sergio</w:t>
      </w:r>
      <w:r w:rsidRPr="00A8783E">
        <w:rPr>
          <w:rFonts w:ascii="Times New Roman" w:hAnsi="Times New Roman"/>
          <w:lang w:val="ru-RU"/>
        </w:rPr>
        <w:t xml:space="preserve">, </w:t>
      </w:r>
      <w:r w:rsidRPr="00A8783E">
        <w:rPr>
          <w:rFonts w:ascii="Times New Roman" w:hAnsi="Times New Roman"/>
          <w:lang w:val="en-US"/>
        </w:rPr>
        <w:t>F</w:t>
      </w:r>
      <w:r w:rsidRPr="00A8783E">
        <w:rPr>
          <w:rFonts w:ascii="Times New Roman" w:hAnsi="Times New Roman"/>
          <w:lang w:val="ru-RU"/>
        </w:rPr>
        <w:t xml:space="preserve">. (2013). </w:t>
      </w:r>
      <w:r w:rsidRPr="00A8783E">
        <w:rPr>
          <w:rFonts w:ascii="Times New Roman" w:hAnsi="Times New Roman"/>
          <w:lang w:val="en-US"/>
        </w:rPr>
        <w:t>Habitat selection by Black Kite breeders and floaters: Implications for conservation management of raptor floaters. Biological Conservation, 160: 1-9.</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Taylor, B. and van Perlo, B. (2000). Rails. A Guide to the Rails, Crakes, Gallinules and Coots of the World. Robertsbridge, Sussex: Pica. ISBN 978-1-873403-59-4.</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lastRenderedPageBreak/>
        <w:t xml:space="preserve">Todorov, E., Daskalova, G., Shurulinkov, P. (2015). Current Breeding Distribution and Conservation of White-tailed Eagle, </w:t>
      </w:r>
      <w:r w:rsidRPr="00A8783E">
        <w:rPr>
          <w:rFonts w:ascii="Times New Roman" w:hAnsi="Times New Roman"/>
          <w:i/>
          <w:iCs/>
          <w:lang w:val="en-US"/>
        </w:rPr>
        <w:t>Haliaeetus albicilla</w:t>
      </w:r>
      <w:r w:rsidRPr="00A8783E">
        <w:rPr>
          <w:rFonts w:ascii="Times New Roman" w:hAnsi="Times New Roman"/>
          <w:lang w:val="en-US"/>
        </w:rPr>
        <w:t xml:space="preserve"> (L.) in Bulgaria. Acta zool. bulg., 67 (1): 3-10.</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Turcokova L., M. Meliskova, M. Balazova. 2016. Nest site location and breeding success of Common kingfisher (</w:t>
      </w:r>
      <w:r w:rsidRPr="00A8783E">
        <w:rPr>
          <w:rFonts w:ascii="Times New Roman" w:hAnsi="Times New Roman"/>
          <w:i/>
          <w:iCs/>
          <w:lang w:val="en-US"/>
        </w:rPr>
        <w:t>Alcedo atthis</w:t>
      </w:r>
      <w:r w:rsidRPr="00A8783E">
        <w:rPr>
          <w:rFonts w:ascii="Times New Roman" w:hAnsi="Times New Roman"/>
          <w:lang w:val="en-US"/>
        </w:rPr>
        <w:t>) in the Danube river system. Folia Oecologica, 43: 74-82.</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Velevski, M., Grubaи, B. (2008). Distribution and estimation of the population size of the Short-toed Snake-eagle, </w:t>
      </w:r>
      <w:r w:rsidRPr="00A8783E">
        <w:rPr>
          <w:rFonts w:ascii="Times New Roman" w:hAnsi="Times New Roman"/>
          <w:i/>
          <w:iCs/>
          <w:lang w:val="en-US"/>
        </w:rPr>
        <w:t>Circaetus gallicus</w:t>
      </w:r>
      <w:r w:rsidRPr="00A8783E">
        <w:rPr>
          <w:rFonts w:ascii="Times New Roman" w:hAnsi="Times New Roman"/>
          <w:lang w:val="en-US"/>
        </w:rPr>
        <w:t xml:space="preserve"> in Macedonia. Proceedings of the III Congress of Ecologists of the Republic of Macedonia with International Participation, 06-09.10.2007, Struga. Special issues of Macedonian Ecological Society, Vol. 8, Skopje.</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Vilches A., R. Miranda, J. Arizaga, D. Galicia. 2012. Habitat selection by breeding Common Kingfishers (</w:t>
      </w:r>
      <w:r w:rsidRPr="00A8783E">
        <w:rPr>
          <w:rFonts w:ascii="Times New Roman" w:hAnsi="Times New Roman"/>
          <w:i/>
          <w:iCs/>
          <w:lang w:val="en-US"/>
        </w:rPr>
        <w:t>Alcedo atthis</w:t>
      </w:r>
      <w:r w:rsidRPr="00A8783E">
        <w:rPr>
          <w:rFonts w:ascii="Times New Roman" w:hAnsi="Times New Roman"/>
          <w:lang w:val="en-US"/>
        </w:rPr>
        <w:t xml:space="preserve"> L.) in rivers from Northern Iberia. Ann. Limnol. - Int. J. Lim. 48: 289–294.</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Vlachos, C. G., Papageorgiou, N. K. (1994). Diet, Breeding Success, And Nest-Site Selection of The Short-Toed Eagle (</w:t>
      </w:r>
      <w:r w:rsidRPr="00A8783E">
        <w:rPr>
          <w:rFonts w:ascii="Times New Roman" w:hAnsi="Times New Roman"/>
          <w:i/>
          <w:iCs/>
          <w:lang w:val="en-US"/>
        </w:rPr>
        <w:t>Circaetus gallicus</w:t>
      </w:r>
      <w:r w:rsidRPr="00A8783E">
        <w:rPr>
          <w:rFonts w:ascii="Times New Roman" w:hAnsi="Times New Roman"/>
          <w:lang w:val="en-US"/>
        </w:rPr>
        <w:t>) In Northeastern Greece. J Raptor Res. 28(1): 39-42.</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Wetlands International. 2016. Waterbird Population Estimates. Available at: wpe.wetlands.org.</w:t>
      </w:r>
    </w:p>
    <w:p w:rsidR="00A8783E" w:rsidRPr="00A8783E" w:rsidRDefault="00A8783E" w:rsidP="00A8783E">
      <w:pPr>
        <w:spacing w:before="120" w:after="120" w:line="240" w:lineRule="auto"/>
        <w:ind w:left="567" w:hanging="567"/>
        <w:jc w:val="both"/>
        <w:rPr>
          <w:rFonts w:ascii="Times New Roman" w:hAnsi="Times New Roman"/>
        </w:rPr>
      </w:pPr>
      <w:r w:rsidRPr="00A8783E">
        <w:rPr>
          <w:rFonts w:ascii="Times New Roman" w:hAnsi="Times New Roman"/>
        </w:rPr>
        <w:t>White G., J. Purps, S. Alsbury 2006. The Bittern in Europe: A guide to species and habitat management. The RSPB, Sandy.</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Wilson, M. W., Fernбndez-Bellon, D., Irwin, S., O’Halloran, J. (2017). Hen Harrier </w:t>
      </w:r>
      <w:r w:rsidRPr="00A8783E">
        <w:rPr>
          <w:rFonts w:ascii="Times New Roman" w:hAnsi="Times New Roman"/>
          <w:i/>
          <w:iCs/>
          <w:lang w:val="en-US"/>
        </w:rPr>
        <w:t>Circus cyaneus</w:t>
      </w:r>
      <w:r w:rsidRPr="00A8783E">
        <w:rPr>
          <w:rFonts w:ascii="Times New Roman" w:hAnsi="Times New Roman"/>
          <w:lang w:val="en-US"/>
        </w:rPr>
        <w:t xml:space="preserve"> population trends in relation to wind farms. Bird Study, 64 (1): 20–29. </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Yalden, D. W. 1986. The habitat and activity of Common Sandpipers </w:t>
      </w:r>
      <w:r w:rsidRPr="00A8783E">
        <w:rPr>
          <w:rFonts w:ascii="Times New Roman" w:hAnsi="Times New Roman"/>
          <w:i/>
          <w:iCs/>
          <w:lang w:val="en-US"/>
        </w:rPr>
        <w:t>Actitis hypoleucos</w:t>
      </w:r>
      <w:r w:rsidRPr="00A8783E">
        <w:rPr>
          <w:rFonts w:ascii="Times New Roman" w:hAnsi="Times New Roman"/>
          <w:lang w:val="en-US"/>
        </w:rPr>
        <w:t xml:space="preserve"> breeding by upland rivers. Bird Study 33(3):214-222</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 xml:space="preserve">Zawadzka, D., Zawadzki, J. (2001). Breeding populations and diets of the Sparrowhawk </w:t>
      </w:r>
      <w:r w:rsidRPr="00A8783E">
        <w:rPr>
          <w:rFonts w:ascii="Times New Roman" w:hAnsi="Times New Roman"/>
          <w:i/>
          <w:iCs/>
          <w:lang w:val="en-US"/>
        </w:rPr>
        <w:t xml:space="preserve">Accipiter nisus </w:t>
      </w:r>
      <w:r w:rsidRPr="00A8783E">
        <w:rPr>
          <w:rFonts w:ascii="Times New Roman" w:hAnsi="Times New Roman"/>
          <w:lang w:val="en-US"/>
        </w:rPr>
        <w:t xml:space="preserve">and the Hobby </w:t>
      </w:r>
      <w:r w:rsidRPr="00A8783E">
        <w:rPr>
          <w:rFonts w:ascii="Times New Roman" w:hAnsi="Times New Roman"/>
          <w:i/>
          <w:iCs/>
          <w:lang w:val="en-US"/>
        </w:rPr>
        <w:t xml:space="preserve">Falco subbuteo </w:t>
      </w:r>
      <w:r w:rsidRPr="00A8783E">
        <w:rPr>
          <w:rFonts w:ascii="Times New Roman" w:hAnsi="Times New Roman"/>
          <w:lang w:val="en-US"/>
        </w:rPr>
        <w:t>in Wigry     National Park (NE Poland). Acta Ornithol. 36: 25-31.</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Ziesemer F.,  Meyburg B.U. (2015): Home range, habitat use and diet of Honeybuzzards during the breeding season. British Birds, 108: 467–481.</w:t>
      </w:r>
    </w:p>
    <w:p w:rsidR="00A8783E" w:rsidRPr="00A8783E" w:rsidRDefault="00A8783E" w:rsidP="00A8783E">
      <w:pPr>
        <w:spacing w:before="120" w:after="120" w:line="240" w:lineRule="auto"/>
        <w:ind w:left="567" w:hanging="567"/>
        <w:jc w:val="both"/>
        <w:rPr>
          <w:rFonts w:ascii="Times New Roman" w:hAnsi="Times New Roman"/>
          <w:lang w:val="en-US"/>
        </w:rPr>
      </w:pPr>
      <w:r w:rsidRPr="00A8783E">
        <w:rPr>
          <w:rFonts w:ascii="Times New Roman" w:hAnsi="Times New Roman"/>
          <w:lang w:val="en-US"/>
        </w:rPr>
        <w:t>Zoltán F., S. László 1988. Contribution to the food biology of the Red-footed Falcon (Falco vespertinus). Aquila - Conservation of the Red-footed Falcon, 174 -181.</w:t>
      </w:r>
    </w:p>
    <w:p w:rsidR="00A8783E" w:rsidRPr="00A8783E" w:rsidRDefault="00A8783E" w:rsidP="00A8783E">
      <w:pPr>
        <w:spacing w:before="120" w:after="120" w:line="240" w:lineRule="auto"/>
        <w:jc w:val="both"/>
        <w:rPr>
          <w:rFonts w:ascii="Times New Roman" w:hAnsi="Times New Roman"/>
        </w:rPr>
      </w:pPr>
    </w:p>
    <w:sectPr w:rsidR="00A8783E" w:rsidRPr="00A8783E">
      <w:footerReference w:type="default" r:id="rId2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1FF" w:rsidRDefault="00DE51FF" w:rsidP="00E8367B">
      <w:pPr>
        <w:spacing w:after="0" w:line="240" w:lineRule="auto"/>
      </w:pPr>
      <w:r>
        <w:separator/>
      </w:r>
    </w:p>
  </w:endnote>
  <w:endnote w:type="continuationSeparator" w:id="0">
    <w:p w:rsidR="00DE51FF" w:rsidRDefault="00DE51FF" w:rsidP="00E83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PTimeML-Roman">
    <w:altName w:val="Malgun Gothic Semilight"/>
    <w:panose1 w:val="00000000000000000000"/>
    <w:charset w:val="CC"/>
    <w:family w:val="roman"/>
    <w:notTrueType/>
    <w:pitch w:val="default"/>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DejaVu Sans">
    <w:altName w:val="Verdana"/>
    <w:charset w:val="01"/>
    <w:family w:val="swiss"/>
    <w:pitch w:val="variable"/>
  </w:font>
  <w:font w:name="GroteskHSBg-Light">
    <w:panose1 w:val="00000000000000000000"/>
    <w:charset w:val="80"/>
    <w:family w:val="auto"/>
    <w:notTrueType/>
    <w:pitch w:val="default"/>
    <w:sig w:usb0="00000000" w:usb1="08070000" w:usb2="00000010" w:usb3="00000000" w:csb0="00020000" w:csb1="00000000"/>
  </w:font>
  <w:font w:name="MinionPro-Regular">
    <w:altName w:val="MS Gothic"/>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260225"/>
      <w:docPartObj>
        <w:docPartGallery w:val="Page Numbers (Bottom of Page)"/>
        <w:docPartUnique/>
      </w:docPartObj>
    </w:sdtPr>
    <w:sdtEndPr>
      <w:rPr>
        <w:noProof/>
      </w:rPr>
    </w:sdtEndPr>
    <w:sdtContent>
      <w:p w:rsidR="00B0609D" w:rsidRDefault="00B0609D">
        <w:pPr>
          <w:pStyle w:val="Footer"/>
          <w:jc w:val="right"/>
        </w:pPr>
        <w:r>
          <w:fldChar w:fldCharType="begin"/>
        </w:r>
        <w:r>
          <w:instrText xml:space="preserve"> PAGE   \* MERGEFORMAT </w:instrText>
        </w:r>
        <w:r>
          <w:fldChar w:fldCharType="separate"/>
        </w:r>
        <w:r w:rsidR="005E4B26">
          <w:rPr>
            <w:noProof/>
          </w:rPr>
          <w:t>270</w:t>
        </w:r>
        <w:r>
          <w:rPr>
            <w:noProof/>
          </w:rPr>
          <w:fldChar w:fldCharType="end"/>
        </w:r>
      </w:p>
    </w:sdtContent>
  </w:sdt>
  <w:p w:rsidR="00B0609D" w:rsidRDefault="00B060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1FF" w:rsidRDefault="00DE51FF" w:rsidP="00E8367B">
      <w:pPr>
        <w:spacing w:after="0" w:line="240" w:lineRule="auto"/>
      </w:pPr>
      <w:r>
        <w:separator/>
      </w:r>
    </w:p>
  </w:footnote>
  <w:footnote w:type="continuationSeparator" w:id="0">
    <w:p w:rsidR="00DE51FF" w:rsidRDefault="00DE51FF" w:rsidP="00E8367B">
      <w:pPr>
        <w:spacing w:after="0" w:line="240" w:lineRule="auto"/>
      </w:pPr>
      <w:r>
        <w:continuationSeparator/>
      </w:r>
    </w:p>
  </w:footnote>
  <w:footnote w:id="1">
    <w:p w:rsidR="00B0609D" w:rsidRDefault="00B0609D" w:rsidP="00184B62">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 w:history="1">
        <w:r>
          <w:rPr>
            <w:rStyle w:val="Hyperlink"/>
            <w:rFonts w:ascii="Times New Roman" w:hAnsi="Times New Roman"/>
          </w:rPr>
          <w:t>http://bbf.biodiversity.bg/document-190</w:t>
        </w:r>
      </w:hyperlink>
      <w:r>
        <w:rPr>
          <w:rFonts w:ascii="Times New Roman" w:hAnsi="Times New Roman"/>
        </w:rPr>
        <w:t xml:space="preserve"> </w:t>
      </w:r>
    </w:p>
  </w:footnote>
  <w:footnote w:id="2">
    <w:p w:rsidR="00B0609D" w:rsidRDefault="00B0609D" w:rsidP="00184B62">
      <w:pPr>
        <w:pStyle w:val="FootnoteText"/>
      </w:pPr>
      <w:r>
        <w:rPr>
          <w:rStyle w:val="FootnoteReference"/>
          <w:rFonts w:eastAsia="MS Mincho"/>
        </w:rPr>
        <w:footnoteRef/>
      </w:r>
      <w:r>
        <w:t xml:space="preserve"> </w:t>
      </w:r>
      <w:hyperlink r:id="rId2" w:history="1">
        <w:r>
          <w:rPr>
            <w:rStyle w:val="Hyperlink"/>
            <w:rFonts w:ascii="Times New Roman" w:hAnsi="Times New Roman"/>
          </w:rPr>
          <w:t>http://natura2000.moew.government.bg/Home/Reports?reportType=Invertebrates</w:t>
        </w:r>
      </w:hyperlink>
      <w:r>
        <w:t xml:space="preserve"> </w:t>
      </w:r>
      <w:r>
        <w:rPr>
          <w:rFonts w:ascii="Times New Roman" w:hAnsi="Times New Roman"/>
          <w:lang w:val="en-US"/>
        </w:rPr>
        <w:t xml:space="preserve">  </w:t>
      </w:r>
      <w:r>
        <w:rPr>
          <w:rFonts w:ascii="Times New Roman" w:hAnsi="Times New Roman"/>
        </w:rPr>
        <w:t xml:space="preserve"> </w:t>
      </w:r>
    </w:p>
  </w:footnote>
  <w:footnote w:id="3">
    <w:p w:rsidR="00B0609D" w:rsidRDefault="00B0609D" w:rsidP="00184B62">
      <w:pPr>
        <w:pStyle w:val="FootnoteText"/>
        <w:rPr>
          <w:rStyle w:val="FootnoteReference"/>
          <w:rFonts w:eastAsia="MS Mincho"/>
        </w:rPr>
      </w:pPr>
      <w:r>
        <w:rPr>
          <w:rStyle w:val="FootnoteReference"/>
          <w:rFonts w:ascii="Times New Roman" w:eastAsia="MS Mincho" w:hAnsi="Times New Roman"/>
        </w:rPr>
        <w:footnoteRef/>
      </w:r>
      <w:r>
        <w:rPr>
          <w:rFonts w:ascii="Times New Roman" w:hAnsi="Times New Roman"/>
        </w:rPr>
        <w:t xml:space="preserve"> </w:t>
      </w:r>
      <w:hyperlink r:id="rId3" w:history="1">
        <w:r>
          <w:rPr>
            <w:rStyle w:val="Hyperlink"/>
            <w:rFonts w:ascii="Times New Roman" w:hAnsi="Times New Roman"/>
          </w:rPr>
          <w:t>http://eea.government.bg/bg/bio/opos/activities-results/biezghrbnachni-zhivotni</w:t>
        </w:r>
      </w:hyperlink>
      <w:r>
        <w:rPr>
          <w:rStyle w:val="FootnoteReference"/>
          <w:rFonts w:eastAsia="MS Mincho"/>
        </w:rPr>
        <w:t xml:space="preserve">    </w:t>
      </w:r>
    </w:p>
  </w:footnote>
  <w:footnote w:id="4">
    <w:p w:rsidR="00B0609D" w:rsidRDefault="00B0609D" w:rsidP="00184B62">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4" w:history="1">
        <w:r>
          <w:rPr>
            <w:rStyle w:val="Hyperlink"/>
            <w:rFonts w:ascii="Times New Roman" w:hAnsi="Times New Roman"/>
          </w:rPr>
          <w:t>http://bbf.biodiversity.bg/document-190</w:t>
        </w:r>
      </w:hyperlink>
      <w:r>
        <w:rPr>
          <w:rFonts w:ascii="Times New Roman" w:hAnsi="Times New Roman"/>
        </w:rPr>
        <w:t xml:space="preserve"> </w:t>
      </w:r>
    </w:p>
  </w:footnote>
  <w:footnote w:id="5">
    <w:p w:rsidR="00B0609D" w:rsidRDefault="00B0609D" w:rsidP="00184B62">
      <w:pPr>
        <w:pStyle w:val="FootnoteText"/>
      </w:pPr>
      <w:r>
        <w:rPr>
          <w:rStyle w:val="FootnoteReference"/>
          <w:rFonts w:eastAsia="MS Mincho"/>
        </w:rPr>
        <w:footnoteRef/>
      </w:r>
      <w:r>
        <w:t xml:space="preserve"> </w:t>
      </w:r>
      <w:hyperlink r:id="rId5" w:history="1">
        <w:r>
          <w:rPr>
            <w:rStyle w:val="Hyperlink"/>
            <w:rFonts w:ascii="Times New Roman" w:hAnsi="Times New Roman"/>
          </w:rPr>
          <w:t>http://natura2000.moew.government.bg/Home/Reports?reportType=Invertebrates</w:t>
        </w:r>
      </w:hyperlink>
      <w:r>
        <w:t xml:space="preserve"> </w:t>
      </w:r>
      <w:r>
        <w:rPr>
          <w:rFonts w:ascii="Times New Roman" w:hAnsi="Times New Roman"/>
          <w:lang w:val="en-US"/>
        </w:rPr>
        <w:t xml:space="preserve">  </w:t>
      </w:r>
      <w:r>
        <w:rPr>
          <w:rFonts w:ascii="Times New Roman" w:hAnsi="Times New Roman"/>
        </w:rPr>
        <w:t xml:space="preserve"> </w:t>
      </w:r>
    </w:p>
  </w:footnote>
  <w:footnote w:id="6">
    <w:p w:rsidR="00B0609D" w:rsidRDefault="00B0609D" w:rsidP="00184B62">
      <w:pPr>
        <w:pStyle w:val="FootnoteText"/>
        <w:rPr>
          <w:rStyle w:val="FootnoteReference"/>
          <w:rFonts w:eastAsia="MS Mincho"/>
        </w:rPr>
      </w:pPr>
      <w:r>
        <w:rPr>
          <w:rStyle w:val="FootnoteReference"/>
          <w:rFonts w:ascii="Times New Roman" w:eastAsia="MS Mincho" w:hAnsi="Times New Roman"/>
        </w:rPr>
        <w:footnoteRef/>
      </w:r>
      <w:r>
        <w:rPr>
          <w:rFonts w:ascii="Times New Roman" w:hAnsi="Times New Roman"/>
        </w:rPr>
        <w:t xml:space="preserve"> </w:t>
      </w:r>
      <w:hyperlink r:id="rId6" w:history="1">
        <w:r>
          <w:rPr>
            <w:rStyle w:val="Hyperlink"/>
            <w:rFonts w:ascii="Times New Roman" w:hAnsi="Times New Roman"/>
          </w:rPr>
          <w:t>http://eea.government.bg/bg/bio/opos/activities-results/biezghrbnachni-zhivotni</w:t>
        </w:r>
      </w:hyperlink>
      <w:r>
        <w:rPr>
          <w:rStyle w:val="FootnoteReference"/>
          <w:rFonts w:eastAsia="MS Mincho"/>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3912"/>
    <w:multiLevelType w:val="hybridMultilevel"/>
    <w:tmpl w:val="29E24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8F14CE"/>
    <w:multiLevelType w:val="hybridMultilevel"/>
    <w:tmpl w:val="CC127EB2"/>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C4872"/>
    <w:multiLevelType w:val="hybridMultilevel"/>
    <w:tmpl w:val="56B60C38"/>
    <w:lvl w:ilvl="0" w:tplc="F65EF4A8">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
    <w:nsid w:val="0D3846E1"/>
    <w:multiLevelType w:val="hybridMultilevel"/>
    <w:tmpl w:val="F724D11E"/>
    <w:lvl w:ilvl="0" w:tplc="A8D22F22">
      <w:start w:val="1"/>
      <w:numFmt w:val="bullet"/>
      <w:lvlText w:val=""/>
      <w:lvlJc w:val="left"/>
      <w:pPr>
        <w:ind w:left="720" w:hanging="360"/>
      </w:pPr>
      <w:rPr>
        <w:rFonts w:ascii="Symbol" w:hAnsi="Symbol" w:hint="default"/>
        <w:color w:val="E36C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904920"/>
    <w:multiLevelType w:val="multilevel"/>
    <w:tmpl w:val="2C1C8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F6934CF"/>
    <w:multiLevelType w:val="hybridMultilevel"/>
    <w:tmpl w:val="D990288C"/>
    <w:lvl w:ilvl="0" w:tplc="E9FE4A78">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209773E0"/>
    <w:multiLevelType w:val="hybridMultilevel"/>
    <w:tmpl w:val="7480D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475802"/>
    <w:multiLevelType w:val="hybridMultilevel"/>
    <w:tmpl w:val="049E60D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34567BD1"/>
    <w:multiLevelType w:val="hybridMultilevel"/>
    <w:tmpl w:val="03C049BE"/>
    <w:lvl w:ilvl="0" w:tplc="9A5ADE0C">
      <w:start w:val="4"/>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36B45F80"/>
    <w:multiLevelType w:val="hybridMultilevel"/>
    <w:tmpl w:val="06B47D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36C028BC"/>
    <w:multiLevelType w:val="hybridMultilevel"/>
    <w:tmpl w:val="C0C0282C"/>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3A160BDA"/>
    <w:multiLevelType w:val="hybridMultilevel"/>
    <w:tmpl w:val="B95459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3A8C460A"/>
    <w:multiLevelType w:val="hybridMultilevel"/>
    <w:tmpl w:val="40F43220"/>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947722"/>
    <w:multiLevelType w:val="hybridMultilevel"/>
    <w:tmpl w:val="37ECD790"/>
    <w:lvl w:ilvl="0" w:tplc="0409000D">
      <w:start w:val="1"/>
      <w:numFmt w:val="bullet"/>
      <w:lvlText w:val=""/>
      <w:lvlJc w:val="left"/>
      <w:pPr>
        <w:ind w:left="360" w:hanging="360"/>
      </w:pPr>
      <w:rPr>
        <w:rFonts w:ascii="Wingdings" w:hAnsi="Wingdings" w:hint="default"/>
        <w:color w:val="E36C0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C5003B1"/>
    <w:multiLevelType w:val="hybridMultilevel"/>
    <w:tmpl w:val="A432BB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3E532545"/>
    <w:multiLevelType w:val="hybridMultilevel"/>
    <w:tmpl w:val="140A0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767B10"/>
    <w:multiLevelType w:val="hybridMultilevel"/>
    <w:tmpl w:val="5D0E3DB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468947B8"/>
    <w:multiLevelType w:val="hybridMultilevel"/>
    <w:tmpl w:val="3EC6AA9A"/>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4C61CB"/>
    <w:multiLevelType w:val="hybridMultilevel"/>
    <w:tmpl w:val="62A48E2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5A291294"/>
    <w:multiLevelType w:val="hybridMultilevel"/>
    <w:tmpl w:val="85D0F3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64833A76"/>
    <w:multiLevelType w:val="hybridMultilevel"/>
    <w:tmpl w:val="2626E8E2"/>
    <w:lvl w:ilvl="0" w:tplc="6322A22E">
      <w:numFmt w:val="bullet"/>
      <w:lvlText w:val="-"/>
      <w:lvlJc w:val="left"/>
      <w:pPr>
        <w:ind w:left="1069" w:hanging="360"/>
      </w:pPr>
      <w:rPr>
        <w:rFonts w:ascii="Times New Roman" w:eastAsiaTheme="minorHAns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1">
    <w:nsid w:val="670E5B56"/>
    <w:multiLevelType w:val="hybridMultilevel"/>
    <w:tmpl w:val="9BA8ED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AE7000"/>
    <w:multiLevelType w:val="hybridMultilevel"/>
    <w:tmpl w:val="DC5A228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6D3D0EA4"/>
    <w:multiLevelType w:val="hybridMultilevel"/>
    <w:tmpl w:val="96828928"/>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6E5C1938"/>
    <w:multiLevelType w:val="hybridMultilevel"/>
    <w:tmpl w:val="FCBC7CB0"/>
    <w:lvl w:ilvl="0" w:tplc="8CE6EDA8">
      <w:start w:val="1"/>
      <w:numFmt w:val="bullet"/>
      <w:lvlText w:val="-"/>
      <w:lvlJc w:val="left"/>
      <w:pPr>
        <w:ind w:left="360" w:hanging="360"/>
      </w:pPr>
      <w:rPr>
        <w:rFonts w:ascii="Times New Roman" w:eastAsiaTheme="minorHAnsi" w:hAnsi="Times New Roman" w:cs="Times New Roman"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5">
    <w:nsid w:val="6F5306C3"/>
    <w:multiLevelType w:val="hybridMultilevel"/>
    <w:tmpl w:val="12F004F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718E2FE1"/>
    <w:multiLevelType w:val="hybridMultilevel"/>
    <w:tmpl w:val="33E438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76463EED"/>
    <w:multiLevelType w:val="hybridMultilevel"/>
    <w:tmpl w:val="85BA8EF6"/>
    <w:lvl w:ilvl="0" w:tplc="FE0CA8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9981806"/>
    <w:multiLevelType w:val="multilevel"/>
    <w:tmpl w:val="A8869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9A04735"/>
    <w:multiLevelType w:val="hybridMultilevel"/>
    <w:tmpl w:val="3E1E5240"/>
    <w:lvl w:ilvl="0" w:tplc="0409000F">
      <w:start w:val="1"/>
      <w:numFmt w:val="decimal"/>
      <w:lvlText w:val="%1."/>
      <w:lvlJc w:val="left"/>
      <w:pPr>
        <w:ind w:left="720" w:hanging="360"/>
      </w:pPr>
      <w:rPr>
        <w:rFonts w:hint="default"/>
      </w:rPr>
    </w:lvl>
    <w:lvl w:ilvl="1" w:tplc="97DEC748">
      <w:start w:val="1"/>
      <w:numFmt w:val="bullet"/>
      <w:lvlText w:val="•"/>
      <w:lvlJc w:val="left"/>
      <w:pPr>
        <w:ind w:left="1800" w:hanging="72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876929"/>
    <w:multiLevelType w:val="hybridMultilevel"/>
    <w:tmpl w:val="7556094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7E0C728A"/>
    <w:multiLevelType w:val="hybridMultilevel"/>
    <w:tmpl w:val="9476185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2"/>
  </w:num>
  <w:num w:numId="2">
    <w:abstractNumId w:val="4"/>
  </w:num>
  <w:num w:numId="3">
    <w:abstractNumId w:val="28"/>
  </w:num>
  <w:num w:numId="4">
    <w:abstractNumId w:val="1"/>
  </w:num>
  <w:num w:numId="5">
    <w:abstractNumId w:val="12"/>
  </w:num>
  <w:num w:numId="6">
    <w:abstractNumId w:val="20"/>
  </w:num>
  <w:num w:numId="7">
    <w:abstractNumId w:val="8"/>
  </w:num>
  <w:num w:numId="8">
    <w:abstractNumId w:val="2"/>
  </w:num>
  <w:num w:numId="9">
    <w:abstractNumId w:val="23"/>
  </w:num>
  <w:num w:numId="10">
    <w:abstractNumId w:val="5"/>
  </w:num>
  <w:num w:numId="11">
    <w:abstractNumId w:val="3"/>
  </w:num>
  <w:num w:numId="12">
    <w:abstractNumId w:val="19"/>
  </w:num>
  <w:num w:numId="13">
    <w:abstractNumId w:val="31"/>
  </w:num>
  <w:num w:numId="14">
    <w:abstractNumId w:val="11"/>
  </w:num>
  <w:num w:numId="15">
    <w:abstractNumId w:val="13"/>
  </w:num>
  <w:num w:numId="16">
    <w:abstractNumId w:val="24"/>
  </w:num>
  <w:num w:numId="17">
    <w:abstractNumId w:val="21"/>
  </w:num>
  <w:num w:numId="18">
    <w:abstractNumId w:val="26"/>
  </w:num>
  <w:num w:numId="19">
    <w:abstractNumId w:val="7"/>
  </w:num>
  <w:num w:numId="20">
    <w:abstractNumId w:val="30"/>
  </w:num>
  <w:num w:numId="21">
    <w:abstractNumId w:val="6"/>
  </w:num>
  <w:num w:numId="22">
    <w:abstractNumId w:val="10"/>
  </w:num>
  <w:num w:numId="23">
    <w:abstractNumId w:val="14"/>
  </w:num>
  <w:num w:numId="24">
    <w:abstractNumId w:val="0"/>
  </w:num>
  <w:num w:numId="25">
    <w:abstractNumId w:val="16"/>
  </w:num>
  <w:num w:numId="26">
    <w:abstractNumId w:val="18"/>
  </w:num>
  <w:num w:numId="27">
    <w:abstractNumId w:val="15"/>
  </w:num>
  <w:num w:numId="28">
    <w:abstractNumId w:val="9"/>
  </w:num>
  <w:num w:numId="29">
    <w:abstractNumId w:val="29"/>
  </w:num>
  <w:num w:numId="30">
    <w:abstractNumId w:val="17"/>
  </w:num>
  <w:num w:numId="31">
    <w:abstractNumId w:val="27"/>
  </w:num>
  <w:num w:numId="32">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70F"/>
    <w:rsid w:val="0001440D"/>
    <w:rsid w:val="00022F9E"/>
    <w:rsid w:val="00051A9F"/>
    <w:rsid w:val="00077290"/>
    <w:rsid w:val="000C2232"/>
    <w:rsid w:val="000D1DF3"/>
    <w:rsid w:val="000D570F"/>
    <w:rsid w:val="001033EC"/>
    <w:rsid w:val="00104367"/>
    <w:rsid w:val="00107719"/>
    <w:rsid w:val="001544FD"/>
    <w:rsid w:val="001804D7"/>
    <w:rsid w:val="00181D2D"/>
    <w:rsid w:val="00184B62"/>
    <w:rsid w:val="001D13B2"/>
    <w:rsid w:val="002179BA"/>
    <w:rsid w:val="00290E91"/>
    <w:rsid w:val="002D0A70"/>
    <w:rsid w:val="0030659C"/>
    <w:rsid w:val="0031593F"/>
    <w:rsid w:val="00345D71"/>
    <w:rsid w:val="003774E5"/>
    <w:rsid w:val="003A4F26"/>
    <w:rsid w:val="003B7AFA"/>
    <w:rsid w:val="003C4277"/>
    <w:rsid w:val="003D13A8"/>
    <w:rsid w:val="003D617F"/>
    <w:rsid w:val="004666B9"/>
    <w:rsid w:val="004760C9"/>
    <w:rsid w:val="00477501"/>
    <w:rsid w:val="00482F18"/>
    <w:rsid w:val="00546875"/>
    <w:rsid w:val="005977D7"/>
    <w:rsid w:val="005A0A3C"/>
    <w:rsid w:val="005E3580"/>
    <w:rsid w:val="005E4B26"/>
    <w:rsid w:val="00634ACE"/>
    <w:rsid w:val="00635999"/>
    <w:rsid w:val="00663EA6"/>
    <w:rsid w:val="006A5D1E"/>
    <w:rsid w:val="006B50B8"/>
    <w:rsid w:val="006C17B2"/>
    <w:rsid w:val="006D29D8"/>
    <w:rsid w:val="006D6DE5"/>
    <w:rsid w:val="0070678B"/>
    <w:rsid w:val="00715A84"/>
    <w:rsid w:val="007D1C8A"/>
    <w:rsid w:val="007F2E6B"/>
    <w:rsid w:val="008131C7"/>
    <w:rsid w:val="00881B9B"/>
    <w:rsid w:val="008B093A"/>
    <w:rsid w:val="008B6197"/>
    <w:rsid w:val="008E477F"/>
    <w:rsid w:val="00973704"/>
    <w:rsid w:val="009C3542"/>
    <w:rsid w:val="00A44727"/>
    <w:rsid w:val="00A805FE"/>
    <w:rsid w:val="00A8783E"/>
    <w:rsid w:val="00AA39B2"/>
    <w:rsid w:val="00AB305B"/>
    <w:rsid w:val="00B0609D"/>
    <w:rsid w:val="00B420C3"/>
    <w:rsid w:val="00B54527"/>
    <w:rsid w:val="00BC0F5E"/>
    <w:rsid w:val="00BE7B37"/>
    <w:rsid w:val="00BF7AC4"/>
    <w:rsid w:val="00C350E7"/>
    <w:rsid w:val="00C40457"/>
    <w:rsid w:val="00CB6960"/>
    <w:rsid w:val="00D06FDF"/>
    <w:rsid w:val="00D213B7"/>
    <w:rsid w:val="00D374F5"/>
    <w:rsid w:val="00D77A67"/>
    <w:rsid w:val="00D945E2"/>
    <w:rsid w:val="00D95C99"/>
    <w:rsid w:val="00DA2071"/>
    <w:rsid w:val="00DE1BFF"/>
    <w:rsid w:val="00DE51FF"/>
    <w:rsid w:val="00DE58DC"/>
    <w:rsid w:val="00E5709C"/>
    <w:rsid w:val="00E8367B"/>
    <w:rsid w:val="00EB75F6"/>
    <w:rsid w:val="00EC3027"/>
    <w:rsid w:val="00EC5D51"/>
    <w:rsid w:val="00F0212F"/>
    <w:rsid w:val="00F873CF"/>
    <w:rsid w:val="00FB05B5"/>
    <w:rsid w:val="00FC3B0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0D570F"/>
    <w:rPr>
      <w:rFonts w:ascii="Calibri" w:eastAsia="Times New Roman" w:hAnsi="Calibri" w:cs="Times New Roman"/>
    </w:rPr>
  </w:style>
  <w:style w:type="paragraph" w:styleId="Heading1">
    <w:name w:val="heading 1"/>
    <w:basedOn w:val="Normal"/>
    <w:next w:val="Normal"/>
    <w:link w:val="Heading1Char"/>
    <w:uiPriority w:val="99"/>
    <w:qFormat/>
    <w:rsid w:val="004760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BF7AC4"/>
    <w:pPr>
      <w:keepNext/>
      <w:keepLines/>
      <w:spacing w:before="200" w:after="0"/>
      <w:outlineLvl w:val="1"/>
    </w:pPr>
    <w:rPr>
      <w:rFonts w:ascii="Calibri Light" w:hAnsi="Calibri Light"/>
      <w:color w:val="2E74B5"/>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04367"/>
    <w:pPr>
      <w:ind w:left="720"/>
      <w:contextualSpacing/>
    </w:pPr>
    <w:rPr>
      <w:rFonts w:asciiTheme="minorHAnsi" w:eastAsiaTheme="minorHAnsi" w:hAnsiTheme="minorHAnsi" w:cstheme="minorBidi"/>
    </w:rPr>
  </w:style>
  <w:style w:type="table" w:styleId="TableGrid">
    <w:name w:val="Table Grid"/>
    <w:basedOn w:val="TableNormal"/>
    <w:uiPriority w:val="39"/>
    <w:rsid w:val="00D77A6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7A67"/>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367B"/>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367B"/>
    <w:rPr>
      <w:rFonts w:ascii="Calibri" w:eastAsia="Times New Roman" w:hAnsi="Calibri" w:cs="Times New Roman"/>
    </w:rPr>
  </w:style>
  <w:style w:type="paragraph" w:styleId="Footer">
    <w:name w:val="footer"/>
    <w:basedOn w:val="Normal"/>
    <w:link w:val="FooterChar"/>
    <w:uiPriority w:val="99"/>
    <w:unhideWhenUsed/>
    <w:rsid w:val="00E8367B"/>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367B"/>
    <w:rPr>
      <w:rFonts w:ascii="Calibri" w:eastAsia="Times New Roman" w:hAnsi="Calibri" w:cs="Times New Roman"/>
    </w:rPr>
  </w:style>
  <w:style w:type="paragraph" w:styleId="FootnoteText">
    <w:name w:val="footnote text"/>
    <w:basedOn w:val="Normal"/>
    <w:link w:val="FootnoteTextChar"/>
    <w:uiPriority w:val="99"/>
    <w:semiHidden/>
    <w:unhideWhenUsed/>
    <w:rsid w:val="00184B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4B62"/>
    <w:rPr>
      <w:rFonts w:ascii="Calibri" w:eastAsia="Times New Roman" w:hAnsi="Calibri" w:cs="Times New Roman"/>
      <w:sz w:val="20"/>
      <w:szCs w:val="20"/>
    </w:rPr>
  </w:style>
  <w:style w:type="character" w:styleId="FootnoteReference">
    <w:name w:val="footnote reference"/>
    <w:aliases w:val="Footnote symbol,SUPERS"/>
    <w:uiPriority w:val="99"/>
    <w:rsid w:val="00184B62"/>
    <w:rPr>
      <w:vertAlign w:val="superscript"/>
    </w:rPr>
  </w:style>
  <w:style w:type="character" w:styleId="Hyperlink">
    <w:name w:val="Hyperlink"/>
    <w:aliases w:val="Exergia Hyperlink"/>
    <w:uiPriority w:val="99"/>
    <w:rsid w:val="00184B62"/>
    <w:rPr>
      <w:color w:val="0000FF"/>
      <w:u w:val="single"/>
    </w:rPr>
  </w:style>
  <w:style w:type="numbering" w:customStyle="1" w:styleId="NoList1">
    <w:name w:val="No List1"/>
    <w:next w:val="NoList"/>
    <w:uiPriority w:val="99"/>
    <w:semiHidden/>
    <w:unhideWhenUsed/>
    <w:rsid w:val="0031593F"/>
  </w:style>
  <w:style w:type="character" w:customStyle="1" w:styleId="FollowedHyperlink1">
    <w:name w:val="FollowedHyperlink1"/>
    <w:basedOn w:val="DefaultParagraphFont"/>
    <w:uiPriority w:val="99"/>
    <w:semiHidden/>
    <w:unhideWhenUsed/>
    <w:rsid w:val="0031593F"/>
    <w:rPr>
      <w:color w:val="954F72"/>
      <w:u w:val="single"/>
    </w:rPr>
  </w:style>
  <w:style w:type="character" w:customStyle="1" w:styleId="st">
    <w:name w:val="st"/>
    <w:basedOn w:val="DefaultParagraphFont"/>
    <w:uiPriority w:val="99"/>
    <w:rsid w:val="0031593F"/>
  </w:style>
  <w:style w:type="character" w:styleId="Emphasis">
    <w:name w:val="Emphasis"/>
    <w:basedOn w:val="DefaultParagraphFont"/>
    <w:uiPriority w:val="99"/>
    <w:qFormat/>
    <w:rsid w:val="0031593F"/>
    <w:rPr>
      <w:i/>
      <w:iCs/>
    </w:rPr>
  </w:style>
  <w:style w:type="character" w:styleId="FollowedHyperlink">
    <w:name w:val="FollowedHyperlink"/>
    <w:basedOn w:val="DefaultParagraphFont"/>
    <w:uiPriority w:val="99"/>
    <w:semiHidden/>
    <w:unhideWhenUsed/>
    <w:rsid w:val="0031593F"/>
    <w:rPr>
      <w:color w:val="800080" w:themeColor="followedHyperlink"/>
      <w:u w:val="single"/>
    </w:rPr>
  </w:style>
  <w:style w:type="character" w:customStyle="1" w:styleId="Heading1Char">
    <w:name w:val="Heading 1 Char"/>
    <w:basedOn w:val="DefaultParagraphFont"/>
    <w:link w:val="Heading1"/>
    <w:uiPriority w:val="99"/>
    <w:rsid w:val="004760C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99"/>
    <w:unhideWhenUsed/>
    <w:qFormat/>
    <w:rsid w:val="004760C9"/>
    <w:pPr>
      <w:outlineLvl w:val="9"/>
    </w:pPr>
    <w:rPr>
      <w:lang w:val="en-US" w:eastAsia="ja-JP"/>
    </w:rPr>
  </w:style>
  <w:style w:type="paragraph" w:styleId="TOC1">
    <w:name w:val="toc 1"/>
    <w:basedOn w:val="Normal"/>
    <w:next w:val="Normal"/>
    <w:autoRedefine/>
    <w:uiPriority w:val="39"/>
    <w:unhideWhenUsed/>
    <w:rsid w:val="004760C9"/>
    <w:pPr>
      <w:spacing w:after="100"/>
    </w:pPr>
  </w:style>
  <w:style w:type="paragraph" w:styleId="TOC2">
    <w:name w:val="toc 2"/>
    <w:basedOn w:val="Normal"/>
    <w:next w:val="Normal"/>
    <w:autoRedefine/>
    <w:uiPriority w:val="39"/>
    <w:unhideWhenUsed/>
    <w:rsid w:val="004760C9"/>
    <w:pPr>
      <w:spacing w:after="100"/>
      <w:ind w:left="220"/>
    </w:pPr>
  </w:style>
  <w:style w:type="paragraph" w:styleId="BalloonText">
    <w:name w:val="Balloon Text"/>
    <w:basedOn w:val="Normal"/>
    <w:link w:val="BalloonTextChar"/>
    <w:uiPriority w:val="99"/>
    <w:semiHidden/>
    <w:unhideWhenUsed/>
    <w:rsid w:val="00476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0C9"/>
    <w:rPr>
      <w:rFonts w:ascii="Tahoma" w:eastAsia="Times New Roman" w:hAnsi="Tahoma" w:cs="Tahoma"/>
      <w:sz w:val="16"/>
      <w:szCs w:val="16"/>
    </w:rPr>
  </w:style>
  <w:style w:type="paragraph" w:styleId="NormalWeb">
    <w:name w:val="Normal (Web)"/>
    <w:basedOn w:val="Normal"/>
    <w:uiPriority w:val="99"/>
    <w:rsid w:val="00BF7AC4"/>
    <w:pPr>
      <w:spacing w:before="100" w:beforeAutospacing="1" w:after="119" w:line="240" w:lineRule="auto"/>
    </w:pPr>
    <w:rPr>
      <w:rFonts w:ascii="Times New Roman" w:hAnsi="Times New Roman"/>
      <w:sz w:val="24"/>
      <w:szCs w:val="24"/>
      <w:lang w:eastAsia="bg-BG"/>
    </w:rPr>
  </w:style>
  <w:style w:type="paragraph" w:customStyle="1" w:styleId="Heading21">
    <w:name w:val="Heading 21"/>
    <w:basedOn w:val="Normal"/>
    <w:next w:val="Normal"/>
    <w:uiPriority w:val="99"/>
    <w:unhideWhenUsed/>
    <w:qFormat/>
    <w:rsid w:val="00BF7AC4"/>
    <w:pPr>
      <w:keepNext/>
      <w:keepLines/>
      <w:spacing w:before="40" w:after="0" w:line="259" w:lineRule="auto"/>
      <w:outlineLvl w:val="1"/>
    </w:pPr>
    <w:rPr>
      <w:rFonts w:ascii="Calibri Light" w:hAnsi="Calibri Light"/>
      <w:color w:val="2E74B5"/>
      <w:sz w:val="26"/>
      <w:szCs w:val="26"/>
      <w:lang w:val="en-US"/>
    </w:rPr>
  </w:style>
  <w:style w:type="numbering" w:customStyle="1" w:styleId="NoList2">
    <w:name w:val="No List2"/>
    <w:next w:val="NoList"/>
    <w:uiPriority w:val="99"/>
    <w:semiHidden/>
    <w:unhideWhenUsed/>
    <w:rsid w:val="00BF7AC4"/>
  </w:style>
  <w:style w:type="character" w:customStyle="1" w:styleId="Heading2Char">
    <w:name w:val="Heading 2 Char"/>
    <w:basedOn w:val="DefaultParagraphFont"/>
    <w:link w:val="Heading2"/>
    <w:uiPriority w:val="99"/>
    <w:rsid w:val="00BF7AC4"/>
    <w:rPr>
      <w:rFonts w:ascii="Calibri Light" w:eastAsia="Times New Roman" w:hAnsi="Calibri Light" w:cs="Times New Roman"/>
      <w:color w:val="2E74B5"/>
      <w:sz w:val="26"/>
      <w:szCs w:val="26"/>
    </w:rPr>
  </w:style>
  <w:style w:type="paragraph" w:customStyle="1" w:styleId="1">
    <w:name w:val="Знак Знак Знак1"/>
    <w:basedOn w:val="Normal"/>
    <w:uiPriority w:val="99"/>
    <w:rsid w:val="00BF7AC4"/>
    <w:pPr>
      <w:tabs>
        <w:tab w:val="left" w:pos="709"/>
      </w:tabs>
      <w:spacing w:after="0" w:line="240" w:lineRule="auto"/>
    </w:pPr>
    <w:rPr>
      <w:rFonts w:ascii="Tahoma" w:hAnsi="Tahoma"/>
      <w:sz w:val="24"/>
      <w:szCs w:val="24"/>
      <w:lang w:val="pl-PL" w:eastAsia="pl-PL"/>
    </w:rPr>
  </w:style>
  <w:style w:type="numbering" w:customStyle="1" w:styleId="NoList11">
    <w:name w:val="No List11"/>
    <w:next w:val="NoList"/>
    <w:uiPriority w:val="99"/>
    <w:semiHidden/>
    <w:unhideWhenUsed/>
    <w:rsid w:val="00BF7AC4"/>
  </w:style>
  <w:style w:type="paragraph" w:styleId="NoSpacing">
    <w:name w:val="No Spacing"/>
    <w:uiPriority w:val="99"/>
    <w:qFormat/>
    <w:rsid w:val="00BF7AC4"/>
    <w:pPr>
      <w:spacing w:after="0" w:line="240" w:lineRule="auto"/>
    </w:pPr>
    <w:rPr>
      <w:lang w:val="en-US"/>
    </w:rPr>
  </w:style>
  <w:style w:type="character" w:styleId="CommentReference">
    <w:name w:val="annotation reference"/>
    <w:basedOn w:val="DefaultParagraphFont"/>
    <w:uiPriority w:val="99"/>
    <w:semiHidden/>
    <w:unhideWhenUsed/>
    <w:rsid w:val="00BF7AC4"/>
    <w:rPr>
      <w:sz w:val="16"/>
      <w:szCs w:val="16"/>
    </w:rPr>
  </w:style>
  <w:style w:type="paragraph" w:styleId="CommentText">
    <w:name w:val="annotation text"/>
    <w:basedOn w:val="Normal"/>
    <w:link w:val="CommentTextChar"/>
    <w:uiPriority w:val="99"/>
    <w:semiHidden/>
    <w:unhideWhenUsed/>
    <w:rsid w:val="00BF7AC4"/>
    <w:pPr>
      <w:spacing w:after="160" w:line="240" w:lineRule="auto"/>
    </w:pPr>
    <w:rPr>
      <w:rFonts w:eastAsia="Calibri"/>
      <w:sz w:val="20"/>
      <w:szCs w:val="20"/>
      <w:lang w:val="en-US"/>
    </w:rPr>
  </w:style>
  <w:style w:type="character" w:customStyle="1" w:styleId="CommentTextChar">
    <w:name w:val="Comment Text Char"/>
    <w:basedOn w:val="DefaultParagraphFont"/>
    <w:link w:val="CommentText"/>
    <w:uiPriority w:val="99"/>
    <w:semiHidden/>
    <w:rsid w:val="00BF7AC4"/>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F7AC4"/>
    <w:rPr>
      <w:b/>
      <w:bCs/>
    </w:rPr>
  </w:style>
  <w:style w:type="character" w:customStyle="1" w:styleId="CommentSubjectChar">
    <w:name w:val="Comment Subject Char"/>
    <w:basedOn w:val="CommentTextChar"/>
    <w:link w:val="CommentSubject"/>
    <w:uiPriority w:val="99"/>
    <w:semiHidden/>
    <w:rsid w:val="00BF7AC4"/>
    <w:rPr>
      <w:rFonts w:ascii="Calibri" w:eastAsia="Calibri" w:hAnsi="Calibri" w:cs="Times New Roman"/>
      <w:b/>
      <w:bCs/>
      <w:sz w:val="20"/>
      <w:szCs w:val="20"/>
      <w:lang w:val="en-US"/>
    </w:rPr>
  </w:style>
  <w:style w:type="paragraph" w:customStyle="1" w:styleId="TOC31">
    <w:name w:val="TOC 31"/>
    <w:basedOn w:val="Normal"/>
    <w:next w:val="Normal"/>
    <w:autoRedefine/>
    <w:uiPriority w:val="99"/>
    <w:unhideWhenUsed/>
    <w:rsid w:val="00BF7AC4"/>
    <w:pPr>
      <w:spacing w:after="100" w:line="259" w:lineRule="auto"/>
      <w:ind w:left="440"/>
    </w:pPr>
    <w:rPr>
      <w:lang w:val="en-US"/>
    </w:rPr>
  </w:style>
  <w:style w:type="paragraph" w:customStyle="1" w:styleId="TOC41">
    <w:name w:val="TOC 41"/>
    <w:basedOn w:val="Normal"/>
    <w:next w:val="Normal"/>
    <w:autoRedefine/>
    <w:uiPriority w:val="99"/>
    <w:unhideWhenUsed/>
    <w:rsid w:val="00BF7AC4"/>
    <w:pPr>
      <w:spacing w:after="100" w:line="259" w:lineRule="auto"/>
      <w:ind w:left="660"/>
    </w:pPr>
    <w:rPr>
      <w:lang w:val="en-US"/>
    </w:rPr>
  </w:style>
  <w:style w:type="paragraph" w:customStyle="1" w:styleId="TOC51">
    <w:name w:val="TOC 51"/>
    <w:basedOn w:val="Normal"/>
    <w:next w:val="Normal"/>
    <w:autoRedefine/>
    <w:uiPriority w:val="99"/>
    <w:unhideWhenUsed/>
    <w:rsid w:val="00BF7AC4"/>
    <w:pPr>
      <w:spacing w:after="100" w:line="259" w:lineRule="auto"/>
      <w:ind w:left="880"/>
    </w:pPr>
    <w:rPr>
      <w:lang w:val="en-US"/>
    </w:rPr>
  </w:style>
  <w:style w:type="paragraph" w:customStyle="1" w:styleId="TOC61">
    <w:name w:val="TOC 61"/>
    <w:basedOn w:val="Normal"/>
    <w:next w:val="Normal"/>
    <w:autoRedefine/>
    <w:uiPriority w:val="99"/>
    <w:unhideWhenUsed/>
    <w:rsid w:val="00BF7AC4"/>
    <w:pPr>
      <w:spacing w:after="100" w:line="259" w:lineRule="auto"/>
      <w:ind w:left="1100"/>
    </w:pPr>
    <w:rPr>
      <w:lang w:val="en-US"/>
    </w:rPr>
  </w:style>
  <w:style w:type="paragraph" w:customStyle="1" w:styleId="TOC71">
    <w:name w:val="TOC 71"/>
    <w:basedOn w:val="Normal"/>
    <w:next w:val="Normal"/>
    <w:autoRedefine/>
    <w:uiPriority w:val="99"/>
    <w:unhideWhenUsed/>
    <w:rsid w:val="00BF7AC4"/>
    <w:pPr>
      <w:spacing w:after="100" w:line="259" w:lineRule="auto"/>
      <w:ind w:left="1320"/>
    </w:pPr>
    <w:rPr>
      <w:lang w:val="en-US"/>
    </w:rPr>
  </w:style>
  <w:style w:type="paragraph" w:customStyle="1" w:styleId="TOC81">
    <w:name w:val="TOC 81"/>
    <w:basedOn w:val="Normal"/>
    <w:next w:val="Normal"/>
    <w:autoRedefine/>
    <w:uiPriority w:val="99"/>
    <w:unhideWhenUsed/>
    <w:rsid w:val="00BF7AC4"/>
    <w:pPr>
      <w:spacing w:after="100" w:line="259" w:lineRule="auto"/>
      <w:ind w:left="1540"/>
    </w:pPr>
    <w:rPr>
      <w:lang w:val="en-US"/>
    </w:rPr>
  </w:style>
  <w:style w:type="paragraph" w:customStyle="1" w:styleId="TOC91">
    <w:name w:val="TOC 91"/>
    <w:basedOn w:val="Normal"/>
    <w:next w:val="Normal"/>
    <w:autoRedefine/>
    <w:uiPriority w:val="99"/>
    <w:unhideWhenUsed/>
    <w:rsid w:val="00BF7AC4"/>
    <w:pPr>
      <w:spacing w:after="100" w:line="259" w:lineRule="auto"/>
      <w:ind w:left="1760"/>
    </w:pPr>
    <w:rPr>
      <w:lang w:val="en-US"/>
    </w:rPr>
  </w:style>
  <w:style w:type="numbering" w:customStyle="1" w:styleId="NoList21">
    <w:name w:val="No List21"/>
    <w:next w:val="NoList"/>
    <w:uiPriority w:val="99"/>
    <w:semiHidden/>
    <w:unhideWhenUsed/>
    <w:rsid w:val="00BF7AC4"/>
  </w:style>
  <w:style w:type="character" w:customStyle="1" w:styleId="Heading2Char1">
    <w:name w:val="Heading 2 Char1"/>
    <w:basedOn w:val="DefaultParagraphFont"/>
    <w:uiPriority w:val="99"/>
    <w:semiHidden/>
    <w:rsid w:val="00BF7AC4"/>
    <w:rPr>
      <w:rFonts w:asciiTheme="majorHAnsi" w:eastAsiaTheme="majorEastAsia" w:hAnsiTheme="majorHAnsi" w:cstheme="majorBidi"/>
      <w:b/>
      <w:bCs/>
      <w:color w:val="4F81BD" w:themeColor="accent1"/>
      <w:sz w:val="26"/>
      <w:szCs w:val="26"/>
    </w:rPr>
  </w:style>
  <w:style w:type="paragraph" w:styleId="TOC3">
    <w:name w:val="toc 3"/>
    <w:basedOn w:val="Normal"/>
    <w:next w:val="Normal"/>
    <w:autoRedefine/>
    <w:uiPriority w:val="39"/>
    <w:unhideWhenUsed/>
    <w:rsid w:val="006A5D1E"/>
    <w:pPr>
      <w:spacing w:after="100"/>
      <w:ind w:left="440"/>
    </w:pPr>
    <w:rPr>
      <w:rFonts w:asciiTheme="minorHAnsi" w:eastAsiaTheme="minorEastAsia" w:hAnsiTheme="minorHAnsi" w:cstheme="minorBidi"/>
      <w:lang w:eastAsia="bg-BG"/>
    </w:rPr>
  </w:style>
  <w:style w:type="paragraph" w:styleId="TOC4">
    <w:name w:val="toc 4"/>
    <w:basedOn w:val="Normal"/>
    <w:next w:val="Normal"/>
    <w:autoRedefine/>
    <w:uiPriority w:val="39"/>
    <w:unhideWhenUsed/>
    <w:rsid w:val="006A5D1E"/>
    <w:pPr>
      <w:spacing w:after="100"/>
      <w:ind w:left="660"/>
    </w:pPr>
    <w:rPr>
      <w:rFonts w:asciiTheme="minorHAnsi" w:eastAsiaTheme="minorEastAsia" w:hAnsiTheme="minorHAnsi" w:cstheme="minorBidi"/>
      <w:lang w:eastAsia="bg-BG"/>
    </w:rPr>
  </w:style>
  <w:style w:type="paragraph" w:styleId="TOC5">
    <w:name w:val="toc 5"/>
    <w:basedOn w:val="Normal"/>
    <w:next w:val="Normal"/>
    <w:autoRedefine/>
    <w:uiPriority w:val="39"/>
    <w:unhideWhenUsed/>
    <w:rsid w:val="006A5D1E"/>
    <w:pPr>
      <w:spacing w:after="100"/>
      <w:ind w:left="880"/>
    </w:pPr>
    <w:rPr>
      <w:rFonts w:asciiTheme="minorHAnsi" w:eastAsiaTheme="minorEastAsia" w:hAnsiTheme="minorHAnsi" w:cstheme="minorBidi"/>
      <w:lang w:eastAsia="bg-BG"/>
    </w:rPr>
  </w:style>
  <w:style w:type="paragraph" w:styleId="TOC6">
    <w:name w:val="toc 6"/>
    <w:basedOn w:val="Normal"/>
    <w:next w:val="Normal"/>
    <w:autoRedefine/>
    <w:uiPriority w:val="39"/>
    <w:unhideWhenUsed/>
    <w:rsid w:val="006A5D1E"/>
    <w:pPr>
      <w:spacing w:after="100"/>
      <w:ind w:left="1100"/>
    </w:pPr>
    <w:rPr>
      <w:rFonts w:asciiTheme="minorHAnsi" w:eastAsiaTheme="minorEastAsia" w:hAnsiTheme="minorHAnsi" w:cstheme="minorBidi"/>
      <w:lang w:eastAsia="bg-BG"/>
    </w:rPr>
  </w:style>
  <w:style w:type="paragraph" w:styleId="TOC7">
    <w:name w:val="toc 7"/>
    <w:basedOn w:val="Normal"/>
    <w:next w:val="Normal"/>
    <w:autoRedefine/>
    <w:uiPriority w:val="39"/>
    <w:unhideWhenUsed/>
    <w:rsid w:val="006A5D1E"/>
    <w:pPr>
      <w:spacing w:after="100"/>
      <w:ind w:left="1320"/>
    </w:pPr>
    <w:rPr>
      <w:rFonts w:asciiTheme="minorHAnsi" w:eastAsiaTheme="minorEastAsia" w:hAnsiTheme="minorHAnsi" w:cstheme="minorBidi"/>
      <w:lang w:eastAsia="bg-BG"/>
    </w:rPr>
  </w:style>
  <w:style w:type="paragraph" w:styleId="TOC8">
    <w:name w:val="toc 8"/>
    <w:basedOn w:val="Normal"/>
    <w:next w:val="Normal"/>
    <w:autoRedefine/>
    <w:uiPriority w:val="39"/>
    <w:unhideWhenUsed/>
    <w:rsid w:val="006A5D1E"/>
    <w:pPr>
      <w:spacing w:after="100"/>
      <w:ind w:left="1540"/>
    </w:pPr>
    <w:rPr>
      <w:rFonts w:asciiTheme="minorHAnsi" w:eastAsiaTheme="minorEastAsia" w:hAnsiTheme="minorHAnsi" w:cstheme="minorBidi"/>
      <w:lang w:eastAsia="bg-BG"/>
    </w:rPr>
  </w:style>
  <w:style w:type="paragraph" w:styleId="TOC9">
    <w:name w:val="toc 9"/>
    <w:basedOn w:val="Normal"/>
    <w:next w:val="Normal"/>
    <w:autoRedefine/>
    <w:uiPriority w:val="39"/>
    <w:unhideWhenUsed/>
    <w:rsid w:val="006A5D1E"/>
    <w:pPr>
      <w:spacing w:after="100"/>
      <w:ind w:left="1760"/>
    </w:pPr>
    <w:rPr>
      <w:rFonts w:asciiTheme="minorHAnsi" w:eastAsiaTheme="minorEastAsia" w:hAnsiTheme="minorHAnsi" w:cstheme="minorBidi"/>
      <w:lang w:eastAsia="bg-BG"/>
    </w:rPr>
  </w:style>
  <w:style w:type="numbering" w:customStyle="1" w:styleId="NoList3">
    <w:name w:val="No List3"/>
    <w:next w:val="NoList"/>
    <w:uiPriority w:val="99"/>
    <w:semiHidden/>
    <w:unhideWhenUsed/>
    <w:rsid w:val="00A8783E"/>
  </w:style>
  <w:style w:type="table" w:customStyle="1" w:styleId="TableGrid2">
    <w:name w:val="Table Grid2"/>
    <w:basedOn w:val="TableNormal"/>
    <w:next w:val="TableGrid"/>
    <w:uiPriority w:val="99"/>
    <w:rsid w:val="00A8783E"/>
    <w:pPr>
      <w:spacing w:after="0" w:line="240" w:lineRule="auto"/>
    </w:pPr>
    <w:rPr>
      <w:rFonts w:ascii="Calibri" w:eastAsia="Calibri"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A8783E"/>
    <w:pPr>
      <w:spacing w:after="0" w:line="240" w:lineRule="auto"/>
    </w:pPr>
    <w:rPr>
      <w:rFonts w:ascii="Calibri" w:eastAsia="Calibri" w:hAnsi="Calibri" w:cs="Times New Roman"/>
      <w:sz w:val="24"/>
      <w:szCs w:val="24"/>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0D570F"/>
    <w:rPr>
      <w:rFonts w:ascii="Calibri" w:eastAsia="Times New Roman" w:hAnsi="Calibri" w:cs="Times New Roman"/>
    </w:rPr>
  </w:style>
  <w:style w:type="paragraph" w:styleId="Heading1">
    <w:name w:val="heading 1"/>
    <w:basedOn w:val="Normal"/>
    <w:next w:val="Normal"/>
    <w:link w:val="Heading1Char"/>
    <w:uiPriority w:val="99"/>
    <w:qFormat/>
    <w:rsid w:val="004760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BF7AC4"/>
    <w:pPr>
      <w:keepNext/>
      <w:keepLines/>
      <w:spacing w:before="200" w:after="0"/>
      <w:outlineLvl w:val="1"/>
    </w:pPr>
    <w:rPr>
      <w:rFonts w:ascii="Calibri Light" w:hAnsi="Calibri Light"/>
      <w:color w:val="2E74B5"/>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04367"/>
    <w:pPr>
      <w:ind w:left="720"/>
      <w:contextualSpacing/>
    </w:pPr>
    <w:rPr>
      <w:rFonts w:asciiTheme="minorHAnsi" w:eastAsiaTheme="minorHAnsi" w:hAnsiTheme="minorHAnsi" w:cstheme="minorBidi"/>
    </w:rPr>
  </w:style>
  <w:style w:type="table" w:styleId="TableGrid">
    <w:name w:val="Table Grid"/>
    <w:basedOn w:val="TableNormal"/>
    <w:uiPriority w:val="39"/>
    <w:rsid w:val="00D77A6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7A67"/>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367B"/>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367B"/>
    <w:rPr>
      <w:rFonts w:ascii="Calibri" w:eastAsia="Times New Roman" w:hAnsi="Calibri" w:cs="Times New Roman"/>
    </w:rPr>
  </w:style>
  <w:style w:type="paragraph" w:styleId="Footer">
    <w:name w:val="footer"/>
    <w:basedOn w:val="Normal"/>
    <w:link w:val="FooterChar"/>
    <w:uiPriority w:val="99"/>
    <w:unhideWhenUsed/>
    <w:rsid w:val="00E8367B"/>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367B"/>
    <w:rPr>
      <w:rFonts w:ascii="Calibri" w:eastAsia="Times New Roman" w:hAnsi="Calibri" w:cs="Times New Roman"/>
    </w:rPr>
  </w:style>
  <w:style w:type="paragraph" w:styleId="FootnoteText">
    <w:name w:val="footnote text"/>
    <w:basedOn w:val="Normal"/>
    <w:link w:val="FootnoteTextChar"/>
    <w:uiPriority w:val="99"/>
    <w:semiHidden/>
    <w:unhideWhenUsed/>
    <w:rsid w:val="00184B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4B62"/>
    <w:rPr>
      <w:rFonts w:ascii="Calibri" w:eastAsia="Times New Roman" w:hAnsi="Calibri" w:cs="Times New Roman"/>
      <w:sz w:val="20"/>
      <w:szCs w:val="20"/>
    </w:rPr>
  </w:style>
  <w:style w:type="character" w:styleId="FootnoteReference">
    <w:name w:val="footnote reference"/>
    <w:aliases w:val="Footnote symbol,SUPERS"/>
    <w:uiPriority w:val="99"/>
    <w:rsid w:val="00184B62"/>
    <w:rPr>
      <w:vertAlign w:val="superscript"/>
    </w:rPr>
  </w:style>
  <w:style w:type="character" w:styleId="Hyperlink">
    <w:name w:val="Hyperlink"/>
    <w:aliases w:val="Exergia Hyperlink"/>
    <w:uiPriority w:val="99"/>
    <w:rsid w:val="00184B62"/>
    <w:rPr>
      <w:color w:val="0000FF"/>
      <w:u w:val="single"/>
    </w:rPr>
  </w:style>
  <w:style w:type="numbering" w:customStyle="1" w:styleId="NoList1">
    <w:name w:val="No List1"/>
    <w:next w:val="NoList"/>
    <w:uiPriority w:val="99"/>
    <w:semiHidden/>
    <w:unhideWhenUsed/>
    <w:rsid w:val="0031593F"/>
  </w:style>
  <w:style w:type="character" w:customStyle="1" w:styleId="FollowedHyperlink1">
    <w:name w:val="FollowedHyperlink1"/>
    <w:basedOn w:val="DefaultParagraphFont"/>
    <w:uiPriority w:val="99"/>
    <w:semiHidden/>
    <w:unhideWhenUsed/>
    <w:rsid w:val="0031593F"/>
    <w:rPr>
      <w:color w:val="954F72"/>
      <w:u w:val="single"/>
    </w:rPr>
  </w:style>
  <w:style w:type="character" w:customStyle="1" w:styleId="st">
    <w:name w:val="st"/>
    <w:basedOn w:val="DefaultParagraphFont"/>
    <w:uiPriority w:val="99"/>
    <w:rsid w:val="0031593F"/>
  </w:style>
  <w:style w:type="character" w:styleId="Emphasis">
    <w:name w:val="Emphasis"/>
    <w:basedOn w:val="DefaultParagraphFont"/>
    <w:uiPriority w:val="99"/>
    <w:qFormat/>
    <w:rsid w:val="0031593F"/>
    <w:rPr>
      <w:i/>
      <w:iCs/>
    </w:rPr>
  </w:style>
  <w:style w:type="character" w:styleId="FollowedHyperlink">
    <w:name w:val="FollowedHyperlink"/>
    <w:basedOn w:val="DefaultParagraphFont"/>
    <w:uiPriority w:val="99"/>
    <w:semiHidden/>
    <w:unhideWhenUsed/>
    <w:rsid w:val="0031593F"/>
    <w:rPr>
      <w:color w:val="800080" w:themeColor="followedHyperlink"/>
      <w:u w:val="single"/>
    </w:rPr>
  </w:style>
  <w:style w:type="character" w:customStyle="1" w:styleId="Heading1Char">
    <w:name w:val="Heading 1 Char"/>
    <w:basedOn w:val="DefaultParagraphFont"/>
    <w:link w:val="Heading1"/>
    <w:uiPriority w:val="99"/>
    <w:rsid w:val="004760C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99"/>
    <w:unhideWhenUsed/>
    <w:qFormat/>
    <w:rsid w:val="004760C9"/>
    <w:pPr>
      <w:outlineLvl w:val="9"/>
    </w:pPr>
    <w:rPr>
      <w:lang w:val="en-US" w:eastAsia="ja-JP"/>
    </w:rPr>
  </w:style>
  <w:style w:type="paragraph" w:styleId="TOC1">
    <w:name w:val="toc 1"/>
    <w:basedOn w:val="Normal"/>
    <w:next w:val="Normal"/>
    <w:autoRedefine/>
    <w:uiPriority w:val="39"/>
    <w:unhideWhenUsed/>
    <w:rsid w:val="004760C9"/>
    <w:pPr>
      <w:spacing w:after="100"/>
    </w:pPr>
  </w:style>
  <w:style w:type="paragraph" w:styleId="TOC2">
    <w:name w:val="toc 2"/>
    <w:basedOn w:val="Normal"/>
    <w:next w:val="Normal"/>
    <w:autoRedefine/>
    <w:uiPriority w:val="39"/>
    <w:unhideWhenUsed/>
    <w:rsid w:val="004760C9"/>
    <w:pPr>
      <w:spacing w:after="100"/>
      <w:ind w:left="220"/>
    </w:pPr>
  </w:style>
  <w:style w:type="paragraph" w:styleId="BalloonText">
    <w:name w:val="Balloon Text"/>
    <w:basedOn w:val="Normal"/>
    <w:link w:val="BalloonTextChar"/>
    <w:uiPriority w:val="99"/>
    <w:semiHidden/>
    <w:unhideWhenUsed/>
    <w:rsid w:val="00476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0C9"/>
    <w:rPr>
      <w:rFonts w:ascii="Tahoma" w:eastAsia="Times New Roman" w:hAnsi="Tahoma" w:cs="Tahoma"/>
      <w:sz w:val="16"/>
      <w:szCs w:val="16"/>
    </w:rPr>
  </w:style>
  <w:style w:type="paragraph" w:styleId="NormalWeb">
    <w:name w:val="Normal (Web)"/>
    <w:basedOn w:val="Normal"/>
    <w:uiPriority w:val="99"/>
    <w:rsid w:val="00BF7AC4"/>
    <w:pPr>
      <w:spacing w:before="100" w:beforeAutospacing="1" w:after="119" w:line="240" w:lineRule="auto"/>
    </w:pPr>
    <w:rPr>
      <w:rFonts w:ascii="Times New Roman" w:hAnsi="Times New Roman"/>
      <w:sz w:val="24"/>
      <w:szCs w:val="24"/>
      <w:lang w:eastAsia="bg-BG"/>
    </w:rPr>
  </w:style>
  <w:style w:type="paragraph" w:customStyle="1" w:styleId="Heading21">
    <w:name w:val="Heading 21"/>
    <w:basedOn w:val="Normal"/>
    <w:next w:val="Normal"/>
    <w:uiPriority w:val="99"/>
    <w:unhideWhenUsed/>
    <w:qFormat/>
    <w:rsid w:val="00BF7AC4"/>
    <w:pPr>
      <w:keepNext/>
      <w:keepLines/>
      <w:spacing w:before="40" w:after="0" w:line="259" w:lineRule="auto"/>
      <w:outlineLvl w:val="1"/>
    </w:pPr>
    <w:rPr>
      <w:rFonts w:ascii="Calibri Light" w:hAnsi="Calibri Light"/>
      <w:color w:val="2E74B5"/>
      <w:sz w:val="26"/>
      <w:szCs w:val="26"/>
      <w:lang w:val="en-US"/>
    </w:rPr>
  </w:style>
  <w:style w:type="numbering" w:customStyle="1" w:styleId="NoList2">
    <w:name w:val="No List2"/>
    <w:next w:val="NoList"/>
    <w:uiPriority w:val="99"/>
    <w:semiHidden/>
    <w:unhideWhenUsed/>
    <w:rsid w:val="00BF7AC4"/>
  </w:style>
  <w:style w:type="character" w:customStyle="1" w:styleId="Heading2Char">
    <w:name w:val="Heading 2 Char"/>
    <w:basedOn w:val="DefaultParagraphFont"/>
    <w:link w:val="Heading2"/>
    <w:uiPriority w:val="99"/>
    <w:rsid w:val="00BF7AC4"/>
    <w:rPr>
      <w:rFonts w:ascii="Calibri Light" w:eastAsia="Times New Roman" w:hAnsi="Calibri Light" w:cs="Times New Roman"/>
      <w:color w:val="2E74B5"/>
      <w:sz w:val="26"/>
      <w:szCs w:val="26"/>
    </w:rPr>
  </w:style>
  <w:style w:type="paragraph" w:customStyle="1" w:styleId="1">
    <w:name w:val="Знак Знак Знак1"/>
    <w:basedOn w:val="Normal"/>
    <w:uiPriority w:val="99"/>
    <w:rsid w:val="00BF7AC4"/>
    <w:pPr>
      <w:tabs>
        <w:tab w:val="left" w:pos="709"/>
      </w:tabs>
      <w:spacing w:after="0" w:line="240" w:lineRule="auto"/>
    </w:pPr>
    <w:rPr>
      <w:rFonts w:ascii="Tahoma" w:hAnsi="Tahoma"/>
      <w:sz w:val="24"/>
      <w:szCs w:val="24"/>
      <w:lang w:val="pl-PL" w:eastAsia="pl-PL"/>
    </w:rPr>
  </w:style>
  <w:style w:type="numbering" w:customStyle="1" w:styleId="NoList11">
    <w:name w:val="No List11"/>
    <w:next w:val="NoList"/>
    <w:uiPriority w:val="99"/>
    <w:semiHidden/>
    <w:unhideWhenUsed/>
    <w:rsid w:val="00BF7AC4"/>
  </w:style>
  <w:style w:type="paragraph" w:styleId="NoSpacing">
    <w:name w:val="No Spacing"/>
    <w:uiPriority w:val="99"/>
    <w:qFormat/>
    <w:rsid w:val="00BF7AC4"/>
    <w:pPr>
      <w:spacing w:after="0" w:line="240" w:lineRule="auto"/>
    </w:pPr>
    <w:rPr>
      <w:lang w:val="en-US"/>
    </w:rPr>
  </w:style>
  <w:style w:type="character" w:styleId="CommentReference">
    <w:name w:val="annotation reference"/>
    <w:basedOn w:val="DefaultParagraphFont"/>
    <w:uiPriority w:val="99"/>
    <w:semiHidden/>
    <w:unhideWhenUsed/>
    <w:rsid w:val="00BF7AC4"/>
    <w:rPr>
      <w:sz w:val="16"/>
      <w:szCs w:val="16"/>
    </w:rPr>
  </w:style>
  <w:style w:type="paragraph" w:styleId="CommentText">
    <w:name w:val="annotation text"/>
    <w:basedOn w:val="Normal"/>
    <w:link w:val="CommentTextChar"/>
    <w:uiPriority w:val="99"/>
    <w:semiHidden/>
    <w:unhideWhenUsed/>
    <w:rsid w:val="00BF7AC4"/>
    <w:pPr>
      <w:spacing w:after="160" w:line="240" w:lineRule="auto"/>
    </w:pPr>
    <w:rPr>
      <w:rFonts w:eastAsia="Calibri"/>
      <w:sz w:val="20"/>
      <w:szCs w:val="20"/>
      <w:lang w:val="en-US"/>
    </w:rPr>
  </w:style>
  <w:style w:type="character" w:customStyle="1" w:styleId="CommentTextChar">
    <w:name w:val="Comment Text Char"/>
    <w:basedOn w:val="DefaultParagraphFont"/>
    <w:link w:val="CommentText"/>
    <w:uiPriority w:val="99"/>
    <w:semiHidden/>
    <w:rsid w:val="00BF7AC4"/>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F7AC4"/>
    <w:rPr>
      <w:b/>
      <w:bCs/>
    </w:rPr>
  </w:style>
  <w:style w:type="character" w:customStyle="1" w:styleId="CommentSubjectChar">
    <w:name w:val="Comment Subject Char"/>
    <w:basedOn w:val="CommentTextChar"/>
    <w:link w:val="CommentSubject"/>
    <w:uiPriority w:val="99"/>
    <w:semiHidden/>
    <w:rsid w:val="00BF7AC4"/>
    <w:rPr>
      <w:rFonts w:ascii="Calibri" w:eastAsia="Calibri" w:hAnsi="Calibri" w:cs="Times New Roman"/>
      <w:b/>
      <w:bCs/>
      <w:sz w:val="20"/>
      <w:szCs w:val="20"/>
      <w:lang w:val="en-US"/>
    </w:rPr>
  </w:style>
  <w:style w:type="paragraph" w:customStyle="1" w:styleId="TOC31">
    <w:name w:val="TOC 31"/>
    <w:basedOn w:val="Normal"/>
    <w:next w:val="Normal"/>
    <w:autoRedefine/>
    <w:uiPriority w:val="99"/>
    <w:unhideWhenUsed/>
    <w:rsid w:val="00BF7AC4"/>
    <w:pPr>
      <w:spacing w:after="100" w:line="259" w:lineRule="auto"/>
      <w:ind w:left="440"/>
    </w:pPr>
    <w:rPr>
      <w:lang w:val="en-US"/>
    </w:rPr>
  </w:style>
  <w:style w:type="paragraph" w:customStyle="1" w:styleId="TOC41">
    <w:name w:val="TOC 41"/>
    <w:basedOn w:val="Normal"/>
    <w:next w:val="Normal"/>
    <w:autoRedefine/>
    <w:uiPriority w:val="99"/>
    <w:unhideWhenUsed/>
    <w:rsid w:val="00BF7AC4"/>
    <w:pPr>
      <w:spacing w:after="100" w:line="259" w:lineRule="auto"/>
      <w:ind w:left="660"/>
    </w:pPr>
    <w:rPr>
      <w:lang w:val="en-US"/>
    </w:rPr>
  </w:style>
  <w:style w:type="paragraph" w:customStyle="1" w:styleId="TOC51">
    <w:name w:val="TOC 51"/>
    <w:basedOn w:val="Normal"/>
    <w:next w:val="Normal"/>
    <w:autoRedefine/>
    <w:uiPriority w:val="99"/>
    <w:unhideWhenUsed/>
    <w:rsid w:val="00BF7AC4"/>
    <w:pPr>
      <w:spacing w:after="100" w:line="259" w:lineRule="auto"/>
      <w:ind w:left="880"/>
    </w:pPr>
    <w:rPr>
      <w:lang w:val="en-US"/>
    </w:rPr>
  </w:style>
  <w:style w:type="paragraph" w:customStyle="1" w:styleId="TOC61">
    <w:name w:val="TOC 61"/>
    <w:basedOn w:val="Normal"/>
    <w:next w:val="Normal"/>
    <w:autoRedefine/>
    <w:uiPriority w:val="99"/>
    <w:unhideWhenUsed/>
    <w:rsid w:val="00BF7AC4"/>
    <w:pPr>
      <w:spacing w:after="100" w:line="259" w:lineRule="auto"/>
      <w:ind w:left="1100"/>
    </w:pPr>
    <w:rPr>
      <w:lang w:val="en-US"/>
    </w:rPr>
  </w:style>
  <w:style w:type="paragraph" w:customStyle="1" w:styleId="TOC71">
    <w:name w:val="TOC 71"/>
    <w:basedOn w:val="Normal"/>
    <w:next w:val="Normal"/>
    <w:autoRedefine/>
    <w:uiPriority w:val="99"/>
    <w:unhideWhenUsed/>
    <w:rsid w:val="00BF7AC4"/>
    <w:pPr>
      <w:spacing w:after="100" w:line="259" w:lineRule="auto"/>
      <w:ind w:left="1320"/>
    </w:pPr>
    <w:rPr>
      <w:lang w:val="en-US"/>
    </w:rPr>
  </w:style>
  <w:style w:type="paragraph" w:customStyle="1" w:styleId="TOC81">
    <w:name w:val="TOC 81"/>
    <w:basedOn w:val="Normal"/>
    <w:next w:val="Normal"/>
    <w:autoRedefine/>
    <w:uiPriority w:val="99"/>
    <w:unhideWhenUsed/>
    <w:rsid w:val="00BF7AC4"/>
    <w:pPr>
      <w:spacing w:after="100" w:line="259" w:lineRule="auto"/>
      <w:ind w:left="1540"/>
    </w:pPr>
    <w:rPr>
      <w:lang w:val="en-US"/>
    </w:rPr>
  </w:style>
  <w:style w:type="paragraph" w:customStyle="1" w:styleId="TOC91">
    <w:name w:val="TOC 91"/>
    <w:basedOn w:val="Normal"/>
    <w:next w:val="Normal"/>
    <w:autoRedefine/>
    <w:uiPriority w:val="99"/>
    <w:unhideWhenUsed/>
    <w:rsid w:val="00BF7AC4"/>
    <w:pPr>
      <w:spacing w:after="100" w:line="259" w:lineRule="auto"/>
      <w:ind w:left="1760"/>
    </w:pPr>
    <w:rPr>
      <w:lang w:val="en-US"/>
    </w:rPr>
  </w:style>
  <w:style w:type="numbering" w:customStyle="1" w:styleId="NoList21">
    <w:name w:val="No List21"/>
    <w:next w:val="NoList"/>
    <w:uiPriority w:val="99"/>
    <w:semiHidden/>
    <w:unhideWhenUsed/>
    <w:rsid w:val="00BF7AC4"/>
  </w:style>
  <w:style w:type="character" w:customStyle="1" w:styleId="Heading2Char1">
    <w:name w:val="Heading 2 Char1"/>
    <w:basedOn w:val="DefaultParagraphFont"/>
    <w:uiPriority w:val="99"/>
    <w:semiHidden/>
    <w:rsid w:val="00BF7AC4"/>
    <w:rPr>
      <w:rFonts w:asciiTheme="majorHAnsi" w:eastAsiaTheme="majorEastAsia" w:hAnsiTheme="majorHAnsi" w:cstheme="majorBidi"/>
      <w:b/>
      <w:bCs/>
      <w:color w:val="4F81BD" w:themeColor="accent1"/>
      <w:sz w:val="26"/>
      <w:szCs w:val="26"/>
    </w:rPr>
  </w:style>
  <w:style w:type="paragraph" w:styleId="TOC3">
    <w:name w:val="toc 3"/>
    <w:basedOn w:val="Normal"/>
    <w:next w:val="Normal"/>
    <w:autoRedefine/>
    <w:uiPriority w:val="39"/>
    <w:unhideWhenUsed/>
    <w:rsid w:val="006A5D1E"/>
    <w:pPr>
      <w:spacing w:after="100"/>
      <w:ind w:left="440"/>
    </w:pPr>
    <w:rPr>
      <w:rFonts w:asciiTheme="minorHAnsi" w:eastAsiaTheme="minorEastAsia" w:hAnsiTheme="minorHAnsi" w:cstheme="minorBidi"/>
      <w:lang w:eastAsia="bg-BG"/>
    </w:rPr>
  </w:style>
  <w:style w:type="paragraph" w:styleId="TOC4">
    <w:name w:val="toc 4"/>
    <w:basedOn w:val="Normal"/>
    <w:next w:val="Normal"/>
    <w:autoRedefine/>
    <w:uiPriority w:val="39"/>
    <w:unhideWhenUsed/>
    <w:rsid w:val="006A5D1E"/>
    <w:pPr>
      <w:spacing w:after="100"/>
      <w:ind w:left="660"/>
    </w:pPr>
    <w:rPr>
      <w:rFonts w:asciiTheme="minorHAnsi" w:eastAsiaTheme="minorEastAsia" w:hAnsiTheme="minorHAnsi" w:cstheme="minorBidi"/>
      <w:lang w:eastAsia="bg-BG"/>
    </w:rPr>
  </w:style>
  <w:style w:type="paragraph" w:styleId="TOC5">
    <w:name w:val="toc 5"/>
    <w:basedOn w:val="Normal"/>
    <w:next w:val="Normal"/>
    <w:autoRedefine/>
    <w:uiPriority w:val="39"/>
    <w:unhideWhenUsed/>
    <w:rsid w:val="006A5D1E"/>
    <w:pPr>
      <w:spacing w:after="100"/>
      <w:ind w:left="880"/>
    </w:pPr>
    <w:rPr>
      <w:rFonts w:asciiTheme="minorHAnsi" w:eastAsiaTheme="minorEastAsia" w:hAnsiTheme="minorHAnsi" w:cstheme="minorBidi"/>
      <w:lang w:eastAsia="bg-BG"/>
    </w:rPr>
  </w:style>
  <w:style w:type="paragraph" w:styleId="TOC6">
    <w:name w:val="toc 6"/>
    <w:basedOn w:val="Normal"/>
    <w:next w:val="Normal"/>
    <w:autoRedefine/>
    <w:uiPriority w:val="39"/>
    <w:unhideWhenUsed/>
    <w:rsid w:val="006A5D1E"/>
    <w:pPr>
      <w:spacing w:after="100"/>
      <w:ind w:left="1100"/>
    </w:pPr>
    <w:rPr>
      <w:rFonts w:asciiTheme="minorHAnsi" w:eastAsiaTheme="minorEastAsia" w:hAnsiTheme="minorHAnsi" w:cstheme="minorBidi"/>
      <w:lang w:eastAsia="bg-BG"/>
    </w:rPr>
  </w:style>
  <w:style w:type="paragraph" w:styleId="TOC7">
    <w:name w:val="toc 7"/>
    <w:basedOn w:val="Normal"/>
    <w:next w:val="Normal"/>
    <w:autoRedefine/>
    <w:uiPriority w:val="39"/>
    <w:unhideWhenUsed/>
    <w:rsid w:val="006A5D1E"/>
    <w:pPr>
      <w:spacing w:after="100"/>
      <w:ind w:left="1320"/>
    </w:pPr>
    <w:rPr>
      <w:rFonts w:asciiTheme="minorHAnsi" w:eastAsiaTheme="minorEastAsia" w:hAnsiTheme="minorHAnsi" w:cstheme="minorBidi"/>
      <w:lang w:eastAsia="bg-BG"/>
    </w:rPr>
  </w:style>
  <w:style w:type="paragraph" w:styleId="TOC8">
    <w:name w:val="toc 8"/>
    <w:basedOn w:val="Normal"/>
    <w:next w:val="Normal"/>
    <w:autoRedefine/>
    <w:uiPriority w:val="39"/>
    <w:unhideWhenUsed/>
    <w:rsid w:val="006A5D1E"/>
    <w:pPr>
      <w:spacing w:after="100"/>
      <w:ind w:left="1540"/>
    </w:pPr>
    <w:rPr>
      <w:rFonts w:asciiTheme="minorHAnsi" w:eastAsiaTheme="minorEastAsia" w:hAnsiTheme="minorHAnsi" w:cstheme="minorBidi"/>
      <w:lang w:eastAsia="bg-BG"/>
    </w:rPr>
  </w:style>
  <w:style w:type="paragraph" w:styleId="TOC9">
    <w:name w:val="toc 9"/>
    <w:basedOn w:val="Normal"/>
    <w:next w:val="Normal"/>
    <w:autoRedefine/>
    <w:uiPriority w:val="39"/>
    <w:unhideWhenUsed/>
    <w:rsid w:val="006A5D1E"/>
    <w:pPr>
      <w:spacing w:after="100"/>
      <w:ind w:left="1760"/>
    </w:pPr>
    <w:rPr>
      <w:rFonts w:asciiTheme="minorHAnsi" w:eastAsiaTheme="minorEastAsia" w:hAnsiTheme="minorHAnsi" w:cstheme="minorBidi"/>
      <w:lang w:eastAsia="bg-BG"/>
    </w:rPr>
  </w:style>
  <w:style w:type="numbering" w:customStyle="1" w:styleId="NoList3">
    <w:name w:val="No List3"/>
    <w:next w:val="NoList"/>
    <w:uiPriority w:val="99"/>
    <w:semiHidden/>
    <w:unhideWhenUsed/>
    <w:rsid w:val="00A8783E"/>
  </w:style>
  <w:style w:type="table" w:customStyle="1" w:styleId="TableGrid2">
    <w:name w:val="Table Grid2"/>
    <w:basedOn w:val="TableNormal"/>
    <w:next w:val="TableGrid"/>
    <w:uiPriority w:val="99"/>
    <w:rsid w:val="00A8783E"/>
    <w:pPr>
      <w:spacing w:after="0" w:line="240" w:lineRule="auto"/>
    </w:pPr>
    <w:rPr>
      <w:rFonts w:ascii="Calibri" w:eastAsia="Calibri"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A8783E"/>
    <w:pPr>
      <w:spacing w:after="0" w:line="240" w:lineRule="auto"/>
    </w:pPr>
    <w:rPr>
      <w:rFonts w:ascii="Calibri" w:eastAsia="Calibri" w:hAnsi="Calibri" w:cs="Times New Roman"/>
      <w:sz w:val="24"/>
      <w:szCs w:val="24"/>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d-dunav.org/uploads/content/files/upravlenie-na-vodite/PURB-2016-2021-final/Razdel-1/prilojenia_R1/Pril_1244.pdf" TargetMode="External"/><Relationship Id="rId21" Type="http://schemas.openxmlformats.org/officeDocument/2006/relationships/hyperlink" Target="http://www.procurement.iag.bg:8080/cgi-bin/lup.cgi" TargetMode="External"/><Relationship Id="rId42" Type="http://schemas.openxmlformats.org/officeDocument/2006/relationships/hyperlink" Target="https://nature-art17.eionet.europa.eu/article17/species/report/?period=5&amp;group=Molluscs&amp;country=BG&amp;region=" TargetMode="External"/><Relationship Id="rId63" Type="http://schemas.openxmlformats.org/officeDocument/2006/relationships/hyperlink" Target="https://www.eea.europa.eu/data-and-maps/explore-interactive-maps/water-framework-directive-quality-elements?utm_source=EEASubscriptions&amp;utm_medium=RSSFeeds&amp;utm_campaign=Generic" TargetMode="External"/><Relationship Id="rId84" Type="http://schemas.openxmlformats.org/officeDocument/2006/relationships/hyperlink" Target="http://natura2000.moew.government.bg/" TargetMode="External"/><Relationship Id="rId138" Type="http://schemas.openxmlformats.org/officeDocument/2006/relationships/hyperlink" Target="https://nature-art17.eionet.europa.eu/article17/species/report/" TargetMode="External"/><Relationship Id="rId159" Type="http://schemas.openxmlformats.org/officeDocument/2006/relationships/hyperlink" Target="http://natura2000.moew.government.bg/Home/ProtectedSite?code=BG0000334&amp;siteType=HabitatDirective" TargetMode="External"/><Relationship Id="rId170" Type="http://schemas.openxmlformats.org/officeDocument/2006/relationships/hyperlink" Target="https://www.iucnredlist.org" TargetMode="External"/><Relationship Id="rId191" Type="http://schemas.openxmlformats.org/officeDocument/2006/relationships/hyperlink" Target="http://registers.moew.government.bg/ovos/" TargetMode="External"/><Relationship Id="rId205" Type="http://schemas.openxmlformats.org/officeDocument/2006/relationships/hyperlink" Target="https://doi.org/10.1111/j.1469-7998.1999.tb01042.x" TargetMode="External"/><Relationship Id="rId107" Type="http://schemas.openxmlformats.org/officeDocument/2006/relationships/hyperlink" Target="http://e-ecodb.bas.bg/rdb/bg/vol2/" TargetMode="External"/><Relationship Id="rId11" Type="http://schemas.openxmlformats.org/officeDocument/2006/relationships/hyperlink" Target="http://natura2000.moew.government.bg/Home/Natura2000ProtectedSites.%20&#1055;&#1086;&#1089;&#1083;&#1077;&#1076;&#1085;&#1086;%20&#1087;&#1086;&#1089;&#1077;&#1090;&#1077;&#1085;%20&#1085;&#1072;%2015.10.2021" TargetMode="External"/><Relationship Id="rId32" Type="http://schemas.openxmlformats.org/officeDocument/2006/relationships/hyperlink" Target="http://e-ecodb.bas.bg/rdb/bg/vol3/" TargetMode="External"/><Relationship Id="rId53" Type="http://schemas.openxmlformats.org/officeDocument/2006/relationships/hyperlink" Target="http://www.bd-dunav.org/uploads/content/files/upravlenie-na-vodite/PURB-2016-2021-final/Razdel-1/prilojenia_R1/Pril_1244.pdf" TargetMode="External"/><Relationship Id="rId74" Type="http://schemas.openxmlformats.org/officeDocument/2006/relationships/hyperlink" Target="http://registers.moew.government.bg/eo" TargetMode="External"/><Relationship Id="rId128" Type="http://schemas.openxmlformats.org/officeDocument/2006/relationships/hyperlink" Target="http://registers.moew.government.bg/eo" TargetMode="External"/><Relationship Id="rId149" Type="http://schemas.openxmlformats.org/officeDocument/2006/relationships/hyperlink" Target="http://www.bd-dunav.org/uploads/content/files/upravlenie-na-vodite/PURB-2016-2021-final/Razdel-1/prilojenia_R1/Pril_1244.pdf" TargetMode="External"/><Relationship Id="rId5" Type="http://schemas.openxmlformats.org/officeDocument/2006/relationships/settings" Target="settings.xml"/><Relationship Id="rId95" Type="http://schemas.openxmlformats.org/officeDocument/2006/relationships/hyperlink" Target="http://eea.government.bg/bg/bio/opos/activities-results/ribi" TargetMode="External"/><Relationship Id="rId160" Type="http://schemas.openxmlformats.org/officeDocument/2006/relationships/hyperlink" Target="https://www.iucnredlist.org" TargetMode="External"/><Relationship Id="rId181" Type="http://schemas.openxmlformats.org/officeDocument/2006/relationships/hyperlink" Target="http://registers.moew.government.bg/ovos/" TargetMode="External"/><Relationship Id="rId216" Type="http://schemas.openxmlformats.org/officeDocument/2006/relationships/hyperlink" Target="http://www.bd-dunav.org/uploads/content/files/upravlenie-na-vodite/ocenka-na-sustoianieto/povurhnostni-vodi/%D0%90%D0%BD%D0%B0%D0%BB%D0%B8%D0%B7%20%D0%BF%D0%BE%D0%B2%D1%8A%D1%80%D1%85%D0%BD%D0%BE%D1%81%D1%82%D0%BD%D0%B8%20%D0%B2%D0%BE%D0%B4%D0%B8%20%D0%B7%D0%B0%202017-2018.pdf" TargetMode="External"/><Relationship Id="rId211" Type="http://schemas.openxmlformats.org/officeDocument/2006/relationships/hyperlink" Target="https://observation.org" TargetMode="External"/><Relationship Id="rId22" Type="http://schemas.openxmlformats.org/officeDocument/2006/relationships/hyperlink" Target="https://eur-lex.europa.eu/legal-content/BG/TXT/?uri=CELEX:32011D0484" TargetMode="External"/><Relationship Id="rId27" Type="http://schemas.openxmlformats.org/officeDocument/2006/relationships/hyperlink" Target="https://ec.europa.eu/environment/nature/knowledge/rep_habitats/index_en.htm" TargetMode="External"/><Relationship Id="rId43" Type="http://schemas.openxmlformats.org/officeDocument/2006/relationships/hyperlink" Target="http://www.animalbase.uni-goettingen.de" TargetMode="External"/><Relationship Id="rId48" Type="http://schemas.openxmlformats.org/officeDocument/2006/relationships/hyperlink" Target="https://nature-art17.eionet.europa.eu/article17/species/report/?period=5&amp;group=Molluscs&amp;country=BG&amp;region=" TargetMode="External"/><Relationship Id="rId64" Type="http://schemas.openxmlformats.org/officeDocument/2006/relationships/hyperlink" Target="https://www.iucnredlist.org" TargetMode="External"/><Relationship Id="rId69" Type="http://schemas.openxmlformats.org/officeDocument/2006/relationships/hyperlink" Target="http://natura2000.moew.government.bg/PublicDownloads/Auto/PS_SCI/BG0000530/BG0000530_PS_16.pdf" TargetMode="External"/><Relationship Id="rId113" Type="http://schemas.openxmlformats.org/officeDocument/2006/relationships/hyperlink" Target="https://fishbase.mnhn.fr/search.php" TargetMode="External"/><Relationship Id="rId118" Type="http://schemas.openxmlformats.org/officeDocument/2006/relationships/hyperlink" Target="https://www.eea.europa.eu/data-and-maps/explore-interactive-maps/water-framework-directive-quality-elements?utm_source=EEASubscriptions&amp;utm_medium=RSSFeeds&amp;utm_campaign=Generic" TargetMode="External"/><Relationship Id="rId134" Type="http://schemas.openxmlformats.org/officeDocument/2006/relationships/hyperlink" Target="http://registers.moew.government.bg/eo" TargetMode="External"/><Relationship Id="rId139" Type="http://schemas.openxmlformats.org/officeDocument/2006/relationships/hyperlink" Target="http://natura2000.moew.government.bg/PublicDownloads/Auto/PS_SCI/BG0000530/BG0000530_PS_16.pdf" TargetMode="External"/><Relationship Id="rId80" Type="http://schemas.openxmlformats.org/officeDocument/2006/relationships/hyperlink" Target="http://www.bd-dunav.org/uploads/content/files/upravlenie-na-vodite/PURB-2016-2021-final/Razdel-1/prilojenia_R1/Pril_1244.pdf" TargetMode="External"/><Relationship Id="rId85" Type="http://schemas.openxmlformats.org/officeDocument/2006/relationships/hyperlink" Target="http://natura2000.moew.government.bg/Home/Reports?reportType=Fishes" TargetMode="External"/><Relationship Id="rId150" Type="http://schemas.openxmlformats.org/officeDocument/2006/relationships/hyperlink" Target="https://www.eea.europa.eu/data-and-maps/explore-interactive-maps/water-framework-directive-quality-elements?utm_source=EEASubscriptions&amp;utm_medium=RSSFeeds&amp;utm_campaign=Generic" TargetMode="External"/><Relationship Id="rId155" Type="http://schemas.openxmlformats.org/officeDocument/2006/relationships/hyperlink" Target="https://ec.europa.eu/environment/nature/natura2000/management/docs/art6/BG_art_6_guide_jun_2019.pdf" TargetMode="External"/><Relationship Id="rId171" Type="http://schemas.openxmlformats.org/officeDocument/2006/relationships/hyperlink" Target="http://registers.moew.government.bg/eo" TargetMode="External"/><Relationship Id="rId176" Type="http://schemas.openxmlformats.org/officeDocument/2006/relationships/hyperlink" Target="http://eea.government.bg/bg/bio/nsmbr/praktichesko-rakovodstvo-metodiki-za-monitoring-i-otsenka/Podhod_Dunav.pdf" TargetMode="External"/><Relationship Id="rId192" Type="http://schemas.openxmlformats.org/officeDocument/2006/relationships/hyperlink" Target="http://e-ecodb.bas.bg/rdb/en/vol2/Lulutra.html" TargetMode="External"/><Relationship Id="rId197" Type="http://schemas.openxmlformats.org/officeDocument/2006/relationships/hyperlink" Target="https://www.researchgate.net/publication/237563495_Foraging_range_use_by_a_colony_of_greater_horseshoe_bats_Rhinolophus_ferrumequinum_in_the_Swiss_Alps_implications_for_landscape_planning" TargetMode="External"/><Relationship Id="rId206" Type="http://schemas.openxmlformats.org/officeDocument/2006/relationships/hyperlink" Target="http://eunis.eea.europa.eu/species-names-result.jsp?&amp;pageSize=10&amp;scientificName=Vormela+peregusna&amp;relationOp=2&amp;typeForm=0&amp;showGroup=true&amp;showOrder=true&amp;showFamily=true&amp;showScientificName=true&amp;showVernacularNames=true&amp;showValidName=true&amp;searchSynonyms=true&amp;sort=2&amp;ascendency=0" TargetMode="External"/><Relationship Id="rId201" Type="http://schemas.openxmlformats.org/officeDocument/2006/relationships/hyperlink" Target="https://eastdartmoorwoodsdotorg.files.wordpress.com/2017/06/bovey_valley_barbastelle_study_-final_oct_2016.pdf" TargetMode="External"/><Relationship Id="rId222" Type="http://schemas.openxmlformats.org/officeDocument/2006/relationships/footer" Target="footer1.xml"/><Relationship Id="rId12" Type="http://schemas.openxmlformats.org/officeDocument/2006/relationships/hyperlink" Target="https://cdr.eionet.europa.eu/bg/eu/n2000" TargetMode="External"/><Relationship Id="rId17" Type="http://schemas.openxmlformats.org/officeDocument/2006/relationships/hyperlink" Target="https://cdr.eionet.europa.eu/bg/eu/n2000" TargetMode="External"/><Relationship Id="rId33" Type="http://schemas.openxmlformats.org/officeDocument/2006/relationships/hyperlink" Target="http://natura2000.moew.government.bg/Home/Natura2000ProtectedSites" TargetMode="External"/><Relationship Id="rId38" Type="http://schemas.openxmlformats.org/officeDocument/2006/relationships/hyperlink" Target="http://www.animalbase.uni-goettingen.de/zooweb/servlet/AnimalBase/home/species?id=1878" TargetMode="External"/><Relationship Id="rId59" Type="http://schemas.openxmlformats.org/officeDocument/2006/relationships/hyperlink" Target="https://nature-art17.eionet.europa.eu/article17/species/report/" TargetMode="External"/><Relationship Id="rId103" Type="http://schemas.openxmlformats.org/officeDocument/2006/relationships/hyperlink" Target="http://natura2000.moew.government.bg/PublicDownloads/Auto/PS_SCI/BG0000529/BG0000529_PS_16.pdf" TargetMode="External"/><Relationship Id="rId108" Type="http://schemas.openxmlformats.org/officeDocument/2006/relationships/hyperlink" Target="http://eea.government.bg/bg/bio/opos/activities-results/ribi" TargetMode="External"/><Relationship Id="rId124" Type="http://schemas.openxmlformats.org/officeDocument/2006/relationships/hyperlink" Target="http://natura2000.moew.government.bg/Home/ProtectedSite?code=BG0000334&amp;siteType=HabitatDirective" TargetMode="External"/><Relationship Id="rId129" Type="http://schemas.openxmlformats.org/officeDocument/2006/relationships/hyperlink" Target="http://registers.moew.government.bg/ovos/" TargetMode="External"/><Relationship Id="rId54" Type="http://schemas.openxmlformats.org/officeDocument/2006/relationships/hyperlink" Target="https://www.eea.europa.eu/data-and-maps/explore-interactive-maps/water-framework-directive-quality-elements?utm_source=EEASubscriptions&amp;utm_medium=RSSFeeds&amp;utm_campaign=Generic" TargetMode="External"/><Relationship Id="rId70" Type="http://schemas.openxmlformats.org/officeDocument/2006/relationships/hyperlink" Target="http://eea.government.bg/bg/bio/nsmbr/praktichesko-rakovodstvo-metodiki-za-monitoring-i-otsenka/Podhod_Dunav_demersal_fish.pdf" TargetMode="External"/><Relationship Id="rId75" Type="http://schemas.openxmlformats.org/officeDocument/2006/relationships/hyperlink" Target="http://registers.moew.government.bg/ovos/" TargetMode="External"/><Relationship Id="rId91" Type="http://schemas.openxmlformats.org/officeDocument/2006/relationships/hyperlink" Target="http://eea.government.bg/bg/bio/nsmbr/praktichesko-rakovodstvo-metodiki-za-monitoring-i-otsenka/Podhod_Dunav_electrofishing.pdf" TargetMode="External"/><Relationship Id="rId96" Type="http://schemas.openxmlformats.org/officeDocument/2006/relationships/hyperlink" Target="http://natura2000.moew.government.bg/" TargetMode="External"/><Relationship Id="rId140" Type="http://schemas.openxmlformats.org/officeDocument/2006/relationships/hyperlink" Target="http://eea.government.bg/bg/bio/nsmbr/praktichesko-rakovodstvo-metodiki-za-monitoring-i-otsenka/ribi" TargetMode="External"/><Relationship Id="rId145" Type="http://schemas.openxmlformats.org/officeDocument/2006/relationships/hyperlink" Target="https://nature-art17.eionet.europa.eu/article17/species/report/" TargetMode="External"/><Relationship Id="rId161" Type="http://schemas.openxmlformats.org/officeDocument/2006/relationships/hyperlink" Target="http://registers.moew.government.bg/eo" TargetMode="External"/><Relationship Id="rId166" Type="http://schemas.openxmlformats.org/officeDocument/2006/relationships/hyperlink" Target="http://natura2000.moew.government.bg/Home/ProtectedSite?code=BG0000334&amp;siteType=HabitatDirective" TargetMode="External"/><Relationship Id="rId182" Type="http://schemas.openxmlformats.org/officeDocument/2006/relationships/hyperlink" Target="http://eea.government.bg/bg/bio/nsmbr/praktichesko-rakovodstvo-metodiki-za-monitoring-i-otsenka/Podhod_Dunav.pdf" TargetMode="External"/><Relationship Id="rId187" Type="http://schemas.openxmlformats.org/officeDocument/2006/relationships/hyperlink" Target="http://eea.government.bg/bg/bio/opos/activities-results/Lutralutra_MetodikazaMonitoring.pdf" TargetMode="External"/><Relationship Id="rId217" Type="http://schemas.openxmlformats.org/officeDocument/2006/relationships/hyperlink" Target="http://e-ecodb.bas.bg/rdb/bg/vol2/Brrufico.html"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facebook.com/groups/birdsinbulgaria/posts/10158540767679227" TargetMode="External"/><Relationship Id="rId23" Type="http://schemas.openxmlformats.org/officeDocument/2006/relationships/hyperlink" Target="https://ec.europa.eu/environment/nature/knowledge/rep_habitats/index_en.htm" TargetMode="External"/><Relationship Id="rId28" Type="http://schemas.openxmlformats.org/officeDocument/2006/relationships/hyperlink" Target="http://e-ecodb.bas.bg/rdb/bg/vol3/" TargetMode="External"/><Relationship Id="rId49" Type="http://schemas.openxmlformats.org/officeDocument/2006/relationships/hyperlink" Target="https://dx.doi.org/10.2305/IUCN.UK.2011-2.RLTS.T21726A9314252.en" TargetMode="External"/><Relationship Id="rId114" Type="http://schemas.openxmlformats.org/officeDocument/2006/relationships/hyperlink" Target="https://www.iucnredlist.org" TargetMode="External"/><Relationship Id="rId119" Type="http://schemas.openxmlformats.org/officeDocument/2006/relationships/hyperlink" Target="https://www.iucnredlist.org" TargetMode="External"/><Relationship Id="rId44" Type="http://schemas.openxmlformats.org/officeDocument/2006/relationships/hyperlink" Target="https://nature-art17.eionet.europa.eu/article17/species/report/?period=5&amp;group=Molluscs&amp;country=BG&amp;region=" TargetMode="External"/><Relationship Id="rId60" Type="http://schemas.openxmlformats.org/officeDocument/2006/relationships/hyperlink" Target="http://natura2000.moew.government.bg/Home/ProtectedSite?code=BG0000334&amp;siteType=HabitatDirective" TargetMode="External"/><Relationship Id="rId65" Type="http://schemas.openxmlformats.org/officeDocument/2006/relationships/hyperlink" Target="http://registers.moew.government.bg/eo" TargetMode="External"/><Relationship Id="rId81" Type="http://schemas.openxmlformats.org/officeDocument/2006/relationships/hyperlink" Target="https://www.eea.europa.eu/data-and-maps/explore-interactive-maps/water-framework-directive-quality-elements?utm_source=EEASubscriptions&amp;utm_medium=RSSFeeds&amp;utm_campaign=Generic" TargetMode="External"/><Relationship Id="rId86" Type="http://schemas.openxmlformats.org/officeDocument/2006/relationships/hyperlink" Target="https://ec.europa.eu/environment/nature/natura2000/management/docs/art6/BG_art_6_guide_jun_2019.pdf" TargetMode="External"/><Relationship Id="rId130" Type="http://schemas.openxmlformats.org/officeDocument/2006/relationships/hyperlink" Target="http://eea.government.bg/bg/bio/nsmbr/praktichesko-rakovodstvo-metodiki-za-monitoring-i-otsenka/Podhod_Dunav.pdf" TargetMode="External"/><Relationship Id="rId135" Type="http://schemas.openxmlformats.org/officeDocument/2006/relationships/hyperlink" Target="http://registers.moew.government.bg/ovos/" TargetMode="External"/><Relationship Id="rId151" Type="http://schemas.openxmlformats.org/officeDocument/2006/relationships/hyperlink" Target="http://e-ecodb.bas.bg/rdb/bg/vol2/" TargetMode="External"/><Relationship Id="rId156" Type="http://schemas.openxmlformats.org/officeDocument/2006/relationships/hyperlink" Target="https://fishbase.mnhn.fr/search.php" TargetMode="External"/><Relationship Id="rId177" Type="http://schemas.openxmlformats.org/officeDocument/2006/relationships/hyperlink" Target="http://www.bd-dunav.org/uploads/content/files/upravlenie-na-vodite/PURB-2016-2021-final/Razdel-1/prilojenia_R1/Pril_1244.pdf" TargetMode="External"/><Relationship Id="rId198" Type="http://schemas.openxmlformats.org/officeDocument/2006/relationships/hyperlink" Target="http://natura2000.moew.government.bg/PublicDownloads/Auto/PS_SCI/BG0000241/BG0000241_PS_136_2.zip" TargetMode="External"/><Relationship Id="rId172" Type="http://schemas.openxmlformats.org/officeDocument/2006/relationships/hyperlink" Target="http://registers.moew.government.bg/ovos/" TargetMode="External"/><Relationship Id="rId193" Type="http://schemas.openxmlformats.org/officeDocument/2006/relationships/hyperlink" Target="http://www.danubesurvey.org/jds4/publications/scientific-report" TargetMode="External"/><Relationship Id="rId202" Type="http://schemas.openxmlformats.org/officeDocument/2006/relationships/hyperlink" Target="https://www.cambridge.org/core/journals/journal-of-zoology" TargetMode="External"/><Relationship Id="rId207" Type="http://schemas.openxmlformats.org/officeDocument/2006/relationships/hyperlink" Target="http://natura2000.moew.government.bg/Home/Natura2000ProtectedSites" TargetMode="External"/><Relationship Id="rId223" Type="http://schemas.openxmlformats.org/officeDocument/2006/relationships/fontTable" Target="fontTable.xml"/><Relationship Id="rId13" Type="http://schemas.openxmlformats.org/officeDocument/2006/relationships/hyperlink" Target="https://ec.europa.eu/environment/nature/knowledge/rep_habitats/index_en.htm.%20Last%20visited%20on%2015.11.2021" TargetMode="External"/><Relationship Id="rId18" Type="http://schemas.openxmlformats.org/officeDocument/2006/relationships/hyperlink" Target="https://ec.europa.eu/environment/nature/knowledge/rep_habitats/index_en.htm.%20Last%20visited%20on%2015.10.2021" TargetMode="External"/><Relationship Id="rId39" Type="http://schemas.openxmlformats.org/officeDocument/2006/relationships/hyperlink" Target="https://nature-art17.eionet.europa.eu/article17/species/report/?period=5&amp;group=Molluscs&amp;country=BG&amp;region=" TargetMode="External"/><Relationship Id="rId109" Type="http://schemas.openxmlformats.org/officeDocument/2006/relationships/hyperlink" Target="http://natura2000.moew.government.bg/" TargetMode="External"/><Relationship Id="rId34" Type="http://schemas.openxmlformats.org/officeDocument/2006/relationships/hyperlink" Target="http://www.procurement.iag.bg:8080/cgi-bin/lup.cgi" TargetMode="External"/><Relationship Id="rId50" Type="http://schemas.openxmlformats.org/officeDocument/2006/relationships/hyperlink" Target="https://nature-art17.eionet.europa.eu/article17/species/report/" TargetMode="External"/><Relationship Id="rId55" Type="http://schemas.openxmlformats.org/officeDocument/2006/relationships/hyperlink" Target="https://www.iucnredlist.org" TargetMode="External"/><Relationship Id="rId76" Type="http://schemas.openxmlformats.org/officeDocument/2006/relationships/hyperlink" Target="https://nature-art17.eionet.europa.eu/article17/species/report/" TargetMode="External"/><Relationship Id="rId97" Type="http://schemas.openxmlformats.org/officeDocument/2006/relationships/hyperlink" Target="http://natura2000.moew.government.bg/Home/Reports?reportType=Fishes" TargetMode="External"/><Relationship Id="rId104" Type="http://schemas.openxmlformats.org/officeDocument/2006/relationships/hyperlink" Target="http://eea.government.bg/bg/bio/nsmbr/praktichesko-rakovodstvo-metodiki-za-monitoring-i-otsenka/Podhod_Dunav_electrofishing.pdf" TargetMode="External"/><Relationship Id="rId120" Type="http://schemas.openxmlformats.org/officeDocument/2006/relationships/hyperlink" Target="http://registers.moew.government.bg/eo" TargetMode="External"/><Relationship Id="rId125" Type="http://schemas.openxmlformats.org/officeDocument/2006/relationships/hyperlink" Target="http://www.bd-dunav.org/uploads/content/files/upravlenie-na-vodite/PURB-2016-2021-final/Razdel-1/prilojenia_R1/Pril_1244.pdf" TargetMode="External"/><Relationship Id="rId141" Type="http://schemas.openxmlformats.org/officeDocument/2006/relationships/hyperlink" Target="http://www.bd-dunav.org/uploads/content/files/upravlenie-na-vodite/PURB-2016-2021-final/Razdel-1/prilojenia_R1/Pril_1244.pdf" TargetMode="External"/><Relationship Id="rId146" Type="http://schemas.openxmlformats.org/officeDocument/2006/relationships/hyperlink" Target="http://natura2000.moew.government.bg/PublicDownloads/Auto/PS_SCI/BG0000530/BG0000530_PS_16.pdf" TargetMode="External"/><Relationship Id="rId167" Type="http://schemas.openxmlformats.org/officeDocument/2006/relationships/hyperlink" Target="http://eea.government.bg/bg/bio/nsmbr/praktichesko-rakovodstvo-metodiki-za-monitoring-i-otsenka/Podhod_Dunav.pdf" TargetMode="External"/><Relationship Id="rId188" Type="http://schemas.openxmlformats.org/officeDocument/2006/relationships/hyperlink" Target="http://natura2000.moew.government.bg/Home/Natura2000ProtectedSites" TargetMode="External"/><Relationship Id="rId7" Type="http://schemas.openxmlformats.org/officeDocument/2006/relationships/footnotes" Target="footnotes.xml"/><Relationship Id="rId71" Type="http://schemas.openxmlformats.org/officeDocument/2006/relationships/hyperlink" Target="http://eea.government.bg/bg/bio/nsmbr/praktichesko-rakovodstvo-metodiki-za-monitoring-i-otsenka/Podhod_Dunav_electrofishing.pdf" TargetMode="External"/><Relationship Id="rId92" Type="http://schemas.openxmlformats.org/officeDocument/2006/relationships/hyperlink" Target="http://www.bd-dunav.org/uploads/content/files/upravlenie-na-vodite/PURB-2016-2021-final/Razdel-1/prilojenia_R1/Pril_1244.pdf" TargetMode="External"/><Relationship Id="rId162" Type="http://schemas.openxmlformats.org/officeDocument/2006/relationships/hyperlink" Target="http://registers.moew.government.bg/ovos/" TargetMode="External"/><Relationship Id="rId183" Type="http://schemas.openxmlformats.org/officeDocument/2006/relationships/hyperlink" Target="https://nature-art17.eionet.europa.eu/article17/species/report/" TargetMode="External"/><Relationship Id="rId213" Type="http://schemas.openxmlformats.org/officeDocument/2006/relationships/hyperlink" Target="https://www.tandfonline.com/author/Jenkins%2C+R+K+B" TargetMode="External"/><Relationship Id="rId218" Type="http://schemas.openxmlformats.org/officeDocument/2006/relationships/hyperlink" Target="http://datazone.birdlife.org/species/factsheet/great-white-pelican-pelecanus-onocrotalus" TargetMode="External"/><Relationship Id="rId2" Type="http://schemas.openxmlformats.org/officeDocument/2006/relationships/numbering" Target="numbering.xml"/><Relationship Id="rId29" Type="http://schemas.openxmlformats.org/officeDocument/2006/relationships/hyperlink" Target="http://natura2000.moew.government.bg/Home/Natura2000ProtectedSites" TargetMode="External"/><Relationship Id="rId24" Type="http://schemas.openxmlformats.org/officeDocument/2006/relationships/hyperlink" Target="http://e-ecodb.bas.bg/rdb/bg/vol3/" TargetMode="External"/><Relationship Id="rId40" Type="http://schemas.openxmlformats.org/officeDocument/2006/relationships/hyperlink" Target="http://natura2000.moew.government.bg/Home/Reports?reportType=Invertebrates" TargetMode="External"/><Relationship Id="rId45" Type="http://schemas.openxmlformats.org/officeDocument/2006/relationships/hyperlink" Target="http://natura2000.moew.government.bg/Home/Reports" TargetMode="External"/><Relationship Id="rId66" Type="http://schemas.openxmlformats.org/officeDocument/2006/relationships/hyperlink" Target="http://registers.moew.government.bg/ovos/" TargetMode="External"/><Relationship Id="rId87" Type="http://schemas.openxmlformats.org/officeDocument/2006/relationships/hyperlink" Target="https://fishbase.mnhn.fr/search.php" TargetMode="External"/><Relationship Id="rId110" Type="http://schemas.openxmlformats.org/officeDocument/2006/relationships/hyperlink" Target="http://natura2000.moew.government.bg/Home/Reports?reportType=Fishes" TargetMode="External"/><Relationship Id="rId115" Type="http://schemas.openxmlformats.org/officeDocument/2006/relationships/hyperlink" Target="https://nature-art17.eionet.europa.eu/article17/species/report/" TargetMode="External"/><Relationship Id="rId131" Type="http://schemas.openxmlformats.org/officeDocument/2006/relationships/hyperlink" Target="https://nature-art17.eionet.europa.eu/article17/species/report/" TargetMode="External"/><Relationship Id="rId136" Type="http://schemas.openxmlformats.org/officeDocument/2006/relationships/hyperlink" Target="http://eea.government.bg/bg/bio/nsmbr/praktichesko-rakovodstvo-metodiki-za-monitoring-i-otsenka/Podhod_Misgurnus.pdf" TargetMode="External"/><Relationship Id="rId157" Type="http://schemas.openxmlformats.org/officeDocument/2006/relationships/hyperlink" Target="https://www.iucnredlist.org" TargetMode="External"/><Relationship Id="rId178" Type="http://schemas.openxmlformats.org/officeDocument/2006/relationships/hyperlink" Target="https://www.eea.europa.eu/data-and-maps/explore-interactive-maps/water-framework-directive-quality-elements?utm_source=EEASubscriptions&amp;utm_medium=RSSFeeds&amp;utm_campaign=Generic" TargetMode="External"/><Relationship Id="rId61" Type="http://schemas.openxmlformats.org/officeDocument/2006/relationships/hyperlink" Target="http://eea.government.bg/bg/bio/nsmbr/praktichesko-rakovodstvo-metodiki-za-monitoring-i-otsenka/Podhod_Dunav.pdf" TargetMode="External"/><Relationship Id="rId82" Type="http://schemas.openxmlformats.org/officeDocument/2006/relationships/hyperlink" Target="http://e-ecodb.bas.bg/rdb/bg/vol2/" TargetMode="External"/><Relationship Id="rId152" Type="http://schemas.openxmlformats.org/officeDocument/2006/relationships/hyperlink" Target="http://eea.government.bg/bg/bio/opos/activities-results/ribi" TargetMode="External"/><Relationship Id="rId173" Type="http://schemas.openxmlformats.org/officeDocument/2006/relationships/hyperlink" Target="http://eea.government.bg/bg/bio/nsmbr/praktichesko-rakovodstvo-metodiki-za-monitoring-i-otsenka/Podhod_Dunav.pdf" TargetMode="External"/><Relationship Id="rId194" Type="http://schemas.openxmlformats.org/officeDocument/2006/relationships/hyperlink" Target="http://natura2000.moew.government.bg/PublicDownloads/Auto/PS_SCI/BG0000241/BG0000241_PS_136_1.zip" TargetMode="External"/><Relationship Id="rId199" Type="http://schemas.openxmlformats.org/officeDocument/2006/relationships/hyperlink" Target="http://natura2000.moew.government.bg/PublicDownloads/Auto/PS_SCI/BG0000241/BG0000241_PS_136.zip" TargetMode="External"/><Relationship Id="rId203" Type="http://schemas.openxmlformats.org/officeDocument/2006/relationships/hyperlink" Target="https://www.cambridge.org/core/journals/journal-of-zoology/volume/682AC04CB5053237A2AC9F9C5409653E" TargetMode="External"/><Relationship Id="rId208" Type="http://schemas.openxmlformats.org/officeDocument/2006/relationships/hyperlink" Target="http://natura2000.moew.government.bg/Home/Reports?reportType=Mammals" TargetMode="External"/><Relationship Id="rId19" Type="http://schemas.openxmlformats.org/officeDocument/2006/relationships/hyperlink" Target="http://e-ecodb.bas.bg/rdb/bg/vol3/" TargetMode="External"/><Relationship Id="rId224" Type="http://schemas.openxmlformats.org/officeDocument/2006/relationships/theme" Target="theme/theme1.xml"/><Relationship Id="rId14" Type="http://schemas.openxmlformats.org/officeDocument/2006/relationships/hyperlink" Target="https://cdr.eionet.europa.eu/bg/eu/n2000" TargetMode="External"/><Relationship Id="rId30" Type="http://schemas.openxmlformats.org/officeDocument/2006/relationships/hyperlink" Target="http://www.procurement.iag.bg:8080/cgi-bin/lup.cgi" TargetMode="External"/><Relationship Id="rId35" Type="http://schemas.openxmlformats.org/officeDocument/2006/relationships/hyperlink" Target="https://ec.europa.eu/environment/nature/knowledge/rep_habitats/index_en.htm" TargetMode="External"/><Relationship Id="rId56" Type="http://schemas.openxmlformats.org/officeDocument/2006/relationships/hyperlink" Target="http://registers.moew.government.bg/eo" TargetMode="External"/><Relationship Id="rId77" Type="http://schemas.openxmlformats.org/officeDocument/2006/relationships/hyperlink" Target="http://natura2000.moew.government.bg/PublicDownloads/Auto/PS_SCI/BG0000530/BG0000530_PS_16.pdf" TargetMode="External"/><Relationship Id="rId100" Type="http://schemas.openxmlformats.org/officeDocument/2006/relationships/hyperlink" Target="https://fishbase.mnhn.fr/search.php" TargetMode="External"/><Relationship Id="rId105" Type="http://schemas.openxmlformats.org/officeDocument/2006/relationships/hyperlink" Target="http://www.bd-dunav.org/uploads/content/files/upravlenie-na-vodite/PURB-2016-2021-final/Razdel-1/prilojenia_R1/Pril_1244.pdf" TargetMode="External"/><Relationship Id="rId126" Type="http://schemas.openxmlformats.org/officeDocument/2006/relationships/hyperlink" Target="https://www.eea.europa.eu/data-and-maps/explore-interactive-maps/water-framework-directive-quality-elements?utm_source=EEASubscriptions&amp;utm_medium=RSSFeeds&amp;utm_campaign=Generic" TargetMode="External"/><Relationship Id="rId147" Type="http://schemas.openxmlformats.org/officeDocument/2006/relationships/hyperlink" Target="http://eea.government.bg/bg/bio/nsmbr/praktichesko-rakovodstvo-metodiki-za-monitoring-i-otsenka/Podhod_Dunav_demersal_fish.pdf" TargetMode="External"/><Relationship Id="rId168" Type="http://schemas.openxmlformats.org/officeDocument/2006/relationships/hyperlink" Target="http://www.bd-dunav.org/uploads/content/files/upravlenie-na-vodite/PURB-2016-2021-final/Razdel-1/prilojenia_R1/Pril_1244.pdf" TargetMode="External"/><Relationship Id="rId8" Type="http://schemas.openxmlformats.org/officeDocument/2006/relationships/endnotes" Target="endnotes.xml"/><Relationship Id="rId51" Type="http://schemas.openxmlformats.org/officeDocument/2006/relationships/hyperlink" Target="http://natura2000.moew.government.bg/Home/ProtectedSite?code=BG0000334&amp;siteType=HabitatDirective" TargetMode="External"/><Relationship Id="rId72" Type="http://schemas.openxmlformats.org/officeDocument/2006/relationships/hyperlink" Target="http://www.bd-dunav.org/uploads/content/files/upravlenie-na-vodite/PURB-2016-2021-final/Razdel-1/prilojenia_R1/Pril_1244.pdf" TargetMode="External"/><Relationship Id="rId93" Type="http://schemas.openxmlformats.org/officeDocument/2006/relationships/hyperlink" Target="https://www.eea.europa.eu/data-and-maps/explore-interactive-maps/water-framework-directive-quality-elements?utm_source=EEASubscriptions&amp;utm_medium=RSSFeeds&amp;utm_campaign=Generic" TargetMode="External"/><Relationship Id="rId98" Type="http://schemas.openxmlformats.org/officeDocument/2006/relationships/hyperlink" Target="https://ec.europa.eu/environment/nature/natura2000/management/docs/art6/BG_art_6_guide_jun_2019.pdf" TargetMode="External"/><Relationship Id="rId121" Type="http://schemas.openxmlformats.org/officeDocument/2006/relationships/hyperlink" Target="http://registers.moew.government.bg/ovos/" TargetMode="External"/><Relationship Id="rId142" Type="http://schemas.openxmlformats.org/officeDocument/2006/relationships/hyperlink" Target="https://www.eea.europa.eu/data-and-maps/explore-interactive-maps/water-framework-directive-quality-elements?utm_source=EEASubscriptions&amp;utm_medium=RSSFeeds&amp;utm_campaign=Generic" TargetMode="External"/><Relationship Id="rId163" Type="http://schemas.openxmlformats.org/officeDocument/2006/relationships/hyperlink" Target="http://eea.government.bg/bg/bio/nsmbr/praktichesko-rakovodstvo-metodiki-za-monitoring-i-otsenka/Podhod_Misgurnus.pdf" TargetMode="External"/><Relationship Id="rId184" Type="http://schemas.openxmlformats.org/officeDocument/2006/relationships/hyperlink" Target="http://registers.moew.government.bg/eo" TargetMode="External"/><Relationship Id="rId189" Type="http://schemas.openxmlformats.org/officeDocument/2006/relationships/hyperlink" Target="http://natura2000.moew.government.bg/PublicDownloads/Auto/SDF_REF_SPECIES/1355/1355_Species_102.zip" TargetMode="External"/><Relationship Id="rId219" Type="http://schemas.openxmlformats.org/officeDocument/2006/relationships/hyperlink" Target="http://www.registrelep-sararegistry.gc.ca/default_e.cfm" TargetMode="External"/><Relationship Id="rId3" Type="http://schemas.openxmlformats.org/officeDocument/2006/relationships/styles" Target="styles.xml"/><Relationship Id="rId214" Type="http://schemas.openxmlformats.org/officeDocument/2006/relationships/hyperlink" Target="https://ebird.org/map/sander?env.minX=-179.101684708791&amp;env.minY=-55.75832834475&amp;env.maxX=179.326113654898&amp;env.maxY=85.7989421571566" TargetMode="External"/><Relationship Id="rId25" Type="http://schemas.openxmlformats.org/officeDocument/2006/relationships/hyperlink" Target="http://natura2000.moew.government.bg/Home/Natura2000ProtectedSites" TargetMode="External"/><Relationship Id="rId46" Type="http://schemas.openxmlformats.org/officeDocument/2006/relationships/hyperlink" Target="http://natura2000.moew.government.bg/PublicDownloads/Auto/PS_SPA/BG0000241/BG0000241_PS_16.pdf" TargetMode="External"/><Relationship Id="rId67" Type="http://schemas.openxmlformats.org/officeDocument/2006/relationships/hyperlink" Target="http://eea.government.bg/bg/bio/nsmbr/praktichesko-rakovodstvo-metodiki-za-monitoring-i-otsenka/Podhod_Dunav.pdf" TargetMode="External"/><Relationship Id="rId116" Type="http://schemas.openxmlformats.org/officeDocument/2006/relationships/hyperlink" Target="http://natura2000.moew.government.bg/Home/ProtectedSite?code=BG0000334&amp;siteType=HabitatDirective" TargetMode="External"/><Relationship Id="rId137" Type="http://schemas.openxmlformats.org/officeDocument/2006/relationships/hyperlink" Target="http://www.bd-dunav.org/search/?keyword=%D0%BF%D1%83%D1%80%D0%B1+2016-2021&amp;search" TargetMode="External"/><Relationship Id="rId158" Type="http://schemas.openxmlformats.org/officeDocument/2006/relationships/hyperlink" Target="https://nature-art17.eionet.europa.eu/article17/species/report/" TargetMode="External"/><Relationship Id="rId20" Type="http://schemas.openxmlformats.org/officeDocument/2006/relationships/hyperlink" Target="http://natura2000.moew.government.bg/Home/Natura2000ProtectedSites" TargetMode="External"/><Relationship Id="rId41" Type="http://schemas.openxmlformats.org/officeDocument/2006/relationships/hyperlink" Target="http://natura2000.moew.government.bg/Home/Natura2000ProtectedSites" TargetMode="External"/><Relationship Id="rId62" Type="http://schemas.openxmlformats.org/officeDocument/2006/relationships/hyperlink" Target="http://www.bd-dunav.org/uploads/content/files/upravlenie-na-vodite/PURB-2016-2021-final/Razdel-1/prilojenia_R1/Pril_1244.pdf" TargetMode="External"/><Relationship Id="rId83" Type="http://schemas.openxmlformats.org/officeDocument/2006/relationships/hyperlink" Target="http://eea.government.bg/bg/bio/opos/activities-results/ribi" TargetMode="External"/><Relationship Id="rId88" Type="http://schemas.openxmlformats.org/officeDocument/2006/relationships/hyperlink" Target="https://nature-art17.eionet.europa.eu/article17/species/report/" TargetMode="External"/><Relationship Id="rId111" Type="http://schemas.openxmlformats.org/officeDocument/2006/relationships/hyperlink" Target="https://ec.europa.eu/environment/nature/natura2000/management/docs/art6/BG_art_6_guide_jun_2019.pdf" TargetMode="External"/><Relationship Id="rId132" Type="http://schemas.openxmlformats.org/officeDocument/2006/relationships/hyperlink" Target="http://natura2000.moew.government.bg/Home/ProtectedSite?code=BG0000334&amp;siteType=HabitatDirective" TargetMode="External"/><Relationship Id="rId153" Type="http://schemas.openxmlformats.org/officeDocument/2006/relationships/hyperlink" Target="http://natura2000.moew.government.bg/" TargetMode="External"/><Relationship Id="rId174" Type="http://schemas.openxmlformats.org/officeDocument/2006/relationships/hyperlink" Target="https://nature-art17.eionet.europa.eu/article17/species/report/" TargetMode="External"/><Relationship Id="rId179" Type="http://schemas.openxmlformats.org/officeDocument/2006/relationships/hyperlink" Target="https://www.iucnredlist.org" TargetMode="External"/><Relationship Id="rId195" Type="http://schemas.openxmlformats.org/officeDocument/2006/relationships/hyperlink" Target="http://apps.fdean.gov.uk/_Assets/docs/Allocations%20examiner/Examination%20Docs/ED010%20Matter%201%20Statements/M1-176%20Priddis%20Docs%201-19/10_A_review_of_horseshoe_bats_flights_lines_and_feeding_areas_-_CCW_Science_Report_No._755_1.pdf" TargetMode="External"/><Relationship Id="rId209" Type="http://schemas.openxmlformats.org/officeDocument/2006/relationships/image" Target="media/image1.png"/><Relationship Id="rId190" Type="http://schemas.openxmlformats.org/officeDocument/2006/relationships/hyperlink" Target="http://registers.moew.government.bg/eo" TargetMode="External"/><Relationship Id="rId204" Type="http://schemas.openxmlformats.org/officeDocument/2006/relationships/hyperlink" Target="https://www.cambridge.org/core/journals/journal-of-zoology/issue/CAD1A85FAEB3E2DBA6930C5123082AB0" TargetMode="External"/><Relationship Id="rId220" Type="http://schemas.openxmlformats.org/officeDocument/2006/relationships/hyperlink" Target="http://www.danubesurvey.org/jds4/publications/scientific-report" TargetMode="External"/><Relationship Id="rId15" Type="http://schemas.openxmlformats.org/officeDocument/2006/relationships/hyperlink" Target="http://natura2000.moew.government.bg/Home/Natura2000ProtectedSites.%20&#1055;&#1086;&#1089;&#1083;&#1077;&#1076;&#1085;&#1086;%20&#1087;&#1086;&#1089;&#1077;&#1090;&#1077;&#1085;%20&#1085;&#1072;%2015.10.2021" TargetMode="External"/><Relationship Id="rId36" Type="http://schemas.openxmlformats.org/officeDocument/2006/relationships/hyperlink" Target="http://natura2000.moew.government.bg/Home/Natura2000ProtectedSites" TargetMode="External"/><Relationship Id="rId57" Type="http://schemas.openxmlformats.org/officeDocument/2006/relationships/hyperlink" Target="http://registers.moew.government.bg/ovos/" TargetMode="External"/><Relationship Id="rId106" Type="http://schemas.openxmlformats.org/officeDocument/2006/relationships/hyperlink" Target="https://www.eea.europa.eu/data-and-maps/explore-interactive-maps/water-framework-directive-quality-elements?utm_source=EEASubscriptions&amp;utm_medium=RSSFeeds&amp;utm_campaign=Generic" TargetMode="External"/><Relationship Id="rId127" Type="http://schemas.openxmlformats.org/officeDocument/2006/relationships/hyperlink" Target="https://www.iucnredlist.org" TargetMode="External"/><Relationship Id="rId10" Type="http://schemas.openxmlformats.org/officeDocument/2006/relationships/hyperlink" Target="https://cdr.eionet.europa.eu/bg/eu/n2000" TargetMode="External"/><Relationship Id="rId31" Type="http://schemas.openxmlformats.org/officeDocument/2006/relationships/hyperlink" Target="https://ec.europa.eu/environment/nature/knowledge/rep_habitats/index_en.htm" TargetMode="External"/><Relationship Id="rId52" Type="http://schemas.openxmlformats.org/officeDocument/2006/relationships/hyperlink" Target="http://eea.government.bg/bg/bio/nsmbr/praktichesko-rakovodstvo-metodiki-za-monitoring-i-otsenka/Podhod_Dunav.pdf" TargetMode="External"/><Relationship Id="rId73" Type="http://schemas.openxmlformats.org/officeDocument/2006/relationships/hyperlink" Target="https://www.eea.europa.eu/data-and-maps/explore-interactive-maps/water-framework-directive-quality-elements?utm_source=EEASubscriptions&amp;utm_medium=RSSFeeds&amp;utm_campaign=Generic" TargetMode="External"/><Relationship Id="rId78" Type="http://schemas.openxmlformats.org/officeDocument/2006/relationships/hyperlink" Target="http://eea.government.bg/bg/bio/nsmbr/praktichesko-rakovodstvo-metodiki-za-monitoring-i-otsenka/Podhod_lakes_1.pdf" TargetMode="External"/><Relationship Id="rId94" Type="http://schemas.openxmlformats.org/officeDocument/2006/relationships/hyperlink" Target="http://e-ecodb.bas.bg/rdb/bg/vol2/" TargetMode="External"/><Relationship Id="rId99" Type="http://schemas.openxmlformats.org/officeDocument/2006/relationships/hyperlink" Target="https://www.coe.int/en/web/bern-convention" TargetMode="External"/><Relationship Id="rId101" Type="http://schemas.openxmlformats.org/officeDocument/2006/relationships/hyperlink" Target="https://www.iucnredlist.org" TargetMode="External"/><Relationship Id="rId122" Type="http://schemas.openxmlformats.org/officeDocument/2006/relationships/hyperlink" Target="http://eea.government.bg/bg/bio/nsmbr/praktichesko-rakovodstvo-metodiki-za-monitoring-i-otsenka/Podhod_Dunav.pdf" TargetMode="External"/><Relationship Id="rId143" Type="http://schemas.openxmlformats.org/officeDocument/2006/relationships/hyperlink" Target="http://registers.moew.government.bg/eo" TargetMode="External"/><Relationship Id="rId148" Type="http://schemas.openxmlformats.org/officeDocument/2006/relationships/hyperlink" Target="http://eea.government.bg/bg/bio/nsmbr/praktichesko-rakovodstvo-metodiki-za-monitoring-i-otsenka/Podhod_Dunav_electrofishing.pdf" TargetMode="External"/><Relationship Id="rId164" Type="http://schemas.openxmlformats.org/officeDocument/2006/relationships/hyperlink" Target="http://www.bd-dunav.org/search/?keyword=%D0%BF%D1%83%D1%80%D0%B1+2016-2021&amp;search" TargetMode="External"/><Relationship Id="rId169" Type="http://schemas.openxmlformats.org/officeDocument/2006/relationships/hyperlink" Target="https://www.eea.europa.eu/data-and-maps/explore-interactive-maps/water-framework-directive-quality-elements?utm_source=EEASubscriptions&amp;utm_medium=RSSFeeds&amp;utm_campaign=Generic" TargetMode="External"/><Relationship Id="rId185" Type="http://schemas.openxmlformats.org/officeDocument/2006/relationships/hyperlink" Target="http://registers.moew.government.bg/ovos/" TargetMode="External"/><Relationship Id="rId4" Type="http://schemas.microsoft.com/office/2007/relationships/stylesWithEffects" Target="stylesWithEffects.xml"/><Relationship Id="rId9" Type="http://schemas.openxmlformats.org/officeDocument/2006/relationships/hyperlink" Target="https://cdr.eionet.europa.eu/bg/eu/n2000" TargetMode="External"/><Relationship Id="rId180" Type="http://schemas.openxmlformats.org/officeDocument/2006/relationships/hyperlink" Target="http://registers.moew.government.bg/eo" TargetMode="External"/><Relationship Id="rId210" Type="http://schemas.openxmlformats.org/officeDocument/2006/relationships/hyperlink" Target="https://ebird.org/" TargetMode="External"/><Relationship Id="rId215" Type="http://schemas.openxmlformats.org/officeDocument/2006/relationships/hyperlink" Target="https://ebird.org/map/sander?env.minX=-179.101684708791&amp;env.minY=-55.75832834475&amp;env.maxX=179.326113654898&amp;env.maxY=85.7989421571566" TargetMode="External"/><Relationship Id="rId26" Type="http://schemas.openxmlformats.org/officeDocument/2006/relationships/hyperlink" Target="http://www.procurement.iag.bg:8080/cgi-bin/lup.cgi" TargetMode="External"/><Relationship Id="rId47" Type="http://schemas.openxmlformats.org/officeDocument/2006/relationships/hyperlink" Target="http://natura2000.moew.government.bg/Home/Natura2000ProtectedSites" TargetMode="External"/><Relationship Id="rId68" Type="http://schemas.openxmlformats.org/officeDocument/2006/relationships/hyperlink" Target="https://nature-art17.eionet.europa.eu/article17/species/report/" TargetMode="External"/><Relationship Id="rId89" Type="http://schemas.openxmlformats.org/officeDocument/2006/relationships/hyperlink" Target="http://natura2000.moew.government.bg/PublicDownloads/Auto/PS_SCI/BG0000530/BG0000530_PS_16.pdf" TargetMode="External"/><Relationship Id="rId112" Type="http://schemas.openxmlformats.org/officeDocument/2006/relationships/hyperlink" Target="https://www.coe.int/en/web/bern-convention" TargetMode="External"/><Relationship Id="rId133" Type="http://schemas.openxmlformats.org/officeDocument/2006/relationships/hyperlink" Target="https://www.iucnredlist.org" TargetMode="External"/><Relationship Id="rId154" Type="http://schemas.openxmlformats.org/officeDocument/2006/relationships/hyperlink" Target="http://natura2000.moew.government.bg/Home/Reports?reportType=Fishes" TargetMode="External"/><Relationship Id="rId175" Type="http://schemas.openxmlformats.org/officeDocument/2006/relationships/hyperlink" Target="http://natura2000.moew.government.bg/Home/ProtectedSite?code=BG0000334&amp;siteType=HabitatDirective" TargetMode="External"/><Relationship Id="rId196" Type="http://schemas.openxmlformats.org/officeDocument/2006/relationships/hyperlink" Target="http://www.swild.ch/Bontadina/PhD/" TargetMode="External"/><Relationship Id="rId200" Type="http://schemas.openxmlformats.org/officeDocument/2006/relationships/hyperlink" Target="https://www.moew.government.bg" TargetMode="External"/><Relationship Id="rId16" Type="http://schemas.openxmlformats.org/officeDocument/2006/relationships/hyperlink" Target="https://ec.europa.eu/environment/nature/knowledge/rep_habitats/index_en.htm.%20Last%20visited%20on%2015.10.2021" TargetMode="External"/><Relationship Id="rId221" Type="http://schemas.openxmlformats.org/officeDocument/2006/relationships/hyperlink" Target="https://www.researchgate.net/publication/267781398" TargetMode="External"/><Relationship Id="rId37" Type="http://schemas.openxmlformats.org/officeDocument/2006/relationships/hyperlink" Target="http://www.animalbase.uni-goettingen.de/zooweb/servlet/AnimalBase/home/species?id=1878" TargetMode="External"/><Relationship Id="rId58" Type="http://schemas.openxmlformats.org/officeDocument/2006/relationships/hyperlink" Target="http://eea.government.bg/bg/bio/nsmbr/praktichesko-rakovodstvo-metodiki-za-monitoring-i-otsenka/Podhod_Dunav.pdf" TargetMode="External"/><Relationship Id="rId79" Type="http://schemas.openxmlformats.org/officeDocument/2006/relationships/hyperlink" Target="http://eea.government.bg/bg/bio/nsmbr/praktichesko-rakovodstvo-metodiki-za-monitoring-i-otsenka/Podhod_lakes_1.pdf" TargetMode="External"/><Relationship Id="rId102" Type="http://schemas.openxmlformats.org/officeDocument/2006/relationships/hyperlink" Target="https://nature-art17.eionet.europa.eu/article17/species/report/" TargetMode="External"/><Relationship Id="rId123" Type="http://schemas.openxmlformats.org/officeDocument/2006/relationships/hyperlink" Target="https://nature-art17.eionet.europa.eu/article17/species/report/" TargetMode="External"/><Relationship Id="rId144" Type="http://schemas.openxmlformats.org/officeDocument/2006/relationships/hyperlink" Target="http://registers.moew.government.bg/ovos/" TargetMode="External"/><Relationship Id="rId90" Type="http://schemas.openxmlformats.org/officeDocument/2006/relationships/hyperlink" Target="http://eea.government.bg/bg/bio/nsmbr/praktichesko-rakovodstvo-metodiki-za-monitoring-i-otsenka/Podhod_Dunav_demersal_fish.pdf" TargetMode="External"/><Relationship Id="rId165" Type="http://schemas.openxmlformats.org/officeDocument/2006/relationships/hyperlink" Target="https://nature-art17.eionet.europa.eu/article17/species/report/" TargetMode="External"/><Relationship Id="rId186" Type="http://schemas.openxmlformats.org/officeDocument/2006/relationships/hyperlink" Target="http://registers.moew.government.bg/ovos/lot/2981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ea.government.bg/bg/bio/opos/activities-results/biezghrbnachni-zhivotni" TargetMode="External"/><Relationship Id="rId2" Type="http://schemas.openxmlformats.org/officeDocument/2006/relationships/hyperlink" Target="http://natura2000.moew.government.bg/Home/Reports?reportType=Invertebrates" TargetMode="External"/><Relationship Id="rId1" Type="http://schemas.openxmlformats.org/officeDocument/2006/relationships/hyperlink" Target="http://bbf.biodiversity.bg/document-190" TargetMode="External"/><Relationship Id="rId6" Type="http://schemas.openxmlformats.org/officeDocument/2006/relationships/hyperlink" Target="http://eea.government.bg/bg/bio/opos/activities-results/biezghrbnachni-zhivotni" TargetMode="External"/><Relationship Id="rId5" Type="http://schemas.openxmlformats.org/officeDocument/2006/relationships/hyperlink" Target="http://natura2000.moew.government.bg/Home/Reports?reportType=Invertebrates" TargetMode="External"/><Relationship Id="rId4" Type="http://schemas.openxmlformats.org/officeDocument/2006/relationships/hyperlink" Target="http://bbf.biodiversity.bg/document-1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9405E-F228-4312-9FCB-21C655AC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598</Pages>
  <Words>233226</Words>
  <Characters>1329389</Characters>
  <Application>Microsoft Office Word</Application>
  <DocSecurity>0</DocSecurity>
  <Lines>11078</Lines>
  <Paragraphs>3118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Ganeva</dc:creator>
  <cp:lastModifiedBy>Anna Ganeva</cp:lastModifiedBy>
  <cp:revision>39</cp:revision>
  <dcterms:created xsi:type="dcterms:W3CDTF">2021-11-06T15:30:00Z</dcterms:created>
  <dcterms:modified xsi:type="dcterms:W3CDTF">2022-04-01T16:02:00Z</dcterms:modified>
</cp:coreProperties>
</file>