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37" w:rsidRDefault="00531D37" w:rsidP="003741EF">
      <w:pPr>
        <w:spacing w:after="120" w:line="240" w:lineRule="auto"/>
        <w:ind w:right="56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val="bg-BG" w:eastAsia="bg-BG"/>
        </w:rPr>
      </w:pPr>
    </w:p>
    <w:p w:rsidR="003741EF" w:rsidRPr="00CA7718" w:rsidRDefault="003741EF" w:rsidP="003741EF">
      <w:pPr>
        <w:spacing w:after="120" w:line="240" w:lineRule="auto"/>
        <w:ind w:right="56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val="bg-BG" w:eastAsia="bg-BG"/>
        </w:rPr>
      </w:pPr>
      <w:r w:rsidRPr="00CA7718"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val="bg-BG" w:eastAsia="bg-BG"/>
        </w:rPr>
        <w:t>СТАНОВИЩЕ</w:t>
      </w:r>
    </w:p>
    <w:p w:rsidR="003741EF" w:rsidRPr="00CA7718" w:rsidRDefault="003741EF" w:rsidP="003741EF">
      <w:pPr>
        <w:overflowPunct w:val="0"/>
        <w:autoSpaceDE w:val="0"/>
        <w:autoSpaceDN w:val="0"/>
        <w:adjustRightInd w:val="0"/>
        <w:spacing w:after="0" w:line="270" w:lineRule="atLeast"/>
        <w:ind w:right="56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CA77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на дирекция „Национална служба за защита на природата“</w:t>
      </w:r>
    </w:p>
    <w:p w:rsidR="003741EF" w:rsidRPr="00CA7718" w:rsidRDefault="003741EF" w:rsidP="003741EF">
      <w:pPr>
        <w:spacing w:after="0" w:line="240" w:lineRule="auto"/>
        <w:ind w:right="56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CA77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за заседание на Националния съвет по биологично разнообразие, </w:t>
      </w:r>
      <w:r w:rsidRPr="00D02D2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10</w:t>
      </w:r>
      <w:r w:rsidRPr="00CA77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.</w:t>
      </w:r>
      <w:r w:rsidRPr="00D02D2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12</w:t>
      </w:r>
      <w:r w:rsidRPr="00CA77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.202</w:t>
      </w:r>
      <w:r w:rsidRPr="00D02D2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4</w:t>
      </w:r>
      <w:r w:rsidRPr="00CA77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г.</w:t>
      </w:r>
    </w:p>
    <w:p w:rsidR="003741EF" w:rsidRPr="00CA7718" w:rsidRDefault="003741EF" w:rsidP="003741EF">
      <w:pPr>
        <w:spacing w:after="0" w:line="240" w:lineRule="auto"/>
        <w:ind w:right="56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:rsidR="003741EF" w:rsidRPr="00CA7718" w:rsidRDefault="003741EF" w:rsidP="003741EF">
      <w:pPr>
        <w:spacing w:after="0" w:line="240" w:lineRule="auto"/>
        <w:ind w:right="56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CA77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относно </w:t>
      </w:r>
      <w:r w:rsidRPr="00CA7718">
        <w:rPr>
          <w:rFonts w:ascii="Times New Roman" w:eastAsia="Times New Roman" w:hAnsi="Times New Roman"/>
          <w:b/>
          <w:sz w:val="24"/>
          <w:szCs w:val="24"/>
          <w:lang w:val="bg-BG" w:eastAsia="en-GB"/>
        </w:rPr>
        <w:t xml:space="preserve">предложения за специфични и подробни цели на опазване на </w:t>
      </w:r>
      <w:r w:rsidRPr="00385168">
        <w:rPr>
          <w:rFonts w:ascii="Times New Roman" w:hAnsi="Times New Roman"/>
          <w:b/>
          <w:sz w:val="24"/>
          <w:szCs w:val="24"/>
          <w:lang w:val="bg-BG"/>
        </w:rPr>
        <w:t>защитени зони BG0000495 „Рила“, BG0002129 „Рила буфер“, BG0001386 „Яденица“ и BG0000636 „Ниска Рила“</w:t>
      </w:r>
      <w:r w:rsidRPr="00D02D2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A7718">
        <w:rPr>
          <w:rFonts w:ascii="Times New Roman" w:eastAsia="Times New Roman" w:hAnsi="Times New Roman"/>
          <w:b/>
          <w:sz w:val="24"/>
          <w:szCs w:val="24"/>
          <w:lang w:val="bg-BG" w:eastAsia="en-GB"/>
        </w:rPr>
        <w:t>от екологичната мрежа Натура 2000</w:t>
      </w:r>
    </w:p>
    <w:p w:rsidR="003741EF" w:rsidRPr="00CD27BE" w:rsidRDefault="003741EF" w:rsidP="003741EF">
      <w:pPr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:rsidR="003741EF" w:rsidRPr="0067133D" w:rsidRDefault="003741EF" w:rsidP="004818C5">
      <w:pPr>
        <w:spacing w:before="120" w:after="0" w:line="240" w:lineRule="auto"/>
        <w:ind w:firstLine="562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CA7718">
        <w:rPr>
          <w:rFonts w:ascii="Times New Roman" w:hAnsi="Times New Roman"/>
          <w:sz w:val="24"/>
          <w:szCs w:val="24"/>
          <w:lang w:val="bg-BG"/>
        </w:rPr>
        <w:t xml:space="preserve">Представените документи със специфични и подробни цели на опазване на посочените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CA7718">
        <w:rPr>
          <w:rFonts w:ascii="Times New Roman" w:hAnsi="Times New Roman"/>
          <w:sz w:val="24"/>
          <w:szCs w:val="24"/>
          <w:lang w:val="bg-BG"/>
        </w:rPr>
        <w:t xml:space="preserve"> защитени зони </w:t>
      </w:r>
      <w:r w:rsidR="00D02D2F" w:rsidRPr="00D02D2F">
        <w:rPr>
          <w:rFonts w:ascii="Times New Roman" w:hAnsi="Times New Roman"/>
          <w:sz w:val="24"/>
          <w:szCs w:val="24"/>
          <w:lang w:val="bg-BG"/>
        </w:rPr>
        <w:t>(</w:t>
      </w:r>
      <w:r w:rsidR="00D02D2F" w:rsidRPr="00CD27BE">
        <w:rPr>
          <w:rFonts w:ascii="Times New Roman" w:hAnsi="Times New Roman"/>
          <w:sz w:val="24"/>
          <w:szCs w:val="24"/>
          <w:lang w:val="bg-BG"/>
        </w:rPr>
        <w:t>BG0000495 „Рила“, BG0002129 „Рила буфер“, BG0001386 „Яденица“ и BG0000636 „Ниска Рила“</w:t>
      </w:r>
      <w:r w:rsidR="00D02D2F" w:rsidRPr="00D02D2F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CA7718">
        <w:rPr>
          <w:rFonts w:ascii="Times New Roman" w:hAnsi="Times New Roman"/>
          <w:sz w:val="24"/>
          <w:szCs w:val="24"/>
          <w:lang w:val="bg-BG"/>
        </w:rPr>
        <w:t xml:space="preserve">са съобразени с предвижданията на одобрената от министъра на околната среда и водите </w:t>
      </w:r>
      <w:r w:rsidRPr="00CA7718">
        <w:rPr>
          <w:rFonts w:ascii="Times New Roman" w:hAnsi="Times New Roman"/>
          <w:i/>
          <w:sz w:val="24"/>
          <w:szCs w:val="24"/>
          <w:lang w:val="bg-BG"/>
        </w:rPr>
        <w:t xml:space="preserve">“Концепция </w:t>
      </w:r>
      <w:hyperlink r:id="rId8" w:history="1">
        <w:r w:rsidRPr="009B3C17">
          <w:rPr>
            <w:rFonts w:ascii="Times New Roman" w:hAnsi="Times New Roman"/>
            <w:i/>
            <w:sz w:val="24"/>
            <w:szCs w:val="24"/>
            <w:lang w:val="bg-BG"/>
          </w:rPr>
          <w:t xml:space="preserve"> за разработване на специфични и подробни природозащитни цели на ниво защитена зона за зони от екологичната мрежа „Натура 2000“</w:t>
        </w:r>
      </w:hyperlink>
      <w:r w:rsidRPr="009B3C17">
        <w:rPr>
          <w:rFonts w:ascii="Times New Roman" w:hAnsi="Times New Roman"/>
          <w:i/>
          <w:sz w:val="24"/>
          <w:szCs w:val="24"/>
          <w:lang w:val="bg-BG"/>
        </w:rPr>
        <w:t>(</w:t>
      </w:r>
      <w:r w:rsidRPr="009B3C17">
        <w:rPr>
          <w:rFonts w:ascii="Times New Roman" w:hAnsi="Times New Roman"/>
          <w:sz w:val="24"/>
          <w:szCs w:val="24"/>
          <w:lang w:val="bg-BG"/>
        </w:rPr>
        <w:t xml:space="preserve">Концепцията). </w:t>
      </w:r>
      <w:r w:rsidRPr="0053398B">
        <w:rPr>
          <w:rFonts w:ascii="Times New Roman" w:hAnsi="Times New Roman"/>
          <w:sz w:val="24"/>
          <w:szCs w:val="24"/>
          <w:lang w:val="bg-BG"/>
        </w:rPr>
        <w:t xml:space="preserve">Съобразени са и насоките на службите на Европейската комисия в хода на пилотното разработване на специфични природозащитни цели за двете защитени зони в </w:t>
      </w:r>
      <w:r w:rsidR="0072778A" w:rsidRPr="0053398B">
        <w:rPr>
          <w:rFonts w:ascii="Times New Roman" w:hAnsi="Times New Roman"/>
          <w:sz w:val="24"/>
          <w:szCs w:val="24"/>
          <w:lang w:val="bg-BG"/>
        </w:rPr>
        <w:t xml:space="preserve">района на </w:t>
      </w:r>
      <w:proofErr w:type="spellStart"/>
      <w:r w:rsidR="0072778A" w:rsidRPr="0053398B">
        <w:rPr>
          <w:rFonts w:ascii="Times New Roman" w:hAnsi="Times New Roman"/>
          <w:sz w:val="24"/>
          <w:szCs w:val="24"/>
          <w:lang w:val="bg-BG"/>
        </w:rPr>
        <w:t>Кресненското</w:t>
      </w:r>
      <w:proofErr w:type="spellEnd"/>
      <w:r w:rsidR="0072778A" w:rsidRPr="0053398B">
        <w:rPr>
          <w:rFonts w:ascii="Times New Roman" w:hAnsi="Times New Roman"/>
          <w:sz w:val="24"/>
          <w:szCs w:val="24"/>
          <w:lang w:val="bg-BG"/>
        </w:rPr>
        <w:t xml:space="preserve"> дефиле. </w:t>
      </w:r>
      <w:r w:rsidRPr="0053398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Разработените </w:t>
      </w:r>
      <w:r w:rsidRPr="009B3C1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цели включват предложения за параметри и целеви стойности, определящи желаното природозащитно състояние на местообитанията и видовете, предмет на опазване в защитените зони, както и предложения за промени в предмета на опазване в тях и съответно на стандартните формуляри с данни и оценки за тях.</w:t>
      </w:r>
      <w:r w:rsidR="00D02D2F" w:rsidRPr="00D02D2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D02D2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Съобразно насоките на Европейската комисия, специфични и подробни цели на опазване са разработени за всички типове природни местообитания 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от Приложение 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I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Директива</w:t>
      </w:r>
      <w:r w:rsidR="0067133D" w:rsidRPr="00D02D2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92/43/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ЕИО</w:t>
      </w:r>
      <w:r w:rsidR="00B5718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 </w:t>
      </w:r>
      <w:r w:rsidR="00B5718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всички 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видове </w:t>
      </w:r>
      <w:r w:rsidR="00D02D2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от Приложение 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II</w:t>
      </w:r>
      <w:r w:rsidR="0067133D" w:rsidRP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D02D2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на Директива</w:t>
      </w:r>
      <w:r w:rsidR="00D02D2F" w:rsidRPr="00D02D2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92/43/</w:t>
      </w:r>
      <w:r w:rsidR="003B7F8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ЕИО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Приложение 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I</w:t>
      </w:r>
      <w:r w:rsidR="0067133D" w:rsidRP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на Директива </w:t>
      </w:r>
      <w:r w:rsidR="0067133D" w:rsidRPr="0067133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2009/147/ЕО</w:t>
      </w:r>
      <w:r w:rsidR="00B5718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(съответно посочени в приложения № 1 и № 2</w:t>
      </w:r>
      <w:r w:rsidR="00747BA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Закона за биологичното разнообразие</w:t>
      </w:r>
      <w:r w:rsidR="00B5718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) и всички редовно срещащи се видове птици, за които има данни</w:t>
      </w:r>
      <w:r w:rsidR="00747BA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че присъстват значително в защитените зони. Този подход е в съответствие и </w:t>
      </w:r>
      <w:r w:rsidR="00B5718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</w:t>
      </w:r>
      <w:r w:rsidR="00747BA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CE2B9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последните решения на </w:t>
      </w:r>
      <w:r w:rsidR="004818C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</w:t>
      </w:r>
      <w:r w:rsidR="00CE2B9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ъда н</w:t>
      </w:r>
      <w:r w:rsidR="00B5718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а</w:t>
      </w:r>
      <w:r w:rsidR="00CE2B9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ЕС</w:t>
      </w:r>
      <w:r w:rsidR="008F461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включително</w:t>
      </w:r>
      <w:r w:rsidR="00CE2B9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4818C5" w:rsidRPr="004818C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Решението по Дело С-66/23 от 12.09.2024 г. </w:t>
      </w:r>
      <w:r w:rsidR="00CE2B9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(</w:t>
      </w:r>
      <w:r w:rsidR="008F461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т. 48 и 49 о</w:t>
      </w:r>
      <w:r w:rsidR="004818C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т</w:t>
      </w:r>
      <w:r w:rsidR="008F461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съображенията на </w:t>
      </w:r>
      <w:r w:rsidR="004818C5" w:rsidRPr="004818C5">
        <w:rPr>
          <w:rFonts w:ascii="Times New Roman" w:eastAsia="Times New Roman" w:hAnsi="Times New Roman"/>
          <w:sz w:val="24"/>
          <w:szCs w:val="24"/>
          <w:lang w:val="bg-BG" w:eastAsia="bg-BG"/>
        </w:rPr>
        <w:t>Съда на ЕС</w:t>
      </w:r>
      <w:r w:rsidR="00CE2B9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).</w:t>
      </w:r>
      <w:r w:rsidR="00B5718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:rsidR="00D02D2F" w:rsidRDefault="00D02D2F" w:rsidP="00BC35C0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both"/>
        <w:textAlignment w:val="baseline"/>
        <w:rPr>
          <w:rFonts w:ascii="Times New Roman" w:hAnsi="Times New Roman"/>
          <w:iCs/>
          <w:sz w:val="24"/>
          <w:szCs w:val="24"/>
          <w:lang w:val="bg-BG"/>
        </w:rPr>
      </w:pPr>
      <w:r w:rsidRPr="00071EE8">
        <w:rPr>
          <w:rFonts w:ascii="Times New Roman" w:hAnsi="Times New Roman"/>
          <w:sz w:val="24"/>
          <w:szCs w:val="24"/>
          <w:lang w:val="bg-BG"/>
        </w:rPr>
        <w:t xml:space="preserve">Съгласно взето решение на НСБР </w:t>
      </w:r>
      <w:r w:rsidR="006B63BF">
        <w:rPr>
          <w:rFonts w:ascii="Times New Roman" w:hAnsi="Times New Roman"/>
          <w:sz w:val="24"/>
          <w:szCs w:val="24"/>
          <w:lang w:val="bg-BG"/>
        </w:rPr>
        <w:t xml:space="preserve">по т. 2 от </w:t>
      </w:r>
      <w:r w:rsidR="006B63BF" w:rsidRPr="006B63BF">
        <w:rPr>
          <w:rFonts w:ascii="Times New Roman" w:hAnsi="Times New Roman"/>
          <w:sz w:val="24"/>
          <w:szCs w:val="24"/>
          <w:lang w:val="bg-BG"/>
        </w:rPr>
        <w:t xml:space="preserve">Протокол № 26 </w:t>
      </w:r>
      <w:r w:rsidRPr="00071EE8">
        <w:rPr>
          <w:rFonts w:ascii="Times New Roman" w:hAnsi="Times New Roman"/>
          <w:sz w:val="24"/>
          <w:szCs w:val="24"/>
          <w:lang w:val="bg-BG"/>
        </w:rPr>
        <w:t>от заседание</w:t>
      </w:r>
      <w:r w:rsidR="00592275">
        <w:rPr>
          <w:rFonts w:ascii="Times New Roman" w:hAnsi="Times New Roman"/>
          <w:sz w:val="24"/>
          <w:szCs w:val="24"/>
          <w:lang w:val="bg-BG"/>
        </w:rPr>
        <w:t>,</w:t>
      </w:r>
      <w:r w:rsidRPr="00071EE8">
        <w:rPr>
          <w:rFonts w:ascii="Times New Roman" w:hAnsi="Times New Roman"/>
          <w:sz w:val="24"/>
          <w:szCs w:val="24"/>
          <w:lang w:val="bg-BG"/>
        </w:rPr>
        <w:t xml:space="preserve"> проведено на 28 април 2022 г., </w:t>
      </w:r>
      <w:r w:rsidR="00592275" w:rsidRPr="00071EE8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на ИБЕИ-БАН </w:t>
      </w:r>
      <w:r w:rsidR="003D620B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б</w:t>
      </w:r>
      <w:r w:rsidR="003D620B" w:rsidRPr="00071EE8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е възложено в</w:t>
      </w:r>
      <w:r w:rsidR="003D620B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 </w:t>
      </w:r>
      <w:r w:rsidR="003D620B" w:rsidRPr="00071EE8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рамките на </w:t>
      </w:r>
      <w:r w:rsidR="003D620B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разработването</w:t>
      </w:r>
      <w:r w:rsidR="003D620B" w:rsidRPr="00071EE8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 на специфичните и подробни цели  на опазване</w:t>
      </w:r>
      <w:r w:rsidR="003D620B" w:rsidRPr="00071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1EE8">
        <w:rPr>
          <w:rFonts w:ascii="Times New Roman" w:hAnsi="Times New Roman"/>
          <w:sz w:val="24"/>
          <w:szCs w:val="24"/>
          <w:lang w:val="bg-BG"/>
        </w:rPr>
        <w:t xml:space="preserve">на защитена зона BG0000636 „Ниска Рила“ </w:t>
      </w:r>
      <w:r w:rsidRPr="00071EE8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да </w:t>
      </w:r>
      <w:r w:rsidR="003D620B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бъдат </w:t>
      </w:r>
      <w:r w:rsidRPr="00071EE8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извърш</w:t>
      </w:r>
      <w:r w:rsidR="003D620B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ени</w:t>
      </w:r>
      <w:r w:rsidRPr="00071EE8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 картиране и изготвяне на доклади за разпространението и оценка на състоянието на </w:t>
      </w:r>
      <w:r w:rsidRPr="00071EE8">
        <w:rPr>
          <w:rFonts w:ascii="Times New Roman" w:hAnsi="Times New Roman"/>
          <w:sz w:val="24"/>
          <w:szCs w:val="24"/>
          <w:lang w:val="bg-BG"/>
        </w:rPr>
        <w:t>природните местообитания и видовете</w:t>
      </w:r>
      <w:r w:rsidR="00373A6D">
        <w:rPr>
          <w:rFonts w:ascii="Times New Roman" w:hAnsi="Times New Roman"/>
          <w:sz w:val="24"/>
          <w:szCs w:val="24"/>
          <w:lang w:val="bg-BG"/>
        </w:rPr>
        <w:t>, визирани в решението на съве</w:t>
      </w:r>
      <w:r w:rsidRPr="00071EE8">
        <w:rPr>
          <w:rFonts w:ascii="Times New Roman" w:hAnsi="Times New Roman"/>
          <w:sz w:val="24"/>
          <w:szCs w:val="24"/>
          <w:lang w:val="bg-BG"/>
        </w:rPr>
        <w:t xml:space="preserve">та. </w:t>
      </w:r>
      <w:r>
        <w:rPr>
          <w:rFonts w:ascii="Times New Roman" w:hAnsi="Times New Roman"/>
          <w:sz w:val="24"/>
          <w:szCs w:val="24"/>
          <w:lang w:val="bg-BG"/>
        </w:rPr>
        <w:t xml:space="preserve">В резултат </w:t>
      </w:r>
      <w:r w:rsidR="00061607">
        <w:rPr>
          <w:rFonts w:ascii="Times New Roman" w:hAnsi="Times New Roman"/>
          <w:sz w:val="24"/>
          <w:szCs w:val="24"/>
          <w:lang w:val="bg-BG"/>
        </w:rPr>
        <w:t>от това за тази защитена зона, освен документът със специфичните и подробни цели на опазване, са представени и отделни доклади за вс</w:t>
      </w:r>
      <w:r w:rsidR="00D3582A">
        <w:rPr>
          <w:rFonts w:ascii="Times New Roman" w:hAnsi="Times New Roman"/>
          <w:sz w:val="24"/>
          <w:szCs w:val="24"/>
          <w:lang w:val="bg-BG"/>
        </w:rPr>
        <w:t>е</w:t>
      </w:r>
      <w:r w:rsidR="00061607">
        <w:rPr>
          <w:rFonts w:ascii="Times New Roman" w:hAnsi="Times New Roman"/>
          <w:sz w:val="24"/>
          <w:szCs w:val="24"/>
          <w:lang w:val="bg-BG"/>
        </w:rPr>
        <w:t>к</w:t>
      </w:r>
      <w:r w:rsidR="00D3582A">
        <w:rPr>
          <w:rFonts w:ascii="Times New Roman" w:hAnsi="Times New Roman"/>
          <w:sz w:val="24"/>
          <w:szCs w:val="24"/>
          <w:lang w:val="bg-BG"/>
        </w:rPr>
        <w:t>и</w:t>
      </w:r>
      <w:r w:rsidR="00061607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D3582A">
        <w:rPr>
          <w:rFonts w:ascii="Times New Roman" w:hAnsi="Times New Roman"/>
          <w:sz w:val="24"/>
          <w:szCs w:val="24"/>
          <w:lang w:val="bg-BG"/>
        </w:rPr>
        <w:t xml:space="preserve">предложените за включване </w:t>
      </w:r>
      <w:r w:rsidR="00AF5304">
        <w:rPr>
          <w:rFonts w:ascii="Times New Roman" w:hAnsi="Times New Roman"/>
          <w:sz w:val="24"/>
          <w:szCs w:val="24"/>
          <w:lang w:val="bg-BG"/>
        </w:rPr>
        <w:t xml:space="preserve">в стандартния формуляр </w:t>
      </w:r>
      <w:r w:rsidR="006B63BF">
        <w:rPr>
          <w:rFonts w:ascii="Times New Roman" w:hAnsi="Times New Roman"/>
          <w:sz w:val="24"/>
          <w:szCs w:val="24"/>
          <w:lang w:val="bg-BG"/>
        </w:rPr>
        <w:t>с данни (СФД) н</w:t>
      </w:r>
      <w:r w:rsidR="00AF5304">
        <w:rPr>
          <w:rFonts w:ascii="Times New Roman" w:hAnsi="Times New Roman"/>
          <w:sz w:val="24"/>
          <w:szCs w:val="24"/>
          <w:lang w:val="bg-BG"/>
        </w:rPr>
        <w:t xml:space="preserve">а зоната </w:t>
      </w:r>
      <w:r w:rsidR="00072029">
        <w:rPr>
          <w:rFonts w:ascii="Times New Roman" w:hAnsi="Times New Roman"/>
          <w:sz w:val="24"/>
          <w:szCs w:val="24"/>
          <w:lang w:val="bg-BG"/>
        </w:rPr>
        <w:t>типове природни местообитания и видове</w:t>
      </w:r>
      <w:r w:rsidR="00AF5304">
        <w:rPr>
          <w:rFonts w:ascii="Times New Roman" w:hAnsi="Times New Roman"/>
          <w:sz w:val="24"/>
          <w:szCs w:val="24"/>
          <w:lang w:val="bg-BG"/>
        </w:rPr>
        <w:t xml:space="preserve">, съдържащи </w:t>
      </w:r>
      <w:r w:rsidR="00CC44D5" w:rsidRPr="00CC44D5">
        <w:rPr>
          <w:rFonts w:ascii="Times New Roman" w:hAnsi="Times New Roman"/>
          <w:sz w:val="24"/>
          <w:szCs w:val="24"/>
          <w:lang w:val="bg-BG"/>
        </w:rPr>
        <w:t xml:space="preserve">резултатите от проучванията, </w:t>
      </w:r>
      <w:r w:rsidR="00CC44D5">
        <w:rPr>
          <w:rFonts w:ascii="Times New Roman" w:hAnsi="Times New Roman"/>
          <w:sz w:val="24"/>
          <w:szCs w:val="24"/>
          <w:lang w:val="bg-BG"/>
        </w:rPr>
        <w:t xml:space="preserve">количествени и качествени </w:t>
      </w:r>
      <w:r w:rsidR="00CC44D5" w:rsidRPr="00CC44D5">
        <w:rPr>
          <w:rFonts w:ascii="Times New Roman" w:hAnsi="Times New Roman"/>
          <w:sz w:val="24"/>
          <w:szCs w:val="24"/>
          <w:lang w:val="bg-BG"/>
        </w:rPr>
        <w:t xml:space="preserve">оценки на състоянието </w:t>
      </w:r>
      <w:r w:rsidR="00CC44D5">
        <w:rPr>
          <w:rFonts w:ascii="Times New Roman" w:hAnsi="Times New Roman"/>
          <w:sz w:val="24"/>
          <w:szCs w:val="24"/>
          <w:lang w:val="bg-BG"/>
        </w:rPr>
        <w:t xml:space="preserve">на местообитанията и видовете в зоната, конкретни </w:t>
      </w:r>
      <w:r w:rsidR="00CC44D5" w:rsidRPr="00CC44D5">
        <w:rPr>
          <w:rFonts w:ascii="Times New Roman" w:hAnsi="Times New Roman"/>
          <w:sz w:val="24"/>
          <w:szCs w:val="24"/>
          <w:lang w:val="bg-BG"/>
        </w:rPr>
        <w:t xml:space="preserve">предложения за </w:t>
      </w:r>
      <w:r w:rsidR="00CC44D5">
        <w:rPr>
          <w:rFonts w:ascii="Times New Roman" w:hAnsi="Times New Roman"/>
          <w:sz w:val="24"/>
          <w:szCs w:val="24"/>
          <w:lang w:val="bg-BG"/>
        </w:rPr>
        <w:t xml:space="preserve">запис </w:t>
      </w:r>
      <w:r w:rsidR="00CC44D5" w:rsidRPr="00CC44D5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CC44D5">
        <w:rPr>
          <w:rFonts w:ascii="Times New Roman" w:hAnsi="Times New Roman"/>
          <w:sz w:val="24"/>
          <w:szCs w:val="24"/>
          <w:lang w:val="bg-BG"/>
        </w:rPr>
        <w:t>СФД</w:t>
      </w:r>
      <w:r w:rsidR="00CC44D5" w:rsidRPr="00CC44D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F0D2F">
        <w:rPr>
          <w:rFonts w:ascii="Times New Roman" w:hAnsi="Times New Roman"/>
          <w:sz w:val="24"/>
          <w:szCs w:val="24"/>
          <w:lang w:val="bg-BG"/>
        </w:rPr>
        <w:t xml:space="preserve">приложен </w:t>
      </w:r>
      <w:r w:rsidR="00CC44D5" w:rsidRPr="00CC44D5">
        <w:rPr>
          <w:rFonts w:ascii="Times New Roman" w:hAnsi="Times New Roman"/>
          <w:sz w:val="24"/>
          <w:szCs w:val="24"/>
          <w:lang w:val="bg-BG"/>
        </w:rPr>
        <w:t>картен материал към тях</w:t>
      </w:r>
      <w:r w:rsidR="005F0D2F">
        <w:rPr>
          <w:rFonts w:ascii="Times New Roman" w:hAnsi="Times New Roman"/>
          <w:sz w:val="24"/>
          <w:szCs w:val="24"/>
          <w:lang w:val="bg-BG"/>
        </w:rPr>
        <w:t>.</w:t>
      </w:r>
      <w:r w:rsidR="00AF5304">
        <w:rPr>
          <w:rFonts w:ascii="Times New Roman" w:hAnsi="Times New Roman"/>
          <w:sz w:val="24"/>
          <w:szCs w:val="24"/>
          <w:lang w:val="bg-BG"/>
        </w:rPr>
        <w:t xml:space="preserve"> Освен първоначално предложените с решението на НСБР от </w:t>
      </w:r>
      <w:r w:rsidR="00DE44D8">
        <w:rPr>
          <w:rFonts w:ascii="Times New Roman" w:hAnsi="Times New Roman"/>
          <w:sz w:val="24"/>
          <w:szCs w:val="24"/>
          <w:lang w:val="bg-BG"/>
        </w:rPr>
        <w:t xml:space="preserve">2022г. </w:t>
      </w:r>
      <w:r w:rsidR="00DE44D8">
        <w:rPr>
          <w:rFonts w:ascii="Times New Roman" w:hAnsi="Times New Roman"/>
          <w:sz w:val="24"/>
          <w:szCs w:val="24"/>
          <w:lang w:val="bg-BG"/>
        </w:rPr>
        <w:lastRenderedPageBreak/>
        <w:t xml:space="preserve">местообитания и видове, </w:t>
      </w:r>
      <w:r w:rsidR="00FC3C0C">
        <w:rPr>
          <w:rFonts w:ascii="Times New Roman" w:hAnsi="Times New Roman"/>
          <w:sz w:val="24"/>
          <w:szCs w:val="24"/>
          <w:lang w:val="bg-BG"/>
        </w:rPr>
        <w:t xml:space="preserve">като предмет на опазване в защитената зона са предложени за включване още </w:t>
      </w:r>
      <w:r w:rsidR="00FC3C0C" w:rsidRPr="00FC3C0C">
        <w:rPr>
          <w:rFonts w:ascii="Times New Roman" w:hAnsi="Times New Roman"/>
          <w:sz w:val="24"/>
          <w:szCs w:val="24"/>
          <w:lang w:val="bg-BG"/>
        </w:rPr>
        <w:t>6 типа природни местообитания и 5 вида</w:t>
      </w:r>
      <w:r w:rsidR="00FC3C0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51599">
        <w:rPr>
          <w:rFonts w:ascii="Times New Roman" w:hAnsi="Times New Roman"/>
          <w:sz w:val="24"/>
          <w:szCs w:val="24"/>
          <w:lang w:val="bg-BG"/>
        </w:rPr>
        <w:t>Пред</w:t>
      </w:r>
      <w:r w:rsidR="00E50DD2">
        <w:rPr>
          <w:rFonts w:ascii="Times New Roman" w:hAnsi="Times New Roman"/>
          <w:sz w:val="24"/>
          <w:szCs w:val="24"/>
          <w:lang w:val="bg-BG"/>
        </w:rPr>
        <w:t xml:space="preserve">ложенията </w:t>
      </w:r>
      <w:r w:rsidR="00E50DD2" w:rsidRPr="00E50DD2">
        <w:rPr>
          <w:rFonts w:ascii="Times New Roman" w:hAnsi="Times New Roman"/>
          <w:sz w:val="24"/>
          <w:szCs w:val="24"/>
          <w:lang w:val="bg-BG"/>
        </w:rPr>
        <w:t xml:space="preserve">включват, както всички установени на терен местообитания и видове, така също и </w:t>
      </w:r>
      <w:r w:rsidR="00F91DD2">
        <w:rPr>
          <w:rFonts w:ascii="Times New Roman" w:hAnsi="Times New Roman"/>
          <w:sz w:val="24"/>
          <w:szCs w:val="24"/>
          <w:lang w:val="bg-BG"/>
        </w:rPr>
        <w:t>такива</w:t>
      </w:r>
      <w:r w:rsidR="00E50DD2" w:rsidRPr="00E50DD2">
        <w:rPr>
          <w:rFonts w:ascii="Times New Roman" w:hAnsi="Times New Roman"/>
          <w:sz w:val="24"/>
          <w:szCs w:val="24"/>
          <w:lang w:val="bg-BG"/>
        </w:rPr>
        <w:t xml:space="preserve">, които не са установени, но се предполага, че може би са представени в зоната. Въз основа на резултатите от тези проучвания и направените предложения за допълване на стандартния формуляр на защитена зона </w:t>
      </w:r>
      <w:r w:rsidR="00E50DD2" w:rsidRPr="006D07DE">
        <w:rPr>
          <w:rFonts w:ascii="Times New Roman" w:hAnsi="Times New Roman"/>
          <w:sz w:val="24"/>
          <w:szCs w:val="24"/>
        </w:rPr>
        <w:t>BG</w:t>
      </w:r>
      <w:r w:rsidR="00E50DD2" w:rsidRPr="00E50DD2">
        <w:rPr>
          <w:rFonts w:ascii="Times New Roman" w:hAnsi="Times New Roman"/>
          <w:sz w:val="24"/>
          <w:szCs w:val="24"/>
          <w:lang w:val="bg-BG"/>
        </w:rPr>
        <w:t>0000636 „Ниска Рила“ са разработени специфичните и подробни цели на опазване на зоната</w:t>
      </w:r>
      <w:r w:rsidR="00021FA6">
        <w:rPr>
          <w:rFonts w:ascii="Times New Roman" w:hAnsi="Times New Roman"/>
          <w:sz w:val="24"/>
          <w:szCs w:val="24"/>
          <w:lang w:val="bg-BG"/>
        </w:rPr>
        <w:t>, като в документа са разгледани всички проучени местообитания и видове</w:t>
      </w:r>
      <w:r w:rsidR="00E50DD2" w:rsidRPr="00E50DD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20BB6" w:rsidRPr="00320BB6">
        <w:rPr>
          <w:rFonts w:ascii="Times New Roman" w:hAnsi="Times New Roman"/>
          <w:sz w:val="24"/>
          <w:szCs w:val="24"/>
          <w:lang w:val="bg-BG"/>
        </w:rPr>
        <w:t>ИБЕИ-БАН предлагат за включване в СФД на зоната 4 вида безгръбначни, които не са установени в зоната (</w:t>
      </w:r>
      <w:proofErr w:type="spellStart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>Euphydrias</w:t>
      </w:r>
      <w:proofErr w:type="spellEnd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>aurinia</w:t>
      </w:r>
      <w:proofErr w:type="spellEnd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 xml:space="preserve">, </w:t>
      </w:r>
      <w:proofErr w:type="spellStart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>Euplagia</w:t>
      </w:r>
      <w:proofErr w:type="spellEnd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 xml:space="preserve"> (</w:t>
      </w:r>
      <w:proofErr w:type="spellStart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>Callimorpha</w:t>
      </w:r>
      <w:proofErr w:type="spellEnd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 xml:space="preserve">) </w:t>
      </w:r>
      <w:proofErr w:type="spellStart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>quadripunctaria</w:t>
      </w:r>
      <w:proofErr w:type="spellEnd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 xml:space="preserve">, </w:t>
      </w:r>
      <w:proofErr w:type="spellStart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>Polyommatus</w:t>
      </w:r>
      <w:proofErr w:type="spellEnd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>eroides</w:t>
      </w:r>
      <w:proofErr w:type="spellEnd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 xml:space="preserve">, </w:t>
      </w:r>
      <w:proofErr w:type="spellStart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>Cordulegaster</w:t>
      </w:r>
      <w:proofErr w:type="spellEnd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="00320BB6" w:rsidRPr="00320BB6">
        <w:rPr>
          <w:rFonts w:ascii="Times New Roman" w:hAnsi="Times New Roman"/>
          <w:i/>
          <w:iCs/>
          <w:sz w:val="24"/>
          <w:szCs w:val="24"/>
          <w:lang w:val="bg-BG"/>
        </w:rPr>
        <w:t>heros</w:t>
      </w:r>
      <w:proofErr w:type="spellEnd"/>
      <w:r w:rsidR="00320BB6" w:rsidRPr="00320BB6">
        <w:rPr>
          <w:rFonts w:ascii="Times New Roman" w:hAnsi="Times New Roman"/>
          <w:sz w:val="24"/>
          <w:szCs w:val="24"/>
          <w:lang w:val="bg-BG"/>
        </w:rPr>
        <w:t xml:space="preserve">). </w:t>
      </w:r>
      <w:r w:rsidR="00BC35C0">
        <w:rPr>
          <w:rFonts w:ascii="Times New Roman" w:hAnsi="Times New Roman"/>
          <w:sz w:val="24"/>
          <w:szCs w:val="24"/>
          <w:lang w:val="bg-BG"/>
        </w:rPr>
        <w:t xml:space="preserve">В тази връзка предлагаме </w:t>
      </w:r>
      <w:r w:rsidRPr="00071EE8">
        <w:rPr>
          <w:rFonts w:ascii="Times New Roman" w:hAnsi="Times New Roman"/>
          <w:sz w:val="24"/>
          <w:szCs w:val="24"/>
          <w:lang w:val="bg-BG"/>
        </w:rPr>
        <w:t>НСБР да разгледа казуса с неустановените видове и да вземе решение дали същите следва да са предмет на опазване</w:t>
      </w:r>
      <w:r w:rsidR="00BC35C0">
        <w:rPr>
          <w:rFonts w:ascii="Times New Roman" w:hAnsi="Times New Roman"/>
          <w:sz w:val="24"/>
          <w:szCs w:val="24"/>
          <w:lang w:val="bg-BG"/>
        </w:rPr>
        <w:t xml:space="preserve"> в защитената зона</w:t>
      </w:r>
      <w:r w:rsidRPr="00071EE8">
        <w:rPr>
          <w:rFonts w:ascii="Times New Roman" w:hAnsi="Times New Roman"/>
          <w:sz w:val="24"/>
          <w:szCs w:val="24"/>
          <w:lang w:val="bg-BG"/>
        </w:rPr>
        <w:t>.</w:t>
      </w:r>
      <w:r w:rsidRPr="00071EE8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 </w:t>
      </w:r>
    </w:p>
    <w:p w:rsidR="00FF7B29" w:rsidRDefault="00FF7B29" w:rsidP="00921379">
      <w:pPr>
        <w:spacing w:before="120" w:after="0" w:line="240" w:lineRule="auto"/>
        <w:ind w:firstLine="562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При прегледа </w:t>
      </w:r>
      <w:r w:rsidR="00FF2A1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на документите, представени за обществено обсъждане и всички приложени към тях данни</w:t>
      </w:r>
      <w:r w:rsidR="00436C0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="00FF2A1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72778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от страна на дирекция НСЗП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са установени технически грешки</w:t>
      </w:r>
      <w:r w:rsidR="00B472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</w:t>
      </w:r>
      <w:r w:rsidR="004D02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пропуски и неточности, </w:t>
      </w:r>
      <w:r w:rsidR="00B472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за които сме предоставили на изпълнителите подробно становище</w:t>
      </w:r>
      <w:r w:rsidR="008C3AE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 очакваме да бъдат отразени</w:t>
      </w:r>
      <w:r w:rsidR="00AD1BE6" w:rsidRPr="00D02D2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AD1BE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във финалните версии на документите</w:t>
      </w:r>
      <w:r w:rsidR="008C3AE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. </w:t>
      </w:r>
      <w:r w:rsidR="00C773B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Видно от представената справка за отразяване на с</w:t>
      </w:r>
      <w:r w:rsidR="00B0362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тановищата от общественото обсъждане от страна на ИБЕИ-БАН повечето бележки се приемат и ще бъдат отразени, като са дадени отговори и допълнителни пояснения в случаите на необходимост от такива. Някои от по-съществените бележки на дирекцията не са приети, като в справката експертите са изложили своите мотиви за това. </w:t>
      </w:r>
      <w:r w:rsidR="00921379" w:rsidRPr="00E937C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Не във всички случаи изложените мотиви са достатъчно убедителни</w:t>
      </w:r>
      <w:r w:rsidR="0092137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 дават основание за отхвърляне на дадените бележки и предложения, във връзка с което дирекция НСЗП продължава да поддържа част от </w:t>
      </w:r>
      <w:proofErr w:type="spellStart"/>
      <w:r w:rsidR="00B153FA" w:rsidRPr="00E937C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en-GB" w:eastAsia="bg-BG"/>
        </w:rPr>
        <w:t>неприетите</w:t>
      </w:r>
      <w:proofErr w:type="spellEnd"/>
      <w:r w:rsidR="00B153F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en-GB" w:eastAsia="bg-BG"/>
        </w:rPr>
        <w:t xml:space="preserve"> </w:t>
      </w:r>
      <w:r w:rsidR="0092137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бележки, дадени към представените за обществен</w:t>
      </w:r>
      <w:r w:rsidR="00216F4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</w:t>
      </w:r>
      <w:r w:rsidR="0092137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обсъждане документи. </w:t>
      </w:r>
    </w:p>
    <w:p w:rsidR="00811B22" w:rsidRDefault="00811B22" w:rsidP="00921379">
      <w:pPr>
        <w:spacing w:before="120" w:after="0" w:line="240" w:lineRule="auto"/>
        <w:ind w:firstLine="562"/>
        <w:jc w:val="both"/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Още един път </w:t>
      </w:r>
      <w:r w:rsidR="00A2302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бихме искали да обърнем внимание, че при формулиране на предложенията за оценки в СФД трябва да се съобразяват стриктно указанията за попълване на формулярите, съдържащи се в действащото към момента Решение </w:t>
      </w:r>
      <w:r w:rsidR="00A23023" w:rsidRPr="00A2302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за изпълнение</w:t>
      </w:r>
      <w:r w:rsidR="00A23023" w:rsidRPr="00C671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C6718D" w:rsidRPr="00C671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на </w:t>
      </w:r>
      <w:r w:rsidR="00C671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ЕК </w:t>
      </w:r>
      <w:r w:rsidR="00A23023" w:rsidRPr="00C671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2011/484/ЕС</w:t>
      </w:r>
      <w:r w:rsidR="00C671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като всички предложени промени следва да са обосновани освен спрямо тези изисквания и съобразно изложените в документите анализи и заключения. </w:t>
      </w:r>
      <w:r w:rsidR="0092116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Следва да се спазват и съответните кодови таблици и референтни списъци, тъй като в противен случай данните няма да бъдат приети</w:t>
      </w:r>
      <w:r w:rsidR="009E5D2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от системата за предаване на данни на Европейската агенция по околна среда</w:t>
      </w:r>
      <w:r w:rsidR="0092116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. </w:t>
      </w:r>
      <w:r w:rsidR="007E085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При отразяване на финалните корекции в документите следва да се следи за запазване на </w:t>
      </w:r>
      <w:r w:rsidR="00A23023" w:rsidRPr="00C671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смислова връзка между текстовете в отделните точки</w:t>
      </w:r>
      <w:r w:rsidR="007E085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 документи</w:t>
      </w:r>
      <w:r w:rsidR="00A23023" w:rsidRPr="00C671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данните от теренните проучвания и предложените цели, </w:t>
      </w:r>
      <w:r w:rsidR="007E085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като </w:t>
      </w:r>
      <w:r w:rsidR="006A361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от една страна н</w:t>
      </w:r>
      <w:r w:rsidR="007E085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 </w:t>
      </w:r>
      <w:r w:rsidR="006A361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се </w:t>
      </w:r>
      <w:r w:rsidR="007E085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допускат противоречия между</w:t>
      </w:r>
      <w:r w:rsidR="006A361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тях, а от друга се преценява </w:t>
      </w:r>
      <w:r w:rsidR="00A23023" w:rsidRPr="00C671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постижимост</w:t>
      </w:r>
      <w:r w:rsidR="006A361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та</w:t>
      </w:r>
      <w:r w:rsidR="00A23023" w:rsidRPr="00CA7718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 и реалистичност</w:t>
      </w:r>
      <w:r w:rsidR="006A3619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та</w:t>
      </w:r>
      <w:r w:rsidR="00A23023" w:rsidRPr="00CA7718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 на целите</w:t>
      </w:r>
      <w:r w:rsidR="006A3619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. Дадените допълнителни обяснения в справката в случаите на поставяне</w:t>
      </w:r>
      <w:r w:rsidR="00F44A6C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/поддържане</w:t>
      </w:r>
      <w:r w:rsidR="006A3619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 на различни оценки и цели в документите, следва да бъдат подходящо отразени в текстовете на всички представени документи – в специфичните цели, предложенията за промени в СФД и докладите с резултати и оценки от картирането на защитена зона „Ниска Рила“. </w:t>
      </w:r>
      <w:r w:rsidR="00F44A6C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Следва да се има предвид, че службите на ЕК не приемат за обосновка наличието единствено на декларативни </w:t>
      </w:r>
      <w:r w:rsidR="00DC6EDB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твърдения. </w:t>
      </w:r>
    </w:p>
    <w:p w:rsidR="00F3233E" w:rsidRPr="004A7FB1" w:rsidRDefault="00BA114B" w:rsidP="009E149B">
      <w:pPr>
        <w:spacing w:before="120" w:after="0" w:line="240" w:lineRule="auto"/>
        <w:ind w:firstLine="562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4A7FB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Дирекция НСЗП поддържа беле</w:t>
      </w:r>
      <w:r w:rsidR="00804205" w:rsidRPr="004A7FB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жките си </w:t>
      </w:r>
      <w:r w:rsidR="009E149B" w:rsidRPr="004A7FB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по отношение на</w:t>
      </w:r>
      <w:r w:rsidR="00F3233E" w:rsidRPr="004A7FB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:</w:t>
      </w:r>
    </w:p>
    <w:p w:rsidR="009E149B" w:rsidRPr="00F3233E" w:rsidRDefault="009E149B" w:rsidP="0053398B">
      <w:pPr>
        <w:pStyle w:val="ListParagraph"/>
        <w:numPr>
          <w:ilvl w:val="0"/>
          <w:numId w:val="12"/>
        </w:numPr>
        <w:spacing w:before="120" w:after="0" w:line="240" w:lineRule="auto"/>
        <w:ind w:left="0" w:firstLine="360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F3233E">
        <w:rPr>
          <w:rFonts w:ascii="Times New Roman" w:eastAsiaTheme="minorHAnsi" w:hAnsi="Times New Roman"/>
          <w:sz w:val="24"/>
          <w:szCs w:val="24"/>
          <w:lang w:val="bg-BG"/>
        </w:rPr>
        <w:t>Включва</w:t>
      </w:r>
      <w:r w:rsidR="00F3233E" w:rsidRPr="00F3233E">
        <w:rPr>
          <w:rFonts w:ascii="Times New Roman" w:eastAsiaTheme="minorHAnsi" w:hAnsi="Times New Roman"/>
          <w:sz w:val="24"/>
          <w:szCs w:val="24"/>
          <w:lang w:val="bg-BG"/>
        </w:rPr>
        <w:t>нето на</w:t>
      </w:r>
      <w:r w:rsidRPr="00F3233E">
        <w:rPr>
          <w:rFonts w:ascii="Times New Roman" w:eastAsiaTheme="minorHAnsi" w:hAnsi="Times New Roman"/>
          <w:sz w:val="24"/>
          <w:szCs w:val="24"/>
          <w:lang w:val="bg-BG"/>
        </w:rPr>
        <w:t xml:space="preserve"> информация с оценка на качество на </w:t>
      </w:r>
      <w:r w:rsidR="00F3233E" w:rsidRPr="00F3233E">
        <w:rPr>
          <w:rFonts w:ascii="Times New Roman" w:eastAsiaTheme="minorHAnsi" w:hAnsi="Times New Roman"/>
          <w:sz w:val="24"/>
          <w:szCs w:val="24"/>
          <w:lang w:val="bg-BG"/>
        </w:rPr>
        <w:t xml:space="preserve">докладите по </w:t>
      </w:r>
      <w:r w:rsidRPr="00F3233E">
        <w:rPr>
          <w:rFonts w:ascii="Times New Roman" w:eastAsiaTheme="minorHAnsi" w:hAnsi="Times New Roman"/>
          <w:sz w:val="24"/>
          <w:szCs w:val="24"/>
          <w:lang w:val="bg-BG"/>
        </w:rPr>
        <w:t>ОС и ОВОС и коментира</w:t>
      </w:r>
      <w:r w:rsidR="00F3233E" w:rsidRPr="00F3233E">
        <w:rPr>
          <w:rFonts w:ascii="Times New Roman" w:eastAsiaTheme="minorHAnsi" w:hAnsi="Times New Roman"/>
          <w:sz w:val="24"/>
          <w:szCs w:val="24"/>
          <w:lang w:val="bg-BG"/>
        </w:rPr>
        <w:t>не на</w:t>
      </w:r>
      <w:r w:rsidRPr="00F3233E">
        <w:rPr>
          <w:rFonts w:ascii="Times New Roman" w:eastAsiaTheme="minorHAnsi" w:hAnsi="Times New Roman"/>
          <w:sz w:val="24"/>
          <w:szCs w:val="24"/>
          <w:lang w:val="bg-BG"/>
        </w:rPr>
        <w:t xml:space="preserve"> инфраструктура и мерки, </w:t>
      </w:r>
      <w:proofErr w:type="spellStart"/>
      <w:r w:rsidRPr="00F3233E">
        <w:rPr>
          <w:rFonts w:ascii="Times New Roman" w:eastAsiaTheme="minorHAnsi" w:hAnsi="Times New Roman"/>
          <w:sz w:val="24"/>
          <w:szCs w:val="24"/>
          <w:lang w:val="bg-BG"/>
        </w:rPr>
        <w:t>отстоящи</w:t>
      </w:r>
      <w:proofErr w:type="spellEnd"/>
      <w:r w:rsidRPr="00F3233E">
        <w:rPr>
          <w:rFonts w:ascii="Times New Roman" w:eastAsiaTheme="minorHAnsi" w:hAnsi="Times New Roman"/>
          <w:sz w:val="24"/>
          <w:szCs w:val="24"/>
          <w:lang w:val="bg-BG"/>
        </w:rPr>
        <w:t xml:space="preserve"> на значителни разстояния от границите на съответната зона.</w:t>
      </w:r>
    </w:p>
    <w:p w:rsidR="00F64686" w:rsidRDefault="003F63CC" w:rsidP="004D10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-</w:t>
      </w:r>
      <w:r w:rsid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F92603">
        <w:rPr>
          <w:rFonts w:ascii="Times New Roman" w:eastAsia="Times New Roman" w:hAnsi="Times New Roman"/>
          <w:sz w:val="24"/>
          <w:szCs w:val="24"/>
          <w:lang w:val="bg-BG" w:eastAsia="bg-BG"/>
        </w:rPr>
        <w:t>В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т. 5 </w:t>
      </w:r>
      <w:r w:rsid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в документите </w:t>
      </w:r>
      <w:r w:rsidR="00AB0B3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 целите за </w:t>
      </w:r>
      <w:r w:rsidR="008D5F2F">
        <w:rPr>
          <w:rFonts w:ascii="Times New Roman" w:hAnsi="Times New Roman"/>
          <w:sz w:val="24"/>
          <w:szCs w:val="24"/>
          <w:lang w:val="bg-BG"/>
        </w:rPr>
        <w:t xml:space="preserve">защитена зона </w:t>
      </w:r>
      <w:r w:rsidR="008D5F2F" w:rsidRPr="00CD27BE">
        <w:rPr>
          <w:rFonts w:ascii="Times New Roman" w:hAnsi="Times New Roman"/>
          <w:sz w:val="24"/>
          <w:szCs w:val="24"/>
          <w:lang w:val="bg-BG"/>
        </w:rPr>
        <w:t>BG0000636 „Ниска Рила“</w:t>
      </w:r>
      <w:r w:rsidR="005946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3233E">
        <w:rPr>
          <w:rFonts w:ascii="Times New Roman" w:eastAsia="Times New Roman" w:hAnsi="Times New Roman"/>
          <w:sz w:val="24"/>
          <w:szCs w:val="24"/>
          <w:lang w:val="bg-BG" w:eastAsia="bg-BG"/>
        </w:rPr>
        <w:t>за вида Кафява мечка е включено: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„</w:t>
      </w:r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Консервационната значимост на кафявата мечка изисква полагане на усилия за улесняване на преминаване на индивиди към и от съседни територии. Значителна бариера за </w:t>
      </w:r>
      <w:proofErr w:type="spellStart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разселаване</w:t>
      </w:r>
      <w:proofErr w:type="spellEnd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на индивиди на запад е АМ „Струма“ Като анализ, направен от Стоилова в разглежданите участъци на АМ Струма, не е наличен пълния набор </w:t>
      </w:r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lastRenderedPageBreak/>
        <w:t xml:space="preserve">от характеристики за пригоден проход за диви животни. И двата целеви за съоръженията вида не са регистрирани нито в района на изследването, нито в обхвата на прохода за диви животни. Надлез за мечки при км 314+070 не е пригоден за вида. Неефективността на коридора също така може да се дължи на липсата на линеен растителен коридор, добро </w:t>
      </w:r>
      <w:proofErr w:type="spellStart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ландшафтно</w:t>
      </w:r>
      <w:proofErr w:type="spellEnd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оформяне и добра видимост от съоръжението (несъобразен наклон), близостта му до населено място и първокласен път I-1, в комбинация с редица лимитиращи преминаването, фактори, като ловна и пасищна дейност, компрометирана </w:t>
      </w:r>
      <w:proofErr w:type="spellStart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шумозащита</w:t>
      </w:r>
      <w:proofErr w:type="spellEnd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и </w:t>
      </w:r>
      <w:proofErr w:type="spellStart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др</w:t>
      </w:r>
      <w:proofErr w:type="spellEnd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(N. </w:t>
      </w:r>
      <w:proofErr w:type="spellStart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Stoilova</w:t>
      </w:r>
      <w:proofErr w:type="spellEnd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N. </w:t>
      </w:r>
      <w:proofErr w:type="spellStart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Nachev</w:t>
      </w:r>
      <w:proofErr w:type="spellEnd"/>
      <w:r w:rsidR="00F3233E" w:rsidRPr="00F3233E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, 2017).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>“</w:t>
      </w:r>
      <w:r w:rsidR="00F3233E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F3233E">
        <w:rPr>
          <w:rFonts w:ascii="Times New Roman" w:eastAsia="Times New Roman" w:hAnsi="Times New Roman"/>
          <w:sz w:val="24"/>
          <w:szCs w:val="24"/>
          <w:lang w:val="bg-BG" w:eastAsia="bg-BG"/>
        </w:rPr>
        <w:t>П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>о същество</w:t>
      </w:r>
      <w:r w:rsid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текста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дублира информацията в горния абзац в същата точка, като влиза в допълнителни подробности за територии, които са извън границите на зоната и не би следвало да са предмет на разработката. </w:t>
      </w:r>
      <w:r w:rsidR="00FB76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Аналогични текстове са включен за този вид </w:t>
      </w:r>
      <w:r w:rsidR="00AB0B34">
        <w:rPr>
          <w:rFonts w:ascii="Times New Roman" w:eastAsia="Times New Roman" w:hAnsi="Times New Roman"/>
          <w:sz w:val="24"/>
          <w:szCs w:val="24"/>
          <w:lang w:val="bg-BG" w:eastAsia="bg-BG"/>
        </w:rPr>
        <w:t>и в защитена зона „Рила“</w:t>
      </w:r>
      <w:r w:rsidR="00FB76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</w:t>
      </w:r>
      <w:r w:rsid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Направили сме </w:t>
      </w:r>
      <w:r w:rsidR="00FB7645">
        <w:rPr>
          <w:rFonts w:ascii="Times New Roman" w:eastAsia="Times New Roman" w:hAnsi="Times New Roman"/>
          <w:sz w:val="24"/>
          <w:szCs w:val="24"/>
          <w:lang w:val="bg-BG" w:eastAsia="bg-BG"/>
        </w:rPr>
        <w:t>предложения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FB7645">
        <w:rPr>
          <w:rFonts w:ascii="Times New Roman" w:eastAsia="Times New Roman" w:hAnsi="Times New Roman"/>
          <w:sz w:val="24"/>
          <w:szCs w:val="24"/>
          <w:lang w:val="bg-BG" w:eastAsia="bg-BG"/>
        </w:rPr>
        <w:t>з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>а отпад</w:t>
      </w:r>
      <w:r w:rsidR="00FB7645">
        <w:rPr>
          <w:rFonts w:ascii="Times New Roman" w:eastAsia="Times New Roman" w:hAnsi="Times New Roman"/>
          <w:sz w:val="24"/>
          <w:szCs w:val="24"/>
          <w:lang w:val="bg-BG" w:eastAsia="bg-BG"/>
        </w:rPr>
        <w:t>а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>не</w:t>
      </w:r>
      <w:r w:rsidR="00FB76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тези текстове в цялост от всички цели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>, к</w:t>
      </w:r>
      <w:r w:rsidR="00FB7645">
        <w:rPr>
          <w:rFonts w:ascii="Times New Roman" w:eastAsia="Times New Roman" w:hAnsi="Times New Roman"/>
          <w:sz w:val="24"/>
          <w:szCs w:val="24"/>
          <w:lang w:val="bg-BG" w:eastAsia="bg-BG"/>
        </w:rPr>
        <w:t>оито не са приети</w:t>
      </w:r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Не считаме за коректно в рамките на целите на защитената зона да се коментира инфраструктура и мерки, </w:t>
      </w:r>
      <w:proofErr w:type="spellStart"/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>отстоящи</w:t>
      </w:r>
      <w:proofErr w:type="spellEnd"/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значителни разстояния от нейната граница. Информацията няма пряко отношение към целите, които следва да се постигнат в границите на защитената зона. Свързаността на биокоридорите е </w:t>
      </w:r>
      <w:proofErr w:type="spellStart"/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>таргетирана</w:t>
      </w:r>
      <w:proofErr w:type="spellEnd"/>
      <w:r w:rsidR="00F3233E" w:rsidRPr="00F323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приетия план за действие за вида, като има конкретна мярка за конфликтните точки.</w:t>
      </w:r>
    </w:p>
    <w:p w:rsidR="00F3233E" w:rsidRPr="00F64686" w:rsidRDefault="003F63CC" w:rsidP="004D10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-</w:t>
      </w:r>
      <w:r w:rsidR="00DF40B4" w:rsidRPr="00F64686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="00F92603">
        <w:rPr>
          <w:rFonts w:ascii="Times New Roman" w:hAnsi="Times New Roman"/>
          <w:sz w:val="24"/>
          <w:szCs w:val="24"/>
          <w:lang w:val="bg-BG"/>
        </w:rPr>
        <w:t>З</w:t>
      </w:r>
      <w:r w:rsidR="003071E5" w:rsidRPr="00F64686">
        <w:rPr>
          <w:rFonts w:ascii="Times New Roman" w:hAnsi="Times New Roman"/>
          <w:sz w:val="24"/>
          <w:szCs w:val="24"/>
          <w:lang w:val="bg-BG"/>
        </w:rPr>
        <w:t xml:space="preserve">а вида </w:t>
      </w:r>
      <w:proofErr w:type="spellStart"/>
      <w:r w:rsidR="003071E5" w:rsidRPr="00F64686">
        <w:rPr>
          <w:rFonts w:ascii="Times New Roman" w:hAnsi="Times New Roman"/>
          <w:i/>
          <w:iCs/>
          <w:sz w:val="24"/>
          <w:szCs w:val="24"/>
          <w:lang w:val="bg-BG"/>
        </w:rPr>
        <w:t>Lutra</w:t>
      </w:r>
      <w:proofErr w:type="spellEnd"/>
      <w:r w:rsidR="003071E5" w:rsidRPr="00F64686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="003071E5" w:rsidRPr="00F64686">
        <w:rPr>
          <w:rFonts w:ascii="Times New Roman" w:hAnsi="Times New Roman"/>
          <w:i/>
          <w:iCs/>
          <w:sz w:val="24"/>
          <w:szCs w:val="24"/>
          <w:lang w:val="bg-BG"/>
        </w:rPr>
        <w:t>lutra</w:t>
      </w:r>
      <w:proofErr w:type="spellEnd"/>
      <w:r w:rsidR="003071E5" w:rsidRPr="00F646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7AE5" w:rsidRPr="00F64686">
        <w:rPr>
          <w:rFonts w:ascii="Times New Roman" w:hAnsi="Times New Roman"/>
          <w:sz w:val="24"/>
          <w:szCs w:val="24"/>
          <w:lang w:val="bg-BG"/>
        </w:rPr>
        <w:t>в документи</w:t>
      </w:r>
      <w:r w:rsidR="00803B24" w:rsidRPr="00F64686">
        <w:rPr>
          <w:rFonts w:ascii="Times New Roman" w:hAnsi="Times New Roman"/>
          <w:sz w:val="24"/>
          <w:szCs w:val="24"/>
          <w:lang w:val="bg-BG"/>
        </w:rPr>
        <w:t>те</w:t>
      </w:r>
      <w:r w:rsidR="00337AE5" w:rsidRPr="00F64686">
        <w:rPr>
          <w:rFonts w:ascii="Times New Roman" w:hAnsi="Times New Roman"/>
          <w:sz w:val="24"/>
          <w:szCs w:val="24"/>
          <w:lang w:val="bg-BG"/>
        </w:rPr>
        <w:t xml:space="preserve"> с цели за защитени зони</w:t>
      </w:r>
      <w:r w:rsidR="00803B24" w:rsidRPr="00F646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46C2" w:rsidRPr="00CD27BE">
        <w:rPr>
          <w:rFonts w:ascii="Times New Roman" w:hAnsi="Times New Roman"/>
          <w:sz w:val="24"/>
          <w:szCs w:val="24"/>
          <w:lang w:val="bg-BG"/>
        </w:rPr>
        <w:t>BG0001386 „Яденица“ и BG0000636 „Ниска Рила“</w:t>
      </w:r>
      <w:r w:rsidR="00A119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71E5" w:rsidRPr="00F64686">
        <w:rPr>
          <w:rFonts w:ascii="Times New Roman" w:hAnsi="Times New Roman"/>
          <w:sz w:val="24"/>
          <w:szCs w:val="24"/>
          <w:lang w:val="bg-BG"/>
        </w:rPr>
        <w:t>е включен следния текст „</w:t>
      </w:r>
      <w:r w:rsidR="003071E5" w:rsidRPr="00F64686">
        <w:rPr>
          <w:rFonts w:ascii="Times New Roman" w:hAnsi="Times New Roman"/>
          <w:i/>
          <w:sz w:val="24"/>
          <w:szCs w:val="24"/>
          <w:lang w:val="bg-BG"/>
        </w:rPr>
        <w:t>По отношение на бъдещите заплахи и перспективи яз. Яденица ще бъде извън защитената зона, но ако започне да функционира се очаква това да повлияе на водния оток. А от там и на всички водни организми, които са хранителен ресурс на видрата. Очаква се да има лошо негативно влияние върху популацията на вида. Тази перспектива не разгледана в ОВОС и ОС от 2017г. (</w:t>
      </w:r>
      <w:hyperlink r:id="rId9" w:history="1">
        <w:r w:rsidR="003071E5" w:rsidRPr="00F64686">
          <w:rPr>
            <w:rStyle w:val="Hyperlink"/>
            <w:rFonts w:ascii="Times New Roman" w:hAnsi="Times New Roman"/>
            <w:i/>
            <w:sz w:val="24"/>
            <w:szCs w:val="24"/>
            <w:lang w:val="bg-BG"/>
          </w:rPr>
          <w:t>https://www.moew.government.bg/bg/arhiv-obstestven-dostup-do-dokladi-po-ovos-2016-2017-g/</w:t>
        </w:r>
      </w:hyperlink>
      <w:r w:rsidR="003071E5" w:rsidRPr="00F64686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071E5" w:rsidRPr="00F64686">
        <w:rPr>
          <w:rFonts w:ascii="Times New Roman" w:hAnsi="Times New Roman"/>
          <w:sz w:val="24"/>
          <w:szCs w:val="24"/>
          <w:lang w:val="bg-BG"/>
        </w:rPr>
        <w:t>“. Оценка на качеството на докладите на инвестиционни предложения не следва да е предмет на целите на зоните</w:t>
      </w:r>
      <w:r>
        <w:rPr>
          <w:rFonts w:ascii="Times New Roman" w:hAnsi="Times New Roman"/>
          <w:sz w:val="24"/>
          <w:szCs w:val="24"/>
          <w:lang w:val="bg-BG"/>
        </w:rPr>
        <w:t xml:space="preserve"> и в тази връзка сме п</w:t>
      </w:r>
      <w:r w:rsidR="003071E5" w:rsidRPr="00F64686">
        <w:rPr>
          <w:rFonts w:ascii="Times New Roman" w:hAnsi="Times New Roman"/>
          <w:sz w:val="24"/>
          <w:szCs w:val="24"/>
          <w:lang w:val="bg-BG"/>
        </w:rPr>
        <w:t>редл</w:t>
      </w:r>
      <w:r>
        <w:rPr>
          <w:rFonts w:ascii="Times New Roman" w:hAnsi="Times New Roman"/>
          <w:sz w:val="24"/>
          <w:szCs w:val="24"/>
          <w:lang w:val="bg-BG"/>
        </w:rPr>
        <w:t>ожили</w:t>
      </w:r>
      <w:r w:rsidR="003071E5" w:rsidRPr="00F64686">
        <w:rPr>
          <w:rFonts w:ascii="Times New Roman" w:hAnsi="Times New Roman"/>
          <w:sz w:val="24"/>
          <w:szCs w:val="24"/>
          <w:lang w:val="bg-BG"/>
        </w:rPr>
        <w:t xml:space="preserve"> текст</w:t>
      </w:r>
      <w:r>
        <w:rPr>
          <w:rFonts w:ascii="Times New Roman" w:hAnsi="Times New Roman"/>
          <w:sz w:val="24"/>
          <w:szCs w:val="24"/>
          <w:lang w:val="bg-BG"/>
        </w:rPr>
        <w:t>ът</w:t>
      </w:r>
      <w:r w:rsidR="003071E5" w:rsidRPr="00F64686">
        <w:rPr>
          <w:rFonts w:ascii="Times New Roman" w:hAnsi="Times New Roman"/>
          <w:sz w:val="24"/>
          <w:szCs w:val="24"/>
          <w:lang w:val="bg-BG"/>
        </w:rPr>
        <w:t xml:space="preserve"> да отпадне</w:t>
      </w:r>
      <w:r w:rsidR="00DF40B4" w:rsidRPr="00F64686">
        <w:rPr>
          <w:rFonts w:ascii="Times New Roman" w:eastAsiaTheme="minorHAnsi" w:hAnsi="Times New Roman"/>
          <w:sz w:val="24"/>
          <w:szCs w:val="24"/>
          <w:lang w:val="bg-BG"/>
        </w:rPr>
        <w:t>.</w:t>
      </w:r>
    </w:p>
    <w:p w:rsidR="00CD7651" w:rsidRPr="00CD7651" w:rsidRDefault="004A7FB1" w:rsidP="00F6301F">
      <w:pPr>
        <w:pStyle w:val="ListParagraph"/>
        <w:numPr>
          <w:ilvl w:val="0"/>
          <w:numId w:val="12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Н</w:t>
      </w:r>
      <w:r w:rsidR="00CD7651"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>еобходимостта от прецизиране на данните за подходящите местообитания на определени видове в границите на защитените зони</w:t>
      </w:r>
      <w:r w:rsidR="00F6301F">
        <w:rPr>
          <w:rFonts w:ascii="Times New Roman" w:eastAsia="Times New Roman" w:hAnsi="Times New Roman"/>
          <w:sz w:val="24"/>
          <w:szCs w:val="24"/>
          <w:lang w:val="bg-BG" w:eastAsia="bg-BG"/>
        </w:rPr>
        <w:t>:</w:t>
      </w:r>
    </w:p>
    <w:p w:rsidR="00CD7651" w:rsidRDefault="00CD7651" w:rsidP="00552BB1">
      <w:pPr>
        <w:pStyle w:val="ListParagraph"/>
        <w:numPr>
          <w:ilvl w:val="0"/>
          <w:numId w:val="13"/>
        </w:numPr>
        <w:spacing w:before="120"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52BB1">
        <w:rPr>
          <w:rFonts w:ascii="Times New Roman" w:eastAsia="Times New Roman" w:hAnsi="Times New Roman"/>
          <w:sz w:val="24"/>
          <w:szCs w:val="24"/>
          <w:lang w:val="bg-BG" w:eastAsia="bg-BG"/>
        </w:rPr>
        <w:t>По отношение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вида </w:t>
      </w:r>
      <w:proofErr w:type="spellStart"/>
      <w:r w:rsidRPr="00CD7651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Lutra</w:t>
      </w:r>
      <w:proofErr w:type="spellEnd"/>
      <w:r w:rsidRPr="00CD7651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CD7651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lutra</w:t>
      </w:r>
      <w:proofErr w:type="spellEnd"/>
      <w:r w:rsidR="00F6301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защитена зона </w:t>
      </w:r>
      <w:r w:rsidR="005946C2" w:rsidRPr="00CD27BE">
        <w:rPr>
          <w:rFonts w:ascii="Times New Roman" w:hAnsi="Times New Roman"/>
          <w:sz w:val="24"/>
          <w:szCs w:val="24"/>
          <w:lang w:val="bg-BG"/>
        </w:rPr>
        <w:t>BG0000495 „Рила“</w:t>
      </w:r>
      <w:r w:rsidR="005946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6301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е 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дадена бележка, че в т. 5 е включена противоречива информация за вида, като от една страна се казва, че разработеният модел не е точен, а от друга не се предлагат промени в съществуващите данни за вида. Залагат се междинни цели за разработване на специален модел за потенциалните високопланински планински популации на видрата, който да обхваща всички досега известни находища в планините на България над 1200 m </w:t>
      </w:r>
      <w:proofErr w:type="spellStart"/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>н.в</w:t>
      </w:r>
      <w:proofErr w:type="spellEnd"/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>. с краен срок 2027 г., като дотогава се поддържат потенциалните местообитания по досегашния. Считаме, че предложението не е обосновано доколкото в рамките на анализа на наличните данни и предвид резултатите от теренните изследвания, би следвало моделите за местообитанията на вида да се прецизират в рамките на настоящия договор, така както това е направено за други видове. Предлагаме данните да се прецизират. Предвид изложеното в доклада, не намираме за обосновано запазването на оценката за степен на съхранение С за вида в СФД на зоната в т. 7, като считаме за по-коректна и оценка B за изолация, тъй като зоната опазва горната граница на разпространение на вида в планината. В отговор ИБЕИ-БАН са представили подробна обосновка по отношение на необходимостта от моделиране на национално ниво. Независимо от това, поддържаме бележките си по отношение на данните конкретно за защитената зона, тъй като в текстовете на документите е посочено, че „</w:t>
      </w:r>
      <w:r w:rsidRPr="00CD7651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По отношение на моделите за разпространение на вида, те явно показват изкривяване, защото на места с високопланински езера и малки планински потоци моделът показва пригодност за вида, което е в явно противоречие с неговата екология, биология и липса на хранителен ресурс. На тези места следи от жизнената дейност на вида не са открити, както при сегашното проучване, така и при предходни наши изследвания във високопланинската част на планината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.“. Във връзка с това не считаме, че е редно да се запазват досегашните площи на 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местообитанията на вида в зоната без никакви корекции. Предлагаме въз основа на изложеното към момента да се направят корекции по отношения на полигоните, за които е ясно че са некоректно представени. Също така, обръщаме внимание на текста на заключението в т. 5 от целите, който гласи „</w:t>
      </w:r>
      <w:r w:rsidRPr="00CD7651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Състоянието на видрата в защитената зона е благоприятно. Има установени заплахи, но те не са критични за състоянието на вида. Не се предлагат промени в съществуващите карти за вида.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>“ Предвид това поддържаме бележката с</w:t>
      </w:r>
      <w:r w:rsidR="009A678A">
        <w:rPr>
          <w:rFonts w:ascii="Times New Roman" w:eastAsia="Times New Roman" w:hAnsi="Times New Roman"/>
          <w:sz w:val="24"/>
          <w:szCs w:val="24"/>
          <w:lang w:val="bg-BG" w:eastAsia="bg-BG"/>
        </w:rPr>
        <w:t>и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 наличие на противоречие между този текст и оценка за съхранение </w:t>
      </w:r>
      <w:r w:rsidRPr="00CD7651">
        <w:rPr>
          <w:rFonts w:ascii="Times New Roman" w:eastAsia="Times New Roman" w:hAnsi="Times New Roman"/>
          <w:sz w:val="24"/>
          <w:szCs w:val="24"/>
          <w:lang w:val="en-GB" w:eastAsia="bg-BG"/>
        </w:rPr>
        <w:t>C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стандартния формуляр на зоната</w:t>
      </w:r>
      <w:r w:rsidRPr="00CD7651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. 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>Считаме</w:t>
      </w:r>
      <w:r w:rsidR="009A5400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че текстовете и оценките следва да бъдат приведени в съответствие или допълнително обосновани съобразно критериите в насоките на ЕК. </w:t>
      </w:r>
    </w:p>
    <w:p w:rsidR="00552BB1" w:rsidRPr="00CD7651" w:rsidRDefault="00552BB1" w:rsidP="00552BB1">
      <w:pPr>
        <w:pStyle w:val="ListParagraph"/>
        <w:numPr>
          <w:ilvl w:val="0"/>
          <w:numId w:val="13"/>
        </w:numPr>
        <w:spacing w:before="120" w:after="120" w:line="240" w:lineRule="auto"/>
        <w:ind w:left="0" w:firstLine="142"/>
        <w:contextualSpacing w:val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По отношение на модела на местообитанията на вида </w:t>
      </w:r>
      <w:proofErr w:type="spellStart"/>
      <w:r w:rsidRPr="005D61CF">
        <w:rPr>
          <w:rFonts w:ascii="Times New Roman" w:hAnsi="Times New Roman"/>
          <w:sz w:val="24"/>
          <w:szCs w:val="24"/>
        </w:rPr>
        <w:t>Европейски</w:t>
      </w:r>
      <w:proofErr w:type="spellEnd"/>
      <w:r w:rsidRPr="005D6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61CF">
        <w:rPr>
          <w:rFonts w:ascii="Times New Roman" w:hAnsi="Times New Roman"/>
          <w:sz w:val="24"/>
          <w:szCs w:val="24"/>
        </w:rPr>
        <w:t>лалугер</w:t>
      </w:r>
      <w:proofErr w:type="spellEnd"/>
      <w:r w:rsidRPr="005D6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в защитена зона </w:t>
      </w:r>
      <w:r w:rsidRPr="00CD27BE">
        <w:rPr>
          <w:rFonts w:ascii="Times New Roman" w:hAnsi="Times New Roman"/>
          <w:sz w:val="24"/>
          <w:szCs w:val="24"/>
          <w:lang w:val="bg-BG"/>
        </w:rPr>
        <w:t>BG0000495 „Рила“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- 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бележка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по т. 29 за зоната от предходното становище на дирекция НСЗП. В отговора на бележката е посочено</w:t>
      </w:r>
      <w:r w:rsidRPr="00CD7651">
        <w:rPr>
          <w:rFonts w:ascii="Times New Roman" w:eastAsia="Times New Roman" w:hAnsi="Times New Roman"/>
          <w:sz w:val="24"/>
          <w:szCs w:val="24"/>
          <w:lang w:val="bg-BG" w:eastAsia="bg-BG"/>
        </w:rPr>
        <w:t>, че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886C69">
        <w:rPr>
          <w:rFonts w:ascii="Times New Roman" w:eastAsia="Times New Roman" w:hAnsi="Times New Roman"/>
          <w:sz w:val="24"/>
          <w:szCs w:val="24"/>
          <w:lang w:val="bg-BG" w:eastAsia="bg-BG"/>
        </w:rPr>
        <w:t>п</w:t>
      </w:r>
      <w:r w:rsidRPr="00552BB1">
        <w:rPr>
          <w:rFonts w:ascii="Times New Roman" w:eastAsia="Times New Roman" w:hAnsi="Times New Roman"/>
          <w:sz w:val="24"/>
          <w:szCs w:val="24"/>
          <w:lang w:val="bg-BG" w:eastAsia="bg-BG"/>
        </w:rPr>
        <w:t>редложението за изработка на нов модел е премахнато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 Екип от международни учени и учени</w:t>
      </w:r>
      <w:r w:rsidRPr="00552BB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ИБЕИ-БАН усилено работи по създаването на нов актуализиран модел на разпространение на вида за цялата страна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 В тази връзка считаме, че представената нова информация</w:t>
      </w:r>
      <w:r w:rsidR="004D46E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следва да бъде отразена и в документа за целите на зоната.</w:t>
      </w:r>
    </w:p>
    <w:p w:rsidR="00CB3054" w:rsidRDefault="00DE2375" w:rsidP="00F92603">
      <w:pPr>
        <w:pStyle w:val="ListParagraph"/>
        <w:numPr>
          <w:ilvl w:val="0"/>
          <w:numId w:val="12"/>
        </w:numPr>
        <w:spacing w:before="120" w:after="12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CB3054">
        <w:rPr>
          <w:rFonts w:ascii="Times New Roman" w:hAnsi="Times New Roman"/>
          <w:sz w:val="24"/>
          <w:szCs w:val="24"/>
          <w:lang w:val="bg-BG"/>
        </w:rPr>
        <w:t xml:space="preserve">Възприетия подход </w:t>
      </w:r>
      <w:r w:rsidR="00073005" w:rsidRPr="00CB3054">
        <w:rPr>
          <w:rFonts w:ascii="Times New Roman" w:hAnsi="Times New Roman"/>
          <w:sz w:val="24"/>
          <w:szCs w:val="24"/>
          <w:lang w:val="bg-BG"/>
        </w:rPr>
        <w:t>в</w:t>
      </w:r>
      <w:r w:rsidR="00D06E64">
        <w:rPr>
          <w:rFonts w:ascii="Times New Roman" w:hAnsi="Times New Roman"/>
          <w:sz w:val="24"/>
          <w:szCs w:val="24"/>
          <w:lang w:val="bg-BG"/>
        </w:rPr>
        <w:t xml:space="preserve"> защитена зона </w:t>
      </w:r>
      <w:r w:rsidR="00D06E64" w:rsidRPr="00CD27BE">
        <w:rPr>
          <w:rFonts w:ascii="Times New Roman" w:hAnsi="Times New Roman"/>
          <w:sz w:val="24"/>
          <w:szCs w:val="24"/>
          <w:lang w:val="bg-BG"/>
        </w:rPr>
        <w:t>BG0000636 „Ниска Рила“</w:t>
      </w:r>
      <w:r w:rsidR="00073005" w:rsidRPr="00CB3054">
        <w:rPr>
          <w:rFonts w:ascii="Times New Roman" w:hAnsi="Times New Roman"/>
          <w:sz w:val="24"/>
          <w:szCs w:val="24"/>
          <w:lang w:val="bg-BG"/>
        </w:rPr>
        <w:t xml:space="preserve"> докладите от извършено картиране </w:t>
      </w:r>
      <w:r w:rsidRPr="00CB3054">
        <w:rPr>
          <w:rFonts w:ascii="Times New Roman" w:hAnsi="Times New Roman"/>
          <w:sz w:val="24"/>
          <w:szCs w:val="24"/>
          <w:lang w:val="bg-BG"/>
        </w:rPr>
        <w:t>за горските местообитания 9110, 9150, 91М0</w:t>
      </w:r>
      <w:r w:rsidR="000E5D8D">
        <w:rPr>
          <w:rFonts w:ascii="Times New Roman" w:hAnsi="Times New Roman"/>
          <w:sz w:val="24"/>
          <w:szCs w:val="24"/>
          <w:lang w:val="bg-BG"/>
        </w:rPr>
        <w:t>,</w:t>
      </w:r>
      <w:r w:rsidRPr="00CB3054">
        <w:rPr>
          <w:rFonts w:ascii="Times New Roman" w:hAnsi="Times New Roman"/>
          <w:sz w:val="24"/>
          <w:szCs w:val="24"/>
          <w:lang w:val="bg-BG"/>
        </w:rPr>
        <w:t xml:space="preserve"> за които по параметър „</w:t>
      </w:r>
      <w:r w:rsidRPr="00CB3054">
        <w:rPr>
          <w:rFonts w:ascii="Times New Roman" w:hAnsi="Times New Roman"/>
          <w:i/>
          <w:sz w:val="24"/>
          <w:szCs w:val="24"/>
          <w:lang w:val="bg-BG"/>
        </w:rPr>
        <w:t>Гори във фаза на старост</w:t>
      </w:r>
      <w:r w:rsidRPr="00CB3054">
        <w:rPr>
          <w:rFonts w:ascii="Times New Roman" w:hAnsi="Times New Roman"/>
          <w:sz w:val="24"/>
          <w:szCs w:val="24"/>
          <w:lang w:val="bg-BG"/>
        </w:rPr>
        <w:t>“ е дадена неблагоприятна оценка, единствен</w:t>
      </w:r>
      <w:r w:rsidR="001A0029">
        <w:rPr>
          <w:rFonts w:ascii="Times New Roman" w:hAnsi="Times New Roman"/>
          <w:sz w:val="24"/>
          <w:szCs w:val="24"/>
          <w:lang w:val="bg-BG"/>
        </w:rPr>
        <w:t>о</w:t>
      </w:r>
      <w:r w:rsidRPr="00CB3054">
        <w:rPr>
          <w:rFonts w:ascii="Times New Roman" w:hAnsi="Times New Roman"/>
          <w:sz w:val="24"/>
          <w:szCs w:val="24"/>
          <w:lang w:val="bg-BG"/>
        </w:rPr>
        <w:t xml:space="preserve"> и само позовавайки се на мотива, че „</w:t>
      </w:r>
      <w:r w:rsidRPr="00CB3054">
        <w:rPr>
          <w:rFonts w:ascii="Times New Roman" w:hAnsi="Times New Roman"/>
          <w:i/>
          <w:sz w:val="24"/>
          <w:szCs w:val="24"/>
          <w:lang w:val="bg-BG"/>
        </w:rPr>
        <w:t xml:space="preserve">В </w:t>
      </w:r>
      <w:r w:rsidRPr="00CB3054">
        <w:rPr>
          <w:rFonts w:ascii="Times New Roman" w:eastAsia="SimSun" w:hAnsi="Times New Roman"/>
          <w:i/>
          <w:sz w:val="24"/>
          <w:szCs w:val="24"/>
          <w:lang w:val="bg-BG" w:bidi="hi-IN"/>
        </w:rPr>
        <w:t>границите</w:t>
      </w:r>
      <w:r w:rsidRPr="00CB3054">
        <w:rPr>
          <w:rFonts w:ascii="Times New Roman" w:hAnsi="Times New Roman"/>
          <w:i/>
          <w:sz w:val="24"/>
          <w:szCs w:val="24"/>
          <w:lang w:val="bg-BG"/>
        </w:rPr>
        <w:t xml:space="preserve"> на защитената зона, няма обявени Гори във фаза на старост...</w:t>
      </w:r>
      <w:r w:rsidRPr="00CB3054">
        <w:rPr>
          <w:rFonts w:ascii="Times New Roman" w:hAnsi="Times New Roman"/>
          <w:sz w:val="24"/>
          <w:szCs w:val="24"/>
          <w:lang w:val="bg-BG"/>
        </w:rPr>
        <w:t>“. Обявяването е чисто админ</w:t>
      </w:r>
      <w:r w:rsidR="00073005" w:rsidRPr="00CB3054">
        <w:rPr>
          <w:rFonts w:ascii="Times New Roman" w:hAnsi="Times New Roman"/>
          <w:sz w:val="24"/>
          <w:szCs w:val="24"/>
          <w:lang w:val="bg-BG"/>
        </w:rPr>
        <w:t xml:space="preserve">истративен процес </w:t>
      </w:r>
      <w:r w:rsidRPr="00CB3054">
        <w:rPr>
          <w:rFonts w:ascii="Times New Roman" w:hAnsi="Times New Roman"/>
          <w:sz w:val="24"/>
          <w:szCs w:val="24"/>
          <w:lang w:val="bg-BG"/>
        </w:rPr>
        <w:t xml:space="preserve">и липсата на </w:t>
      </w:r>
      <w:r w:rsidR="00CB3054" w:rsidRPr="00CB3054">
        <w:rPr>
          <w:rFonts w:ascii="Times New Roman" w:hAnsi="Times New Roman"/>
          <w:sz w:val="24"/>
          <w:szCs w:val="24"/>
          <w:lang w:val="bg-BG"/>
        </w:rPr>
        <w:t xml:space="preserve">проведена  </w:t>
      </w:r>
      <w:r w:rsidRPr="00CB3054">
        <w:rPr>
          <w:rFonts w:ascii="Times New Roman" w:hAnsi="Times New Roman"/>
          <w:sz w:val="24"/>
          <w:szCs w:val="24"/>
          <w:lang w:val="bg-BG"/>
        </w:rPr>
        <w:t>административна процедура не може да се яви основани</w:t>
      </w:r>
      <w:r w:rsidR="00CB3054" w:rsidRPr="00CB3054">
        <w:rPr>
          <w:rFonts w:ascii="Times New Roman" w:hAnsi="Times New Roman"/>
          <w:sz w:val="24"/>
          <w:szCs w:val="24"/>
          <w:lang w:val="bg-BG"/>
        </w:rPr>
        <w:t>е</w:t>
      </w:r>
      <w:r w:rsidRPr="00CB3054">
        <w:rPr>
          <w:rFonts w:ascii="Times New Roman" w:hAnsi="Times New Roman"/>
          <w:sz w:val="24"/>
          <w:szCs w:val="24"/>
          <w:lang w:val="bg-BG"/>
        </w:rPr>
        <w:t xml:space="preserve"> за влошено състояние. </w:t>
      </w:r>
    </w:p>
    <w:p w:rsidR="00DE2375" w:rsidRPr="00D86E24" w:rsidRDefault="00DE2375" w:rsidP="00F9260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6E24">
        <w:rPr>
          <w:rFonts w:ascii="Times New Roman" w:hAnsi="Times New Roman"/>
          <w:sz w:val="24"/>
          <w:szCs w:val="24"/>
          <w:lang w:val="bg-BG"/>
        </w:rPr>
        <w:t>За местообитание 9180 по същия параметър е дадена неблагоприятна оценка с мотив „</w:t>
      </w:r>
      <w:r w:rsidRPr="00D86E24">
        <w:rPr>
          <w:rFonts w:ascii="Times New Roman" w:hAnsi="Times New Roman"/>
          <w:i/>
          <w:sz w:val="24"/>
          <w:szCs w:val="24"/>
          <w:lang w:val="bg-BG"/>
        </w:rPr>
        <w:t xml:space="preserve">Не са обособени гори във фаза на старост от </w:t>
      </w:r>
      <w:proofErr w:type="spellStart"/>
      <w:r w:rsidRPr="00D86E24">
        <w:rPr>
          <w:rFonts w:ascii="Times New Roman" w:hAnsi="Times New Roman"/>
          <w:i/>
          <w:sz w:val="24"/>
          <w:szCs w:val="24"/>
          <w:lang w:val="bg-BG"/>
        </w:rPr>
        <w:t>местоoбитание</w:t>
      </w:r>
      <w:proofErr w:type="spellEnd"/>
      <w:r w:rsidRPr="00D86E24">
        <w:rPr>
          <w:rFonts w:ascii="Times New Roman" w:hAnsi="Times New Roman"/>
          <w:i/>
          <w:sz w:val="24"/>
          <w:szCs w:val="24"/>
          <w:lang w:val="bg-BG"/>
        </w:rPr>
        <w:t xml:space="preserve"> 9180*. В действителност има налични такив</w:t>
      </w:r>
      <w:bookmarkStart w:id="0" w:name="_GoBack"/>
      <w:bookmarkEnd w:id="0"/>
      <w:r w:rsidRPr="00D86E24">
        <w:rPr>
          <w:rFonts w:ascii="Times New Roman" w:hAnsi="Times New Roman"/>
          <w:i/>
          <w:sz w:val="24"/>
          <w:szCs w:val="24"/>
          <w:lang w:val="bg-BG"/>
        </w:rPr>
        <w:t>а, които могат да бъдат обявени</w:t>
      </w:r>
      <w:r w:rsidRPr="00D86E24">
        <w:rPr>
          <w:rFonts w:ascii="Times New Roman" w:hAnsi="Times New Roman"/>
          <w:sz w:val="24"/>
          <w:szCs w:val="24"/>
          <w:lang w:val="bg-BG"/>
        </w:rPr>
        <w:t xml:space="preserve">.“, т.е. изрично е посочено, че има подходящи гори съгласно разпоредбите на Наредба №8 и това недвусмислено показва, че по този параметър местообитанието следва да е в благоприятно състояние. Както посочихме по-горе липсата на административен акт, не е причина за неблагоприятна </w:t>
      </w:r>
      <w:r w:rsidRPr="006F15BF">
        <w:rPr>
          <w:rFonts w:ascii="Times New Roman" w:hAnsi="Times New Roman"/>
          <w:sz w:val="24"/>
          <w:szCs w:val="24"/>
          <w:lang w:val="bg-BG"/>
        </w:rPr>
        <w:t>състояние. Очакваме необходимите цифрови данни за подходящите площи, да бъдат внесени в МОСВ.</w:t>
      </w:r>
    </w:p>
    <w:p w:rsidR="00DE2375" w:rsidRDefault="00DE2375" w:rsidP="00F92603">
      <w:pPr>
        <w:spacing w:before="120" w:after="12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D27BE">
        <w:rPr>
          <w:rFonts w:ascii="Times New Roman" w:hAnsi="Times New Roman"/>
          <w:sz w:val="24"/>
          <w:szCs w:val="24"/>
          <w:lang w:val="bg-BG"/>
        </w:rPr>
        <w:t>За 91СА по този параметър е дадена оценка U1 със следния мотив „</w:t>
      </w:r>
      <w:r w:rsidRPr="00CD27BE">
        <w:rPr>
          <w:rFonts w:ascii="Times New Roman" w:hAnsi="Times New Roman"/>
          <w:i/>
          <w:sz w:val="24"/>
          <w:szCs w:val="24"/>
          <w:lang w:val="bg-BG"/>
        </w:rPr>
        <w:t>Обявени са гори във фаза на старост от местообитание 91СA върху площ 615,5 ha, което е под 10% от общата площ на местообитанието в зоната.</w:t>
      </w:r>
      <w:r w:rsidRPr="00CD27BE">
        <w:rPr>
          <w:rFonts w:ascii="Times New Roman" w:hAnsi="Times New Roman"/>
          <w:sz w:val="24"/>
          <w:szCs w:val="24"/>
          <w:lang w:val="bg-BG"/>
        </w:rPr>
        <w:t>“. Да се подсили мотивировката и да се поясни обвързаността между дадената оценка и процентите от площта на местообитанието обявени за гори във фаза на старост. Същата необходимост за подсилване на мотивировката важи и за 91W0 и 9410.</w:t>
      </w:r>
      <w:r w:rsidRPr="00755B73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:rsidR="000D1826" w:rsidRPr="000D1826" w:rsidRDefault="00092F36" w:rsidP="00F92603">
      <w:pPr>
        <w:pStyle w:val="ListParagraph"/>
        <w:numPr>
          <w:ilvl w:val="0"/>
          <w:numId w:val="12"/>
        </w:numPr>
        <w:spacing w:before="120" w:after="12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1826">
        <w:rPr>
          <w:rFonts w:ascii="Times New Roman" w:eastAsiaTheme="minorHAnsi" w:hAnsi="Times New Roman"/>
          <w:sz w:val="24"/>
          <w:szCs w:val="24"/>
          <w:lang w:val="bg-BG"/>
        </w:rPr>
        <w:t xml:space="preserve">Отново относно </w:t>
      </w:r>
      <w:r w:rsidRPr="000D1826">
        <w:rPr>
          <w:rFonts w:ascii="Times New Roman" w:hAnsi="Times New Roman"/>
          <w:sz w:val="24"/>
          <w:szCs w:val="24"/>
          <w:lang w:val="bg-BG"/>
        </w:rPr>
        <w:t>възприетия подход в</w:t>
      </w:r>
      <w:r w:rsidR="00D06E64">
        <w:rPr>
          <w:rFonts w:ascii="Times New Roman" w:hAnsi="Times New Roman"/>
          <w:sz w:val="24"/>
          <w:szCs w:val="24"/>
          <w:lang w:val="bg-BG"/>
        </w:rPr>
        <w:t xml:space="preserve"> защитена зона </w:t>
      </w:r>
      <w:r w:rsidR="00D06E64" w:rsidRPr="00CD27BE">
        <w:rPr>
          <w:rFonts w:ascii="Times New Roman" w:hAnsi="Times New Roman"/>
          <w:sz w:val="24"/>
          <w:szCs w:val="24"/>
          <w:lang w:val="bg-BG"/>
        </w:rPr>
        <w:t>BG0000636 „Ниска Рила“</w:t>
      </w:r>
      <w:r w:rsidRPr="000D182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6E64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0D1826">
        <w:rPr>
          <w:rFonts w:ascii="Times New Roman" w:hAnsi="Times New Roman"/>
          <w:sz w:val="24"/>
          <w:szCs w:val="24"/>
          <w:lang w:val="bg-BG"/>
        </w:rPr>
        <w:t>докладите от извършено картиране за горските местообитания, за които се дава оценка неблагоприятно</w:t>
      </w:r>
      <w:r w:rsidR="00952989" w:rsidRPr="000D1826">
        <w:rPr>
          <w:rFonts w:ascii="Times New Roman" w:hAnsi="Times New Roman"/>
          <w:sz w:val="24"/>
          <w:szCs w:val="24"/>
          <w:lang w:val="bg-BG"/>
        </w:rPr>
        <w:t xml:space="preserve">-незадоволително по параметър </w:t>
      </w:r>
      <w:proofErr w:type="spellStart"/>
      <w:r w:rsidR="00952989" w:rsidRPr="000D1826">
        <w:rPr>
          <w:rFonts w:ascii="Times New Roman" w:hAnsi="Times New Roman"/>
          <w:sz w:val="24"/>
          <w:szCs w:val="24"/>
        </w:rPr>
        <w:t>Параметър</w:t>
      </w:r>
      <w:proofErr w:type="spellEnd"/>
      <w:r w:rsidR="00952989" w:rsidRPr="000D1826">
        <w:rPr>
          <w:rFonts w:ascii="Times New Roman" w:hAnsi="Times New Roman"/>
          <w:sz w:val="24"/>
          <w:szCs w:val="24"/>
        </w:rPr>
        <w:t xml:space="preserve"> 3.6. </w:t>
      </w:r>
      <w:proofErr w:type="spellStart"/>
      <w:r w:rsidR="00952989" w:rsidRPr="000D1826">
        <w:rPr>
          <w:rFonts w:ascii="Times New Roman" w:hAnsi="Times New Roman"/>
          <w:sz w:val="24"/>
          <w:szCs w:val="24"/>
        </w:rPr>
        <w:t>Строителство</w:t>
      </w:r>
      <w:proofErr w:type="spellEnd"/>
      <w:r w:rsidR="00952989" w:rsidRPr="000D18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52989" w:rsidRPr="000D1826">
        <w:rPr>
          <w:rFonts w:ascii="Times New Roman" w:hAnsi="Times New Roman"/>
          <w:sz w:val="24"/>
          <w:szCs w:val="24"/>
        </w:rPr>
        <w:t>инфраструктура</w:t>
      </w:r>
      <w:proofErr w:type="spellEnd"/>
      <w:r w:rsidR="00952989" w:rsidRPr="000D1826">
        <w:rPr>
          <w:rFonts w:ascii="Times New Roman" w:hAnsi="Times New Roman"/>
          <w:sz w:val="24"/>
          <w:szCs w:val="24"/>
          <w:lang w:val="bg-BG"/>
        </w:rPr>
        <w:t xml:space="preserve"> с мотиви свързани с </w:t>
      </w:r>
      <w:r w:rsidR="009F20D5" w:rsidRPr="000D1826">
        <w:rPr>
          <w:rFonts w:ascii="Times New Roman" w:hAnsi="Times New Roman"/>
          <w:sz w:val="24"/>
          <w:szCs w:val="24"/>
          <w:lang w:val="bg-BG"/>
        </w:rPr>
        <w:t xml:space="preserve">наличие на </w:t>
      </w:r>
      <w:r w:rsidR="00952989" w:rsidRPr="000D1826">
        <w:rPr>
          <w:rFonts w:ascii="Times New Roman" w:hAnsi="Times New Roman"/>
          <w:i/>
          <w:sz w:val="24"/>
          <w:szCs w:val="24"/>
          <w:lang w:val="bg-BG"/>
        </w:rPr>
        <w:t>електропроводи, асфалтови пътища,</w:t>
      </w:r>
      <w:r w:rsidR="00952989" w:rsidRPr="000D1826">
        <w:rPr>
          <w:rFonts w:ascii="Times New Roman" w:eastAsia="SimSun" w:hAnsi="Times New Roman"/>
          <w:i/>
          <w:kern w:val="1"/>
          <w:sz w:val="24"/>
          <w:szCs w:val="24"/>
          <w:lang w:val="bg-BG" w:eastAsia="hi-IN" w:bidi="hi-IN"/>
        </w:rPr>
        <w:t xml:space="preserve"> писти и съоръжения и т.н.</w:t>
      </w:r>
      <w:r w:rsidR="000D1826" w:rsidRPr="000D1826">
        <w:rPr>
          <w:rFonts w:ascii="Times New Roman" w:eastAsia="SimSun" w:hAnsi="Times New Roman"/>
          <w:i/>
          <w:kern w:val="1"/>
          <w:sz w:val="24"/>
          <w:szCs w:val="24"/>
          <w:lang w:val="bg-BG" w:eastAsia="hi-IN" w:bidi="hi-IN"/>
        </w:rPr>
        <w:t xml:space="preserve"> </w:t>
      </w:r>
      <w:r w:rsidR="000D1826" w:rsidRPr="000D1826">
        <w:rPr>
          <w:rFonts w:ascii="Times New Roman" w:hAnsi="Times New Roman"/>
          <w:sz w:val="24"/>
          <w:szCs w:val="24"/>
          <w:lang w:val="bg-BG"/>
        </w:rPr>
        <w:t xml:space="preserve">Поддържането на сервитутна ивица под електропроводите е изрично задължение на оператора, като същото важи и за пътната инфраструктура. В сервитута на електропреносна мрежа не може да се допуска разпространение на дървесни видове и същите подлежат на техническа сеч. В случай че дърветата са на границата на сервитута, те подлежат на кастрене. Обръщам внимание, че в случаите когато електропреносните съоръжения или асфалтирани пътища, са реализирани преди одобряването на защитената зона BG0000636„Ниска Рила“ с решение на МС, то всички реализирани ИП и ППП са в заварено положение, което е отчетено от експертите предлагащи територията, с всички нейни специфики, за защитена зона. В случаите на реализация на ИП и ППП след датата на одобряване на зоната са прилагани процедурните изисквания на Наредбата за ОС и всяка </w:t>
      </w:r>
      <w:r w:rsidR="000D1826" w:rsidRPr="000D1826">
        <w:rPr>
          <w:rFonts w:ascii="Times New Roman" w:hAnsi="Times New Roman"/>
          <w:sz w:val="24"/>
          <w:szCs w:val="24"/>
          <w:lang w:val="bg-BG"/>
        </w:rPr>
        <w:lastRenderedPageBreak/>
        <w:t>вероятност от значително отрицателно въздействие върху горските местообитания е била предмет на преценка и при необходимост в последствие дълбока оценка. В тази връзка поддържането на сервитут под електропреносна мрежа, чрез извършване на задължителна техническа сеч не е редно да се тълкува като причина за влошаване на състоянието. Същото важи и за асфалтовите пътища.</w:t>
      </w:r>
    </w:p>
    <w:p w:rsidR="00A36F58" w:rsidRPr="006F15BF" w:rsidRDefault="00A36F58" w:rsidP="00F92603">
      <w:pPr>
        <w:pStyle w:val="ListParagraph"/>
        <w:numPr>
          <w:ilvl w:val="0"/>
          <w:numId w:val="12"/>
        </w:numPr>
        <w:spacing w:before="120"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Разминаването между установения към момента подход</w:t>
      </w:r>
      <w:r w:rsidRPr="00CD27BE">
        <w:rPr>
          <w:rFonts w:ascii="Times New Roman" w:hAnsi="Times New Roman"/>
          <w:sz w:val="24"/>
          <w:szCs w:val="24"/>
          <w:lang w:val="bg-BG"/>
        </w:rPr>
        <w:t xml:space="preserve"> от специфичните доклади към проект Картиране</w:t>
      </w:r>
      <w:r>
        <w:rPr>
          <w:rFonts w:ascii="Times New Roman" w:hAnsi="Times New Roman"/>
          <w:sz w:val="24"/>
          <w:szCs w:val="24"/>
          <w:lang w:val="bg-BG"/>
        </w:rPr>
        <w:t xml:space="preserve"> и предложените </w:t>
      </w:r>
      <w:r w:rsidR="0078097F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8D5F2F">
        <w:rPr>
          <w:rFonts w:ascii="Times New Roman" w:hAnsi="Times New Roman"/>
          <w:sz w:val="24"/>
          <w:szCs w:val="24"/>
          <w:lang w:val="bg-BG"/>
        </w:rPr>
        <w:t xml:space="preserve">защитена зона </w:t>
      </w:r>
      <w:r w:rsidR="008D5F2F" w:rsidRPr="00CD27BE">
        <w:rPr>
          <w:rFonts w:ascii="Times New Roman" w:hAnsi="Times New Roman"/>
          <w:sz w:val="24"/>
          <w:szCs w:val="24"/>
          <w:lang w:val="bg-BG"/>
        </w:rPr>
        <w:t>BG0000636 „Ниска Рила“</w:t>
      </w:r>
      <w:r w:rsidR="0078097F">
        <w:rPr>
          <w:rFonts w:ascii="Times New Roman" w:hAnsi="Times New Roman"/>
          <w:sz w:val="24"/>
          <w:szCs w:val="24"/>
          <w:lang w:val="bg-BG"/>
        </w:rPr>
        <w:t>. Съгласно установения до момента подход за безгръбначни животни</w:t>
      </w:r>
      <w:r w:rsidR="002107C5">
        <w:rPr>
          <w:rFonts w:ascii="Times New Roman" w:hAnsi="Times New Roman"/>
          <w:sz w:val="24"/>
          <w:szCs w:val="24"/>
          <w:lang w:val="bg-BG"/>
        </w:rPr>
        <w:t xml:space="preserve"> (</w:t>
      </w:r>
      <w:proofErr w:type="spellStart"/>
      <w:r w:rsidR="002107C5" w:rsidRPr="001155F2"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>Rosalia</w:t>
      </w:r>
      <w:proofErr w:type="spellEnd"/>
      <w:r w:rsidR="002107C5" w:rsidRPr="001155F2"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="002107C5" w:rsidRPr="001155F2"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>alpina</w:t>
      </w:r>
      <w:proofErr w:type="spellEnd"/>
      <w:r w:rsidRPr="00CD27BE">
        <w:rPr>
          <w:rFonts w:ascii="Times New Roman" w:hAnsi="Times New Roman"/>
          <w:sz w:val="24"/>
          <w:szCs w:val="24"/>
          <w:lang w:val="bg-BG"/>
        </w:rPr>
        <w:t>,</w:t>
      </w:r>
      <w:r w:rsidR="002107C5" w:rsidRPr="002107C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2107C5" w:rsidRPr="001155F2">
        <w:rPr>
          <w:rFonts w:ascii="Times New Roman" w:hAnsi="Times New Roman"/>
          <w:i/>
          <w:sz w:val="24"/>
          <w:szCs w:val="24"/>
          <w:lang w:val="bg-BG"/>
        </w:rPr>
        <w:t>Lucanus</w:t>
      </w:r>
      <w:proofErr w:type="spellEnd"/>
      <w:r w:rsidR="002107C5" w:rsidRPr="001155F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2107C5" w:rsidRPr="001155F2">
        <w:rPr>
          <w:rFonts w:ascii="Times New Roman" w:hAnsi="Times New Roman"/>
          <w:i/>
          <w:sz w:val="24"/>
          <w:szCs w:val="24"/>
          <w:lang w:val="bg-BG"/>
        </w:rPr>
        <w:t>cervus</w:t>
      </w:r>
      <w:proofErr w:type="spellEnd"/>
      <w:r w:rsidR="002107C5" w:rsidRPr="001155F2">
        <w:rPr>
          <w:rFonts w:ascii="Times New Roman" w:hAnsi="Times New Roman"/>
          <w:i/>
          <w:sz w:val="24"/>
          <w:szCs w:val="24"/>
          <w:lang w:val="bg-BG"/>
        </w:rPr>
        <w:t>,</w:t>
      </w:r>
      <w:r w:rsidR="002107C5" w:rsidRPr="001155F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107C5" w:rsidRPr="001155F2">
        <w:rPr>
          <w:rFonts w:ascii="Times New Roman" w:hAnsi="Times New Roman"/>
          <w:i/>
          <w:sz w:val="24"/>
          <w:szCs w:val="24"/>
          <w:lang w:val="bg-BG"/>
        </w:rPr>
        <w:t>Morimus</w:t>
      </w:r>
      <w:proofErr w:type="spellEnd"/>
      <w:r w:rsidR="002107C5" w:rsidRPr="001155F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2107C5" w:rsidRPr="001155F2">
        <w:rPr>
          <w:rFonts w:ascii="Times New Roman" w:hAnsi="Times New Roman"/>
          <w:i/>
          <w:sz w:val="24"/>
          <w:szCs w:val="24"/>
          <w:lang w:val="bg-BG"/>
        </w:rPr>
        <w:t>funereus</w:t>
      </w:r>
      <w:proofErr w:type="spellEnd"/>
      <w:r w:rsidR="002107C5" w:rsidRPr="001155F2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proofErr w:type="spellStart"/>
      <w:r w:rsidR="002107C5" w:rsidRPr="001155F2">
        <w:rPr>
          <w:rFonts w:ascii="Times New Roman" w:hAnsi="Times New Roman"/>
          <w:bCs/>
          <w:i/>
          <w:color w:val="000000" w:themeColor="text1"/>
          <w:sz w:val="24"/>
          <w:szCs w:val="24"/>
          <w:lang w:val="bg-BG"/>
        </w:rPr>
        <w:t>Cucujus</w:t>
      </w:r>
      <w:proofErr w:type="spellEnd"/>
      <w:r w:rsidR="002107C5" w:rsidRPr="001155F2">
        <w:rPr>
          <w:rFonts w:ascii="Times New Roman" w:hAnsi="Times New Roman"/>
          <w:bCs/>
          <w:i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2107C5" w:rsidRPr="001155F2">
        <w:rPr>
          <w:rFonts w:ascii="Times New Roman" w:hAnsi="Times New Roman"/>
          <w:bCs/>
          <w:i/>
          <w:color w:val="000000" w:themeColor="text1"/>
          <w:sz w:val="24"/>
          <w:szCs w:val="24"/>
          <w:lang w:val="bg-BG"/>
        </w:rPr>
        <w:t>cinnaberinus</w:t>
      </w:r>
      <w:proofErr w:type="spellEnd"/>
      <w:r w:rsidR="002107C5" w:rsidRPr="002107C5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)</w:t>
      </w:r>
      <w:r w:rsidRPr="00CD27BE">
        <w:rPr>
          <w:rFonts w:ascii="Times New Roman" w:hAnsi="Times New Roman"/>
          <w:sz w:val="24"/>
          <w:szCs w:val="24"/>
          <w:lang w:val="bg-BG"/>
        </w:rPr>
        <w:t xml:space="preserve"> като подходящи са означени оптималните местообитания и като площ са по-малки от потенциалните, за разлика от представената </w:t>
      </w:r>
      <w:r w:rsidRPr="006F15BF">
        <w:rPr>
          <w:rFonts w:ascii="Times New Roman" w:hAnsi="Times New Roman"/>
          <w:sz w:val="24"/>
          <w:szCs w:val="24"/>
          <w:lang w:val="bg-BG"/>
        </w:rPr>
        <w:t>информация към настоящите проучвания</w:t>
      </w:r>
      <w:r w:rsidR="0078097F" w:rsidRPr="006F15BF">
        <w:rPr>
          <w:rFonts w:ascii="Times New Roman" w:hAnsi="Times New Roman"/>
          <w:sz w:val="24"/>
          <w:szCs w:val="24"/>
          <w:lang w:val="bg-BG"/>
        </w:rPr>
        <w:t xml:space="preserve">, където </w:t>
      </w:r>
      <w:r w:rsidRPr="006F15BF">
        <w:rPr>
          <w:rFonts w:ascii="Times New Roman" w:hAnsi="Times New Roman"/>
          <w:sz w:val="24"/>
          <w:szCs w:val="24"/>
          <w:lang w:val="bg-BG"/>
        </w:rPr>
        <w:t>в док</w:t>
      </w:r>
      <w:r w:rsidR="0078097F" w:rsidRPr="006F15BF">
        <w:rPr>
          <w:rFonts w:ascii="Times New Roman" w:hAnsi="Times New Roman"/>
          <w:sz w:val="24"/>
          <w:szCs w:val="24"/>
          <w:lang w:val="bg-BG"/>
        </w:rPr>
        <w:t>ладите от извършено картиране</w:t>
      </w:r>
      <w:r w:rsidRPr="006F15BF">
        <w:rPr>
          <w:rFonts w:ascii="Times New Roman" w:hAnsi="Times New Roman"/>
          <w:sz w:val="24"/>
          <w:szCs w:val="24"/>
          <w:lang w:val="bg-BG"/>
        </w:rPr>
        <w:t xml:space="preserve"> площта на подходящите </w:t>
      </w:r>
      <w:r w:rsidR="002107C5" w:rsidRPr="006F15BF">
        <w:rPr>
          <w:rFonts w:ascii="Times New Roman" w:hAnsi="Times New Roman"/>
          <w:sz w:val="24"/>
          <w:szCs w:val="24"/>
          <w:lang w:val="bg-BG"/>
        </w:rPr>
        <w:t xml:space="preserve">местообитания </w:t>
      </w:r>
      <w:r w:rsidRPr="006F15BF">
        <w:rPr>
          <w:rFonts w:ascii="Times New Roman" w:hAnsi="Times New Roman"/>
          <w:sz w:val="24"/>
          <w:szCs w:val="24"/>
          <w:lang w:val="bg-BG"/>
        </w:rPr>
        <w:t>е доста по-голяма от тази на потенциалните</w:t>
      </w:r>
      <w:r w:rsidR="002107C5" w:rsidRPr="006F15BF">
        <w:rPr>
          <w:rFonts w:ascii="Times New Roman" w:hAnsi="Times New Roman"/>
          <w:sz w:val="24"/>
          <w:szCs w:val="24"/>
          <w:lang w:val="bg-BG"/>
        </w:rPr>
        <w:t>.</w:t>
      </w:r>
    </w:p>
    <w:p w:rsidR="00BF596D" w:rsidRPr="006F15BF" w:rsidRDefault="000D5C1E" w:rsidP="00F92603">
      <w:pPr>
        <w:pStyle w:val="ListParagraph"/>
        <w:numPr>
          <w:ilvl w:val="0"/>
          <w:numId w:val="12"/>
        </w:numPr>
        <w:spacing w:before="120"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F15BF">
        <w:rPr>
          <w:rFonts w:ascii="Times New Roman" w:hAnsi="Times New Roman"/>
          <w:sz w:val="24"/>
          <w:szCs w:val="24"/>
          <w:lang w:val="bg-BG"/>
        </w:rPr>
        <w:t>Ц</w:t>
      </w:r>
      <w:r w:rsidR="004F46CD" w:rsidRPr="006F15BF">
        <w:rPr>
          <w:rFonts w:ascii="Times New Roman" w:hAnsi="Times New Roman"/>
          <w:sz w:val="24"/>
          <w:szCs w:val="24"/>
          <w:lang w:val="bg-BG"/>
        </w:rPr>
        <w:t>елите за местообита</w:t>
      </w:r>
      <w:r w:rsidR="004A7FB1" w:rsidRPr="006F15BF">
        <w:rPr>
          <w:rFonts w:ascii="Times New Roman" w:hAnsi="Times New Roman"/>
          <w:sz w:val="24"/>
          <w:szCs w:val="24"/>
          <w:lang w:val="bg-BG"/>
        </w:rPr>
        <w:t xml:space="preserve">ние 6410 в защитена зона </w:t>
      </w:r>
      <w:r w:rsidR="005946C2" w:rsidRPr="006F15BF">
        <w:rPr>
          <w:rFonts w:ascii="Times New Roman" w:hAnsi="Times New Roman"/>
          <w:sz w:val="24"/>
          <w:szCs w:val="24"/>
          <w:lang w:val="bg-BG"/>
        </w:rPr>
        <w:t>BG0000495 „Рила“</w:t>
      </w:r>
      <w:r w:rsidR="004A7FB1" w:rsidRPr="006F15BF">
        <w:rPr>
          <w:rFonts w:ascii="Times New Roman" w:hAnsi="Times New Roman"/>
          <w:sz w:val="24"/>
          <w:szCs w:val="24"/>
          <w:lang w:val="bg-BG"/>
        </w:rPr>
        <w:t>. П</w:t>
      </w:r>
      <w:r w:rsidR="004F46CD" w:rsidRPr="006F15BF">
        <w:rPr>
          <w:rFonts w:ascii="Times New Roman" w:hAnsi="Times New Roman"/>
          <w:sz w:val="24"/>
          <w:szCs w:val="24"/>
          <w:lang w:val="bg-BG"/>
        </w:rPr>
        <w:t>редвид представената информация и обосновка за местообитание</w:t>
      </w:r>
      <w:r w:rsidR="004A7FB1" w:rsidRPr="006F15BF">
        <w:rPr>
          <w:rFonts w:ascii="Times New Roman" w:hAnsi="Times New Roman"/>
          <w:sz w:val="24"/>
          <w:szCs w:val="24"/>
          <w:lang w:val="bg-BG"/>
        </w:rPr>
        <w:t>то</w:t>
      </w:r>
      <w:r w:rsidR="004F46CD" w:rsidRPr="006F15BF">
        <w:rPr>
          <w:rFonts w:ascii="Times New Roman" w:hAnsi="Times New Roman"/>
          <w:sz w:val="24"/>
          <w:szCs w:val="24"/>
          <w:lang w:val="bg-BG"/>
        </w:rPr>
        <w:t xml:space="preserve">, считаме че по отношение на параметър площ следва да се остави единствено междинната цел като се заложи цел за поддържане на площта в установеното находище. Такъв е бил следвания до момента подход при други местообитания в утвърдени вече цели на зони. Определянето на цел за подобряване предполага предприемането на конкретни мерки за увеличаване на площта, а в случая се казва, че целта следва да бъде постигната единствено чрез провеждане на целенасочени проучвания. Също така в СФД следва да се допълни оценка на качеството на данните, която предвид изложеното предлагаме да е „P“, както и да се мотивира запазването на оценките В за представителност и степен на съхранение, с оглед описаното за потвърдената площ и за определените цели за поддържане. Направеното </w:t>
      </w:r>
      <w:r w:rsidR="00042158" w:rsidRPr="006F15BF">
        <w:rPr>
          <w:rFonts w:ascii="Times New Roman" w:hAnsi="Times New Roman"/>
          <w:sz w:val="24"/>
          <w:szCs w:val="24"/>
          <w:lang w:val="bg-BG"/>
        </w:rPr>
        <w:t xml:space="preserve">предложение за </w:t>
      </w:r>
      <w:r w:rsidR="004F46CD" w:rsidRPr="006F15BF">
        <w:rPr>
          <w:rFonts w:ascii="Times New Roman" w:hAnsi="Times New Roman"/>
          <w:sz w:val="24"/>
          <w:szCs w:val="24"/>
          <w:lang w:val="bg-BG"/>
        </w:rPr>
        <w:t>отразяване</w:t>
      </w:r>
      <w:r w:rsidR="00042158" w:rsidRPr="006F15BF">
        <w:rPr>
          <w:rFonts w:ascii="Times New Roman" w:hAnsi="Times New Roman"/>
          <w:sz w:val="24"/>
          <w:szCs w:val="24"/>
          <w:lang w:val="bg-BG"/>
        </w:rPr>
        <w:t xml:space="preserve"> на бележката</w:t>
      </w:r>
      <w:r w:rsidR="004F46CD" w:rsidRPr="006F15BF">
        <w:rPr>
          <w:rFonts w:ascii="Times New Roman" w:hAnsi="Times New Roman"/>
          <w:sz w:val="24"/>
          <w:szCs w:val="24"/>
          <w:lang w:val="bg-BG"/>
        </w:rPr>
        <w:t xml:space="preserve"> не е коректно, като не считаме за редно да се променя следвания до момента подход при аналогични случаи. Площта във формуляра може да остане без промяна</w:t>
      </w:r>
      <w:r w:rsidR="00042158" w:rsidRPr="006F15BF">
        <w:rPr>
          <w:rFonts w:ascii="Times New Roman" w:hAnsi="Times New Roman"/>
          <w:sz w:val="24"/>
          <w:szCs w:val="24"/>
          <w:lang w:val="bg-BG"/>
        </w:rPr>
        <w:t xml:space="preserve"> при съответната аргументация за това</w:t>
      </w:r>
      <w:r w:rsidR="004F46CD" w:rsidRPr="006F15BF">
        <w:rPr>
          <w:rFonts w:ascii="Times New Roman" w:hAnsi="Times New Roman"/>
          <w:sz w:val="24"/>
          <w:szCs w:val="24"/>
          <w:lang w:val="bg-BG"/>
        </w:rPr>
        <w:t>.</w:t>
      </w:r>
    </w:p>
    <w:p w:rsidR="009E149B" w:rsidRDefault="009E149B" w:rsidP="00F92603">
      <w:pPr>
        <w:spacing w:before="120" w:after="0" w:line="240" w:lineRule="auto"/>
        <w:ind w:firstLine="562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921379" w:rsidRPr="009B3C17" w:rsidRDefault="00884317" w:rsidP="00F92603">
      <w:pPr>
        <w:spacing w:before="120" w:after="0" w:line="240" w:lineRule="auto"/>
        <w:ind w:right="-1" w:firstLine="567"/>
        <w:jc w:val="both"/>
        <w:rPr>
          <w:rStyle w:val="Emphasis"/>
          <w:rFonts w:ascii="Times New Roman" w:hAnsi="Times New Roman"/>
          <w:i w:val="0"/>
          <w:sz w:val="24"/>
          <w:szCs w:val="24"/>
          <w:lang w:val="bg-BG"/>
        </w:rPr>
      </w:pPr>
      <w:r>
        <w:rPr>
          <w:rStyle w:val="Emphasis"/>
          <w:rFonts w:ascii="Times New Roman" w:hAnsi="Times New Roman"/>
          <w:b/>
          <w:i w:val="0"/>
          <w:sz w:val="24"/>
          <w:szCs w:val="24"/>
          <w:lang w:val="bg-BG"/>
        </w:rPr>
        <w:t>П</w:t>
      </w:r>
      <w:r w:rsidR="00921379" w:rsidRPr="009B3C17">
        <w:rPr>
          <w:rStyle w:val="Emphasis"/>
          <w:rFonts w:ascii="Times New Roman" w:hAnsi="Times New Roman"/>
          <w:b/>
          <w:i w:val="0"/>
          <w:sz w:val="24"/>
          <w:szCs w:val="24"/>
          <w:lang w:val="bg-BG"/>
        </w:rPr>
        <w:t>редлагаме на НСБР да разгледа внимателно следните казуси и да се произнесе по тях:</w:t>
      </w:r>
      <w:r w:rsidR="00921379" w:rsidRPr="009B3C17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 </w:t>
      </w:r>
    </w:p>
    <w:p w:rsidR="00C756FB" w:rsidRPr="00774EF6" w:rsidRDefault="00D342C6" w:rsidP="00F92603">
      <w:pPr>
        <w:pStyle w:val="ListParagraph"/>
        <w:numPr>
          <w:ilvl w:val="0"/>
          <w:numId w:val="10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774EF6">
        <w:rPr>
          <w:rFonts w:ascii="Times New Roman" w:hAnsi="Times New Roman"/>
          <w:sz w:val="24"/>
          <w:szCs w:val="24"/>
          <w:lang w:val="bg-BG"/>
        </w:rPr>
        <w:t xml:space="preserve">За видовете </w:t>
      </w:r>
      <w:proofErr w:type="spellStart"/>
      <w:r w:rsidRPr="00774EF6">
        <w:rPr>
          <w:rFonts w:ascii="Times New Roman" w:hAnsi="Times New Roman"/>
          <w:i/>
          <w:sz w:val="24"/>
          <w:szCs w:val="24"/>
          <w:lang w:val="bg-BG"/>
        </w:rPr>
        <w:t>Euphydryas</w:t>
      </w:r>
      <w:proofErr w:type="spellEnd"/>
      <w:r w:rsidRPr="00774EF6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774EF6">
        <w:rPr>
          <w:rFonts w:ascii="Times New Roman" w:hAnsi="Times New Roman"/>
          <w:i/>
          <w:sz w:val="24"/>
          <w:szCs w:val="24"/>
          <w:lang w:val="bg-BG"/>
        </w:rPr>
        <w:t>aurinia</w:t>
      </w:r>
      <w:proofErr w:type="spellEnd"/>
      <w:r w:rsidR="0050585A" w:rsidRPr="00774EF6">
        <w:rPr>
          <w:rFonts w:ascii="Times New Roman" w:hAnsi="Times New Roman"/>
          <w:i/>
          <w:sz w:val="24"/>
          <w:szCs w:val="24"/>
          <w:lang w:val="bg-BG"/>
        </w:rPr>
        <w:t>,</w:t>
      </w:r>
      <w:r w:rsidRPr="00774EF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74EF6">
        <w:rPr>
          <w:rFonts w:ascii="Times New Roman" w:hAnsi="Times New Roman"/>
          <w:i/>
          <w:sz w:val="24"/>
          <w:szCs w:val="24"/>
          <w:lang w:val="bg-BG"/>
        </w:rPr>
        <w:t>Euplagia</w:t>
      </w:r>
      <w:proofErr w:type="spellEnd"/>
      <w:r w:rsidRPr="00774EF6">
        <w:rPr>
          <w:rFonts w:ascii="Times New Roman" w:hAnsi="Times New Roman"/>
          <w:i/>
          <w:sz w:val="24"/>
          <w:szCs w:val="24"/>
          <w:lang w:val="bg-BG"/>
        </w:rPr>
        <w:t xml:space="preserve"> (</w:t>
      </w:r>
      <w:proofErr w:type="spellStart"/>
      <w:r w:rsidRPr="00774EF6">
        <w:rPr>
          <w:rFonts w:ascii="Times New Roman" w:hAnsi="Times New Roman"/>
          <w:i/>
          <w:sz w:val="24"/>
          <w:szCs w:val="24"/>
          <w:lang w:val="bg-BG"/>
        </w:rPr>
        <w:t>Callimorpha</w:t>
      </w:r>
      <w:proofErr w:type="spellEnd"/>
      <w:r w:rsidRPr="00774EF6">
        <w:rPr>
          <w:rFonts w:ascii="Times New Roman" w:hAnsi="Times New Roman"/>
          <w:i/>
          <w:sz w:val="24"/>
          <w:szCs w:val="24"/>
          <w:lang w:val="bg-BG"/>
        </w:rPr>
        <w:t xml:space="preserve">) </w:t>
      </w:r>
      <w:proofErr w:type="spellStart"/>
      <w:r w:rsidRPr="00774EF6">
        <w:rPr>
          <w:rFonts w:ascii="Times New Roman" w:hAnsi="Times New Roman"/>
          <w:i/>
          <w:sz w:val="24"/>
          <w:szCs w:val="24"/>
          <w:lang w:val="bg-BG"/>
        </w:rPr>
        <w:t>quadripunctaria</w:t>
      </w:r>
      <w:proofErr w:type="spellEnd"/>
      <w:r w:rsidR="00FA61FE" w:rsidRPr="00774EF6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proofErr w:type="spellStart"/>
      <w:r w:rsidR="0050585A" w:rsidRPr="00774EF6">
        <w:rPr>
          <w:rFonts w:ascii="Times New Roman" w:eastAsia="Times New Roman" w:hAnsi="Times New Roman"/>
          <w:bCs/>
          <w:i/>
          <w:iCs/>
          <w:sz w:val="24"/>
          <w:szCs w:val="24"/>
          <w:lang w:val="bg-BG"/>
        </w:rPr>
        <w:t>Polyommatus</w:t>
      </w:r>
      <w:proofErr w:type="spellEnd"/>
      <w:r w:rsidR="0050585A" w:rsidRPr="00774EF6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="0050585A" w:rsidRPr="00774EF6">
        <w:rPr>
          <w:rFonts w:ascii="Times New Roman" w:eastAsia="Times New Roman" w:hAnsi="Times New Roman"/>
          <w:bCs/>
          <w:i/>
          <w:iCs/>
          <w:sz w:val="24"/>
          <w:szCs w:val="24"/>
          <w:lang w:val="bg-BG"/>
        </w:rPr>
        <w:t>eroides</w:t>
      </w:r>
      <w:proofErr w:type="spellEnd"/>
      <w:r w:rsidRPr="00774EF6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FA61FE" w:rsidRPr="00774EF6">
        <w:rPr>
          <w:rFonts w:ascii="Times New Roman" w:hAnsi="Times New Roman"/>
          <w:sz w:val="24"/>
          <w:szCs w:val="24"/>
          <w:lang w:val="bg-BG"/>
        </w:rPr>
        <w:t xml:space="preserve">и </w:t>
      </w:r>
      <w:proofErr w:type="spellStart"/>
      <w:r w:rsidR="00FA61FE" w:rsidRPr="00774EF6">
        <w:rPr>
          <w:rFonts w:ascii="Times New Roman" w:hAnsi="Times New Roman"/>
          <w:i/>
          <w:sz w:val="24"/>
          <w:szCs w:val="24"/>
          <w:lang w:val="bg-BG"/>
        </w:rPr>
        <w:t>Cordulegaster</w:t>
      </w:r>
      <w:proofErr w:type="spellEnd"/>
      <w:r w:rsidR="00FA61FE" w:rsidRPr="00774EF6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FA61FE" w:rsidRPr="00774EF6">
        <w:rPr>
          <w:rFonts w:ascii="Times New Roman" w:hAnsi="Times New Roman"/>
          <w:i/>
          <w:sz w:val="24"/>
          <w:szCs w:val="24"/>
          <w:lang w:val="bg-BG"/>
        </w:rPr>
        <w:t>heros</w:t>
      </w:r>
      <w:proofErr w:type="spellEnd"/>
      <w:r w:rsidR="00FA61FE" w:rsidRPr="00774EF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4EF6">
        <w:rPr>
          <w:rFonts w:ascii="Times New Roman" w:hAnsi="Times New Roman"/>
          <w:sz w:val="24"/>
          <w:szCs w:val="24"/>
          <w:lang w:val="bg-BG"/>
        </w:rPr>
        <w:t xml:space="preserve">обосновката </w:t>
      </w:r>
      <w:r w:rsidRPr="00774EF6">
        <w:rPr>
          <w:rFonts w:ascii="Times New Roman" w:hAnsi="Times New Roman"/>
          <w:sz w:val="24"/>
          <w:szCs w:val="24"/>
          <w:u w:val="single"/>
          <w:lang w:val="bg-BG"/>
        </w:rPr>
        <w:t>не доказва сигурност</w:t>
      </w:r>
      <w:r w:rsidRPr="00774EF6">
        <w:rPr>
          <w:rFonts w:ascii="Times New Roman" w:hAnsi="Times New Roman"/>
          <w:sz w:val="24"/>
          <w:szCs w:val="24"/>
          <w:lang w:val="bg-BG"/>
        </w:rPr>
        <w:t xml:space="preserve"> за наличие на видовете. Същите не са открити при проведените проучвания и само се предполага, че може да са представени в зоната, поради наличие на подходящи потенциални местообитания.</w:t>
      </w:r>
      <w:r w:rsidR="000E79A3" w:rsidRPr="00774EF6">
        <w:rPr>
          <w:rFonts w:ascii="Times New Roman" w:hAnsi="Times New Roman"/>
          <w:sz w:val="24"/>
          <w:szCs w:val="24"/>
          <w:lang w:val="bg-BG"/>
        </w:rPr>
        <w:t xml:space="preserve"> О</w:t>
      </w:r>
      <w:r w:rsidR="000E79A3" w:rsidRPr="00774EF6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ставени са и празни клетки в СФД за размер на п</w:t>
      </w:r>
      <w:r w:rsidR="00E52DCF" w:rsidRPr="00774EF6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опулацията</w:t>
      </w:r>
      <w:r w:rsidR="008917F5" w:rsidRPr="00774EF6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. Като вероятна причина </w:t>
      </w:r>
      <w:r w:rsidR="008917F5" w:rsidRPr="00774EF6"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="008917F5" w:rsidRPr="00774EF6">
        <w:rPr>
          <w:rFonts w:ascii="Times New Roman" w:hAnsi="Times New Roman"/>
          <w:sz w:val="24"/>
          <w:szCs w:val="24"/>
          <w:lang w:val="bg-BG"/>
        </w:rPr>
        <w:t>неустановявянето</w:t>
      </w:r>
      <w:proofErr w:type="spellEnd"/>
      <w:r w:rsidR="008917F5" w:rsidRPr="00774EF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C756FB" w:rsidRPr="00774EF6">
        <w:rPr>
          <w:rFonts w:ascii="Times New Roman" w:hAnsi="Times New Roman"/>
          <w:sz w:val="24"/>
          <w:szCs w:val="24"/>
          <w:lang w:val="bg-BG"/>
        </w:rPr>
        <w:t>първите три</w:t>
      </w:r>
      <w:r w:rsidR="008917F5" w:rsidRPr="00774EF6">
        <w:rPr>
          <w:rFonts w:ascii="Times New Roman" w:hAnsi="Times New Roman"/>
          <w:sz w:val="24"/>
          <w:szCs w:val="24"/>
          <w:lang w:val="bg-BG"/>
        </w:rPr>
        <w:t xml:space="preserve"> вида </w:t>
      </w:r>
      <w:r w:rsidR="006A1EDE" w:rsidRPr="00774EF6">
        <w:rPr>
          <w:rFonts w:ascii="Times New Roman" w:hAnsi="Times New Roman"/>
          <w:sz w:val="24"/>
          <w:szCs w:val="24"/>
          <w:lang w:val="bg-BG"/>
        </w:rPr>
        <w:t>са</w:t>
      </w:r>
      <w:r w:rsidR="008917F5" w:rsidRPr="00774EF6">
        <w:rPr>
          <w:rFonts w:ascii="Times New Roman" w:hAnsi="Times New Roman"/>
          <w:sz w:val="24"/>
          <w:szCs w:val="24"/>
          <w:lang w:val="bg-BG"/>
        </w:rPr>
        <w:t xml:space="preserve"> посочен</w:t>
      </w:r>
      <w:r w:rsidR="006A1EDE" w:rsidRPr="00774EF6">
        <w:rPr>
          <w:rFonts w:ascii="Times New Roman" w:hAnsi="Times New Roman"/>
          <w:sz w:val="24"/>
          <w:szCs w:val="24"/>
          <w:lang w:val="bg-BG"/>
        </w:rPr>
        <w:t>и</w:t>
      </w:r>
      <w:r w:rsidR="008917F5" w:rsidRPr="00774EF6">
        <w:rPr>
          <w:rFonts w:ascii="Times New Roman" w:hAnsi="Times New Roman"/>
          <w:sz w:val="24"/>
          <w:szCs w:val="24"/>
          <w:lang w:val="bg-BG"/>
        </w:rPr>
        <w:t xml:space="preserve"> климатичните условия в годината на теренната работа</w:t>
      </w:r>
      <w:r w:rsidR="006A1EDE" w:rsidRPr="00774EF6">
        <w:rPr>
          <w:rFonts w:ascii="Times New Roman" w:hAnsi="Times New Roman"/>
          <w:sz w:val="24"/>
          <w:szCs w:val="24"/>
          <w:lang w:val="bg-BG"/>
        </w:rPr>
        <w:t>.</w:t>
      </w:r>
      <w:r w:rsidR="00C756FB" w:rsidRPr="00774EF6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="00BD7E10" w:rsidRPr="00774EF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D7E10" w:rsidRPr="00774EF6">
        <w:rPr>
          <w:rFonts w:ascii="Times New Roman" w:hAnsi="Times New Roman"/>
          <w:i/>
          <w:sz w:val="24"/>
          <w:szCs w:val="24"/>
          <w:lang w:val="bg-BG"/>
        </w:rPr>
        <w:t>Cordulegaster</w:t>
      </w:r>
      <w:proofErr w:type="spellEnd"/>
      <w:r w:rsidR="00BD7E10" w:rsidRPr="00774EF6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BD7E10" w:rsidRPr="00774EF6">
        <w:rPr>
          <w:rFonts w:ascii="Times New Roman" w:hAnsi="Times New Roman"/>
          <w:i/>
          <w:sz w:val="24"/>
          <w:szCs w:val="24"/>
          <w:lang w:val="bg-BG"/>
        </w:rPr>
        <w:t>heros</w:t>
      </w:r>
      <w:proofErr w:type="spellEnd"/>
      <w:r w:rsidR="00BD7E10" w:rsidRPr="00774E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56FB" w:rsidRPr="00774EF6">
        <w:rPr>
          <w:rFonts w:ascii="Times New Roman" w:hAnsi="Times New Roman"/>
          <w:sz w:val="24"/>
          <w:szCs w:val="24"/>
          <w:lang w:val="bg-BG"/>
        </w:rPr>
        <w:t>не е</w:t>
      </w:r>
      <w:r w:rsidR="00E52DCF" w:rsidRPr="00774E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56FB" w:rsidRPr="00774EF6">
        <w:rPr>
          <w:rFonts w:ascii="Times New Roman" w:hAnsi="Times New Roman"/>
          <w:sz w:val="24"/>
          <w:szCs w:val="24"/>
          <w:lang w:val="bg-BG"/>
        </w:rPr>
        <w:t xml:space="preserve">посочена вероятна причина за </w:t>
      </w:r>
      <w:proofErr w:type="spellStart"/>
      <w:r w:rsidR="00C756FB" w:rsidRPr="00774EF6">
        <w:rPr>
          <w:rFonts w:ascii="Times New Roman" w:hAnsi="Times New Roman"/>
          <w:sz w:val="24"/>
          <w:szCs w:val="24"/>
          <w:lang w:val="bg-BG"/>
        </w:rPr>
        <w:t>неустановяването</w:t>
      </w:r>
      <w:proofErr w:type="spellEnd"/>
      <w:r w:rsidR="00C756FB" w:rsidRPr="00774EF6">
        <w:rPr>
          <w:rFonts w:ascii="Times New Roman" w:hAnsi="Times New Roman"/>
          <w:sz w:val="24"/>
          <w:szCs w:val="24"/>
          <w:lang w:val="bg-BG"/>
        </w:rPr>
        <w:t xml:space="preserve"> му, като е направена само една регистраци</w:t>
      </w:r>
      <w:r w:rsidR="003D7F76" w:rsidRPr="00774EF6">
        <w:rPr>
          <w:rFonts w:ascii="Times New Roman" w:hAnsi="Times New Roman"/>
          <w:sz w:val="24"/>
          <w:szCs w:val="24"/>
          <w:lang w:val="bg-BG"/>
        </w:rPr>
        <w:t>я</w:t>
      </w:r>
      <w:r w:rsidR="00C756FB" w:rsidRPr="00774EF6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FA61FE" w:rsidRPr="00774EF6">
        <w:rPr>
          <w:rFonts w:ascii="Times New Roman" w:hAnsi="Times New Roman"/>
          <w:sz w:val="24"/>
          <w:szCs w:val="24"/>
          <w:lang w:val="bg-BG"/>
        </w:rPr>
        <w:t xml:space="preserve"> близост до </w:t>
      </w:r>
      <w:r w:rsidR="00C756FB" w:rsidRPr="00774EF6">
        <w:rPr>
          <w:rFonts w:ascii="Times New Roman" w:hAnsi="Times New Roman"/>
          <w:sz w:val="24"/>
          <w:szCs w:val="24"/>
          <w:lang w:val="bg-BG"/>
        </w:rPr>
        <w:t>зоната.</w:t>
      </w:r>
    </w:p>
    <w:p w:rsidR="00D66594" w:rsidRPr="006F15BF" w:rsidRDefault="00284EC0" w:rsidP="00D66594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4D102E">
        <w:rPr>
          <w:rFonts w:ascii="Times New Roman" w:hAnsi="Times New Roman"/>
          <w:sz w:val="24"/>
          <w:szCs w:val="24"/>
          <w:lang w:val="bg-BG"/>
        </w:rPr>
        <w:t>Важно е да се отбележи, че се</w:t>
      </w:r>
      <w:r w:rsidR="00D66594" w:rsidRPr="004D102E">
        <w:rPr>
          <w:rFonts w:ascii="Times New Roman" w:hAnsi="Times New Roman"/>
          <w:sz w:val="24"/>
          <w:szCs w:val="24"/>
          <w:lang w:val="bg-BG"/>
        </w:rPr>
        <w:t xml:space="preserve"> предлага те</w:t>
      </w:r>
      <w:r w:rsidRPr="004D102E">
        <w:rPr>
          <w:rFonts w:ascii="Times New Roman" w:hAnsi="Times New Roman"/>
          <w:sz w:val="24"/>
          <w:szCs w:val="24"/>
          <w:lang w:val="bg-BG"/>
        </w:rPr>
        <w:t>зи 4 вида</w:t>
      </w:r>
      <w:r w:rsidR="00D66594" w:rsidRPr="004D102E">
        <w:rPr>
          <w:rFonts w:ascii="Times New Roman" w:hAnsi="Times New Roman"/>
          <w:sz w:val="24"/>
          <w:szCs w:val="24"/>
          <w:lang w:val="bg-BG"/>
        </w:rPr>
        <w:t xml:space="preserve"> да се включат с оценка за значителна популация, което е напълно неприемливо и не се прави от нито една друга държава-членка. Подходът е допустим единствено по отношение на видове със скрит начин на живот, за които не са налични данни в страната и е поставена оценка за недостатъчност. Необходимо е поне едно потвърждение на вида в зоната, за да може да се твърди, че той се среща в нея</w:t>
      </w:r>
      <w:r w:rsidRPr="004D102E">
        <w:rPr>
          <w:rFonts w:ascii="Times New Roman" w:hAnsi="Times New Roman"/>
          <w:sz w:val="24"/>
          <w:szCs w:val="24"/>
          <w:lang w:val="bg-BG"/>
        </w:rPr>
        <w:t>.</w:t>
      </w:r>
      <w:r w:rsidR="00D66594" w:rsidRPr="004D102E">
        <w:rPr>
          <w:rFonts w:ascii="Times New Roman" w:hAnsi="Times New Roman"/>
          <w:sz w:val="24"/>
          <w:szCs w:val="24"/>
          <w:lang w:val="bg-BG"/>
        </w:rPr>
        <w:t xml:space="preserve"> Предложени са междинни цели за допълнителни проучвания за установяване на присъствие. Като</w:t>
      </w:r>
      <w:r w:rsidR="00D66594" w:rsidRPr="00320BB6">
        <w:rPr>
          <w:rFonts w:ascii="Times New Roman" w:hAnsi="Times New Roman"/>
          <w:sz w:val="24"/>
          <w:szCs w:val="24"/>
          <w:lang w:val="bg-BG"/>
        </w:rPr>
        <w:t xml:space="preserve"> компромисен вариант, предложението на дирекция НСЗП е тези 4 вида да бъдат </w:t>
      </w:r>
      <w:r w:rsidR="00D66594" w:rsidRPr="006F15BF">
        <w:rPr>
          <w:rFonts w:ascii="Times New Roman" w:hAnsi="Times New Roman"/>
          <w:sz w:val="24"/>
          <w:szCs w:val="24"/>
          <w:lang w:val="bg-BG"/>
        </w:rPr>
        <w:t xml:space="preserve">включени с оценка D, като за тях се запазят разписаните цели за допълнителни проучвания. Това предложение следва да се гласува от НСБР. </w:t>
      </w:r>
    </w:p>
    <w:p w:rsidR="007B3ACF" w:rsidRPr="006F15BF" w:rsidRDefault="007B3ACF" w:rsidP="00D66594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F15BF">
        <w:rPr>
          <w:rFonts w:ascii="Times New Roman" w:hAnsi="Times New Roman"/>
          <w:sz w:val="24"/>
          <w:szCs w:val="24"/>
          <w:lang w:val="bg-BG"/>
        </w:rPr>
        <w:t>Подобно изключение е правено вече в други зони.</w:t>
      </w:r>
    </w:p>
    <w:p w:rsidR="00CA0EB0" w:rsidRPr="00774EF6" w:rsidRDefault="00D87B6F" w:rsidP="00774EF6">
      <w:pPr>
        <w:pStyle w:val="ListParagraph"/>
        <w:numPr>
          <w:ilvl w:val="0"/>
          <w:numId w:val="10"/>
        </w:numPr>
        <w:spacing w:before="120" w:after="12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F15BF">
        <w:rPr>
          <w:rFonts w:ascii="Times New Roman" w:hAnsi="Times New Roman"/>
          <w:sz w:val="24"/>
          <w:szCs w:val="24"/>
          <w:lang w:val="bg-BG"/>
        </w:rPr>
        <w:t xml:space="preserve">Лалугерът </w:t>
      </w:r>
      <w:proofErr w:type="spellStart"/>
      <w:r w:rsidRPr="006F15BF">
        <w:rPr>
          <w:rFonts w:ascii="Times New Roman" w:hAnsi="Times New Roman"/>
          <w:bCs/>
          <w:i/>
          <w:sz w:val="24"/>
          <w:szCs w:val="24"/>
          <w:lang w:val="bg-BG"/>
        </w:rPr>
        <w:t>Spermophilus</w:t>
      </w:r>
      <w:proofErr w:type="spellEnd"/>
      <w:r w:rsidRPr="006F15BF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proofErr w:type="spellStart"/>
      <w:r w:rsidRPr="006F15BF">
        <w:rPr>
          <w:rFonts w:ascii="Times New Roman" w:hAnsi="Times New Roman"/>
          <w:bCs/>
          <w:i/>
          <w:sz w:val="24"/>
          <w:szCs w:val="24"/>
          <w:lang w:val="bg-BG"/>
        </w:rPr>
        <w:t>citellus</w:t>
      </w:r>
      <w:proofErr w:type="spellEnd"/>
      <w:r w:rsidRPr="006F15BF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Pr="006F15BF">
        <w:rPr>
          <w:rFonts w:ascii="Times New Roman" w:hAnsi="Times New Roman"/>
          <w:bCs/>
          <w:sz w:val="24"/>
          <w:szCs w:val="24"/>
          <w:lang w:val="bg-BG"/>
        </w:rPr>
        <w:t>е регистриран в</w:t>
      </w:r>
      <w:r w:rsidRPr="00774EF6">
        <w:rPr>
          <w:rFonts w:ascii="Times New Roman" w:hAnsi="Times New Roman"/>
          <w:sz w:val="24"/>
          <w:szCs w:val="24"/>
          <w:lang w:val="bg-BG"/>
        </w:rPr>
        <w:t xml:space="preserve"> едно местообитание в рамките за защитената зона. Полевото проучване и данните, които имат експертите показват, че основните популации на лалугера остават извън защитена зона „Ниска Рила“.</w:t>
      </w:r>
      <w:r w:rsidR="00CA0EB0" w:rsidRPr="00774EF6">
        <w:rPr>
          <w:rFonts w:ascii="Times New Roman" w:hAnsi="Times New Roman"/>
          <w:sz w:val="24"/>
          <w:szCs w:val="24"/>
          <w:lang w:val="bg-BG"/>
        </w:rPr>
        <w:t xml:space="preserve"> Заключението </w:t>
      </w:r>
      <w:r w:rsidR="00CA0EB0" w:rsidRPr="00774EF6">
        <w:rPr>
          <w:rFonts w:ascii="Times New Roman" w:hAnsi="Times New Roman"/>
          <w:sz w:val="24"/>
          <w:szCs w:val="24"/>
          <w:lang w:val="bg-BG"/>
        </w:rPr>
        <w:lastRenderedPageBreak/>
        <w:t xml:space="preserve">на експертите е: </w:t>
      </w:r>
      <w:r w:rsidR="00CA0EB0" w:rsidRPr="00774EF6">
        <w:rPr>
          <w:rFonts w:ascii="Times New Roman" w:hAnsi="Times New Roman"/>
          <w:i/>
          <w:sz w:val="24"/>
          <w:szCs w:val="24"/>
          <w:lang w:val="bg-BG"/>
        </w:rPr>
        <w:t xml:space="preserve">Местообитанията и популациите на лалугера, които са изолирани от останалата част на вида и притежават </w:t>
      </w:r>
      <w:proofErr w:type="spellStart"/>
      <w:r w:rsidR="00CA0EB0" w:rsidRPr="00774EF6">
        <w:rPr>
          <w:rFonts w:ascii="Times New Roman" w:hAnsi="Times New Roman"/>
          <w:i/>
          <w:sz w:val="24"/>
          <w:szCs w:val="24"/>
          <w:lang w:val="bg-BG"/>
        </w:rPr>
        <w:t>подвидова</w:t>
      </w:r>
      <w:proofErr w:type="spellEnd"/>
      <w:r w:rsidR="00CA0EB0" w:rsidRPr="00774EF6">
        <w:rPr>
          <w:rFonts w:ascii="Times New Roman" w:hAnsi="Times New Roman"/>
          <w:i/>
          <w:sz w:val="24"/>
          <w:szCs w:val="24"/>
          <w:lang w:val="bg-BG"/>
        </w:rPr>
        <w:t xml:space="preserve">, генетична и </w:t>
      </w:r>
      <w:proofErr w:type="spellStart"/>
      <w:r w:rsidR="00CA0EB0" w:rsidRPr="00774EF6">
        <w:rPr>
          <w:rFonts w:ascii="Times New Roman" w:hAnsi="Times New Roman"/>
          <w:i/>
          <w:sz w:val="24"/>
          <w:szCs w:val="24"/>
          <w:lang w:val="bg-BG"/>
        </w:rPr>
        <w:t>цитогенетична</w:t>
      </w:r>
      <w:proofErr w:type="spellEnd"/>
      <w:r w:rsidR="00CA0EB0" w:rsidRPr="00774EF6">
        <w:rPr>
          <w:rFonts w:ascii="Times New Roman" w:hAnsi="Times New Roman"/>
          <w:i/>
          <w:sz w:val="24"/>
          <w:szCs w:val="24"/>
          <w:lang w:val="bg-BG"/>
        </w:rPr>
        <w:t xml:space="preserve"> уникалност се намират извън територията на защитената зона, като само една малка част попада в тях. </w:t>
      </w:r>
    </w:p>
    <w:p w:rsidR="00056CA2" w:rsidRPr="00056CA2" w:rsidRDefault="009E45A9" w:rsidP="00056CA2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D27BE">
        <w:rPr>
          <w:rFonts w:ascii="Times New Roman" w:hAnsi="Times New Roman"/>
          <w:sz w:val="24"/>
          <w:szCs w:val="24"/>
          <w:lang w:val="bg-BG"/>
        </w:rPr>
        <w:t>Впечатление прави обстоятелството, че към настоящия момент в границите на защитената зона е установено само едно находище на вида с няколко налични дупки (съответно индивиди), което експертите определят, като „</w:t>
      </w:r>
      <w:r w:rsidRPr="00CD27BE">
        <w:rPr>
          <w:rFonts w:ascii="Times New Roman" w:hAnsi="Times New Roman"/>
          <w:i/>
          <w:sz w:val="24"/>
          <w:szCs w:val="24"/>
          <w:lang w:val="bg-BG"/>
        </w:rPr>
        <w:t>недостатъчно за поддържане на жизнеспособна популация</w:t>
      </w:r>
      <w:r w:rsidRPr="00CD27BE">
        <w:rPr>
          <w:rFonts w:ascii="Times New Roman" w:hAnsi="Times New Roman"/>
          <w:sz w:val="24"/>
          <w:szCs w:val="24"/>
          <w:lang w:val="bg-BG"/>
        </w:rPr>
        <w:t>“ и се препоръчва увеличаване на площта на зоната с цел обхващане на лалугеровите колонии гранични с нея. Препоръката за увеличаване на площта недвусмислено показва, че в настоящите си граници зоната не може да предостави условия за развитие на стабилна и жизнена популация. А в същото време не са проведени теренни проучвания в югоизточната част на зоната</w:t>
      </w:r>
      <w:r w:rsidR="00C036A6" w:rsidRPr="00D02D2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036A6">
        <w:rPr>
          <w:rFonts w:ascii="Times New Roman" w:hAnsi="Times New Roman"/>
          <w:sz w:val="24"/>
          <w:szCs w:val="24"/>
          <w:lang w:val="bg-BG"/>
        </w:rPr>
        <w:t xml:space="preserve">където има стари регистрации в </w:t>
      </w:r>
      <w:r w:rsidR="00C036A6" w:rsidRPr="00CD27BE">
        <w:rPr>
          <w:rFonts w:ascii="Times New Roman" w:hAnsi="Times New Roman"/>
          <w:bCs/>
          <w:sz w:val="24"/>
          <w:szCs w:val="24"/>
          <w:lang w:val="bg-BG"/>
        </w:rPr>
        <w:t>непосредствена близост до границата</w:t>
      </w:r>
      <w:r w:rsidR="00C036A6">
        <w:rPr>
          <w:rFonts w:ascii="Times New Roman" w:hAnsi="Times New Roman"/>
          <w:bCs/>
          <w:sz w:val="24"/>
          <w:szCs w:val="24"/>
          <w:lang w:val="bg-BG"/>
        </w:rPr>
        <w:t xml:space="preserve"> на зоната.</w:t>
      </w:r>
      <w:r w:rsidRPr="00CD27BE">
        <w:rPr>
          <w:rFonts w:ascii="Times New Roman" w:hAnsi="Times New Roman"/>
          <w:sz w:val="24"/>
          <w:szCs w:val="24"/>
          <w:lang w:val="bg-BG"/>
        </w:rPr>
        <w:t xml:space="preserve"> При тези обстоятелства следва видът да бъде предложен с оценка D, тъй като тази оценка би отговорила на реалната ситуация. Колкото до препоръката за увеличаване на площта на зоната, същата може да бъде отправена по надлежния законов ред, в случай че експертите разполагат с необходимите данни и обосновки.</w:t>
      </w:r>
      <w:r w:rsidR="00711A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56CA2" w:rsidRPr="00056CA2">
        <w:rPr>
          <w:rFonts w:ascii="Times New Roman" w:hAnsi="Times New Roman"/>
          <w:bCs/>
          <w:sz w:val="24"/>
          <w:szCs w:val="24"/>
          <w:lang w:val="bg-BG"/>
        </w:rPr>
        <w:t xml:space="preserve">Обръщаме внимание, че </w:t>
      </w:r>
      <w:r w:rsidR="00056CA2" w:rsidRPr="00056CA2">
        <w:rPr>
          <w:rFonts w:ascii="Times New Roman" w:hAnsi="Times New Roman"/>
          <w:sz w:val="24"/>
          <w:szCs w:val="24"/>
          <w:lang w:val="bg-BG"/>
        </w:rPr>
        <w:t xml:space="preserve">процедурата по чл. 16 от ЗБР е различна от тази по чл.12а и не следва да се смесват. </w:t>
      </w:r>
    </w:p>
    <w:p w:rsidR="00711A91" w:rsidRDefault="00711A91" w:rsidP="00711A91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Поддържаме забележката, за липса на яснота, защо не са проведени теренни </w:t>
      </w:r>
      <w:r w:rsidRPr="003A33DB">
        <w:rPr>
          <w:rFonts w:ascii="Times New Roman" w:hAnsi="Times New Roman"/>
          <w:sz w:val="24"/>
          <w:szCs w:val="24"/>
          <w:lang w:val="bg-BG"/>
        </w:rPr>
        <w:t xml:space="preserve">изследвания </w:t>
      </w:r>
      <w:r w:rsidRPr="003A33DB">
        <w:rPr>
          <w:rFonts w:ascii="Times New Roman" w:hAnsi="Times New Roman"/>
          <w:bCs/>
          <w:sz w:val="24"/>
          <w:szCs w:val="24"/>
          <w:lang w:val="bg-BG"/>
        </w:rPr>
        <w:t>в югоизточната част на зоната. Съгласно предадения картен материал, в ЮИ част на зоната (най-близък ориентир е р. Софан</w:t>
      </w:r>
      <w:r w:rsidR="00A81B91">
        <w:rPr>
          <w:rFonts w:ascii="Times New Roman" w:hAnsi="Times New Roman"/>
          <w:bCs/>
          <w:sz w:val="24"/>
          <w:szCs w:val="24"/>
          <w:lang w:val="bg-BG"/>
        </w:rPr>
        <w:t>, южно от яз. Белмекен</w:t>
      </w:r>
      <w:r w:rsidRPr="003A33DB">
        <w:rPr>
          <w:rFonts w:ascii="Times New Roman" w:hAnsi="Times New Roman"/>
          <w:bCs/>
          <w:sz w:val="24"/>
          <w:szCs w:val="24"/>
          <w:lang w:val="bg-BG"/>
        </w:rPr>
        <w:t xml:space="preserve">), има множество стари регистрации в непосредствена близост до границата на зоната, а в самата зона са означени потенциални местообитания. </w:t>
      </w:r>
    </w:p>
    <w:p w:rsidR="00A81B91" w:rsidRPr="00A81B91" w:rsidRDefault="00A81B91" w:rsidP="00711A91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приемаме предложеният от ИБЕИ-БАН</w:t>
      </w:r>
      <w:r w:rsidRPr="00A81B91">
        <w:rPr>
          <w:rFonts w:ascii="Times New Roman" w:hAnsi="Times New Roman"/>
          <w:sz w:val="24"/>
          <w:szCs w:val="24"/>
          <w:lang w:val="bg-BG"/>
        </w:rPr>
        <w:t xml:space="preserve"> подход </w:t>
      </w:r>
      <w:r>
        <w:rPr>
          <w:rFonts w:ascii="Times New Roman" w:hAnsi="Times New Roman"/>
          <w:sz w:val="24"/>
          <w:szCs w:val="24"/>
          <w:lang w:val="bg-BG"/>
        </w:rPr>
        <w:t xml:space="preserve">за промяна на целта от поддържане към подобряване. </w:t>
      </w:r>
      <w:r w:rsidRPr="00A81B91">
        <w:rPr>
          <w:rFonts w:ascii="Times New Roman" w:hAnsi="Times New Roman"/>
          <w:sz w:val="24"/>
          <w:szCs w:val="24"/>
          <w:lang w:val="bg-BG"/>
        </w:rPr>
        <w:t>Целите следва да са насочени към настоящите граници на зоната, като следва внимателно да се прецени какви условия предлага зоната към момента и може ли да се очаква чрез реалистични мерки в настоящите граници на зоната да се постигне подобрение по съответните показатели.</w:t>
      </w:r>
      <w:r>
        <w:rPr>
          <w:rFonts w:ascii="Times New Roman" w:hAnsi="Times New Roman"/>
          <w:sz w:val="24"/>
          <w:szCs w:val="24"/>
          <w:lang w:val="bg-BG"/>
        </w:rPr>
        <w:t xml:space="preserve"> Още един път обръщаме внимание, че трябва да се даде ясен отговор в целите</w:t>
      </w:r>
      <w:r w:rsidR="0069419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към настоящия </w:t>
      </w:r>
      <w:r w:rsidR="00694196">
        <w:rPr>
          <w:rFonts w:ascii="Times New Roman" w:hAnsi="Times New Roman"/>
          <w:sz w:val="24"/>
          <w:szCs w:val="24"/>
          <w:lang w:val="bg-BG"/>
        </w:rPr>
        <w:t xml:space="preserve">момент зоната опазва ли значителна популация. </w:t>
      </w:r>
      <w:r w:rsidR="00694196" w:rsidRPr="00694196">
        <w:rPr>
          <w:rFonts w:ascii="Times New Roman" w:hAnsi="Times New Roman"/>
          <w:sz w:val="24"/>
          <w:szCs w:val="24"/>
          <w:lang w:val="bg-BG"/>
        </w:rPr>
        <w:t xml:space="preserve">Ако </w:t>
      </w:r>
      <w:r w:rsidR="00694196">
        <w:rPr>
          <w:rFonts w:ascii="Times New Roman" w:hAnsi="Times New Roman"/>
          <w:sz w:val="24"/>
          <w:szCs w:val="24"/>
          <w:lang w:val="bg-BG"/>
        </w:rPr>
        <w:t xml:space="preserve">в зоната има възможности за подобряване на състоянието, то трябва да се посочи и аргументира </w:t>
      </w:r>
      <w:r w:rsidR="00694196" w:rsidRPr="00694196">
        <w:rPr>
          <w:rFonts w:ascii="Times New Roman" w:hAnsi="Times New Roman"/>
          <w:sz w:val="24"/>
          <w:szCs w:val="24"/>
          <w:lang w:val="bg-BG"/>
        </w:rPr>
        <w:t>какви реално постижими целеви стойности за всеки от показателите</w:t>
      </w:r>
      <w:r w:rsidR="00694196">
        <w:rPr>
          <w:rFonts w:ascii="Times New Roman" w:hAnsi="Times New Roman"/>
          <w:sz w:val="24"/>
          <w:szCs w:val="24"/>
          <w:lang w:val="bg-BG"/>
        </w:rPr>
        <w:t xml:space="preserve"> се очаква да бъдат постигнати</w:t>
      </w:r>
      <w:r w:rsidR="00694196" w:rsidRPr="00694196">
        <w:rPr>
          <w:rFonts w:ascii="Times New Roman" w:hAnsi="Times New Roman"/>
          <w:sz w:val="24"/>
          <w:szCs w:val="24"/>
          <w:lang w:val="bg-BG"/>
        </w:rPr>
        <w:t>. Тези стойности не следва да са обвързани с евентуални бъдещи процедури по разширение</w:t>
      </w:r>
      <w:r w:rsidR="00694196">
        <w:rPr>
          <w:rFonts w:ascii="Times New Roman" w:hAnsi="Times New Roman"/>
          <w:sz w:val="24"/>
          <w:szCs w:val="24"/>
          <w:lang w:val="bg-BG"/>
        </w:rPr>
        <w:t xml:space="preserve"> и да отчитат целите по отношение на останалите видове и местообитания, предмет на опазване</w:t>
      </w:r>
      <w:r w:rsidR="00694196" w:rsidRPr="00694196">
        <w:rPr>
          <w:rFonts w:ascii="Times New Roman" w:hAnsi="Times New Roman"/>
          <w:sz w:val="24"/>
          <w:szCs w:val="24"/>
          <w:lang w:val="bg-BG"/>
        </w:rPr>
        <w:t>.</w:t>
      </w:r>
    </w:p>
    <w:p w:rsidR="00716FFF" w:rsidRPr="00BF1BA9" w:rsidRDefault="002A1376" w:rsidP="002A1376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A1376">
        <w:rPr>
          <w:rFonts w:ascii="Times New Roman" w:hAnsi="Times New Roman"/>
          <w:sz w:val="24"/>
          <w:szCs w:val="24"/>
          <w:lang w:val="bg-BG"/>
        </w:rPr>
        <w:t>Независимо от гореизложените бележки дирекция НСЗП изразява положително становище и предлага на Националния съвет по биологично разнообразие да предложи на министъра на околната среда и водите да утвърди предложените</w:t>
      </w:r>
      <w:r w:rsidR="00716FFF" w:rsidRPr="002A1376">
        <w:rPr>
          <w:rFonts w:ascii="Times New Roman" w:hAnsi="Times New Roman"/>
          <w:sz w:val="24"/>
          <w:szCs w:val="24"/>
          <w:lang w:val="bg-BG"/>
        </w:rPr>
        <w:t xml:space="preserve"> специфични и подробни цели на опазване на защитени зони BG0000495 „Рила“, BG0002129 „Рила буфер“, BG0001386 „Яденица“ и BG0000636 „Ниска Рила“ от екологичната мрежа Натура 20000, след отразяване на приетите бележки, дадени в хода на общественото обсъждане от страна на дирекция НСЗП на МОСВ и </w:t>
      </w:r>
      <w:r w:rsidR="00716FFF" w:rsidRPr="00BF1BA9">
        <w:rPr>
          <w:rFonts w:ascii="Times New Roman" w:hAnsi="Times New Roman"/>
          <w:sz w:val="24"/>
          <w:szCs w:val="24"/>
          <w:lang w:val="bg-BG"/>
        </w:rPr>
        <w:t>съобразяване с направените бележки и взетите решения от НСБР.</w:t>
      </w:r>
    </w:p>
    <w:p w:rsidR="00631179" w:rsidRDefault="002A1376" w:rsidP="00631179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F1BA9">
        <w:rPr>
          <w:rFonts w:ascii="Times New Roman" w:hAnsi="Times New Roman"/>
          <w:bCs/>
          <w:sz w:val="24"/>
          <w:szCs w:val="24"/>
          <w:lang w:val="bg-BG"/>
        </w:rPr>
        <w:t>Пр</w:t>
      </w:r>
      <w:r w:rsidR="00631179" w:rsidRPr="00BF1BA9">
        <w:rPr>
          <w:rFonts w:ascii="Times New Roman" w:hAnsi="Times New Roman"/>
          <w:bCs/>
          <w:sz w:val="24"/>
          <w:szCs w:val="24"/>
          <w:lang w:val="bg-BG"/>
        </w:rPr>
        <w:t>едвид последния срок</w:t>
      </w:r>
      <w:r w:rsidR="00120706" w:rsidRPr="00BF1BA9">
        <w:rPr>
          <w:rFonts w:ascii="Times New Roman" w:hAnsi="Times New Roman"/>
          <w:bCs/>
          <w:sz w:val="24"/>
          <w:szCs w:val="24"/>
          <w:lang w:val="bg-BG"/>
        </w:rPr>
        <w:t>,</w:t>
      </w:r>
      <w:r w:rsidR="00631179" w:rsidRPr="00BF1BA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20706" w:rsidRPr="00BF1BA9">
        <w:rPr>
          <w:rFonts w:ascii="Times New Roman" w:hAnsi="Times New Roman"/>
          <w:bCs/>
          <w:sz w:val="24"/>
          <w:szCs w:val="24"/>
          <w:lang w:val="bg-BG"/>
        </w:rPr>
        <w:t xml:space="preserve">до 15.12.2024 г., </w:t>
      </w:r>
      <w:r w:rsidR="00631179" w:rsidRPr="00BF1BA9">
        <w:rPr>
          <w:rFonts w:ascii="Times New Roman" w:hAnsi="Times New Roman"/>
          <w:bCs/>
          <w:sz w:val="24"/>
          <w:szCs w:val="24"/>
          <w:lang w:val="bg-BG"/>
        </w:rPr>
        <w:t>за пред</w:t>
      </w:r>
      <w:r w:rsidR="00625041" w:rsidRPr="00BF1BA9">
        <w:rPr>
          <w:rFonts w:ascii="Times New Roman" w:hAnsi="Times New Roman"/>
          <w:bCs/>
          <w:sz w:val="24"/>
          <w:szCs w:val="24"/>
          <w:lang w:val="bg-BG"/>
        </w:rPr>
        <w:t>аване</w:t>
      </w:r>
      <w:r w:rsidR="00631179" w:rsidRPr="00BF1BA9">
        <w:rPr>
          <w:rFonts w:ascii="Times New Roman" w:hAnsi="Times New Roman"/>
          <w:bCs/>
          <w:sz w:val="24"/>
          <w:szCs w:val="24"/>
          <w:lang w:val="bg-BG"/>
        </w:rPr>
        <w:t xml:space="preserve"> на актуализирани данни към </w:t>
      </w:r>
      <w:r w:rsidR="00625041" w:rsidRPr="00BF1BA9">
        <w:rPr>
          <w:rFonts w:ascii="Times New Roman" w:hAnsi="Times New Roman"/>
          <w:bCs/>
          <w:sz w:val="24"/>
          <w:szCs w:val="24"/>
          <w:lang w:val="bg-BG"/>
        </w:rPr>
        <w:t>Европейската изпълнителна агенция</w:t>
      </w:r>
      <w:r w:rsidR="00575592" w:rsidRPr="00BF1BA9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31179" w:rsidRPr="00BF1BA9">
        <w:rPr>
          <w:rFonts w:ascii="Times New Roman" w:hAnsi="Times New Roman"/>
          <w:bCs/>
          <w:sz w:val="24"/>
          <w:szCs w:val="24"/>
          <w:lang w:val="bg-BG"/>
        </w:rPr>
        <w:t>всички предложения за корекции в СФД</w:t>
      </w:r>
      <w:r w:rsidR="00BC3819" w:rsidRPr="00BF1BA9">
        <w:rPr>
          <w:rFonts w:ascii="Times New Roman" w:hAnsi="Times New Roman"/>
          <w:bCs/>
          <w:sz w:val="24"/>
          <w:szCs w:val="24"/>
          <w:lang w:val="bg-BG"/>
        </w:rPr>
        <w:t xml:space="preserve"> на</w:t>
      </w:r>
      <w:r w:rsidR="005933DC" w:rsidRPr="00BF1BA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BC3819" w:rsidRPr="00BF1BA9">
        <w:rPr>
          <w:rFonts w:ascii="Times New Roman" w:hAnsi="Times New Roman"/>
          <w:bCs/>
          <w:sz w:val="24"/>
          <w:szCs w:val="24"/>
          <w:lang w:val="bg-BG"/>
        </w:rPr>
        <w:t>защитените зони</w:t>
      </w:r>
      <w:r w:rsidR="00631179" w:rsidRPr="00BF1BA9">
        <w:rPr>
          <w:rFonts w:ascii="Times New Roman" w:hAnsi="Times New Roman"/>
          <w:bCs/>
          <w:sz w:val="24"/>
          <w:szCs w:val="24"/>
          <w:lang w:val="bg-BG"/>
        </w:rPr>
        <w:t xml:space="preserve"> следва да бъдат предадени в </w:t>
      </w:r>
      <w:r w:rsidR="00BC3819" w:rsidRPr="00BF1BA9">
        <w:rPr>
          <w:rFonts w:ascii="Times New Roman" w:hAnsi="Times New Roman"/>
          <w:bCs/>
          <w:sz w:val="24"/>
          <w:szCs w:val="24"/>
          <w:lang w:val="bg-BG"/>
        </w:rPr>
        <w:t>МОСВ</w:t>
      </w:r>
      <w:r w:rsidR="00631179" w:rsidRPr="00BF1BA9">
        <w:rPr>
          <w:rFonts w:ascii="Times New Roman" w:hAnsi="Times New Roman"/>
          <w:bCs/>
          <w:sz w:val="24"/>
          <w:szCs w:val="24"/>
          <w:lang w:val="bg-BG"/>
        </w:rPr>
        <w:t xml:space="preserve"> до 13.12.2024</w:t>
      </w:r>
      <w:r w:rsidR="00BC3819" w:rsidRPr="00BF1BA9">
        <w:rPr>
          <w:rFonts w:ascii="Times New Roman" w:hAnsi="Times New Roman"/>
          <w:bCs/>
          <w:sz w:val="24"/>
          <w:szCs w:val="24"/>
          <w:lang w:val="bg-BG"/>
        </w:rPr>
        <w:t xml:space="preserve"> г.</w:t>
      </w:r>
      <w:r w:rsidR="00631179" w:rsidRPr="00BF1BA9">
        <w:rPr>
          <w:rFonts w:ascii="Times New Roman" w:hAnsi="Times New Roman"/>
          <w:bCs/>
          <w:sz w:val="24"/>
          <w:szCs w:val="24"/>
          <w:lang w:val="bg-BG"/>
        </w:rPr>
        <w:t xml:space="preserve">, ведно с финалния доклад за изпълнение на </w:t>
      </w:r>
      <w:r w:rsidR="00471D98" w:rsidRPr="00BF1BA9">
        <w:rPr>
          <w:rFonts w:ascii="Times New Roman" w:hAnsi="Times New Roman"/>
          <w:sz w:val="24"/>
          <w:szCs w:val="24"/>
          <w:lang w:val="bg-BG"/>
        </w:rPr>
        <w:t>Договор № 15335/28.04.2023 г. между ПУДООС и ИБЕИ-БАН</w:t>
      </w:r>
      <w:r w:rsidR="00631179" w:rsidRPr="00BF1BA9">
        <w:rPr>
          <w:rFonts w:ascii="Times New Roman" w:hAnsi="Times New Roman"/>
          <w:bCs/>
          <w:sz w:val="24"/>
          <w:szCs w:val="24"/>
          <w:lang w:val="bg-BG"/>
        </w:rPr>
        <w:t>.</w:t>
      </w:r>
      <w:r w:rsidR="0063117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sectPr w:rsidR="00631179" w:rsidSect="0082408B">
      <w:footerReference w:type="default" r:id="rId10"/>
      <w:headerReference w:type="first" r:id="rId11"/>
      <w:footerReference w:type="first" r:id="rId12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37" w:rsidRDefault="00955237" w:rsidP="005D6F42">
      <w:pPr>
        <w:spacing w:after="0" w:line="240" w:lineRule="auto"/>
      </w:pPr>
      <w:r>
        <w:separator/>
      </w:r>
    </w:p>
  </w:endnote>
  <w:endnote w:type="continuationSeparator" w:id="0">
    <w:p w:rsidR="00955237" w:rsidRDefault="00955237" w:rsidP="005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1B" w:rsidRDefault="00D2181B" w:rsidP="00F03EB1">
    <w:pPr>
      <w:pStyle w:val="Footer"/>
      <w:spacing w:after="0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A0029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A0029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1B" w:rsidRPr="00227F9D" w:rsidRDefault="00D2181B" w:rsidP="00227F9D">
    <w:pPr>
      <w:tabs>
        <w:tab w:val="left" w:pos="2775"/>
      </w:tabs>
      <w:spacing w:after="0" w:line="240" w:lineRule="auto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-33738</wp:posOffset>
              </wp:positionH>
              <wp:positionV relativeFrom="paragraph">
                <wp:posOffset>84896</wp:posOffset>
              </wp:positionV>
              <wp:extent cx="6058397" cy="0"/>
              <wp:effectExtent l="0" t="0" r="19050" b="19050"/>
              <wp:wrapNone/>
              <wp:docPr id="8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5839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78E04" id="Straight Connector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6.7pt" to="474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">
              <o:lock v:ext="edit" shapetype="f"/>
            </v:line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66"/>
      <w:gridCol w:w="4750"/>
      <w:gridCol w:w="1831"/>
    </w:tblGrid>
    <w:tr w:rsidR="00D2181B" w:rsidRPr="00227F9D" w:rsidTr="00E85D5F">
      <w:trPr>
        <w:trHeight w:val="1013"/>
      </w:trPr>
      <w:tc>
        <w:tcPr>
          <w:tcW w:w="2356" w:type="dxa"/>
          <w:hideMark/>
        </w:tcPr>
        <w:p w:rsidR="00D2181B" w:rsidRPr="00227F9D" w:rsidRDefault="00D2181B" w:rsidP="00227F9D">
          <w:pPr>
            <w:tabs>
              <w:tab w:val="center" w:pos="4703"/>
              <w:tab w:val="right" w:pos="9406"/>
            </w:tabs>
            <w:spacing w:after="0"/>
            <w:jc w:val="center"/>
          </w:pPr>
          <w:r w:rsidRPr="00B2060C">
            <w:rPr>
              <w:noProof/>
              <w:lang w:val="bg-BG" w:eastAsia="bg-BG"/>
            </w:rPr>
            <w:drawing>
              <wp:inline distT="0" distB="0" distL="0" distR="0">
                <wp:extent cx="1801077" cy="723900"/>
                <wp:effectExtent l="0" t="0" r="8890" b="0"/>
                <wp:docPr id="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077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D2181B" w:rsidRPr="00227F9D" w:rsidRDefault="00D2181B" w:rsidP="00227F9D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 New Roman" w:hAnsi="Times New Roman"/>
            </w:rPr>
          </w:pPr>
          <w:proofErr w:type="spellStart"/>
          <w:r w:rsidRPr="00227F9D">
            <w:rPr>
              <w:rFonts w:ascii="Times New Roman" w:hAnsi="Times New Roman"/>
            </w:rPr>
            <w:t>София</w:t>
          </w:r>
          <w:proofErr w:type="spellEnd"/>
          <w:r w:rsidRPr="00227F9D">
            <w:rPr>
              <w:rFonts w:ascii="Times New Roman" w:hAnsi="Times New Roman"/>
            </w:rPr>
            <w:t xml:space="preserve">, 1000, </w:t>
          </w:r>
          <w:proofErr w:type="spellStart"/>
          <w:r w:rsidRPr="00227F9D">
            <w:rPr>
              <w:rFonts w:ascii="Times New Roman" w:hAnsi="Times New Roman"/>
            </w:rPr>
            <w:t>бул</w:t>
          </w:r>
          <w:proofErr w:type="spellEnd"/>
          <w:r w:rsidRPr="00227F9D">
            <w:rPr>
              <w:rFonts w:ascii="Times New Roman" w:hAnsi="Times New Roman"/>
            </w:rPr>
            <w:t>. „</w:t>
          </w:r>
          <w:proofErr w:type="spellStart"/>
          <w:r w:rsidRPr="00227F9D">
            <w:rPr>
              <w:rFonts w:ascii="Times New Roman" w:hAnsi="Times New Roman"/>
            </w:rPr>
            <w:t>Кн</w:t>
          </w:r>
          <w:proofErr w:type="spellEnd"/>
          <w:r w:rsidRPr="00227F9D">
            <w:rPr>
              <w:rFonts w:ascii="Times New Roman" w:hAnsi="Times New Roman"/>
            </w:rPr>
            <w:t xml:space="preserve">. </w:t>
          </w:r>
          <w:proofErr w:type="spellStart"/>
          <w:r w:rsidRPr="00227F9D">
            <w:rPr>
              <w:rFonts w:ascii="Times New Roman" w:hAnsi="Times New Roman"/>
            </w:rPr>
            <w:t>Мария</w:t>
          </w:r>
          <w:proofErr w:type="spellEnd"/>
          <w:r w:rsidRPr="00227F9D">
            <w:rPr>
              <w:rFonts w:ascii="Times New Roman" w:hAnsi="Times New Roman"/>
            </w:rPr>
            <w:t xml:space="preserve"> </w:t>
          </w:r>
          <w:proofErr w:type="spellStart"/>
          <w:r w:rsidRPr="00227F9D">
            <w:rPr>
              <w:rFonts w:ascii="Times New Roman" w:hAnsi="Times New Roman"/>
            </w:rPr>
            <w:t>Луиза</w:t>
          </w:r>
          <w:proofErr w:type="spellEnd"/>
          <w:r w:rsidRPr="00227F9D">
            <w:rPr>
              <w:rFonts w:ascii="Times New Roman" w:hAnsi="Times New Roman"/>
            </w:rPr>
            <w:t>” 22</w:t>
          </w:r>
        </w:p>
        <w:p w:rsidR="00D2181B" w:rsidRPr="00227F9D" w:rsidRDefault="00D2181B" w:rsidP="00227F9D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 New Roman" w:hAnsi="Times New Roman"/>
            </w:rPr>
          </w:pPr>
        </w:p>
        <w:p w:rsidR="00D2181B" w:rsidRPr="00BB70B5" w:rsidRDefault="00D2181B" w:rsidP="00DC184C">
          <w:pPr>
            <w:tabs>
              <w:tab w:val="center" w:pos="4703"/>
              <w:tab w:val="right" w:pos="9406"/>
            </w:tabs>
            <w:spacing w:after="0"/>
            <w:jc w:val="center"/>
            <w:rPr>
              <w:lang w:val="bg-BG"/>
            </w:rPr>
          </w:pPr>
          <w:proofErr w:type="spellStart"/>
          <w:r w:rsidRPr="00227F9D">
            <w:rPr>
              <w:rFonts w:ascii="Times New Roman" w:hAnsi="Times New Roman"/>
            </w:rPr>
            <w:t>Тел</w:t>
          </w:r>
          <w:proofErr w:type="spellEnd"/>
          <w:r w:rsidRPr="00227F9D">
            <w:rPr>
              <w:rFonts w:ascii="Times New Roman" w:hAnsi="Times New Roman"/>
            </w:rPr>
            <w:t>: +359(2) 940 6</w:t>
          </w:r>
          <w:r>
            <w:rPr>
              <w:rFonts w:ascii="Times New Roman" w:hAnsi="Times New Roman"/>
            </w:rPr>
            <w:t>2</w:t>
          </w:r>
          <w:r>
            <w:rPr>
              <w:rFonts w:ascii="Times New Roman" w:hAnsi="Times New Roman"/>
              <w:lang w:val="bg-BG"/>
            </w:rPr>
            <w:t>5</w:t>
          </w:r>
          <w:r>
            <w:rPr>
              <w:rFonts w:ascii="Times New Roman" w:hAnsi="Times New Roman"/>
            </w:rPr>
            <w:t>9</w:t>
          </w:r>
          <w:r w:rsidRPr="00227F9D">
            <w:rPr>
              <w:rFonts w:ascii="Times New Roman" w:hAnsi="Times New Roman"/>
              <w:lang w:val="bg-BG"/>
            </w:rPr>
            <w:t>,</w:t>
          </w:r>
          <w:r w:rsidRPr="00227F9D">
            <w:rPr>
              <w:rFonts w:ascii="Times New Roman" w:hAnsi="Times New Roman"/>
            </w:rPr>
            <w:t xml:space="preserve"> </w:t>
          </w:r>
          <w:proofErr w:type="spellStart"/>
          <w:r w:rsidRPr="00227F9D">
            <w:rPr>
              <w:rFonts w:ascii="Times New Roman" w:hAnsi="Times New Roman"/>
            </w:rPr>
            <w:t>Факс</w:t>
          </w:r>
          <w:proofErr w:type="spellEnd"/>
          <w:r w:rsidRPr="00227F9D">
            <w:rPr>
              <w:rFonts w:ascii="Times New Roman" w:hAnsi="Times New Roman"/>
            </w:rPr>
            <w:t xml:space="preserve">:+359(2) </w:t>
          </w:r>
          <w:r w:rsidRPr="00225EA6">
            <w:rPr>
              <w:rFonts w:ascii="Times New Roman" w:hAnsi="Times New Roman"/>
            </w:rPr>
            <w:t xml:space="preserve">986 </w:t>
          </w:r>
          <w:r>
            <w:rPr>
              <w:rFonts w:ascii="Times New Roman" w:hAnsi="Times New Roman"/>
              <w:lang w:val="bg-BG"/>
            </w:rPr>
            <w:t>25 33</w:t>
          </w:r>
        </w:p>
      </w:tc>
      <w:tc>
        <w:tcPr>
          <w:tcW w:w="2001" w:type="dxa"/>
          <w:hideMark/>
        </w:tcPr>
        <w:p w:rsidR="00D2181B" w:rsidRPr="00227F9D" w:rsidRDefault="00D2181B" w:rsidP="00227F9D">
          <w:pPr>
            <w:tabs>
              <w:tab w:val="center" w:pos="4703"/>
              <w:tab w:val="right" w:pos="9406"/>
            </w:tabs>
            <w:spacing w:after="0"/>
            <w:jc w:val="center"/>
          </w:pPr>
          <w:r w:rsidRPr="00227F9D">
            <w:rPr>
              <w:rFonts w:ascii="Times New Roman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181B" w:rsidRDefault="00D2181B" w:rsidP="00F03EB1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37" w:rsidRDefault="00955237" w:rsidP="005D6F42">
      <w:pPr>
        <w:spacing w:after="0" w:line="240" w:lineRule="auto"/>
      </w:pPr>
      <w:r>
        <w:separator/>
      </w:r>
    </w:p>
  </w:footnote>
  <w:footnote w:type="continuationSeparator" w:id="0">
    <w:p w:rsidR="00955237" w:rsidRDefault="00955237" w:rsidP="005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1B" w:rsidRDefault="00D2181B" w:rsidP="003E6B70">
    <w:pPr>
      <w:pStyle w:val="Header"/>
      <w:jc w:val="center"/>
    </w:pPr>
    <w:r w:rsidRPr="005D6F42"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>
          <wp:extent cx="895350" cy="781050"/>
          <wp:effectExtent l="0" t="0" r="0" b="0"/>
          <wp:docPr id="17" name="Picture 17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181B" w:rsidRPr="005D6F42" w:rsidRDefault="00D2181B" w:rsidP="003E6B70">
    <w:pPr>
      <w:spacing w:before="20" w:after="0" w:line="240" w:lineRule="auto"/>
      <w:jc w:val="center"/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</w:pPr>
    <w:r w:rsidRPr="005D6F42"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  <w:t>Р е п у б л и к а   б ъ л г а р и я</w:t>
    </w:r>
  </w:p>
  <w:p w:rsidR="00D2181B" w:rsidRPr="005D6F42" w:rsidRDefault="00D2181B" w:rsidP="003E6B70">
    <w:pPr>
      <w:spacing w:after="0" w:line="270" w:lineRule="atLeast"/>
      <w:rPr>
        <w:rFonts w:eastAsia="Times New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</w:pPr>
  </w:p>
  <w:p w:rsidR="00D2181B" w:rsidRPr="005D6F42" w:rsidRDefault="00D2181B" w:rsidP="003E6B70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</w:pP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МИНИСТЕРСТВО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НА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ОКОЛНАТА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СРЕДА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И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ВОДИТЕ</w:t>
    </w:r>
    <w:r w:rsidRPr="005D6F42"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48B"/>
    <w:multiLevelType w:val="hybridMultilevel"/>
    <w:tmpl w:val="46D607CE"/>
    <w:lvl w:ilvl="0" w:tplc="A830B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C62A5"/>
    <w:multiLevelType w:val="hybridMultilevel"/>
    <w:tmpl w:val="F962C3BE"/>
    <w:lvl w:ilvl="0" w:tplc="FA2C0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606"/>
    <w:multiLevelType w:val="hybridMultilevel"/>
    <w:tmpl w:val="7DB29B24"/>
    <w:lvl w:ilvl="0" w:tplc="8DF6BB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65819"/>
    <w:multiLevelType w:val="hybridMultilevel"/>
    <w:tmpl w:val="5064628C"/>
    <w:lvl w:ilvl="0" w:tplc="52DE7C06">
      <w:start w:val="19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 w15:restartNumberingAfterBreak="0">
    <w:nsid w:val="52D909AE"/>
    <w:multiLevelType w:val="hybridMultilevel"/>
    <w:tmpl w:val="7DB29B24"/>
    <w:lvl w:ilvl="0" w:tplc="8DF6BB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F55D5"/>
    <w:multiLevelType w:val="hybridMultilevel"/>
    <w:tmpl w:val="609A80D2"/>
    <w:lvl w:ilvl="0" w:tplc="4AB8FBE6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E604F4"/>
    <w:multiLevelType w:val="hybridMultilevel"/>
    <w:tmpl w:val="EDA4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3564F"/>
    <w:multiLevelType w:val="hybridMultilevel"/>
    <w:tmpl w:val="9EEC4D0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E322D"/>
    <w:multiLevelType w:val="hybridMultilevel"/>
    <w:tmpl w:val="3F2AB5DE"/>
    <w:lvl w:ilvl="0" w:tplc="B2F873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A45119"/>
    <w:multiLevelType w:val="hybridMultilevel"/>
    <w:tmpl w:val="093EEAF0"/>
    <w:lvl w:ilvl="0" w:tplc="8DF6BB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A66FD"/>
    <w:multiLevelType w:val="hybridMultilevel"/>
    <w:tmpl w:val="9A0EACF6"/>
    <w:lvl w:ilvl="0" w:tplc="36ACC57C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9260B96"/>
    <w:multiLevelType w:val="hybridMultilevel"/>
    <w:tmpl w:val="6F625C68"/>
    <w:lvl w:ilvl="0" w:tplc="6B700AA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8B10F9"/>
    <w:multiLevelType w:val="hybridMultilevel"/>
    <w:tmpl w:val="6A2A46AA"/>
    <w:lvl w:ilvl="0" w:tplc="0C2EA2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2"/>
    <w:rsid w:val="0000347F"/>
    <w:rsid w:val="00004DF0"/>
    <w:rsid w:val="00013BD1"/>
    <w:rsid w:val="000142F3"/>
    <w:rsid w:val="00021FA6"/>
    <w:rsid w:val="0002412B"/>
    <w:rsid w:val="00024779"/>
    <w:rsid w:val="00042158"/>
    <w:rsid w:val="00044AD0"/>
    <w:rsid w:val="00047E6F"/>
    <w:rsid w:val="0005334C"/>
    <w:rsid w:val="00056CA2"/>
    <w:rsid w:val="00060FBE"/>
    <w:rsid w:val="00061607"/>
    <w:rsid w:val="00064FA5"/>
    <w:rsid w:val="00066CF2"/>
    <w:rsid w:val="00071EE8"/>
    <w:rsid w:val="00071F88"/>
    <w:rsid w:val="00072029"/>
    <w:rsid w:val="00073005"/>
    <w:rsid w:val="000810C1"/>
    <w:rsid w:val="00092DF5"/>
    <w:rsid w:val="00092F36"/>
    <w:rsid w:val="00094E09"/>
    <w:rsid w:val="000A0639"/>
    <w:rsid w:val="000A35A3"/>
    <w:rsid w:val="000A3DF6"/>
    <w:rsid w:val="000C45C2"/>
    <w:rsid w:val="000D1826"/>
    <w:rsid w:val="000D5C1E"/>
    <w:rsid w:val="000E5D8D"/>
    <w:rsid w:val="000E6A1D"/>
    <w:rsid w:val="000E79A3"/>
    <w:rsid w:val="000F061B"/>
    <w:rsid w:val="00112724"/>
    <w:rsid w:val="001155F2"/>
    <w:rsid w:val="00120706"/>
    <w:rsid w:val="001241D0"/>
    <w:rsid w:val="00131C9A"/>
    <w:rsid w:val="00150369"/>
    <w:rsid w:val="00151775"/>
    <w:rsid w:val="00152E91"/>
    <w:rsid w:val="00155FE3"/>
    <w:rsid w:val="00177A01"/>
    <w:rsid w:val="0018086E"/>
    <w:rsid w:val="00185C34"/>
    <w:rsid w:val="001874CB"/>
    <w:rsid w:val="00187728"/>
    <w:rsid w:val="001911CE"/>
    <w:rsid w:val="001A0029"/>
    <w:rsid w:val="001A3B56"/>
    <w:rsid w:val="001B4E4E"/>
    <w:rsid w:val="001C0556"/>
    <w:rsid w:val="001D111B"/>
    <w:rsid w:val="001D77DC"/>
    <w:rsid w:val="001F4CF8"/>
    <w:rsid w:val="00202605"/>
    <w:rsid w:val="002039F9"/>
    <w:rsid w:val="002075C2"/>
    <w:rsid w:val="002107C5"/>
    <w:rsid w:val="00216F4D"/>
    <w:rsid w:val="00225EA6"/>
    <w:rsid w:val="00227F9D"/>
    <w:rsid w:val="002314AB"/>
    <w:rsid w:val="0023547E"/>
    <w:rsid w:val="002520A0"/>
    <w:rsid w:val="00257BDA"/>
    <w:rsid w:val="002824A3"/>
    <w:rsid w:val="00284EC0"/>
    <w:rsid w:val="002A1376"/>
    <w:rsid w:val="002A60B2"/>
    <w:rsid w:val="002A6E16"/>
    <w:rsid w:val="002B1BB7"/>
    <w:rsid w:val="002B4323"/>
    <w:rsid w:val="002B5C3A"/>
    <w:rsid w:val="002B6A33"/>
    <w:rsid w:val="002C6B18"/>
    <w:rsid w:val="002D07BC"/>
    <w:rsid w:val="002D3C92"/>
    <w:rsid w:val="002D4738"/>
    <w:rsid w:val="002E4B8D"/>
    <w:rsid w:val="002F4FBC"/>
    <w:rsid w:val="00304C75"/>
    <w:rsid w:val="003071E5"/>
    <w:rsid w:val="00313066"/>
    <w:rsid w:val="00320BB6"/>
    <w:rsid w:val="00322012"/>
    <w:rsid w:val="003322B7"/>
    <w:rsid w:val="00337694"/>
    <w:rsid w:val="00337AE5"/>
    <w:rsid w:val="003445BA"/>
    <w:rsid w:val="003519BB"/>
    <w:rsid w:val="00373A6D"/>
    <w:rsid w:val="003741EF"/>
    <w:rsid w:val="00375BC4"/>
    <w:rsid w:val="00382D13"/>
    <w:rsid w:val="00385168"/>
    <w:rsid w:val="00386859"/>
    <w:rsid w:val="003A1FD8"/>
    <w:rsid w:val="003A33DB"/>
    <w:rsid w:val="003B7F89"/>
    <w:rsid w:val="003C19CE"/>
    <w:rsid w:val="003D02D6"/>
    <w:rsid w:val="003D620B"/>
    <w:rsid w:val="003D7E53"/>
    <w:rsid w:val="003D7F76"/>
    <w:rsid w:val="003E0B2B"/>
    <w:rsid w:val="003E5CC2"/>
    <w:rsid w:val="003E6B70"/>
    <w:rsid w:val="003F63CC"/>
    <w:rsid w:val="0040187A"/>
    <w:rsid w:val="0041369B"/>
    <w:rsid w:val="004158B7"/>
    <w:rsid w:val="00420EA2"/>
    <w:rsid w:val="00432B60"/>
    <w:rsid w:val="00436C05"/>
    <w:rsid w:val="00461D20"/>
    <w:rsid w:val="00466C04"/>
    <w:rsid w:val="00470C5C"/>
    <w:rsid w:val="00471D98"/>
    <w:rsid w:val="004818C5"/>
    <w:rsid w:val="004A7FB1"/>
    <w:rsid w:val="004C41C1"/>
    <w:rsid w:val="004C4FA7"/>
    <w:rsid w:val="004C60CA"/>
    <w:rsid w:val="004D0222"/>
    <w:rsid w:val="004D102E"/>
    <w:rsid w:val="004D2178"/>
    <w:rsid w:val="004D46E7"/>
    <w:rsid w:val="004F12CD"/>
    <w:rsid w:val="004F1308"/>
    <w:rsid w:val="004F246E"/>
    <w:rsid w:val="004F3947"/>
    <w:rsid w:val="004F42CD"/>
    <w:rsid w:val="004F46CD"/>
    <w:rsid w:val="0050585A"/>
    <w:rsid w:val="00507347"/>
    <w:rsid w:val="005202AB"/>
    <w:rsid w:val="005209A7"/>
    <w:rsid w:val="00520E34"/>
    <w:rsid w:val="00531D37"/>
    <w:rsid w:val="00532CBE"/>
    <w:rsid w:val="0053398B"/>
    <w:rsid w:val="00533C2C"/>
    <w:rsid w:val="005418DF"/>
    <w:rsid w:val="00547382"/>
    <w:rsid w:val="00552BB1"/>
    <w:rsid w:val="00553615"/>
    <w:rsid w:val="00570704"/>
    <w:rsid w:val="00575592"/>
    <w:rsid w:val="005909FA"/>
    <w:rsid w:val="00592275"/>
    <w:rsid w:val="0059231D"/>
    <w:rsid w:val="005933DC"/>
    <w:rsid w:val="005946C2"/>
    <w:rsid w:val="005A2F7B"/>
    <w:rsid w:val="005A41FF"/>
    <w:rsid w:val="005A42BC"/>
    <w:rsid w:val="005C0F41"/>
    <w:rsid w:val="005C155A"/>
    <w:rsid w:val="005D066E"/>
    <w:rsid w:val="005D31FC"/>
    <w:rsid w:val="005D6F42"/>
    <w:rsid w:val="005E0B5C"/>
    <w:rsid w:val="005E3E87"/>
    <w:rsid w:val="005E4B7C"/>
    <w:rsid w:val="005E5609"/>
    <w:rsid w:val="005F0D2F"/>
    <w:rsid w:val="005F44FE"/>
    <w:rsid w:val="00625041"/>
    <w:rsid w:val="00631179"/>
    <w:rsid w:val="00631519"/>
    <w:rsid w:val="00640F98"/>
    <w:rsid w:val="006466C5"/>
    <w:rsid w:val="006575BD"/>
    <w:rsid w:val="00661CDA"/>
    <w:rsid w:val="00666DE0"/>
    <w:rsid w:val="0067133D"/>
    <w:rsid w:val="006739DE"/>
    <w:rsid w:val="006815D8"/>
    <w:rsid w:val="00684BEF"/>
    <w:rsid w:val="00687F2C"/>
    <w:rsid w:val="00693101"/>
    <w:rsid w:val="00694196"/>
    <w:rsid w:val="006957A0"/>
    <w:rsid w:val="00697277"/>
    <w:rsid w:val="006A1EDE"/>
    <w:rsid w:val="006A3619"/>
    <w:rsid w:val="006A3D7A"/>
    <w:rsid w:val="006B5192"/>
    <w:rsid w:val="006B63BF"/>
    <w:rsid w:val="006C101E"/>
    <w:rsid w:val="006C388B"/>
    <w:rsid w:val="006E0628"/>
    <w:rsid w:val="006E48DE"/>
    <w:rsid w:val="006E5CF2"/>
    <w:rsid w:val="006F15BF"/>
    <w:rsid w:val="006F626A"/>
    <w:rsid w:val="00702D5E"/>
    <w:rsid w:val="00711A91"/>
    <w:rsid w:val="00716FFF"/>
    <w:rsid w:val="0072403F"/>
    <w:rsid w:val="00727099"/>
    <w:rsid w:val="0072778A"/>
    <w:rsid w:val="0074282B"/>
    <w:rsid w:val="007478EE"/>
    <w:rsid w:val="00747BA7"/>
    <w:rsid w:val="00750A14"/>
    <w:rsid w:val="00755882"/>
    <w:rsid w:val="00774EF6"/>
    <w:rsid w:val="0077554E"/>
    <w:rsid w:val="0078097F"/>
    <w:rsid w:val="00782EFA"/>
    <w:rsid w:val="00785069"/>
    <w:rsid w:val="00790731"/>
    <w:rsid w:val="007B1884"/>
    <w:rsid w:val="007B3ACF"/>
    <w:rsid w:val="007D2BB0"/>
    <w:rsid w:val="007D3157"/>
    <w:rsid w:val="007E0850"/>
    <w:rsid w:val="007E0B21"/>
    <w:rsid w:val="007F44D6"/>
    <w:rsid w:val="007F768C"/>
    <w:rsid w:val="008014DB"/>
    <w:rsid w:val="00803B24"/>
    <w:rsid w:val="00804205"/>
    <w:rsid w:val="008110F2"/>
    <w:rsid w:val="00811B22"/>
    <w:rsid w:val="0081643F"/>
    <w:rsid w:val="008204F2"/>
    <w:rsid w:val="0082408B"/>
    <w:rsid w:val="008279E2"/>
    <w:rsid w:val="00837E3F"/>
    <w:rsid w:val="00851D7C"/>
    <w:rsid w:val="00853B0E"/>
    <w:rsid w:val="00853B67"/>
    <w:rsid w:val="008554DE"/>
    <w:rsid w:val="00867CB3"/>
    <w:rsid w:val="00876FF4"/>
    <w:rsid w:val="00883437"/>
    <w:rsid w:val="00884317"/>
    <w:rsid w:val="008843F1"/>
    <w:rsid w:val="00886C69"/>
    <w:rsid w:val="008917F5"/>
    <w:rsid w:val="00893AEF"/>
    <w:rsid w:val="008B77F8"/>
    <w:rsid w:val="008C2B08"/>
    <w:rsid w:val="008C3AE6"/>
    <w:rsid w:val="008C7EEC"/>
    <w:rsid w:val="008D2DD7"/>
    <w:rsid w:val="008D5F2F"/>
    <w:rsid w:val="008F1BA5"/>
    <w:rsid w:val="008F4617"/>
    <w:rsid w:val="00902DD0"/>
    <w:rsid w:val="009157FC"/>
    <w:rsid w:val="00921164"/>
    <w:rsid w:val="00921379"/>
    <w:rsid w:val="009232DC"/>
    <w:rsid w:val="00931BE5"/>
    <w:rsid w:val="00952989"/>
    <w:rsid w:val="00955237"/>
    <w:rsid w:val="00960A6C"/>
    <w:rsid w:val="0097727D"/>
    <w:rsid w:val="00977E76"/>
    <w:rsid w:val="00992A86"/>
    <w:rsid w:val="009A5400"/>
    <w:rsid w:val="009A678A"/>
    <w:rsid w:val="009C235F"/>
    <w:rsid w:val="009C32D9"/>
    <w:rsid w:val="009E1386"/>
    <w:rsid w:val="009E149B"/>
    <w:rsid w:val="009E45A9"/>
    <w:rsid w:val="009E5D29"/>
    <w:rsid w:val="009E72F3"/>
    <w:rsid w:val="009F0368"/>
    <w:rsid w:val="009F20D5"/>
    <w:rsid w:val="009F39FD"/>
    <w:rsid w:val="009F47B0"/>
    <w:rsid w:val="009F57B3"/>
    <w:rsid w:val="00A05314"/>
    <w:rsid w:val="00A06937"/>
    <w:rsid w:val="00A07B54"/>
    <w:rsid w:val="00A11913"/>
    <w:rsid w:val="00A17FF0"/>
    <w:rsid w:val="00A23023"/>
    <w:rsid w:val="00A3471B"/>
    <w:rsid w:val="00A36F58"/>
    <w:rsid w:val="00A429B2"/>
    <w:rsid w:val="00A51049"/>
    <w:rsid w:val="00A51DA1"/>
    <w:rsid w:val="00A73C4F"/>
    <w:rsid w:val="00A74F02"/>
    <w:rsid w:val="00A81B91"/>
    <w:rsid w:val="00A9235A"/>
    <w:rsid w:val="00A94A10"/>
    <w:rsid w:val="00AA0D09"/>
    <w:rsid w:val="00AB0B34"/>
    <w:rsid w:val="00AB2908"/>
    <w:rsid w:val="00AC39E8"/>
    <w:rsid w:val="00AD1BE6"/>
    <w:rsid w:val="00AD27C4"/>
    <w:rsid w:val="00AE686B"/>
    <w:rsid w:val="00AF521D"/>
    <w:rsid w:val="00AF5304"/>
    <w:rsid w:val="00AF532A"/>
    <w:rsid w:val="00B0362E"/>
    <w:rsid w:val="00B0675E"/>
    <w:rsid w:val="00B07479"/>
    <w:rsid w:val="00B13BFA"/>
    <w:rsid w:val="00B153FA"/>
    <w:rsid w:val="00B15A5E"/>
    <w:rsid w:val="00B17D4C"/>
    <w:rsid w:val="00B2060C"/>
    <w:rsid w:val="00B26975"/>
    <w:rsid w:val="00B31205"/>
    <w:rsid w:val="00B452E5"/>
    <w:rsid w:val="00B4720F"/>
    <w:rsid w:val="00B5718C"/>
    <w:rsid w:val="00B66EA7"/>
    <w:rsid w:val="00B76723"/>
    <w:rsid w:val="00B84176"/>
    <w:rsid w:val="00B86145"/>
    <w:rsid w:val="00BA0685"/>
    <w:rsid w:val="00BA114B"/>
    <w:rsid w:val="00BB1167"/>
    <w:rsid w:val="00BB61C1"/>
    <w:rsid w:val="00BB70B5"/>
    <w:rsid w:val="00BB7CB2"/>
    <w:rsid w:val="00BC35C0"/>
    <w:rsid w:val="00BC3819"/>
    <w:rsid w:val="00BC3C80"/>
    <w:rsid w:val="00BD40AF"/>
    <w:rsid w:val="00BD7B88"/>
    <w:rsid w:val="00BD7E10"/>
    <w:rsid w:val="00BE4B47"/>
    <w:rsid w:val="00BE6284"/>
    <w:rsid w:val="00BF1BA9"/>
    <w:rsid w:val="00BF3027"/>
    <w:rsid w:val="00BF596D"/>
    <w:rsid w:val="00C036A6"/>
    <w:rsid w:val="00C0664C"/>
    <w:rsid w:val="00C15D50"/>
    <w:rsid w:val="00C214C0"/>
    <w:rsid w:val="00C35D28"/>
    <w:rsid w:val="00C3662F"/>
    <w:rsid w:val="00C378D8"/>
    <w:rsid w:val="00C42DE7"/>
    <w:rsid w:val="00C5029E"/>
    <w:rsid w:val="00C5031F"/>
    <w:rsid w:val="00C6718D"/>
    <w:rsid w:val="00C756FB"/>
    <w:rsid w:val="00C758F2"/>
    <w:rsid w:val="00C773B0"/>
    <w:rsid w:val="00C94092"/>
    <w:rsid w:val="00C94A36"/>
    <w:rsid w:val="00CA0EB0"/>
    <w:rsid w:val="00CA7083"/>
    <w:rsid w:val="00CB3054"/>
    <w:rsid w:val="00CB3844"/>
    <w:rsid w:val="00CC44D5"/>
    <w:rsid w:val="00CD27BE"/>
    <w:rsid w:val="00CD7651"/>
    <w:rsid w:val="00CE2B9E"/>
    <w:rsid w:val="00CF088D"/>
    <w:rsid w:val="00CF31A9"/>
    <w:rsid w:val="00CF4231"/>
    <w:rsid w:val="00CF6E82"/>
    <w:rsid w:val="00D02ACB"/>
    <w:rsid w:val="00D02D2F"/>
    <w:rsid w:val="00D06E64"/>
    <w:rsid w:val="00D073EC"/>
    <w:rsid w:val="00D16D81"/>
    <w:rsid w:val="00D17021"/>
    <w:rsid w:val="00D211FE"/>
    <w:rsid w:val="00D2181B"/>
    <w:rsid w:val="00D342C6"/>
    <w:rsid w:val="00D3582A"/>
    <w:rsid w:val="00D42C14"/>
    <w:rsid w:val="00D4510C"/>
    <w:rsid w:val="00D50521"/>
    <w:rsid w:val="00D51599"/>
    <w:rsid w:val="00D524BA"/>
    <w:rsid w:val="00D52E52"/>
    <w:rsid w:val="00D61E0D"/>
    <w:rsid w:val="00D61EF1"/>
    <w:rsid w:val="00D6274A"/>
    <w:rsid w:val="00D62A5E"/>
    <w:rsid w:val="00D63AFB"/>
    <w:rsid w:val="00D66594"/>
    <w:rsid w:val="00D752DE"/>
    <w:rsid w:val="00D85E33"/>
    <w:rsid w:val="00D86E24"/>
    <w:rsid w:val="00D87B6F"/>
    <w:rsid w:val="00D91B16"/>
    <w:rsid w:val="00D923C7"/>
    <w:rsid w:val="00DB739E"/>
    <w:rsid w:val="00DC0305"/>
    <w:rsid w:val="00DC184C"/>
    <w:rsid w:val="00DC6EDB"/>
    <w:rsid w:val="00DE2375"/>
    <w:rsid w:val="00DE44D8"/>
    <w:rsid w:val="00DF40B4"/>
    <w:rsid w:val="00E00474"/>
    <w:rsid w:val="00E06697"/>
    <w:rsid w:val="00E06730"/>
    <w:rsid w:val="00E44109"/>
    <w:rsid w:val="00E463B8"/>
    <w:rsid w:val="00E50DD2"/>
    <w:rsid w:val="00E52716"/>
    <w:rsid w:val="00E52DCF"/>
    <w:rsid w:val="00E63D1C"/>
    <w:rsid w:val="00E71EF3"/>
    <w:rsid w:val="00E760D6"/>
    <w:rsid w:val="00E85D5F"/>
    <w:rsid w:val="00E937C7"/>
    <w:rsid w:val="00E9424F"/>
    <w:rsid w:val="00EA4937"/>
    <w:rsid w:val="00ED1A74"/>
    <w:rsid w:val="00ED5D0E"/>
    <w:rsid w:val="00EE6D1A"/>
    <w:rsid w:val="00F03CC0"/>
    <w:rsid w:val="00F03EB1"/>
    <w:rsid w:val="00F135D3"/>
    <w:rsid w:val="00F3233E"/>
    <w:rsid w:val="00F331E2"/>
    <w:rsid w:val="00F364B0"/>
    <w:rsid w:val="00F44A6C"/>
    <w:rsid w:val="00F450EA"/>
    <w:rsid w:val="00F5660F"/>
    <w:rsid w:val="00F6301F"/>
    <w:rsid w:val="00F64686"/>
    <w:rsid w:val="00F748ED"/>
    <w:rsid w:val="00F91DD2"/>
    <w:rsid w:val="00F92603"/>
    <w:rsid w:val="00FA5A04"/>
    <w:rsid w:val="00FA5F0F"/>
    <w:rsid w:val="00FA61FE"/>
    <w:rsid w:val="00FB7645"/>
    <w:rsid w:val="00FC09C4"/>
    <w:rsid w:val="00FC1B11"/>
    <w:rsid w:val="00FC3C0C"/>
    <w:rsid w:val="00FC5D7B"/>
    <w:rsid w:val="00FF2A13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B0AE1"/>
  <w15:chartTrackingRefBased/>
  <w15:docId w15:val="{3C6CD962-6B19-49BF-8B35-089FC2C2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D6F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D6F42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D6F42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7D2BB0"/>
    <w:rPr>
      <w:color w:val="0000FF"/>
      <w:u w:val="single"/>
    </w:rPr>
  </w:style>
  <w:style w:type="paragraph" w:customStyle="1" w:styleId="Default">
    <w:name w:val="Default"/>
    <w:rsid w:val="007D2B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8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F4FBC"/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FBC"/>
    <w:rPr>
      <w:rFonts w:eastAsia="Times New Roman"/>
      <w:lang w:val="x-none" w:eastAsia="x-none"/>
    </w:rPr>
  </w:style>
  <w:style w:type="character" w:customStyle="1" w:styleId="moz-txt-tag">
    <w:name w:val="moz-txt-tag"/>
    <w:basedOn w:val="DefaultParagraphFont"/>
    <w:rsid w:val="002F4FBC"/>
  </w:style>
  <w:style w:type="paragraph" w:styleId="NormalWeb">
    <w:name w:val="Normal (Web)"/>
    <w:basedOn w:val="Normal"/>
    <w:uiPriority w:val="99"/>
    <w:semiHidden/>
    <w:unhideWhenUsed/>
    <w:rsid w:val="00902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902DD0"/>
    <w:rPr>
      <w:i/>
      <w:iCs/>
    </w:rPr>
  </w:style>
  <w:style w:type="paragraph" w:customStyle="1" w:styleId="BankNormal">
    <w:name w:val="BankNormal"/>
    <w:basedOn w:val="Normal"/>
    <w:link w:val="BankNormalChar"/>
    <w:rsid w:val="008917F5"/>
    <w:pPr>
      <w:spacing w:line="240" w:lineRule="auto"/>
      <w:jc w:val="right"/>
    </w:pPr>
    <w:rPr>
      <w:rFonts w:ascii="Times New Roman" w:eastAsia="Times New Roman" w:hAnsi="Times New Roman"/>
      <w:sz w:val="24"/>
      <w:szCs w:val="20"/>
      <w:lang w:val="x-none" w:eastAsia="bg-BG"/>
    </w:rPr>
  </w:style>
  <w:style w:type="character" w:customStyle="1" w:styleId="BankNormalChar">
    <w:name w:val="BankNormal Char"/>
    <w:link w:val="BankNormal"/>
    <w:rsid w:val="008917F5"/>
    <w:rPr>
      <w:rFonts w:ascii="Times New Roman" w:eastAsia="Times New Roman" w:hAnsi="Times New Roman"/>
      <w:sz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B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bg/koncepciya-za-razrabotvane-na-specifichni-i-podrobni-prirodozastitni-celi-na-nivo-zastitena-zona-za-zoni-ot-ekologichnata-mreja-natura-200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oew.government.bg/bg/arhiv-obstestven-dostup-do-dokladi-po-ovos-2016-2017-g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FEFE-801E-443C-88CA-CB947A9F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gosman</dc:creator>
  <cp:keywords/>
  <cp:lastModifiedBy>МОСВ</cp:lastModifiedBy>
  <cp:revision>28</cp:revision>
  <cp:lastPrinted>2024-12-06T09:23:00Z</cp:lastPrinted>
  <dcterms:created xsi:type="dcterms:W3CDTF">2024-12-05T14:30:00Z</dcterms:created>
  <dcterms:modified xsi:type="dcterms:W3CDTF">2024-12-06T09:49:00Z</dcterms:modified>
</cp:coreProperties>
</file>